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4EF1B3" w14:textId="4886E409" w:rsidR="008276E7" w:rsidRDefault="00FA1D86">
      <w:pPr>
        <w:spacing w:line="360" w:lineRule="auto"/>
        <w:jc w:val="center"/>
        <w:rPr>
          <w:b/>
          <w:bCs/>
          <w:sz w:val="32"/>
          <w:szCs w:val="32"/>
        </w:rPr>
      </w:pPr>
      <w:r>
        <w:rPr>
          <w:noProof/>
        </w:rPr>
        <w:drawing>
          <wp:anchor distT="0" distB="0" distL="114300" distR="114300" simplePos="0" relativeHeight="251658240" behindDoc="1" locked="0" layoutInCell="1" allowOverlap="1" wp14:anchorId="5DAED2C8" wp14:editId="34B1AEBA">
            <wp:simplePos x="0" y="0"/>
            <wp:positionH relativeFrom="margin">
              <wp:align>center</wp:align>
            </wp:positionH>
            <wp:positionV relativeFrom="paragraph">
              <wp:posOffset>8467</wp:posOffset>
            </wp:positionV>
            <wp:extent cx="3920067" cy="1568027"/>
            <wp:effectExtent l="0" t="0" r="4445" b="0"/>
            <wp:wrapNone/>
            <wp:docPr id="2068662103"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20067" cy="156802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9B12AE" w14:textId="77777777" w:rsidR="008276E7" w:rsidRDefault="008276E7">
      <w:pPr>
        <w:spacing w:line="360" w:lineRule="auto"/>
        <w:jc w:val="center"/>
        <w:rPr>
          <w:b/>
          <w:bCs/>
          <w:sz w:val="32"/>
          <w:szCs w:val="32"/>
        </w:rPr>
      </w:pPr>
    </w:p>
    <w:p w14:paraId="04286EF6" w14:textId="77777777" w:rsidR="008276E7" w:rsidRDefault="008276E7">
      <w:pPr>
        <w:spacing w:line="360" w:lineRule="auto"/>
        <w:jc w:val="center"/>
        <w:rPr>
          <w:b/>
          <w:bCs/>
          <w:sz w:val="32"/>
          <w:szCs w:val="32"/>
        </w:rPr>
      </w:pPr>
    </w:p>
    <w:p w14:paraId="1E358D5D" w14:textId="77777777" w:rsidR="008276E7" w:rsidRDefault="008276E7">
      <w:pPr>
        <w:spacing w:line="360" w:lineRule="auto"/>
        <w:jc w:val="center"/>
        <w:rPr>
          <w:b/>
          <w:bCs/>
          <w:sz w:val="32"/>
          <w:szCs w:val="32"/>
        </w:rPr>
      </w:pPr>
    </w:p>
    <w:p w14:paraId="077CF2E5" w14:textId="77777777" w:rsidR="008276E7" w:rsidRDefault="008276E7">
      <w:pPr>
        <w:spacing w:line="360" w:lineRule="auto"/>
        <w:jc w:val="center"/>
        <w:rPr>
          <w:b/>
          <w:bCs/>
          <w:sz w:val="32"/>
          <w:szCs w:val="32"/>
        </w:rPr>
      </w:pPr>
    </w:p>
    <w:p w14:paraId="5F7EE0F4" w14:textId="77777777" w:rsidR="008276E7" w:rsidRDefault="008276E7">
      <w:pPr>
        <w:spacing w:line="360" w:lineRule="auto"/>
        <w:jc w:val="center"/>
        <w:rPr>
          <w:b/>
          <w:bCs/>
          <w:sz w:val="32"/>
          <w:szCs w:val="32"/>
        </w:rPr>
      </w:pPr>
    </w:p>
    <w:p w14:paraId="2188DF76" w14:textId="77777777" w:rsidR="008276E7" w:rsidRDefault="008276E7">
      <w:pPr>
        <w:spacing w:line="360" w:lineRule="auto"/>
        <w:jc w:val="center"/>
        <w:rPr>
          <w:b/>
          <w:bCs/>
          <w:sz w:val="32"/>
          <w:szCs w:val="32"/>
        </w:rPr>
      </w:pPr>
    </w:p>
    <w:p w14:paraId="7DCC0201" w14:textId="63089B00" w:rsidR="00FA1D86" w:rsidRPr="00FA1D86" w:rsidRDefault="00FA1D86" w:rsidP="00FA1D86">
      <w:pPr>
        <w:spacing w:line="360" w:lineRule="auto"/>
        <w:jc w:val="center"/>
        <w:rPr>
          <w:b/>
          <w:bCs/>
          <w:sz w:val="32"/>
          <w:szCs w:val="32"/>
        </w:rPr>
      </w:pPr>
      <w:r w:rsidRPr="00FA1D86">
        <w:rPr>
          <w:b/>
          <w:bCs/>
          <w:sz w:val="32"/>
          <w:szCs w:val="32"/>
        </w:rPr>
        <w:t xml:space="preserve">STUDENT NAME : GHEVARIYA PARAG JAYANTIBHAI </w:t>
      </w:r>
    </w:p>
    <w:p w14:paraId="1AF17E26" w14:textId="19FEFD9B" w:rsidR="008276E7" w:rsidRPr="00FA1D86" w:rsidRDefault="00FA1D86" w:rsidP="00FA1D86">
      <w:pPr>
        <w:spacing w:line="360" w:lineRule="auto"/>
        <w:jc w:val="center"/>
        <w:rPr>
          <w:b/>
          <w:bCs/>
          <w:sz w:val="32"/>
          <w:szCs w:val="32"/>
        </w:rPr>
      </w:pPr>
      <w:r w:rsidRPr="00FA1D86">
        <w:rPr>
          <w:b/>
          <w:bCs/>
          <w:sz w:val="32"/>
          <w:szCs w:val="32"/>
        </w:rPr>
        <w:t>STUDENT ID : 2539367</w:t>
      </w:r>
    </w:p>
    <w:p w14:paraId="3D8127D6" w14:textId="3AB6DF6E" w:rsidR="008276E7" w:rsidRPr="00FA1D86" w:rsidRDefault="00FA1D86">
      <w:pPr>
        <w:spacing w:line="360" w:lineRule="auto"/>
        <w:jc w:val="center"/>
        <w:rPr>
          <w:b/>
          <w:bCs/>
          <w:sz w:val="32"/>
          <w:szCs w:val="32"/>
        </w:rPr>
      </w:pPr>
      <w:r w:rsidRPr="00FA1D86">
        <w:rPr>
          <w:b/>
          <w:bCs/>
          <w:sz w:val="32"/>
          <w:szCs w:val="32"/>
        </w:rPr>
        <w:t>MASTER OF BUSINESS ADMINISTRATION (MBA)</w:t>
      </w:r>
    </w:p>
    <w:p w14:paraId="0C4C3BD4" w14:textId="4E756D74" w:rsidR="00FA1D86" w:rsidRPr="00FA1D86" w:rsidRDefault="00FA1D86" w:rsidP="00FA1D86">
      <w:pPr>
        <w:spacing w:line="360" w:lineRule="auto"/>
        <w:jc w:val="center"/>
        <w:rPr>
          <w:b/>
          <w:bCs/>
          <w:sz w:val="32"/>
          <w:szCs w:val="32"/>
          <w:lang w:val="en-US"/>
        </w:rPr>
      </w:pPr>
      <w:r w:rsidRPr="00FA1D86">
        <w:rPr>
          <w:b/>
          <w:bCs/>
          <w:sz w:val="32"/>
          <w:szCs w:val="32"/>
          <w:lang w:val="en-US"/>
        </w:rPr>
        <w:t>MODULE NAME: FINANCIAL MANAGEMENT</w:t>
      </w:r>
    </w:p>
    <w:p w14:paraId="410FAC3C" w14:textId="0F76400D" w:rsidR="00FA1D86" w:rsidRPr="00FA1D86" w:rsidRDefault="00FA1D86" w:rsidP="00FA1D86">
      <w:pPr>
        <w:spacing w:line="360" w:lineRule="auto"/>
        <w:jc w:val="center"/>
        <w:rPr>
          <w:b/>
          <w:bCs/>
          <w:sz w:val="32"/>
          <w:szCs w:val="32"/>
        </w:rPr>
      </w:pPr>
      <w:r w:rsidRPr="00FA1D86">
        <w:rPr>
          <w:b/>
          <w:bCs/>
          <w:sz w:val="32"/>
          <w:szCs w:val="32"/>
          <w:lang w:val="en-US"/>
        </w:rPr>
        <w:t>MODULE CODE: LCMB7002</w:t>
      </w:r>
    </w:p>
    <w:p w14:paraId="76A49A31" w14:textId="68555259" w:rsidR="00FA1D86" w:rsidRPr="00FA1D86" w:rsidRDefault="00FA1D86">
      <w:pPr>
        <w:spacing w:line="360" w:lineRule="auto"/>
        <w:jc w:val="center"/>
        <w:rPr>
          <w:b/>
          <w:bCs/>
          <w:sz w:val="32"/>
          <w:szCs w:val="32"/>
        </w:rPr>
      </w:pPr>
      <w:r w:rsidRPr="00FA1D86">
        <w:rPr>
          <w:b/>
          <w:bCs/>
          <w:sz w:val="32"/>
          <w:szCs w:val="32"/>
        </w:rPr>
        <w:t xml:space="preserve">FINANCIAL PERFORMANCE AND MANAGEMENT OF WHITBREAD PLC </w:t>
      </w:r>
    </w:p>
    <w:p w14:paraId="40915F2F" w14:textId="71600C10" w:rsidR="00FA1D86" w:rsidRPr="00FA1D86" w:rsidRDefault="00FA1D86" w:rsidP="00FA1D86">
      <w:pPr>
        <w:spacing w:line="360" w:lineRule="auto"/>
        <w:jc w:val="center"/>
        <w:rPr>
          <w:b/>
          <w:bCs/>
          <w:sz w:val="32"/>
          <w:szCs w:val="32"/>
          <w:lang w:val="en-US"/>
        </w:rPr>
      </w:pPr>
      <w:r w:rsidRPr="00FA1D86">
        <w:rPr>
          <w:b/>
          <w:bCs/>
          <w:sz w:val="32"/>
          <w:szCs w:val="32"/>
          <w:lang w:val="en-US"/>
        </w:rPr>
        <w:t>LECTURER'S NAME: MD KALAM</w:t>
      </w:r>
    </w:p>
    <w:p w14:paraId="23FD558F" w14:textId="16EFC928" w:rsidR="00FA1D86" w:rsidRPr="00FA1D86" w:rsidRDefault="00FA1D86" w:rsidP="00FA1D86">
      <w:pPr>
        <w:spacing w:line="360" w:lineRule="auto"/>
        <w:jc w:val="center"/>
        <w:rPr>
          <w:b/>
          <w:bCs/>
          <w:sz w:val="32"/>
          <w:szCs w:val="32"/>
          <w:lang w:val="en-US"/>
        </w:rPr>
      </w:pPr>
      <w:r w:rsidRPr="00FA1D86">
        <w:rPr>
          <w:b/>
          <w:bCs/>
          <w:sz w:val="32"/>
          <w:szCs w:val="32"/>
          <w:lang w:val="en-US"/>
        </w:rPr>
        <w:t>SUBMISSION DATE: 13 AUGUST,2026</w:t>
      </w:r>
    </w:p>
    <w:p w14:paraId="5F44A96F" w14:textId="50B974A2" w:rsidR="008276E7" w:rsidRDefault="00FA1D86" w:rsidP="00FA1D86">
      <w:pPr>
        <w:spacing w:line="360" w:lineRule="auto"/>
        <w:jc w:val="center"/>
        <w:rPr>
          <w:b/>
          <w:bCs/>
          <w:sz w:val="28"/>
          <w:szCs w:val="28"/>
        </w:rPr>
      </w:pPr>
      <w:r w:rsidRPr="00FA1D86">
        <w:rPr>
          <w:b/>
          <w:bCs/>
          <w:sz w:val="32"/>
          <w:szCs w:val="32"/>
          <w:lang w:val="en-US"/>
        </w:rPr>
        <w:t xml:space="preserve">WORD COUNT: </w:t>
      </w:r>
      <w:r>
        <w:rPr>
          <w:b/>
          <w:bCs/>
          <w:sz w:val="32"/>
          <w:szCs w:val="32"/>
          <w:lang w:val="en-US"/>
        </w:rPr>
        <w:t>5014</w:t>
      </w:r>
      <w:r w:rsidR="00000000">
        <w:br w:type="page"/>
      </w:r>
    </w:p>
    <w:sdt>
      <w:sdtPr>
        <w:rPr>
          <w:sz w:val="22"/>
          <w:szCs w:val="22"/>
        </w:rPr>
        <w:id w:val="-1438425570"/>
        <w:docPartObj>
          <w:docPartGallery w:val="Table of Contents"/>
          <w:docPartUnique/>
        </w:docPartObj>
      </w:sdtPr>
      <w:sdtEndPr>
        <w:rPr>
          <w:b w:val="0"/>
          <w:bCs w:val="0"/>
        </w:rPr>
      </w:sdtEndPr>
      <w:sdtContent>
        <w:p w14:paraId="7EE15152" w14:textId="24F9AA68" w:rsidR="0076695F" w:rsidRPr="0076695F" w:rsidRDefault="0076695F" w:rsidP="00FA1D86">
          <w:pPr>
            <w:pStyle w:val="TOC1"/>
          </w:pPr>
          <w:r w:rsidRPr="0076695F">
            <w:rPr>
              <w:noProof/>
            </w:rPr>
            <w:t>Table of Contents</w:t>
          </w:r>
        </w:p>
        <w:p w14:paraId="36A0EB6D" w14:textId="563902B7" w:rsidR="0076695F" w:rsidRDefault="00000000" w:rsidP="00FA1D86">
          <w:pPr>
            <w:pStyle w:val="TOC1"/>
            <w:rPr>
              <w:rFonts w:asciiTheme="minorHAnsi" w:eastAsiaTheme="minorEastAsia" w:hAnsiTheme="minorHAnsi" w:cstheme="minorBidi"/>
              <w:noProof/>
              <w:kern w:val="2"/>
              <w:lang w:val="en-US"/>
              <w14:ligatures w14:val="standardContextual"/>
            </w:rPr>
          </w:pPr>
          <w:r>
            <w:fldChar w:fldCharType="begin"/>
          </w:r>
          <w:r>
            <w:instrText xml:space="preserve"> TOC \h \u \z \t "Heading 1,1,Heading 2,2,Heading 3,3,Heading 4,4,Heading 5,5,Heading 6,6,"</w:instrText>
          </w:r>
          <w:r>
            <w:fldChar w:fldCharType="separate"/>
          </w:r>
          <w:hyperlink w:anchor="_Toc236434552" w:history="1">
            <w:r w:rsidR="0076695F" w:rsidRPr="00D326CA">
              <w:rPr>
                <w:rStyle w:val="Hyperlink"/>
                <w:noProof/>
              </w:rPr>
              <w:t>Introduction</w:t>
            </w:r>
            <w:r w:rsidR="0076695F">
              <w:rPr>
                <w:noProof/>
                <w:webHidden/>
              </w:rPr>
              <w:tab/>
            </w:r>
            <w:r w:rsidR="0076695F">
              <w:rPr>
                <w:noProof/>
                <w:webHidden/>
              </w:rPr>
              <w:fldChar w:fldCharType="begin"/>
            </w:r>
            <w:r w:rsidR="0076695F">
              <w:rPr>
                <w:noProof/>
                <w:webHidden/>
              </w:rPr>
              <w:instrText xml:space="preserve"> PAGEREF _Toc236434552 \h </w:instrText>
            </w:r>
            <w:r w:rsidR="0076695F">
              <w:rPr>
                <w:noProof/>
                <w:webHidden/>
              </w:rPr>
            </w:r>
            <w:r w:rsidR="0076695F">
              <w:rPr>
                <w:noProof/>
                <w:webHidden/>
              </w:rPr>
              <w:fldChar w:fldCharType="separate"/>
            </w:r>
            <w:r w:rsidR="00FA1D86">
              <w:rPr>
                <w:noProof/>
                <w:webHidden/>
              </w:rPr>
              <w:t>2</w:t>
            </w:r>
            <w:r w:rsidR="0076695F">
              <w:rPr>
                <w:noProof/>
                <w:webHidden/>
              </w:rPr>
              <w:fldChar w:fldCharType="end"/>
            </w:r>
          </w:hyperlink>
        </w:p>
        <w:p w14:paraId="56749794" w14:textId="3E82AB9C" w:rsidR="0076695F" w:rsidRDefault="0076695F" w:rsidP="00FA1D86">
          <w:pPr>
            <w:pStyle w:val="TOC1"/>
            <w:rPr>
              <w:rFonts w:asciiTheme="minorHAnsi" w:eastAsiaTheme="minorEastAsia" w:hAnsiTheme="minorHAnsi" w:cstheme="minorBidi"/>
              <w:noProof/>
              <w:kern w:val="2"/>
              <w:lang w:val="en-US"/>
              <w14:ligatures w14:val="standardContextual"/>
            </w:rPr>
          </w:pPr>
          <w:hyperlink w:anchor="_Toc236434553" w:history="1">
            <w:r w:rsidRPr="00D326CA">
              <w:rPr>
                <w:rStyle w:val="Hyperlink"/>
                <w:noProof/>
              </w:rPr>
              <w:t>Financial health check</w:t>
            </w:r>
            <w:r>
              <w:rPr>
                <w:noProof/>
                <w:webHidden/>
              </w:rPr>
              <w:tab/>
            </w:r>
            <w:r>
              <w:rPr>
                <w:noProof/>
                <w:webHidden/>
              </w:rPr>
              <w:fldChar w:fldCharType="begin"/>
            </w:r>
            <w:r>
              <w:rPr>
                <w:noProof/>
                <w:webHidden/>
              </w:rPr>
              <w:instrText xml:space="preserve"> PAGEREF _Toc236434553 \h </w:instrText>
            </w:r>
            <w:r>
              <w:rPr>
                <w:noProof/>
                <w:webHidden/>
              </w:rPr>
            </w:r>
            <w:r>
              <w:rPr>
                <w:noProof/>
                <w:webHidden/>
              </w:rPr>
              <w:fldChar w:fldCharType="separate"/>
            </w:r>
            <w:r w:rsidR="00FA1D86">
              <w:rPr>
                <w:noProof/>
                <w:webHidden/>
              </w:rPr>
              <w:t>2</w:t>
            </w:r>
            <w:r>
              <w:rPr>
                <w:noProof/>
                <w:webHidden/>
              </w:rPr>
              <w:fldChar w:fldCharType="end"/>
            </w:r>
          </w:hyperlink>
        </w:p>
        <w:p w14:paraId="51E7E095" w14:textId="7B213839" w:rsidR="0076695F" w:rsidRDefault="0076695F">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236434554" w:history="1">
            <w:r w:rsidRPr="00D326CA">
              <w:rPr>
                <w:rStyle w:val="Hyperlink"/>
                <w:noProof/>
              </w:rPr>
              <w:t>Analysis of the financial statements of the firm</w:t>
            </w:r>
            <w:r>
              <w:rPr>
                <w:noProof/>
                <w:webHidden/>
              </w:rPr>
              <w:tab/>
            </w:r>
            <w:r>
              <w:rPr>
                <w:noProof/>
                <w:webHidden/>
              </w:rPr>
              <w:fldChar w:fldCharType="begin"/>
            </w:r>
            <w:r>
              <w:rPr>
                <w:noProof/>
                <w:webHidden/>
              </w:rPr>
              <w:instrText xml:space="preserve"> PAGEREF _Toc236434554 \h </w:instrText>
            </w:r>
            <w:r>
              <w:rPr>
                <w:noProof/>
                <w:webHidden/>
              </w:rPr>
            </w:r>
            <w:r>
              <w:rPr>
                <w:noProof/>
                <w:webHidden/>
              </w:rPr>
              <w:fldChar w:fldCharType="separate"/>
            </w:r>
            <w:r w:rsidR="00FA1D86">
              <w:rPr>
                <w:noProof/>
                <w:webHidden/>
              </w:rPr>
              <w:t>2</w:t>
            </w:r>
            <w:r>
              <w:rPr>
                <w:noProof/>
                <w:webHidden/>
              </w:rPr>
              <w:fldChar w:fldCharType="end"/>
            </w:r>
          </w:hyperlink>
        </w:p>
        <w:p w14:paraId="479F8979" w14:textId="1E032C61" w:rsidR="0076695F" w:rsidRDefault="0076695F">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236434555" w:history="1">
            <w:r w:rsidRPr="00D326CA">
              <w:rPr>
                <w:rStyle w:val="Hyperlink"/>
                <w:noProof/>
              </w:rPr>
              <w:t>Ratio analysis</w:t>
            </w:r>
            <w:r>
              <w:rPr>
                <w:noProof/>
                <w:webHidden/>
              </w:rPr>
              <w:tab/>
            </w:r>
            <w:r>
              <w:rPr>
                <w:noProof/>
                <w:webHidden/>
              </w:rPr>
              <w:fldChar w:fldCharType="begin"/>
            </w:r>
            <w:r>
              <w:rPr>
                <w:noProof/>
                <w:webHidden/>
              </w:rPr>
              <w:instrText xml:space="preserve"> PAGEREF _Toc236434555 \h </w:instrText>
            </w:r>
            <w:r>
              <w:rPr>
                <w:noProof/>
                <w:webHidden/>
              </w:rPr>
            </w:r>
            <w:r>
              <w:rPr>
                <w:noProof/>
                <w:webHidden/>
              </w:rPr>
              <w:fldChar w:fldCharType="separate"/>
            </w:r>
            <w:r w:rsidR="00FA1D86">
              <w:rPr>
                <w:noProof/>
                <w:webHidden/>
              </w:rPr>
              <w:t>3</w:t>
            </w:r>
            <w:r>
              <w:rPr>
                <w:noProof/>
                <w:webHidden/>
              </w:rPr>
              <w:fldChar w:fldCharType="end"/>
            </w:r>
          </w:hyperlink>
        </w:p>
        <w:p w14:paraId="4E69BC86" w14:textId="3D69D992" w:rsidR="0076695F" w:rsidRDefault="0076695F">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236434556" w:history="1">
            <w:r w:rsidRPr="00D326CA">
              <w:rPr>
                <w:rStyle w:val="Hyperlink"/>
                <w:noProof/>
              </w:rPr>
              <w:t>Strengths, trends, and potential threats</w:t>
            </w:r>
            <w:r>
              <w:rPr>
                <w:noProof/>
                <w:webHidden/>
              </w:rPr>
              <w:tab/>
            </w:r>
            <w:r>
              <w:rPr>
                <w:noProof/>
                <w:webHidden/>
              </w:rPr>
              <w:fldChar w:fldCharType="begin"/>
            </w:r>
            <w:r>
              <w:rPr>
                <w:noProof/>
                <w:webHidden/>
              </w:rPr>
              <w:instrText xml:space="preserve"> PAGEREF _Toc236434556 \h </w:instrText>
            </w:r>
            <w:r>
              <w:rPr>
                <w:noProof/>
                <w:webHidden/>
              </w:rPr>
            </w:r>
            <w:r>
              <w:rPr>
                <w:noProof/>
                <w:webHidden/>
              </w:rPr>
              <w:fldChar w:fldCharType="separate"/>
            </w:r>
            <w:r w:rsidR="00FA1D86">
              <w:rPr>
                <w:noProof/>
                <w:webHidden/>
              </w:rPr>
              <w:t>9</w:t>
            </w:r>
            <w:r>
              <w:rPr>
                <w:noProof/>
                <w:webHidden/>
              </w:rPr>
              <w:fldChar w:fldCharType="end"/>
            </w:r>
          </w:hyperlink>
        </w:p>
        <w:p w14:paraId="49724B27" w14:textId="64286BDB" w:rsidR="0076695F" w:rsidRDefault="0076695F">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236434557" w:history="1">
            <w:r w:rsidRPr="00D326CA">
              <w:rPr>
                <w:rStyle w:val="Hyperlink"/>
                <w:noProof/>
              </w:rPr>
              <w:t>Comparing the liquidity ratios with industry benchmarks</w:t>
            </w:r>
            <w:r>
              <w:rPr>
                <w:noProof/>
                <w:webHidden/>
              </w:rPr>
              <w:tab/>
            </w:r>
            <w:r>
              <w:rPr>
                <w:noProof/>
                <w:webHidden/>
              </w:rPr>
              <w:fldChar w:fldCharType="begin"/>
            </w:r>
            <w:r>
              <w:rPr>
                <w:noProof/>
                <w:webHidden/>
              </w:rPr>
              <w:instrText xml:space="preserve"> PAGEREF _Toc236434557 \h </w:instrText>
            </w:r>
            <w:r>
              <w:rPr>
                <w:noProof/>
                <w:webHidden/>
              </w:rPr>
            </w:r>
            <w:r>
              <w:rPr>
                <w:noProof/>
                <w:webHidden/>
              </w:rPr>
              <w:fldChar w:fldCharType="separate"/>
            </w:r>
            <w:r w:rsidR="00FA1D86">
              <w:rPr>
                <w:noProof/>
                <w:webHidden/>
              </w:rPr>
              <w:t>10</w:t>
            </w:r>
            <w:r>
              <w:rPr>
                <w:noProof/>
                <w:webHidden/>
              </w:rPr>
              <w:fldChar w:fldCharType="end"/>
            </w:r>
          </w:hyperlink>
        </w:p>
        <w:p w14:paraId="40B9F547" w14:textId="132EECF4" w:rsidR="0076695F" w:rsidRDefault="0076695F" w:rsidP="00FA1D86">
          <w:pPr>
            <w:pStyle w:val="TOC1"/>
            <w:rPr>
              <w:rFonts w:asciiTheme="minorHAnsi" w:eastAsiaTheme="minorEastAsia" w:hAnsiTheme="minorHAnsi" w:cstheme="minorBidi"/>
              <w:noProof/>
              <w:kern w:val="2"/>
              <w:lang w:val="en-US"/>
              <w14:ligatures w14:val="standardContextual"/>
            </w:rPr>
          </w:pPr>
          <w:hyperlink w:anchor="_Toc236434558" w:history="1">
            <w:r w:rsidRPr="00D326CA">
              <w:rPr>
                <w:rStyle w:val="Hyperlink"/>
                <w:noProof/>
              </w:rPr>
              <w:t>Working capital management analysis</w:t>
            </w:r>
            <w:r>
              <w:rPr>
                <w:noProof/>
                <w:webHidden/>
              </w:rPr>
              <w:tab/>
            </w:r>
            <w:r>
              <w:rPr>
                <w:noProof/>
                <w:webHidden/>
              </w:rPr>
              <w:fldChar w:fldCharType="begin"/>
            </w:r>
            <w:r>
              <w:rPr>
                <w:noProof/>
                <w:webHidden/>
              </w:rPr>
              <w:instrText xml:space="preserve"> PAGEREF _Toc236434558 \h </w:instrText>
            </w:r>
            <w:r>
              <w:rPr>
                <w:noProof/>
                <w:webHidden/>
              </w:rPr>
            </w:r>
            <w:r>
              <w:rPr>
                <w:noProof/>
                <w:webHidden/>
              </w:rPr>
              <w:fldChar w:fldCharType="separate"/>
            </w:r>
            <w:r w:rsidR="00FA1D86">
              <w:rPr>
                <w:noProof/>
                <w:webHidden/>
              </w:rPr>
              <w:t>11</w:t>
            </w:r>
            <w:r>
              <w:rPr>
                <w:noProof/>
                <w:webHidden/>
              </w:rPr>
              <w:fldChar w:fldCharType="end"/>
            </w:r>
          </w:hyperlink>
        </w:p>
        <w:p w14:paraId="39038407" w14:textId="1375D855" w:rsidR="0076695F" w:rsidRDefault="0076695F">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236434559" w:history="1">
            <w:r w:rsidRPr="00D326CA">
              <w:rPr>
                <w:rStyle w:val="Hyperlink"/>
                <w:noProof/>
              </w:rPr>
              <w:t>Assessing cash operating cycle</w:t>
            </w:r>
            <w:r>
              <w:rPr>
                <w:noProof/>
                <w:webHidden/>
              </w:rPr>
              <w:tab/>
            </w:r>
            <w:r>
              <w:rPr>
                <w:noProof/>
                <w:webHidden/>
              </w:rPr>
              <w:fldChar w:fldCharType="begin"/>
            </w:r>
            <w:r>
              <w:rPr>
                <w:noProof/>
                <w:webHidden/>
              </w:rPr>
              <w:instrText xml:space="preserve"> PAGEREF _Toc236434559 \h </w:instrText>
            </w:r>
            <w:r>
              <w:rPr>
                <w:noProof/>
                <w:webHidden/>
              </w:rPr>
            </w:r>
            <w:r>
              <w:rPr>
                <w:noProof/>
                <w:webHidden/>
              </w:rPr>
              <w:fldChar w:fldCharType="separate"/>
            </w:r>
            <w:r w:rsidR="00FA1D86">
              <w:rPr>
                <w:noProof/>
                <w:webHidden/>
              </w:rPr>
              <w:t>11</w:t>
            </w:r>
            <w:r>
              <w:rPr>
                <w:noProof/>
                <w:webHidden/>
              </w:rPr>
              <w:fldChar w:fldCharType="end"/>
            </w:r>
          </w:hyperlink>
        </w:p>
        <w:p w14:paraId="56ECD536" w14:textId="2C74E006" w:rsidR="0076695F" w:rsidRDefault="0076695F">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236434560" w:history="1">
            <w:r w:rsidRPr="00D326CA">
              <w:rPr>
                <w:rStyle w:val="Hyperlink"/>
                <w:noProof/>
              </w:rPr>
              <w:t>Recommendation for liquidity improvement by reforming working capital</w:t>
            </w:r>
            <w:r>
              <w:rPr>
                <w:noProof/>
                <w:webHidden/>
              </w:rPr>
              <w:tab/>
            </w:r>
            <w:r>
              <w:rPr>
                <w:noProof/>
                <w:webHidden/>
              </w:rPr>
              <w:fldChar w:fldCharType="begin"/>
            </w:r>
            <w:r>
              <w:rPr>
                <w:noProof/>
                <w:webHidden/>
              </w:rPr>
              <w:instrText xml:space="preserve"> PAGEREF _Toc236434560 \h </w:instrText>
            </w:r>
            <w:r>
              <w:rPr>
                <w:noProof/>
                <w:webHidden/>
              </w:rPr>
            </w:r>
            <w:r>
              <w:rPr>
                <w:noProof/>
                <w:webHidden/>
              </w:rPr>
              <w:fldChar w:fldCharType="separate"/>
            </w:r>
            <w:r w:rsidR="00FA1D86">
              <w:rPr>
                <w:noProof/>
                <w:webHidden/>
              </w:rPr>
              <w:t>12</w:t>
            </w:r>
            <w:r>
              <w:rPr>
                <w:noProof/>
                <w:webHidden/>
              </w:rPr>
              <w:fldChar w:fldCharType="end"/>
            </w:r>
          </w:hyperlink>
        </w:p>
        <w:p w14:paraId="56BC5C32" w14:textId="45BF6A64" w:rsidR="0076695F" w:rsidRDefault="0076695F">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236434561" w:history="1">
            <w:r w:rsidRPr="00D326CA">
              <w:rPr>
                <w:rStyle w:val="Hyperlink"/>
                <w:noProof/>
              </w:rPr>
              <w:t>Comparison between short-term and long-term financial options</w:t>
            </w:r>
            <w:r>
              <w:rPr>
                <w:noProof/>
                <w:webHidden/>
              </w:rPr>
              <w:tab/>
            </w:r>
            <w:r>
              <w:rPr>
                <w:noProof/>
                <w:webHidden/>
              </w:rPr>
              <w:fldChar w:fldCharType="begin"/>
            </w:r>
            <w:r>
              <w:rPr>
                <w:noProof/>
                <w:webHidden/>
              </w:rPr>
              <w:instrText xml:space="preserve"> PAGEREF _Toc236434561 \h </w:instrText>
            </w:r>
            <w:r>
              <w:rPr>
                <w:noProof/>
                <w:webHidden/>
              </w:rPr>
            </w:r>
            <w:r>
              <w:rPr>
                <w:noProof/>
                <w:webHidden/>
              </w:rPr>
              <w:fldChar w:fldCharType="separate"/>
            </w:r>
            <w:r w:rsidR="00FA1D86">
              <w:rPr>
                <w:noProof/>
                <w:webHidden/>
              </w:rPr>
              <w:t>13</w:t>
            </w:r>
            <w:r>
              <w:rPr>
                <w:noProof/>
                <w:webHidden/>
              </w:rPr>
              <w:fldChar w:fldCharType="end"/>
            </w:r>
          </w:hyperlink>
        </w:p>
        <w:p w14:paraId="1329D35E" w14:textId="41F5EA7B" w:rsidR="0076695F" w:rsidRDefault="0076695F" w:rsidP="00FA1D86">
          <w:pPr>
            <w:pStyle w:val="TOC1"/>
            <w:rPr>
              <w:rFonts w:asciiTheme="minorHAnsi" w:eastAsiaTheme="minorEastAsia" w:hAnsiTheme="minorHAnsi" w:cstheme="minorBidi"/>
              <w:noProof/>
              <w:kern w:val="2"/>
              <w:lang w:val="en-US"/>
              <w14:ligatures w14:val="standardContextual"/>
            </w:rPr>
          </w:pPr>
          <w:hyperlink w:anchor="_Toc236434562" w:history="1">
            <w:r w:rsidRPr="00D326CA">
              <w:rPr>
                <w:rStyle w:val="Hyperlink"/>
                <w:noProof/>
              </w:rPr>
              <w:t>Strategic financial restructuring plan</w:t>
            </w:r>
            <w:r>
              <w:rPr>
                <w:noProof/>
                <w:webHidden/>
              </w:rPr>
              <w:tab/>
            </w:r>
            <w:r>
              <w:rPr>
                <w:noProof/>
                <w:webHidden/>
              </w:rPr>
              <w:fldChar w:fldCharType="begin"/>
            </w:r>
            <w:r>
              <w:rPr>
                <w:noProof/>
                <w:webHidden/>
              </w:rPr>
              <w:instrText xml:space="preserve"> PAGEREF _Toc236434562 \h </w:instrText>
            </w:r>
            <w:r>
              <w:rPr>
                <w:noProof/>
                <w:webHidden/>
              </w:rPr>
            </w:r>
            <w:r>
              <w:rPr>
                <w:noProof/>
                <w:webHidden/>
              </w:rPr>
              <w:fldChar w:fldCharType="separate"/>
            </w:r>
            <w:r w:rsidR="00FA1D86">
              <w:rPr>
                <w:noProof/>
                <w:webHidden/>
              </w:rPr>
              <w:t>14</w:t>
            </w:r>
            <w:r>
              <w:rPr>
                <w:noProof/>
                <w:webHidden/>
              </w:rPr>
              <w:fldChar w:fldCharType="end"/>
            </w:r>
          </w:hyperlink>
        </w:p>
        <w:p w14:paraId="469E7186" w14:textId="082746CE" w:rsidR="0076695F" w:rsidRDefault="0076695F">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236434563" w:history="1">
            <w:r w:rsidRPr="00D326CA">
              <w:rPr>
                <w:rStyle w:val="Hyperlink"/>
                <w:noProof/>
              </w:rPr>
              <w:t>Suggested financial restructuring</w:t>
            </w:r>
            <w:r>
              <w:rPr>
                <w:noProof/>
                <w:webHidden/>
              </w:rPr>
              <w:tab/>
            </w:r>
            <w:r>
              <w:rPr>
                <w:noProof/>
                <w:webHidden/>
              </w:rPr>
              <w:fldChar w:fldCharType="begin"/>
            </w:r>
            <w:r>
              <w:rPr>
                <w:noProof/>
                <w:webHidden/>
              </w:rPr>
              <w:instrText xml:space="preserve"> PAGEREF _Toc236434563 \h </w:instrText>
            </w:r>
            <w:r>
              <w:rPr>
                <w:noProof/>
                <w:webHidden/>
              </w:rPr>
            </w:r>
            <w:r>
              <w:rPr>
                <w:noProof/>
                <w:webHidden/>
              </w:rPr>
              <w:fldChar w:fldCharType="separate"/>
            </w:r>
            <w:r w:rsidR="00FA1D86">
              <w:rPr>
                <w:noProof/>
                <w:webHidden/>
              </w:rPr>
              <w:t>14</w:t>
            </w:r>
            <w:r>
              <w:rPr>
                <w:noProof/>
                <w:webHidden/>
              </w:rPr>
              <w:fldChar w:fldCharType="end"/>
            </w:r>
          </w:hyperlink>
        </w:p>
        <w:p w14:paraId="4775FA3F" w14:textId="0F6222A7" w:rsidR="0076695F" w:rsidRDefault="0076695F">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236434564" w:history="1">
            <w:r w:rsidRPr="00D326CA">
              <w:rPr>
                <w:rStyle w:val="Hyperlink"/>
                <w:noProof/>
              </w:rPr>
              <w:t>Evaluation of impacts</w:t>
            </w:r>
            <w:r>
              <w:rPr>
                <w:noProof/>
                <w:webHidden/>
              </w:rPr>
              <w:tab/>
            </w:r>
            <w:r>
              <w:rPr>
                <w:noProof/>
                <w:webHidden/>
              </w:rPr>
              <w:fldChar w:fldCharType="begin"/>
            </w:r>
            <w:r>
              <w:rPr>
                <w:noProof/>
                <w:webHidden/>
              </w:rPr>
              <w:instrText xml:space="preserve"> PAGEREF _Toc236434564 \h </w:instrText>
            </w:r>
            <w:r>
              <w:rPr>
                <w:noProof/>
                <w:webHidden/>
              </w:rPr>
            </w:r>
            <w:r>
              <w:rPr>
                <w:noProof/>
                <w:webHidden/>
              </w:rPr>
              <w:fldChar w:fldCharType="separate"/>
            </w:r>
            <w:r w:rsidR="00FA1D86">
              <w:rPr>
                <w:noProof/>
                <w:webHidden/>
              </w:rPr>
              <w:t>14</w:t>
            </w:r>
            <w:r>
              <w:rPr>
                <w:noProof/>
                <w:webHidden/>
              </w:rPr>
              <w:fldChar w:fldCharType="end"/>
            </w:r>
          </w:hyperlink>
        </w:p>
        <w:p w14:paraId="140E1131" w14:textId="79977DEF" w:rsidR="0076695F" w:rsidRDefault="0076695F">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236434565" w:history="1">
            <w:r w:rsidRPr="00D326CA">
              <w:rPr>
                <w:rStyle w:val="Hyperlink"/>
                <w:noProof/>
              </w:rPr>
              <w:t>International and ethical consideration</w:t>
            </w:r>
            <w:r>
              <w:rPr>
                <w:noProof/>
                <w:webHidden/>
              </w:rPr>
              <w:tab/>
            </w:r>
            <w:r>
              <w:rPr>
                <w:noProof/>
                <w:webHidden/>
              </w:rPr>
              <w:fldChar w:fldCharType="begin"/>
            </w:r>
            <w:r>
              <w:rPr>
                <w:noProof/>
                <w:webHidden/>
              </w:rPr>
              <w:instrText xml:space="preserve"> PAGEREF _Toc236434565 \h </w:instrText>
            </w:r>
            <w:r>
              <w:rPr>
                <w:noProof/>
                <w:webHidden/>
              </w:rPr>
            </w:r>
            <w:r>
              <w:rPr>
                <w:noProof/>
                <w:webHidden/>
              </w:rPr>
              <w:fldChar w:fldCharType="separate"/>
            </w:r>
            <w:r w:rsidR="00FA1D86">
              <w:rPr>
                <w:noProof/>
                <w:webHidden/>
              </w:rPr>
              <w:t>15</w:t>
            </w:r>
            <w:r>
              <w:rPr>
                <w:noProof/>
                <w:webHidden/>
              </w:rPr>
              <w:fldChar w:fldCharType="end"/>
            </w:r>
          </w:hyperlink>
        </w:p>
        <w:p w14:paraId="7AB63128" w14:textId="4BB6BF8D" w:rsidR="0076695F" w:rsidRDefault="0076695F" w:rsidP="00FA1D86">
          <w:pPr>
            <w:pStyle w:val="TOC1"/>
            <w:rPr>
              <w:rFonts w:asciiTheme="minorHAnsi" w:eastAsiaTheme="minorEastAsia" w:hAnsiTheme="minorHAnsi" w:cstheme="minorBidi"/>
              <w:noProof/>
              <w:kern w:val="2"/>
              <w:lang w:val="en-US"/>
              <w14:ligatures w14:val="standardContextual"/>
            </w:rPr>
          </w:pPr>
          <w:hyperlink w:anchor="_Toc236434566" w:history="1">
            <w:r w:rsidRPr="00D326CA">
              <w:rPr>
                <w:rStyle w:val="Hyperlink"/>
                <w:noProof/>
              </w:rPr>
              <w:t>Investment appraisal and capital budgeting</w:t>
            </w:r>
            <w:r>
              <w:rPr>
                <w:noProof/>
                <w:webHidden/>
              </w:rPr>
              <w:tab/>
            </w:r>
            <w:r>
              <w:rPr>
                <w:noProof/>
                <w:webHidden/>
              </w:rPr>
              <w:fldChar w:fldCharType="begin"/>
            </w:r>
            <w:r>
              <w:rPr>
                <w:noProof/>
                <w:webHidden/>
              </w:rPr>
              <w:instrText xml:space="preserve"> PAGEREF _Toc236434566 \h </w:instrText>
            </w:r>
            <w:r>
              <w:rPr>
                <w:noProof/>
                <w:webHidden/>
              </w:rPr>
            </w:r>
            <w:r>
              <w:rPr>
                <w:noProof/>
                <w:webHidden/>
              </w:rPr>
              <w:fldChar w:fldCharType="separate"/>
            </w:r>
            <w:r w:rsidR="00FA1D86">
              <w:rPr>
                <w:noProof/>
                <w:webHidden/>
              </w:rPr>
              <w:t>17</w:t>
            </w:r>
            <w:r>
              <w:rPr>
                <w:noProof/>
                <w:webHidden/>
              </w:rPr>
              <w:fldChar w:fldCharType="end"/>
            </w:r>
          </w:hyperlink>
        </w:p>
        <w:p w14:paraId="3A88B9C0" w14:textId="5F4547B3" w:rsidR="0076695F" w:rsidRDefault="0076695F">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236434567" w:history="1">
            <w:r w:rsidRPr="00D326CA">
              <w:rPr>
                <w:rStyle w:val="Hyperlink"/>
                <w:noProof/>
              </w:rPr>
              <w:t>Investment appraisal</w:t>
            </w:r>
            <w:r>
              <w:rPr>
                <w:noProof/>
                <w:webHidden/>
              </w:rPr>
              <w:tab/>
            </w:r>
            <w:r>
              <w:rPr>
                <w:noProof/>
                <w:webHidden/>
              </w:rPr>
              <w:fldChar w:fldCharType="begin"/>
            </w:r>
            <w:r>
              <w:rPr>
                <w:noProof/>
                <w:webHidden/>
              </w:rPr>
              <w:instrText xml:space="preserve"> PAGEREF _Toc236434567 \h </w:instrText>
            </w:r>
            <w:r>
              <w:rPr>
                <w:noProof/>
                <w:webHidden/>
              </w:rPr>
            </w:r>
            <w:r>
              <w:rPr>
                <w:noProof/>
                <w:webHidden/>
              </w:rPr>
              <w:fldChar w:fldCharType="separate"/>
            </w:r>
            <w:r w:rsidR="00FA1D86">
              <w:rPr>
                <w:noProof/>
                <w:webHidden/>
              </w:rPr>
              <w:t>17</w:t>
            </w:r>
            <w:r>
              <w:rPr>
                <w:noProof/>
                <w:webHidden/>
              </w:rPr>
              <w:fldChar w:fldCharType="end"/>
            </w:r>
          </w:hyperlink>
        </w:p>
        <w:p w14:paraId="2A4ADC15" w14:textId="4AA9D1E5" w:rsidR="0076695F" w:rsidRDefault="0076695F">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236434568" w:history="1">
            <w:r w:rsidRPr="00D326CA">
              <w:rPr>
                <w:rStyle w:val="Hyperlink"/>
                <w:noProof/>
              </w:rPr>
              <w:t>Recommended project for acceptance and justification</w:t>
            </w:r>
            <w:r>
              <w:rPr>
                <w:noProof/>
                <w:webHidden/>
              </w:rPr>
              <w:tab/>
            </w:r>
            <w:r>
              <w:rPr>
                <w:noProof/>
                <w:webHidden/>
              </w:rPr>
              <w:fldChar w:fldCharType="begin"/>
            </w:r>
            <w:r>
              <w:rPr>
                <w:noProof/>
                <w:webHidden/>
              </w:rPr>
              <w:instrText xml:space="preserve"> PAGEREF _Toc236434568 \h </w:instrText>
            </w:r>
            <w:r>
              <w:rPr>
                <w:noProof/>
                <w:webHidden/>
              </w:rPr>
            </w:r>
            <w:r>
              <w:rPr>
                <w:noProof/>
                <w:webHidden/>
              </w:rPr>
              <w:fldChar w:fldCharType="separate"/>
            </w:r>
            <w:r w:rsidR="00FA1D86">
              <w:rPr>
                <w:noProof/>
                <w:webHidden/>
              </w:rPr>
              <w:t>17</w:t>
            </w:r>
            <w:r>
              <w:rPr>
                <w:noProof/>
                <w:webHidden/>
              </w:rPr>
              <w:fldChar w:fldCharType="end"/>
            </w:r>
          </w:hyperlink>
        </w:p>
        <w:p w14:paraId="14E9E999" w14:textId="688E0414" w:rsidR="0076695F" w:rsidRDefault="0076695F">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236434569" w:history="1">
            <w:r w:rsidRPr="00D326CA">
              <w:rPr>
                <w:rStyle w:val="Hyperlink"/>
                <w:noProof/>
              </w:rPr>
              <w:t>Recommendation on the combination of projects</w:t>
            </w:r>
            <w:r>
              <w:rPr>
                <w:noProof/>
                <w:webHidden/>
              </w:rPr>
              <w:tab/>
            </w:r>
            <w:r>
              <w:rPr>
                <w:noProof/>
                <w:webHidden/>
              </w:rPr>
              <w:fldChar w:fldCharType="begin"/>
            </w:r>
            <w:r>
              <w:rPr>
                <w:noProof/>
                <w:webHidden/>
              </w:rPr>
              <w:instrText xml:space="preserve"> PAGEREF _Toc236434569 \h </w:instrText>
            </w:r>
            <w:r>
              <w:rPr>
                <w:noProof/>
                <w:webHidden/>
              </w:rPr>
            </w:r>
            <w:r>
              <w:rPr>
                <w:noProof/>
                <w:webHidden/>
              </w:rPr>
              <w:fldChar w:fldCharType="separate"/>
            </w:r>
            <w:r w:rsidR="00FA1D86">
              <w:rPr>
                <w:noProof/>
                <w:webHidden/>
              </w:rPr>
              <w:t>20</w:t>
            </w:r>
            <w:r>
              <w:rPr>
                <w:noProof/>
                <w:webHidden/>
              </w:rPr>
              <w:fldChar w:fldCharType="end"/>
            </w:r>
          </w:hyperlink>
        </w:p>
        <w:p w14:paraId="6CB34F7F" w14:textId="37BFC7FF" w:rsidR="0076695F" w:rsidRDefault="0076695F" w:rsidP="00FA1D86">
          <w:pPr>
            <w:pStyle w:val="TOC1"/>
            <w:rPr>
              <w:rFonts w:asciiTheme="minorHAnsi" w:eastAsiaTheme="minorEastAsia" w:hAnsiTheme="minorHAnsi" w:cstheme="minorBidi"/>
              <w:noProof/>
              <w:kern w:val="2"/>
              <w:lang w:val="en-US"/>
              <w14:ligatures w14:val="standardContextual"/>
            </w:rPr>
          </w:pPr>
          <w:hyperlink w:anchor="_Toc236434570" w:history="1">
            <w:r w:rsidRPr="00D326CA">
              <w:rPr>
                <w:rStyle w:val="Hyperlink"/>
                <w:noProof/>
              </w:rPr>
              <w:t>Critical reflection on AI usage</w:t>
            </w:r>
            <w:r>
              <w:rPr>
                <w:noProof/>
                <w:webHidden/>
              </w:rPr>
              <w:tab/>
            </w:r>
            <w:r>
              <w:rPr>
                <w:noProof/>
                <w:webHidden/>
              </w:rPr>
              <w:fldChar w:fldCharType="begin"/>
            </w:r>
            <w:r>
              <w:rPr>
                <w:noProof/>
                <w:webHidden/>
              </w:rPr>
              <w:instrText xml:space="preserve"> PAGEREF _Toc236434570 \h </w:instrText>
            </w:r>
            <w:r>
              <w:rPr>
                <w:noProof/>
                <w:webHidden/>
              </w:rPr>
            </w:r>
            <w:r>
              <w:rPr>
                <w:noProof/>
                <w:webHidden/>
              </w:rPr>
              <w:fldChar w:fldCharType="separate"/>
            </w:r>
            <w:r w:rsidR="00FA1D86">
              <w:rPr>
                <w:noProof/>
                <w:webHidden/>
              </w:rPr>
              <w:t>21</w:t>
            </w:r>
            <w:r>
              <w:rPr>
                <w:noProof/>
                <w:webHidden/>
              </w:rPr>
              <w:fldChar w:fldCharType="end"/>
            </w:r>
          </w:hyperlink>
        </w:p>
        <w:p w14:paraId="35FDAED4" w14:textId="654AEBD6" w:rsidR="0076695F" w:rsidRDefault="0076695F" w:rsidP="00FA1D86">
          <w:pPr>
            <w:pStyle w:val="TOC1"/>
            <w:rPr>
              <w:rFonts w:asciiTheme="minorHAnsi" w:eastAsiaTheme="minorEastAsia" w:hAnsiTheme="minorHAnsi" w:cstheme="minorBidi"/>
              <w:noProof/>
              <w:kern w:val="2"/>
              <w:lang w:val="en-US"/>
              <w14:ligatures w14:val="standardContextual"/>
            </w:rPr>
          </w:pPr>
          <w:hyperlink w:anchor="_Toc236434571" w:history="1">
            <w:r w:rsidRPr="00D326CA">
              <w:rPr>
                <w:rStyle w:val="Hyperlink"/>
                <w:noProof/>
              </w:rPr>
              <w:t>Conclusion</w:t>
            </w:r>
            <w:r>
              <w:rPr>
                <w:noProof/>
                <w:webHidden/>
              </w:rPr>
              <w:tab/>
            </w:r>
            <w:r>
              <w:rPr>
                <w:noProof/>
                <w:webHidden/>
              </w:rPr>
              <w:fldChar w:fldCharType="begin"/>
            </w:r>
            <w:r>
              <w:rPr>
                <w:noProof/>
                <w:webHidden/>
              </w:rPr>
              <w:instrText xml:space="preserve"> PAGEREF _Toc236434571 \h </w:instrText>
            </w:r>
            <w:r>
              <w:rPr>
                <w:noProof/>
                <w:webHidden/>
              </w:rPr>
            </w:r>
            <w:r>
              <w:rPr>
                <w:noProof/>
                <w:webHidden/>
              </w:rPr>
              <w:fldChar w:fldCharType="separate"/>
            </w:r>
            <w:r w:rsidR="00FA1D86">
              <w:rPr>
                <w:noProof/>
                <w:webHidden/>
              </w:rPr>
              <w:t>22</w:t>
            </w:r>
            <w:r>
              <w:rPr>
                <w:noProof/>
                <w:webHidden/>
              </w:rPr>
              <w:fldChar w:fldCharType="end"/>
            </w:r>
          </w:hyperlink>
        </w:p>
        <w:p w14:paraId="6028BFE0" w14:textId="53AD7085" w:rsidR="0076695F" w:rsidRDefault="0076695F" w:rsidP="00FA1D86">
          <w:pPr>
            <w:pStyle w:val="TOC1"/>
            <w:rPr>
              <w:rFonts w:asciiTheme="minorHAnsi" w:eastAsiaTheme="minorEastAsia" w:hAnsiTheme="minorHAnsi" w:cstheme="minorBidi"/>
              <w:noProof/>
              <w:kern w:val="2"/>
              <w:lang w:val="en-US"/>
              <w14:ligatures w14:val="standardContextual"/>
            </w:rPr>
          </w:pPr>
          <w:hyperlink w:anchor="_Toc236434572" w:history="1">
            <w:r w:rsidRPr="00D326CA">
              <w:rPr>
                <w:rStyle w:val="Hyperlink"/>
                <w:noProof/>
              </w:rPr>
              <w:t>References</w:t>
            </w:r>
            <w:r>
              <w:rPr>
                <w:noProof/>
                <w:webHidden/>
              </w:rPr>
              <w:tab/>
            </w:r>
            <w:r>
              <w:rPr>
                <w:noProof/>
                <w:webHidden/>
              </w:rPr>
              <w:fldChar w:fldCharType="begin"/>
            </w:r>
            <w:r>
              <w:rPr>
                <w:noProof/>
                <w:webHidden/>
              </w:rPr>
              <w:instrText xml:space="preserve"> PAGEREF _Toc236434572 \h </w:instrText>
            </w:r>
            <w:r>
              <w:rPr>
                <w:noProof/>
                <w:webHidden/>
              </w:rPr>
            </w:r>
            <w:r>
              <w:rPr>
                <w:noProof/>
                <w:webHidden/>
              </w:rPr>
              <w:fldChar w:fldCharType="separate"/>
            </w:r>
            <w:r w:rsidR="00FA1D86">
              <w:rPr>
                <w:noProof/>
                <w:webHidden/>
              </w:rPr>
              <w:t>23</w:t>
            </w:r>
            <w:r>
              <w:rPr>
                <w:noProof/>
                <w:webHidden/>
              </w:rPr>
              <w:fldChar w:fldCharType="end"/>
            </w:r>
          </w:hyperlink>
        </w:p>
        <w:p w14:paraId="1655CB72" w14:textId="26487D03" w:rsidR="0076695F" w:rsidRDefault="0076695F" w:rsidP="00FA1D86">
          <w:pPr>
            <w:pStyle w:val="TOC1"/>
            <w:rPr>
              <w:rFonts w:asciiTheme="minorHAnsi" w:eastAsiaTheme="minorEastAsia" w:hAnsiTheme="minorHAnsi" w:cstheme="minorBidi"/>
              <w:noProof/>
              <w:kern w:val="2"/>
              <w:lang w:val="en-US"/>
              <w14:ligatures w14:val="standardContextual"/>
            </w:rPr>
          </w:pPr>
          <w:hyperlink w:anchor="_Toc236434573" w:history="1">
            <w:r w:rsidRPr="00D326CA">
              <w:rPr>
                <w:rStyle w:val="Hyperlink"/>
                <w:noProof/>
              </w:rPr>
              <w:t>Appendices</w:t>
            </w:r>
            <w:r>
              <w:rPr>
                <w:noProof/>
                <w:webHidden/>
              </w:rPr>
              <w:tab/>
            </w:r>
            <w:r>
              <w:rPr>
                <w:noProof/>
                <w:webHidden/>
              </w:rPr>
              <w:fldChar w:fldCharType="begin"/>
            </w:r>
            <w:r>
              <w:rPr>
                <w:noProof/>
                <w:webHidden/>
              </w:rPr>
              <w:instrText xml:space="preserve"> PAGEREF _Toc236434573 \h </w:instrText>
            </w:r>
            <w:r>
              <w:rPr>
                <w:noProof/>
                <w:webHidden/>
              </w:rPr>
            </w:r>
            <w:r>
              <w:rPr>
                <w:noProof/>
                <w:webHidden/>
              </w:rPr>
              <w:fldChar w:fldCharType="separate"/>
            </w:r>
            <w:r w:rsidR="00FA1D86">
              <w:rPr>
                <w:noProof/>
                <w:webHidden/>
              </w:rPr>
              <w:t>30</w:t>
            </w:r>
            <w:r>
              <w:rPr>
                <w:noProof/>
                <w:webHidden/>
              </w:rPr>
              <w:fldChar w:fldCharType="end"/>
            </w:r>
          </w:hyperlink>
        </w:p>
        <w:p w14:paraId="0731D8AD" w14:textId="746A8A6F" w:rsidR="008276E7" w:rsidRDefault="00000000">
          <w:pPr>
            <w:widowControl w:val="0"/>
            <w:tabs>
              <w:tab w:val="right" w:pos="9360"/>
            </w:tabs>
            <w:spacing w:before="60" w:line="360" w:lineRule="auto"/>
            <w:jc w:val="both"/>
            <w:rPr>
              <w:color w:val="000000"/>
              <w:sz w:val="24"/>
              <w:szCs w:val="24"/>
            </w:rPr>
          </w:pPr>
          <w:r>
            <w:fldChar w:fldCharType="end"/>
          </w:r>
        </w:p>
      </w:sdtContent>
    </w:sdt>
    <w:p w14:paraId="1E520D89" w14:textId="77777777" w:rsidR="008276E7" w:rsidRDefault="00000000">
      <w:pPr>
        <w:spacing w:line="360" w:lineRule="auto"/>
        <w:jc w:val="both"/>
        <w:rPr>
          <w:b/>
          <w:bCs/>
          <w:sz w:val="28"/>
          <w:szCs w:val="28"/>
        </w:rPr>
      </w:pPr>
      <w:r>
        <w:br w:type="page"/>
      </w:r>
    </w:p>
    <w:p w14:paraId="4CDE0C72" w14:textId="77777777" w:rsidR="008276E7" w:rsidRDefault="00000000">
      <w:pPr>
        <w:pStyle w:val="Heading1"/>
      </w:pPr>
      <w:bookmarkStart w:id="0" w:name="_Toc236434552"/>
      <w:r>
        <w:lastRenderedPageBreak/>
        <w:t>Introduction</w:t>
      </w:r>
      <w:bookmarkEnd w:id="0"/>
      <w:r>
        <w:t xml:space="preserve"> </w:t>
      </w:r>
    </w:p>
    <w:p w14:paraId="7D905CC8" w14:textId="77777777" w:rsidR="008276E7" w:rsidRDefault="00000000">
      <w:pPr>
        <w:spacing w:after="200" w:line="360" w:lineRule="auto"/>
        <w:jc w:val="both"/>
        <w:rPr>
          <w:sz w:val="24"/>
          <w:szCs w:val="24"/>
        </w:rPr>
      </w:pPr>
      <w:r>
        <w:rPr>
          <w:sz w:val="24"/>
          <w:szCs w:val="24"/>
        </w:rPr>
        <w:t xml:space="preserve">The present report is a critical assessment of the financial performance and strategic financial position of Whitbread PLC, the parent company of the Premier Inn hotel chain, and one of the biggest hospitality companies in the UK. The reason why this report is made is to determine the financial health of the company over the last five years by analysing income statements, balance sheets, cash flow statements of the company, and financial ratios of the company. Working capital management and a strategic financial restructuring plan are also discussed in the report, and other possible financial projects are evaluated through capital budgeting techniques. The analysis is geared towards ensuring sustainable growth, creation of shareholder value and sustainability in competitiveness in a rapidly changing global hospitality market.   </w:t>
      </w:r>
    </w:p>
    <w:p w14:paraId="26447006" w14:textId="77777777" w:rsidR="008276E7" w:rsidRDefault="00000000">
      <w:pPr>
        <w:pStyle w:val="Heading1"/>
      </w:pPr>
      <w:bookmarkStart w:id="1" w:name="_Toc236434553"/>
      <w:r>
        <w:t>Financial health check</w:t>
      </w:r>
      <w:bookmarkEnd w:id="1"/>
      <w:r>
        <w:t xml:space="preserve"> </w:t>
      </w:r>
    </w:p>
    <w:p w14:paraId="2A8A6A53" w14:textId="77777777" w:rsidR="008276E7" w:rsidRDefault="00000000">
      <w:pPr>
        <w:pStyle w:val="Heading2"/>
      </w:pPr>
      <w:bookmarkStart w:id="2" w:name="_Toc236434554"/>
      <w:r>
        <w:t>Analysis of the financial statements of the firm</w:t>
      </w:r>
      <w:bookmarkEnd w:id="2"/>
      <w:r>
        <w:t xml:space="preserve"> </w:t>
      </w:r>
    </w:p>
    <w:p w14:paraId="1B1DCB52" w14:textId="77777777" w:rsidR="008276E7" w:rsidRDefault="00000000">
      <w:pPr>
        <w:spacing w:after="200" w:line="360" w:lineRule="auto"/>
        <w:jc w:val="both"/>
        <w:rPr>
          <w:sz w:val="24"/>
          <w:szCs w:val="24"/>
        </w:rPr>
      </w:pPr>
      <w:r>
        <w:rPr>
          <w:sz w:val="24"/>
          <w:szCs w:val="24"/>
        </w:rPr>
        <w:t>A review of Whitbread PLC's financial statements over the five-year period shows that it is a business that has mostly bounced back, despite the dire disruption of the COVID-19 pandemic, but there are a number of structural issues. The financial performance of the company shows that the company experienced large losses in 2021 but continued to be profitable between 2023-2025 due to the strength of the Premier Inn brand and the recovery of travel and hospitality demand (Whitbread PLC, 2025).</w:t>
      </w:r>
    </w:p>
    <w:p w14:paraId="610DC21C" w14:textId="77777777" w:rsidR="008276E7" w:rsidRDefault="00000000">
      <w:pPr>
        <w:spacing w:after="200" w:line="360" w:lineRule="auto"/>
        <w:jc w:val="both"/>
        <w:rPr>
          <w:sz w:val="24"/>
          <w:szCs w:val="24"/>
        </w:rPr>
      </w:pPr>
      <w:r>
        <w:rPr>
          <w:sz w:val="24"/>
          <w:szCs w:val="24"/>
        </w:rPr>
        <w:t xml:space="preserve">Increased to about £2.96 billion in 2024 against the previous year, which was about £1.35 billion, and then registered a slight decrease to about 2.92 billion in 2025. This is attributable to the robust post-pandemic hotel occupancy and room rate recovery, albeit there is a slight decline in 2025, indicating an increase in the pressure of inflation, declining consumer spending and heightened competition in the hospitality industry, which is also reflected by Saar and Vaher (2025). Profitability is the most significant and can be improved. In 2021, Whitbread recorded a significant loss after tax of £906.5 million, which was significantly caused by the disruptions and the impairments of assets due to </w:t>
      </w:r>
      <w:r>
        <w:rPr>
          <w:sz w:val="24"/>
          <w:szCs w:val="24"/>
        </w:rPr>
        <w:lastRenderedPageBreak/>
        <w:t>the pandemic. Profitability, however, has bounced back, and the profit after tax stood at 278.8 million in 2023, £ 312.1 million in 2024 and 253.7 million in 2025.</w:t>
      </w:r>
    </w:p>
    <w:p w14:paraId="67DC8449" w14:textId="77777777" w:rsidR="008276E7" w:rsidRDefault="00000000">
      <w:pPr>
        <w:spacing w:after="200" w:line="360" w:lineRule="auto"/>
        <w:jc w:val="both"/>
        <w:rPr>
          <w:sz w:val="24"/>
          <w:szCs w:val="24"/>
        </w:rPr>
      </w:pPr>
      <w:r>
        <w:rPr>
          <w:sz w:val="24"/>
          <w:szCs w:val="24"/>
        </w:rPr>
        <w:t>The balance sheet shows that there is a fairly steady asset base. The total assets have steadily grown to 9.94 billion in 2023, compared to 8.80 billion in 2021, and slightly decreased to 9.90 billion in 2025. The asset category of property, plant and equipment is still the most prevalent, demonstrating the capital-intensive hospitality industry. In 2024, net assets were higher than in 2021, with an increase of 4.11 billion being recorded, but in 2025, the net assets had decreased to 3.33 billion because of the reduced retained earnings and a rise in liabilities. This pattern indicates that future growth might need cautious allocation of capital and increased earnings retention.</w:t>
      </w:r>
    </w:p>
    <w:p w14:paraId="11CBD5BD" w14:textId="77777777" w:rsidR="008276E7" w:rsidRDefault="00000000">
      <w:pPr>
        <w:spacing w:after="200" w:line="360" w:lineRule="auto"/>
        <w:jc w:val="both"/>
        <w:rPr>
          <w:sz w:val="24"/>
          <w:szCs w:val="24"/>
        </w:rPr>
      </w:pPr>
      <w:r>
        <w:rPr>
          <w:sz w:val="24"/>
          <w:szCs w:val="24"/>
        </w:rPr>
        <w:t>One of the main issues is the liability structure of the company. In 2025, total liabilities rose to £6.57 billion compared to 2021 of £4.96 billion mainly due to lease obligations related to the large number of hotels Whitbread owns. In 2025, non-current lease liabilities were more than £4.0 billion and established long-term financial obligations impacting strategic flexibility when faced with economic uncertainty (Hazar, 2019). Moreover, the cash and cash equivalents decreased by 1.53 billion to 0.91 billion in 2021 and 2025, respectively, which means that the liquidity reserves are gradually decreasing.</w:t>
      </w:r>
    </w:p>
    <w:p w14:paraId="53D378BE" w14:textId="77777777" w:rsidR="008276E7" w:rsidRDefault="00000000">
      <w:pPr>
        <w:spacing w:after="200" w:line="360" w:lineRule="auto"/>
        <w:jc w:val="both"/>
        <w:rPr>
          <w:sz w:val="24"/>
          <w:szCs w:val="24"/>
        </w:rPr>
      </w:pPr>
      <w:r>
        <w:rPr>
          <w:sz w:val="24"/>
          <w:szCs w:val="24"/>
        </w:rPr>
        <w:t>Altogether, Whitbread has managed to regain profitability and enhance its market presence after the pandemic. However, decelerating profit growth, decreased cash balances and increased long-term commitments are some of the new financial risks that must be managed carefully so as to achieve sustainable growth and shareholder value creation.</w:t>
      </w:r>
    </w:p>
    <w:p w14:paraId="72CBFCFE" w14:textId="77777777" w:rsidR="008276E7" w:rsidRDefault="00000000">
      <w:pPr>
        <w:pStyle w:val="Heading2"/>
      </w:pPr>
      <w:bookmarkStart w:id="3" w:name="_Toc236434555"/>
      <w:r>
        <w:t>Ratio analysis</w:t>
      </w:r>
      <w:bookmarkEnd w:id="3"/>
      <w:r>
        <w:t xml:space="preserve"> </w:t>
      </w:r>
    </w:p>
    <w:p w14:paraId="16B592AA" w14:textId="77777777" w:rsidR="008276E7" w:rsidRDefault="00000000">
      <w:pPr>
        <w:spacing w:line="360" w:lineRule="auto"/>
        <w:jc w:val="both"/>
        <w:rPr>
          <w:sz w:val="24"/>
          <w:szCs w:val="24"/>
        </w:rPr>
      </w:pPr>
      <w:r>
        <w:rPr>
          <w:sz w:val="24"/>
          <w:szCs w:val="24"/>
        </w:rPr>
        <w:t xml:space="preserve">For calculations, refer to the appendix </w:t>
      </w:r>
    </w:p>
    <w:p w14:paraId="4EC836EF" w14:textId="77777777" w:rsidR="008276E7" w:rsidRDefault="00000000">
      <w:pPr>
        <w:spacing w:line="360" w:lineRule="auto"/>
        <w:jc w:val="both"/>
        <w:rPr>
          <w:b/>
          <w:bCs/>
          <w:i/>
          <w:iCs/>
          <w:sz w:val="24"/>
          <w:szCs w:val="24"/>
        </w:rPr>
      </w:pPr>
      <w:r>
        <w:rPr>
          <w:b/>
          <w:bCs/>
          <w:i/>
          <w:iCs/>
          <w:sz w:val="24"/>
          <w:szCs w:val="24"/>
        </w:rPr>
        <w:t>Profitability</w:t>
      </w:r>
    </w:p>
    <w:p w14:paraId="71F04AFC" w14:textId="77777777" w:rsidR="008276E7" w:rsidRDefault="00000000">
      <w:pPr>
        <w:spacing w:line="360" w:lineRule="auto"/>
        <w:jc w:val="center"/>
        <w:rPr>
          <w:sz w:val="24"/>
          <w:szCs w:val="24"/>
        </w:rPr>
      </w:pPr>
      <w:r>
        <w:rPr>
          <w:noProof/>
          <w:sz w:val="24"/>
          <w:szCs w:val="24"/>
        </w:rPr>
        <w:lastRenderedPageBreak/>
        <w:drawing>
          <wp:inline distT="114300" distB="114300" distL="114300" distR="114300" wp14:anchorId="433AAD4F" wp14:editId="3D1787BE">
            <wp:extent cx="5943600" cy="27432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2743200"/>
                    </a:xfrm>
                    <a:prstGeom prst="rect">
                      <a:avLst/>
                    </a:prstGeom>
                    <a:ln/>
                  </pic:spPr>
                </pic:pic>
              </a:graphicData>
            </a:graphic>
          </wp:inline>
        </w:drawing>
      </w:r>
    </w:p>
    <w:p w14:paraId="2A798F6C" w14:textId="77777777" w:rsidR="008276E7" w:rsidRDefault="00000000">
      <w:pPr>
        <w:spacing w:line="360" w:lineRule="auto"/>
        <w:jc w:val="center"/>
        <w:rPr>
          <w:b/>
          <w:bCs/>
          <w:sz w:val="24"/>
          <w:szCs w:val="24"/>
        </w:rPr>
      </w:pPr>
      <w:r>
        <w:rPr>
          <w:b/>
          <w:bCs/>
          <w:sz w:val="24"/>
          <w:szCs w:val="24"/>
        </w:rPr>
        <w:t xml:space="preserve">Figure 1: Trend of the profitability ratios over the years </w:t>
      </w:r>
    </w:p>
    <w:p w14:paraId="147FEF0A" w14:textId="77777777" w:rsidR="008276E7" w:rsidRDefault="00000000">
      <w:pPr>
        <w:spacing w:after="200" w:line="360" w:lineRule="auto"/>
        <w:jc w:val="both"/>
        <w:rPr>
          <w:sz w:val="24"/>
          <w:szCs w:val="24"/>
        </w:rPr>
      </w:pPr>
      <w:r>
        <w:rPr>
          <w:sz w:val="24"/>
          <w:szCs w:val="24"/>
        </w:rPr>
        <w:t>Profitability ratios show the most improvement in the period. Operating margin increased from –141.06% in 2021 to 13.32% in 2022, reaching 19.15% in 2023 before moderating to 17.43% in 2025. Similarly, net profit margin improved dramatically from –153.80% in 2021 to 10.62% in 2023, before declining to 8.68% in 2025. These tendencies are signs of the successful recovery after the pandemic, facilitated by the increased occupancy and price strength (Hayes and Jung, 2022). The fall beyond 2023, however, indicates that profitability is starting to be impacted by inflationary pressures, increased labour costs and weaker consumer demand.</w:t>
      </w:r>
    </w:p>
    <w:p w14:paraId="0B020D15" w14:textId="77777777" w:rsidR="008276E7" w:rsidRDefault="00000000">
      <w:pPr>
        <w:spacing w:line="360" w:lineRule="auto"/>
        <w:jc w:val="both"/>
        <w:rPr>
          <w:b/>
          <w:bCs/>
          <w:i/>
          <w:iCs/>
          <w:sz w:val="24"/>
          <w:szCs w:val="24"/>
        </w:rPr>
      </w:pPr>
      <w:r>
        <w:rPr>
          <w:b/>
          <w:bCs/>
          <w:i/>
          <w:iCs/>
          <w:sz w:val="24"/>
          <w:szCs w:val="24"/>
        </w:rPr>
        <w:t>Liquidity</w:t>
      </w:r>
    </w:p>
    <w:p w14:paraId="68BC85D0" w14:textId="77777777" w:rsidR="008276E7" w:rsidRDefault="00000000">
      <w:pPr>
        <w:spacing w:line="360" w:lineRule="auto"/>
        <w:jc w:val="center"/>
        <w:rPr>
          <w:sz w:val="24"/>
          <w:szCs w:val="24"/>
        </w:rPr>
      </w:pPr>
      <w:r>
        <w:rPr>
          <w:noProof/>
          <w:sz w:val="24"/>
          <w:szCs w:val="24"/>
        </w:rPr>
        <w:lastRenderedPageBreak/>
        <w:drawing>
          <wp:inline distT="114300" distB="114300" distL="114300" distR="114300" wp14:anchorId="4ABF47E8" wp14:editId="27367EDA">
            <wp:extent cx="5943600" cy="35687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3568700"/>
                    </a:xfrm>
                    <a:prstGeom prst="rect">
                      <a:avLst/>
                    </a:prstGeom>
                    <a:ln/>
                  </pic:spPr>
                </pic:pic>
              </a:graphicData>
            </a:graphic>
          </wp:inline>
        </w:drawing>
      </w:r>
    </w:p>
    <w:p w14:paraId="23667CB1" w14:textId="77777777" w:rsidR="008276E7" w:rsidRDefault="00000000">
      <w:pPr>
        <w:spacing w:line="360" w:lineRule="auto"/>
        <w:jc w:val="center"/>
        <w:rPr>
          <w:b/>
          <w:bCs/>
          <w:sz w:val="24"/>
          <w:szCs w:val="24"/>
        </w:rPr>
      </w:pPr>
      <w:r>
        <w:rPr>
          <w:b/>
          <w:bCs/>
          <w:sz w:val="24"/>
          <w:szCs w:val="24"/>
        </w:rPr>
        <w:t xml:space="preserve">Figure 2: Trend of the liquidity ratios over the years </w:t>
      </w:r>
    </w:p>
    <w:p w14:paraId="2DCA5D01" w14:textId="77777777" w:rsidR="008276E7" w:rsidRDefault="00000000">
      <w:pPr>
        <w:spacing w:after="200" w:line="360" w:lineRule="auto"/>
        <w:jc w:val="both"/>
        <w:rPr>
          <w:sz w:val="24"/>
          <w:szCs w:val="24"/>
        </w:rPr>
      </w:pPr>
      <w:r>
        <w:rPr>
          <w:sz w:val="24"/>
          <w:szCs w:val="24"/>
        </w:rPr>
        <w:t xml:space="preserve">Liquidity ratios represent the deterioration of the short-term financial position. The current ratio fell to 0.81 in 2025 as compared to 1.74 in 2021, and the quick ratio dropped to 0.80 in 2025 as compared to 1.73 in 2021. Ratios of less than 1.0 indicate that current assets are now smaller than current liabilities, raising refinancing and liquidity risk (Blessing and Sakouvogui, 2023). Though hospitality businesses are usually associated with low liquidity rates because of the high rates of cash generation, the declining tendency should be observed closely (Berkem, 2025). </w:t>
      </w:r>
    </w:p>
    <w:p w14:paraId="475ECCE0" w14:textId="77777777" w:rsidR="008276E7" w:rsidRDefault="00000000">
      <w:pPr>
        <w:spacing w:line="360" w:lineRule="auto"/>
        <w:jc w:val="both"/>
        <w:rPr>
          <w:b/>
          <w:bCs/>
          <w:i/>
          <w:iCs/>
          <w:sz w:val="24"/>
          <w:szCs w:val="24"/>
        </w:rPr>
      </w:pPr>
      <w:r>
        <w:rPr>
          <w:b/>
          <w:bCs/>
          <w:i/>
          <w:iCs/>
          <w:sz w:val="24"/>
          <w:szCs w:val="24"/>
        </w:rPr>
        <w:t xml:space="preserve">Efficiency </w:t>
      </w:r>
    </w:p>
    <w:p w14:paraId="1AE67B3A" w14:textId="77777777" w:rsidR="008276E7" w:rsidRDefault="00000000">
      <w:pPr>
        <w:spacing w:line="360" w:lineRule="auto"/>
        <w:jc w:val="center"/>
        <w:rPr>
          <w:b/>
          <w:bCs/>
          <w:i/>
          <w:iCs/>
          <w:sz w:val="24"/>
          <w:szCs w:val="24"/>
        </w:rPr>
      </w:pPr>
      <w:r>
        <w:rPr>
          <w:b/>
          <w:bCs/>
          <w:i/>
          <w:iCs/>
          <w:noProof/>
          <w:sz w:val="24"/>
          <w:szCs w:val="24"/>
        </w:rPr>
        <w:lastRenderedPageBreak/>
        <w:drawing>
          <wp:inline distT="114300" distB="114300" distL="114300" distR="114300" wp14:anchorId="70AD366D" wp14:editId="400DED82">
            <wp:extent cx="5943600" cy="35814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581400"/>
                    </a:xfrm>
                    <a:prstGeom prst="rect">
                      <a:avLst/>
                    </a:prstGeom>
                    <a:ln/>
                  </pic:spPr>
                </pic:pic>
              </a:graphicData>
            </a:graphic>
          </wp:inline>
        </w:drawing>
      </w:r>
    </w:p>
    <w:p w14:paraId="17122F59" w14:textId="77777777" w:rsidR="008276E7" w:rsidRDefault="00000000">
      <w:pPr>
        <w:spacing w:line="360" w:lineRule="auto"/>
        <w:jc w:val="center"/>
        <w:rPr>
          <w:b/>
          <w:bCs/>
          <w:sz w:val="24"/>
          <w:szCs w:val="24"/>
        </w:rPr>
      </w:pPr>
      <w:r>
        <w:rPr>
          <w:b/>
          <w:bCs/>
          <w:sz w:val="24"/>
          <w:szCs w:val="24"/>
        </w:rPr>
        <w:t>Figure 3: Trend of the efficiency ratios over the years</w:t>
      </w:r>
    </w:p>
    <w:p w14:paraId="2FAF238D" w14:textId="77777777" w:rsidR="008276E7" w:rsidRDefault="00000000">
      <w:pPr>
        <w:spacing w:line="360" w:lineRule="auto"/>
        <w:jc w:val="both"/>
        <w:rPr>
          <w:sz w:val="24"/>
          <w:szCs w:val="24"/>
        </w:rPr>
      </w:pPr>
      <w:r>
        <w:rPr>
          <w:sz w:val="24"/>
          <w:szCs w:val="24"/>
        </w:rPr>
        <w:t xml:space="preserve">There is a mixed picture of efficiency ratios. The company experienced improved asset turnover of 0.31 in 2024 compared to 0.07 in 2021, indicating an increased utilisation of the large base of assets in the company after the demand recovered (Lee, 2023). Despite the fact that the ratio slightly improved to 0.30 in 2025, operational efficiency is much higher than it was at the time of the pandemic. The accounts receivable turnover has also improved to 22.99 times in 2025 since it was 7.94 times in 2021, which shows that the company manages its credit better and collects its receivables faster (Hanb and Liuc, 2024).  </w:t>
      </w:r>
    </w:p>
    <w:p w14:paraId="6CF3B73B" w14:textId="77777777" w:rsidR="008276E7" w:rsidRDefault="00000000">
      <w:pPr>
        <w:spacing w:line="360" w:lineRule="auto"/>
        <w:jc w:val="both"/>
        <w:rPr>
          <w:b/>
          <w:bCs/>
          <w:i/>
          <w:iCs/>
          <w:sz w:val="24"/>
          <w:szCs w:val="24"/>
        </w:rPr>
      </w:pPr>
      <w:r>
        <w:rPr>
          <w:b/>
          <w:bCs/>
          <w:i/>
          <w:iCs/>
          <w:sz w:val="24"/>
          <w:szCs w:val="24"/>
        </w:rPr>
        <w:t>Gearing</w:t>
      </w:r>
    </w:p>
    <w:p w14:paraId="5CC9388F" w14:textId="77777777" w:rsidR="008276E7" w:rsidRDefault="00000000">
      <w:pPr>
        <w:spacing w:line="360" w:lineRule="auto"/>
        <w:jc w:val="center"/>
        <w:rPr>
          <w:b/>
          <w:bCs/>
          <w:i/>
          <w:iCs/>
          <w:sz w:val="24"/>
          <w:szCs w:val="24"/>
        </w:rPr>
      </w:pPr>
      <w:r>
        <w:rPr>
          <w:b/>
          <w:bCs/>
          <w:i/>
          <w:iCs/>
          <w:noProof/>
          <w:sz w:val="24"/>
          <w:szCs w:val="24"/>
        </w:rPr>
        <w:lastRenderedPageBreak/>
        <w:drawing>
          <wp:inline distT="114300" distB="114300" distL="114300" distR="114300" wp14:anchorId="715D5C15" wp14:editId="25A272E3">
            <wp:extent cx="5943600" cy="35814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943600" cy="3581400"/>
                    </a:xfrm>
                    <a:prstGeom prst="rect">
                      <a:avLst/>
                    </a:prstGeom>
                    <a:ln/>
                  </pic:spPr>
                </pic:pic>
              </a:graphicData>
            </a:graphic>
          </wp:inline>
        </w:drawing>
      </w:r>
    </w:p>
    <w:p w14:paraId="2E8BB5F8" w14:textId="77777777" w:rsidR="008276E7" w:rsidRDefault="00000000">
      <w:pPr>
        <w:spacing w:line="360" w:lineRule="auto"/>
        <w:jc w:val="center"/>
        <w:rPr>
          <w:b/>
          <w:bCs/>
          <w:sz w:val="24"/>
          <w:szCs w:val="24"/>
        </w:rPr>
      </w:pPr>
      <w:r>
        <w:rPr>
          <w:b/>
          <w:bCs/>
          <w:sz w:val="24"/>
          <w:szCs w:val="24"/>
        </w:rPr>
        <w:t>Figure 4: Trend of the gearing ratios over the years</w:t>
      </w:r>
    </w:p>
    <w:p w14:paraId="40D0B3C6" w14:textId="77777777" w:rsidR="008276E7" w:rsidRDefault="00000000">
      <w:pPr>
        <w:spacing w:line="360" w:lineRule="auto"/>
        <w:jc w:val="both"/>
        <w:rPr>
          <w:sz w:val="24"/>
          <w:szCs w:val="24"/>
        </w:rPr>
      </w:pPr>
      <w:r>
        <w:rPr>
          <w:sz w:val="24"/>
          <w:szCs w:val="24"/>
        </w:rPr>
        <w:t xml:space="preserve">Financial leverage is increasing as indicated by the gearing ratios. The debt-to-assets ratio increased from 0.56 in 2021 to 0.66 in 2025, while the debt-to-equity ratio rose from 1.29 to 1.97. This shows increasing reliance on debt and lease payments to fund operations and growth. Greater leverage can contribute to increased returns in good economic times but also financial risk in bad economic periods (Li, 2024). </w:t>
      </w:r>
    </w:p>
    <w:p w14:paraId="218D941D" w14:textId="77777777" w:rsidR="008276E7" w:rsidRDefault="00000000">
      <w:pPr>
        <w:spacing w:line="360" w:lineRule="auto"/>
        <w:jc w:val="both"/>
        <w:rPr>
          <w:b/>
          <w:bCs/>
          <w:i/>
          <w:iCs/>
          <w:sz w:val="24"/>
          <w:szCs w:val="24"/>
        </w:rPr>
      </w:pPr>
      <w:r>
        <w:rPr>
          <w:b/>
          <w:bCs/>
          <w:i/>
          <w:iCs/>
          <w:sz w:val="24"/>
          <w:szCs w:val="24"/>
        </w:rPr>
        <w:t xml:space="preserve">Investment </w:t>
      </w:r>
    </w:p>
    <w:p w14:paraId="4F77E690" w14:textId="77777777" w:rsidR="008276E7" w:rsidRDefault="00000000">
      <w:pPr>
        <w:spacing w:line="360" w:lineRule="auto"/>
        <w:jc w:val="center"/>
        <w:rPr>
          <w:b/>
          <w:bCs/>
          <w:i/>
          <w:iCs/>
          <w:sz w:val="24"/>
          <w:szCs w:val="24"/>
        </w:rPr>
      </w:pPr>
      <w:r>
        <w:rPr>
          <w:b/>
          <w:bCs/>
          <w:i/>
          <w:iCs/>
          <w:noProof/>
          <w:sz w:val="24"/>
          <w:szCs w:val="24"/>
        </w:rPr>
        <w:lastRenderedPageBreak/>
        <w:drawing>
          <wp:inline distT="114300" distB="114300" distL="114300" distR="114300" wp14:anchorId="641E3F9C" wp14:editId="777B3902">
            <wp:extent cx="5943600" cy="31369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3136900"/>
                    </a:xfrm>
                    <a:prstGeom prst="rect">
                      <a:avLst/>
                    </a:prstGeom>
                    <a:ln/>
                  </pic:spPr>
                </pic:pic>
              </a:graphicData>
            </a:graphic>
          </wp:inline>
        </w:drawing>
      </w:r>
    </w:p>
    <w:p w14:paraId="45D50DD6" w14:textId="77777777" w:rsidR="008276E7" w:rsidRDefault="00000000">
      <w:pPr>
        <w:spacing w:line="360" w:lineRule="auto"/>
        <w:jc w:val="center"/>
        <w:rPr>
          <w:b/>
          <w:bCs/>
          <w:sz w:val="24"/>
          <w:szCs w:val="24"/>
        </w:rPr>
      </w:pPr>
      <w:r>
        <w:rPr>
          <w:b/>
          <w:bCs/>
          <w:sz w:val="24"/>
          <w:szCs w:val="24"/>
        </w:rPr>
        <w:t>Figure 5: Trend of the investment ratios over the years</w:t>
      </w:r>
    </w:p>
    <w:p w14:paraId="19809752" w14:textId="77777777" w:rsidR="008276E7" w:rsidRDefault="00000000">
      <w:pPr>
        <w:spacing w:after="200" w:line="360" w:lineRule="auto"/>
        <w:jc w:val="both"/>
        <w:rPr>
          <w:sz w:val="24"/>
          <w:szCs w:val="24"/>
        </w:rPr>
      </w:pPr>
      <w:r>
        <w:rPr>
          <w:sz w:val="24"/>
          <w:szCs w:val="24"/>
        </w:rPr>
        <w:t xml:space="preserve">Shareholder returns are better in 2022, as indicated by investment ratios. Return on Equity (ROE) improved to 7.61% in 2025 after it had fallen to -23.64% in the previous year; however, it is still not very high compared to those achieved by highly performing hospitality companies. In 2025, earnings per share increased from a significant loss in 2021 to 140.6 pence. Nonetheless, the rising P/E ratio of 21.37 indicates that investors anticipate future growth amid the decelerating earnings trend (Mohammad, 2025). </w:t>
      </w:r>
    </w:p>
    <w:p w14:paraId="7539F0B0" w14:textId="77777777" w:rsidR="008276E7" w:rsidRDefault="00000000">
      <w:pPr>
        <w:spacing w:line="360" w:lineRule="auto"/>
        <w:jc w:val="both"/>
        <w:rPr>
          <w:b/>
          <w:bCs/>
          <w:i/>
          <w:iCs/>
          <w:sz w:val="24"/>
          <w:szCs w:val="24"/>
        </w:rPr>
      </w:pPr>
      <w:r>
        <w:rPr>
          <w:b/>
          <w:bCs/>
          <w:i/>
          <w:iCs/>
          <w:sz w:val="24"/>
          <w:szCs w:val="24"/>
        </w:rPr>
        <w:t xml:space="preserve">Cash flow </w:t>
      </w:r>
    </w:p>
    <w:p w14:paraId="4AD39037" w14:textId="77777777" w:rsidR="008276E7" w:rsidRDefault="00000000">
      <w:pPr>
        <w:spacing w:line="360" w:lineRule="auto"/>
        <w:jc w:val="center"/>
        <w:rPr>
          <w:b/>
          <w:bCs/>
          <w:i/>
          <w:iCs/>
          <w:sz w:val="24"/>
          <w:szCs w:val="24"/>
        </w:rPr>
      </w:pPr>
      <w:r>
        <w:rPr>
          <w:b/>
          <w:bCs/>
          <w:i/>
          <w:iCs/>
          <w:noProof/>
          <w:sz w:val="24"/>
          <w:szCs w:val="24"/>
        </w:rPr>
        <w:lastRenderedPageBreak/>
        <w:drawing>
          <wp:inline distT="114300" distB="114300" distL="114300" distR="114300" wp14:anchorId="4D46ECCC" wp14:editId="34F73DAE">
            <wp:extent cx="5943600" cy="33655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943600" cy="3365500"/>
                    </a:xfrm>
                    <a:prstGeom prst="rect">
                      <a:avLst/>
                    </a:prstGeom>
                    <a:ln/>
                  </pic:spPr>
                </pic:pic>
              </a:graphicData>
            </a:graphic>
          </wp:inline>
        </w:drawing>
      </w:r>
    </w:p>
    <w:p w14:paraId="3150669F" w14:textId="77777777" w:rsidR="008276E7" w:rsidRDefault="00000000">
      <w:pPr>
        <w:spacing w:line="360" w:lineRule="auto"/>
        <w:jc w:val="center"/>
        <w:rPr>
          <w:b/>
          <w:bCs/>
          <w:i/>
          <w:iCs/>
          <w:sz w:val="24"/>
          <w:szCs w:val="24"/>
        </w:rPr>
      </w:pPr>
      <w:r>
        <w:rPr>
          <w:b/>
          <w:bCs/>
          <w:sz w:val="24"/>
          <w:szCs w:val="24"/>
        </w:rPr>
        <w:t>Figure 6: Trend of the cash flow ratios over the years</w:t>
      </w:r>
    </w:p>
    <w:p w14:paraId="747DB707" w14:textId="77777777" w:rsidR="008276E7" w:rsidRDefault="00000000">
      <w:pPr>
        <w:spacing w:line="360" w:lineRule="auto"/>
        <w:jc w:val="both"/>
        <w:rPr>
          <w:sz w:val="24"/>
          <w:szCs w:val="24"/>
        </w:rPr>
      </w:pPr>
      <w:r>
        <w:rPr>
          <w:sz w:val="24"/>
          <w:szCs w:val="24"/>
        </w:rPr>
        <w:t xml:space="preserve">Lastly, there exists good operational cash generation as indicated by cash flow ratios. Operating cash flow margin increased from –66.36% in 2021 to 26.07% in 2025, while cash flow coverage improved from –0.08 to 0.12. However, the coverage ratio is relatively low, which indicates that the operating cash flows are not enough to decrease the general levels of debts significantly (Arifaj </w:t>
      </w:r>
      <w:r>
        <w:rPr>
          <w:i/>
          <w:iCs/>
          <w:sz w:val="24"/>
          <w:szCs w:val="24"/>
        </w:rPr>
        <w:t>et al.</w:t>
      </w:r>
      <w:r>
        <w:rPr>
          <w:sz w:val="24"/>
          <w:szCs w:val="24"/>
        </w:rPr>
        <w:t xml:space="preserve"> 2023). In general, Whitbread is characterised by rising profitability and efficiency, yet deteriorating liquidity and rising leverage are the major financial risks management needs to handle. </w:t>
      </w:r>
    </w:p>
    <w:p w14:paraId="15E37C82" w14:textId="77777777" w:rsidR="008276E7" w:rsidRDefault="00000000">
      <w:pPr>
        <w:pStyle w:val="Heading2"/>
      </w:pPr>
      <w:bookmarkStart w:id="4" w:name="_Toc236434556"/>
      <w:r>
        <w:t>Strengths, trends, and potential threats</w:t>
      </w:r>
      <w:bookmarkEnd w:id="4"/>
      <w:r>
        <w:t xml:space="preserve"> </w:t>
      </w:r>
    </w:p>
    <w:p w14:paraId="532C4F88" w14:textId="77777777" w:rsidR="008276E7" w:rsidRDefault="00000000">
      <w:pPr>
        <w:spacing w:after="200" w:line="360" w:lineRule="auto"/>
        <w:jc w:val="both"/>
        <w:rPr>
          <w:sz w:val="24"/>
          <w:szCs w:val="24"/>
        </w:rPr>
      </w:pPr>
      <w:r>
        <w:rPr>
          <w:sz w:val="24"/>
          <w:szCs w:val="24"/>
        </w:rPr>
        <w:t>Whitbread PLC financial analysis indicates that there are a number of key trends within the 2021-2025 period. The most notable trend is that the company has had a strong recovery following the COVID-19 crisis. Revenue rose by 589.4 million in 2021 to 2.92 billion in 2025, and the net profit rose from a significant loss of 906.5 million to a profit of 253.7 million. The profitability ratios such as operating margin and net margin also returned to a high level, which indicates that business operations and customer demand were restored successfully (Lee, 2023).</w:t>
      </w:r>
    </w:p>
    <w:p w14:paraId="65F3F91C" w14:textId="77777777" w:rsidR="008276E7" w:rsidRDefault="00000000">
      <w:pPr>
        <w:spacing w:after="200" w:line="360" w:lineRule="auto"/>
        <w:jc w:val="both"/>
        <w:rPr>
          <w:sz w:val="24"/>
          <w:szCs w:val="24"/>
        </w:rPr>
      </w:pPr>
      <w:r>
        <w:rPr>
          <w:sz w:val="24"/>
          <w:szCs w:val="24"/>
        </w:rPr>
        <w:lastRenderedPageBreak/>
        <w:t xml:space="preserve">One of the strengths of Whitbread is that it has been able to produce stable operating cash flows, which stood at a level of 761.7 million in 2025. Enhanced operational efficiency is also noted, as the ratio of higher asset turnover and receivables turnover also increased (Binsaddig </w:t>
      </w:r>
      <w:r>
        <w:rPr>
          <w:i/>
          <w:iCs/>
          <w:sz w:val="24"/>
          <w:szCs w:val="24"/>
        </w:rPr>
        <w:t>et al.</w:t>
      </w:r>
      <w:r>
        <w:rPr>
          <w:sz w:val="24"/>
          <w:szCs w:val="24"/>
        </w:rPr>
        <w:t xml:space="preserve"> 2023). Nonetheless, there are a number of threats that can be identified. It has become much weaker in terms of liquidity as the current ratio dropped to less than 1.0 in 2024 and 2025, which shows growing financial pressure in the short term. Moreover, the increase in the level of gearing evident in a debt-to-equity ratio of 1.97 indicates increased reliance on debt and lease financing. The external risks (inflation, increased labour and energy prices, economic uncertainty, and consumer travel patterns) can also limit the profitability and future growth (Dutta, 2024). This means that it should be the priority of the management to sustain financial flexibility and enhance liquidity.</w:t>
      </w:r>
    </w:p>
    <w:p w14:paraId="5BA885CE" w14:textId="77777777" w:rsidR="008276E7" w:rsidRDefault="00000000">
      <w:pPr>
        <w:pStyle w:val="Heading2"/>
      </w:pPr>
      <w:bookmarkStart w:id="5" w:name="_Toc236434557"/>
      <w:r>
        <w:t>Comparing the liquidity ratios with industry benchmarks</w:t>
      </w:r>
      <w:bookmarkEnd w:id="5"/>
      <w:r>
        <w:t xml:space="preserve"> </w:t>
      </w:r>
    </w:p>
    <w:p w14:paraId="6B22197C" w14:textId="77777777" w:rsidR="008276E7" w:rsidRDefault="00000000">
      <w:pPr>
        <w:jc w:val="center"/>
      </w:pPr>
      <w:r>
        <w:rPr>
          <w:noProof/>
        </w:rPr>
        <w:drawing>
          <wp:inline distT="114300" distB="114300" distL="114300" distR="114300" wp14:anchorId="0C060173" wp14:editId="5D7245F5">
            <wp:extent cx="5943600" cy="35814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943600" cy="3581400"/>
                    </a:xfrm>
                    <a:prstGeom prst="rect">
                      <a:avLst/>
                    </a:prstGeom>
                    <a:ln/>
                  </pic:spPr>
                </pic:pic>
              </a:graphicData>
            </a:graphic>
          </wp:inline>
        </w:drawing>
      </w:r>
    </w:p>
    <w:p w14:paraId="1638883C" w14:textId="77777777" w:rsidR="008276E7" w:rsidRDefault="00000000">
      <w:pPr>
        <w:spacing w:line="360" w:lineRule="auto"/>
        <w:jc w:val="center"/>
        <w:rPr>
          <w:b/>
          <w:bCs/>
          <w:sz w:val="24"/>
          <w:szCs w:val="24"/>
        </w:rPr>
      </w:pPr>
      <w:r>
        <w:rPr>
          <w:b/>
          <w:bCs/>
          <w:sz w:val="24"/>
          <w:szCs w:val="24"/>
        </w:rPr>
        <w:t xml:space="preserve">Figure 7: Comparison of liquidity ratios of Whitbread PLC with industry benchmark as of 2025 </w:t>
      </w:r>
    </w:p>
    <w:p w14:paraId="11CF25B7" w14:textId="77777777" w:rsidR="008276E7" w:rsidRDefault="00000000">
      <w:pPr>
        <w:spacing w:after="200" w:line="360" w:lineRule="auto"/>
        <w:jc w:val="both"/>
        <w:rPr>
          <w:sz w:val="24"/>
          <w:szCs w:val="24"/>
        </w:rPr>
      </w:pPr>
      <w:r>
        <w:rPr>
          <w:sz w:val="24"/>
          <w:szCs w:val="24"/>
        </w:rPr>
        <w:t xml:space="preserve">Whitbread had a current ratio of 0.81 against the industry average of 0.75 in the hospitality industry. This means that the company carries a little more current assets as compared </w:t>
      </w:r>
      <w:r>
        <w:rPr>
          <w:sz w:val="24"/>
          <w:szCs w:val="24"/>
        </w:rPr>
        <w:lastRenderedPageBreak/>
        <w:t>to current liabilities than the average competitor. Even though a ratio below 1.0 traditionally may indicate a possible liquidity issue, these values are quite usual in the hospitality sector because of high cash flows, prior customer bookings, and effective working capital management practices (Blessing and Sakouvogui, 2023).</w:t>
      </w:r>
    </w:p>
    <w:p w14:paraId="52E68EA2" w14:textId="77777777" w:rsidR="008276E7" w:rsidRDefault="00000000">
      <w:pPr>
        <w:spacing w:after="200" w:line="360" w:lineRule="auto"/>
        <w:jc w:val="both"/>
        <w:rPr>
          <w:sz w:val="24"/>
          <w:szCs w:val="24"/>
        </w:rPr>
      </w:pPr>
      <w:r>
        <w:rPr>
          <w:sz w:val="24"/>
          <w:szCs w:val="24"/>
        </w:rPr>
        <w:t>The acid-test ratio of the company is, however, way below the industry average of 1.20, as it stands at 0.80. The quick ratio does not consider inventories, and thus it is a more conservative measure of liquidity. The implication of this finding is that, when compared to most industry counterparts, Whitbread might have a smaller ability to cover the short-term commitments with the help of its most liquid assets, including cash and receivables (Hanb and Liuc, 2024). This poor performance has been supported by the fall in cash balances during the past years.</w:t>
      </w:r>
    </w:p>
    <w:p w14:paraId="71FABCAF" w14:textId="77777777" w:rsidR="008276E7" w:rsidRDefault="00000000">
      <w:pPr>
        <w:spacing w:before="240" w:after="240" w:line="360" w:lineRule="auto"/>
        <w:jc w:val="both"/>
        <w:rPr>
          <w:sz w:val="24"/>
          <w:szCs w:val="24"/>
        </w:rPr>
      </w:pPr>
      <w:r>
        <w:rPr>
          <w:sz w:val="24"/>
          <w:szCs w:val="24"/>
        </w:rPr>
        <w:t xml:space="preserve">On the whole, Whitbread is doing a bit better than the industry average of the current ratio but worse than the industry average of the quick ratio. This means that although the company has a satisfactory working capital position as compared to those of the sector, its liquidity position in the short run is rather poor. The management should thus make it a priority to preserve cash, tighten working capital controls and enhance cash flow generation to increase financial resiliency and decrease short-term liquidity risk. </w:t>
      </w:r>
    </w:p>
    <w:p w14:paraId="3B256BA1" w14:textId="77777777" w:rsidR="008276E7" w:rsidRDefault="00000000">
      <w:pPr>
        <w:pStyle w:val="Heading1"/>
      </w:pPr>
      <w:bookmarkStart w:id="6" w:name="_Toc236434558"/>
      <w:r>
        <w:t>Working capital management analysis</w:t>
      </w:r>
      <w:bookmarkEnd w:id="6"/>
      <w:r>
        <w:t xml:space="preserve"> </w:t>
      </w:r>
    </w:p>
    <w:p w14:paraId="259EC240" w14:textId="77777777" w:rsidR="008276E7" w:rsidRDefault="00000000">
      <w:pPr>
        <w:pStyle w:val="Heading2"/>
      </w:pPr>
      <w:bookmarkStart w:id="7" w:name="_Toc236434559"/>
      <w:r>
        <w:t>Assessing cash operating cycle</w:t>
      </w:r>
      <w:bookmarkEnd w:id="7"/>
      <w:r>
        <w:t xml:space="preserve"> </w:t>
      </w:r>
    </w:p>
    <w:p w14:paraId="568EE505" w14:textId="77777777" w:rsidR="008276E7" w:rsidRDefault="00000000">
      <w:pPr>
        <w:spacing w:after="200" w:line="360" w:lineRule="auto"/>
        <w:jc w:val="both"/>
        <w:rPr>
          <w:sz w:val="24"/>
          <w:szCs w:val="24"/>
        </w:rPr>
      </w:pPr>
      <w:r>
        <w:rPr>
          <w:sz w:val="24"/>
          <w:szCs w:val="24"/>
        </w:rPr>
        <w:t xml:space="preserve">The problem of working capital management is significant in the hospitality sector as it directly determines such factors as liquidity, stability in operations, and the capacity to fulfil short-term commitments (Chambers and Cifter, 2022). Cash operating cycle (COC) is a metric of the period in which the invested cash in operations is converted into cash by generating revenue (Asman </w:t>
      </w:r>
      <w:r>
        <w:rPr>
          <w:i/>
          <w:iCs/>
          <w:sz w:val="24"/>
          <w:szCs w:val="24"/>
        </w:rPr>
        <w:t>et al</w:t>
      </w:r>
      <w:r>
        <w:rPr>
          <w:sz w:val="24"/>
          <w:szCs w:val="24"/>
        </w:rPr>
        <w:t>. 2022). It is determined as inventory holding period, plus receivables collection period, less payables payment period.</w:t>
      </w:r>
    </w:p>
    <w:p w14:paraId="42F4CD81" w14:textId="77777777" w:rsidR="008276E7" w:rsidRDefault="00000000">
      <w:pPr>
        <w:spacing w:after="200" w:line="360" w:lineRule="auto"/>
        <w:jc w:val="both"/>
        <w:rPr>
          <w:sz w:val="24"/>
          <w:szCs w:val="24"/>
        </w:rPr>
      </w:pPr>
      <w:r>
        <w:rPr>
          <w:sz w:val="24"/>
          <w:szCs w:val="24"/>
        </w:rPr>
        <w:t xml:space="preserve">The business model of Whitbread is not the same as manufacturing companies since inventories constitute quite a small share of current assets. The level of inventories was </w:t>
      </w:r>
      <w:r>
        <w:rPr>
          <w:sz w:val="24"/>
          <w:szCs w:val="24"/>
        </w:rPr>
        <w:lastRenderedPageBreak/>
        <w:t xml:space="preserve">low in both periods and dropped to 17.1 million in 2025, which means that the company had good control over its inventories and had minimal risk of obsolescence of the stock (Halilović, 2022). Moreover, the accounts receivable turnover increased dramatically, as it was 7.94 times in 2021 and 22.99 times in 2025, which indicates the increased rate at which the company was able to collect customer payments and improve the management of its credit. This shows the strength of the hospitality industry, where most of the consumers offer direct payments to the hospitality industry, and the online payment system brings automatic cash to the industry (agustin WULANDARI </w:t>
      </w:r>
      <w:r>
        <w:rPr>
          <w:i/>
          <w:iCs/>
          <w:sz w:val="24"/>
          <w:szCs w:val="24"/>
        </w:rPr>
        <w:t>et al.</w:t>
      </w:r>
      <w:r>
        <w:rPr>
          <w:sz w:val="24"/>
          <w:szCs w:val="24"/>
        </w:rPr>
        <w:t xml:space="preserve"> 2026).</w:t>
      </w:r>
    </w:p>
    <w:p w14:paraId="447C9BCA" w14:textId="77777777" w:rsidR="008276E7" w:rsidRDefault="00000000">
      <w:pPr>
        <w:spacing w:after="200" w:line="360" w:lineRule="auto"/>
        <w:jc w:val="both"/>
        <w:rPr>
          <w:sz w:val="24"/>
          <w:szCs w:val="24"/>
        </w:rPr>
      </w:pPr>
      <w:r>
        <w:rPr>
          <w:sz w:val="24"/>
          <w:szCs w:val="24"/>
        </w:rPr>
        <w:t>In spite of these operational advantages, there is a decline in liquidity. The current ratio has dropped to 0.81 in 2025 as compared to 1.74 in 2021, whereas the quick ratio has dropped to 0.80 as compared to 1.73. Cash and cash equivalents also decreased from about £1.53 billion in 2021 to 0.91 billion in 2025. These patterns indicate that, whilst Whitbread is effectively transforming sales into cash, growing current liabilities and financial obligations are straining resources of working capital (Survilė, 2025).</w:t>
      </w:r>
    </w:p>
    <w:p w14:paraId="7B716A9F" w14:textId="77777777" w:rsidR="008276E7" w:rsidRDefault="00000000">
      <w:pPr>
        <w:pStyle w:val="Heading2"/>
      </w:pPr>
      <w:bookmarkStart w:id="8" w:name="_Toc236434560"/>
      <w:r>
        <w:t>Recommendation for liquidity improvement by reforming working capital</w:t>
      </w:r>
      <w:bookmarkEnd w:id="8"/>
      <w:r>
        <w:t xml:space="preserve"> </w:t>
      </w:r>
    </w:p>
    <w:p w14:paraId="49145896" w14:textId="77777777" w:rsidR="008276E7" w:rsidRDefault="00000000">
      <w:pPr>
        <w:numPr>
          <w:ilvl w:val="0"/>
          <w:numId w:val="1"/>
        </w:numPr>
        <w:spacing w:line="360" w:lineRule="auto"/>
        <w:jc w:val="both"/>
        <w:rPr>
          <w:sz w:val="24"/>
          <w:szCs w:val="24"/>
        </w:rPr>
      </w:pPr>
      <w:r>
        <w:rPr>
          <w:sz w:val="24"/>
          <w:szCs w:val="24"/>
        </w:rPr>
        <w:t xml:space="preserve">The company ought to </w:t>
      </w:r>
      <w:r>
        <w:rPr>
          <w:b/>
          <w:bCs/>
          <w:i/>
          <w:iCs/>
          <w:sz w:val="24"/>
          <w:szCs w:val="24"/>
        </w:rPr>
        <w:t>improve cash forecasting and treasury management.</w:t>
      </w:r>
      <w:r>
        <w:rPr>
          <w:sz w:val="24"/>
          <w:szCs w:val="24"/>
        </w:rPr>
        <w:t xml:space="preserve"> Better predictions of seasonal occupancy rates, customer demand, and cash inflows would enhance cash allocation choices and avoid avoidable cash shortages (Barnabas and Oloyede, 2024). Next-generation forecasting systems might assist management in predicting the liquidity pressures when they occur.</w:t>
      </w:r>
    </w:p>
    <w:p w14:paraId="2C975207" w14:textId="77777777" w:rsidR="008276E7" w:rsidRDefault="00000000">
      <w:pPr>
        <w:numPr>
          <w:ilvl w:val="0"/>
          <w:numId w:val="1"/>
        </w:numPr>
        <w:spacing w:line="360" w:lineRule="auto"/>
        <w:jc w:val="both"/>
        <w:rPr>
          <w:sz w:val="24"/>
          <w:szCs w:val="24"/>
        </w:rPr>
      </w:pPr>
      <w:r>
        <w:rPr>
          <w:sz w:val="24"/>
          <w:szCs w:val="24"/>
        </w:rPr>
        <w:t xml:space="preserve">Second, Whitbread ought to </w:t>
      </w:r>
      <w:r>
        <w:rPr>
          <w:b/>
          <w:bCs/>
          <w:i/>
          <w:iCs/>
          <w:sz w:val="24"/>
          <w:szCs w:val="24"/>
        </w:rPr>
        <w:t xml:space="preserve">keep up its receivables management practices. </w:t>
      </w:r>
      <w:r>
        <w:rPr>
          <w:sz w:val="24"/>
          <w:szCs w:val="24"/>
        </w:rPr>
        <w:t>Despite the already high levels of receivables turnover, the additional growth of prepaid bookings, mobile payment systems, and monitoring cash flow by the corporate customers would enhance the speed of cash collection and increase liquidity (Barnabas and Oloyede, 2024).</w:t>
      </w:r>
    </w:p>
    <w:p w14:paraId="4432A0B9" w14:textId="77777777" w:rsidR="008276E7" w:rsidRDefault="00000000">
      <w:pPr>
        <w:numPr>
          <w:ilvl w:val="0"/>
          <w:numId w:val="1"/>
        </w:numPr>
        <w:spacing w:line="360" w:lineRule="auto"/>
        <w:jc w:val="both"/>
        <w:rPr>
          <w:sz w:val="24"/>
          <w:szCs w:val="24"/>
        </w:rPr>
      </w:pPr>
      <w:r>
        <w:rPr>
          <w:sz w:val="24"/>
          <w:szCs w:val="24"/>
        </w:rPr>
        <w:t xml:space="preserve">Third, the management ought to </w:t>
      </w:r>
      <w:r>
        <w:rPr>
          <w:b/>
          <w:bCs/>
          <w:i/>
          <w:iCs/>
          <w:sz w:val="24"/>
          <w:szCs w:val="24"/>
        </w:rPr>
        <w:t>streamline supplier payment methods.</w:t>
      </w:r>
      <w:r>
        <w:rPr>
          <w:sz w:val="24"/>
          <w:szCs w:val="24"/>
        </w:rPr>
        <w:t xml:space="preserve"> The company would be able to hold cash longer by negotiating longer credit terms with its key suppliers without hurting supplier relationships (Grewal </w:t>
      </w:r>
      <w:r>
        <w:rPr>
          <w:i/>
          <w:iCs/>
          <w:sz w:val="24"/>
          <w:szCs w:val="24"/>
        </w:rPr>
        <w:t>et al.</w:t>
      </w:r>
      <w:r>
        <w:rPr>
          <w:sz w:val="24"/>
          <w:szCs w:val="24"/>
        </w:rPr>
        <w:t xml:space="preserve"> 2024). Since </w:t>
      </w:r>
      <w:r>
        <w:rPr>
          <w:sz w:val="24"/>
          <w:szCs w:val="24"/>
        </w:rPr>
        <w:lastRenderedPageBreak/>
        <w:t>Whitbread has a good market standing and size, it can have adequate bargaining power to have more favourable payment terms.</w:t>
      </w:r>
    </w:p>
    <w:p w14:paraId="654CAC4D" w14:textId="77777777" w:rsidR="008276E7" w:rsidRDefault="00000000">
      <w:pPr>
        <w:numPr>
          <w:ilvl w:val="0"/>
          <w:numId w:val="1"/>
        </w:numPr>
        <w:spacing w:after="200" w:line="360" w:lineRule="auto"/>
        <w:jc w:val="both"/>
        <w:rPr>
          <w:sz w:val="24"/>
          <w:szCs w:val="24"/>
        </w:rPr>
      </w:pPr>
      <w:r>
        <w:rPr>
          <w:sz w:val="24"/>
          <w:szCs w:val="24"/>
        </w:rPr>
        <w:t xml:space="preserve">Fourth, </w:t>
      </w:r>
      <w:r>
        <w:rPr>
          <w:b/>
          <w:bCs/>
          <w:i/>
          <w:iCs/>
          <w:sz w:val="24"/>
          <w:szCs w:val="24"/>
        </w:rPr>
        <w:t>tight control of inventory management</w:t>
      </w:r>
      <w:r>
        <w:rPr>
          <w:sz w:val="24"/>
          <w:szCs w:val="24"/>
        </w:rPr>
        <w:t xml:space="preserve"> should be maintained. The current level of inventory is already quite low, yet additional adoption of demand forecasting tools and the centralisation of procurement systems might reduce the amount of excess inventory and preserve the quality of services (Patil, 2024).</w:t>
      </w:r>
    </w:p>
    <w:p w14:paraId="497AF0AC" w14:textId="77777777" w:rsidR="008276E7" w:rsidRDefault="00000000">
      <w:pPr>
        <w:pStyle w:val="Heading2"/>
      </w:pPr>
      <w:bookmarkStart w:id="9" w:name="_Toc236434561"/>
      <w:r>
        <w:t>Comparison between short-term and long-term financial options</w:t>
      </w:r>
      <w:bookmarkEnd w:id="9"/>
      <w:r>
        <w:t xml:space="preserve"> </w:t>
      </w:r>
    </w:p>
    <w:p w14:paraId="0C6FC324" w14:textId="77777777" w:rsidR="008276E7" w:rsidRDefault="00000000">
      <w:pPr>
        <w:spacing w:after="200" w:line="360" w:lineRule="auto"/>
        <w:jc w:val="both"/>
        <w:rPr>
          <w:sz w:val="24"/>
          <w:szCs w:val="24"/>
        </w:rPr>
      </w:pPr>
      <w:r>
        <w:rPr>
          <w:sz w:val="24"/>
          <w:szCs w:val="24"/>
        </w:rPr>
        <w:t xml:space="preserve">Bank overdrafts, trade credit, revolving credit facilities and short-term loans are some of the short-term financing options. These are typically cheaper sources of financing than long-term sources and offer flexibility to meet short-term liquidity crises (Koralun-Berezina, 2025). A case in point, the seasonal changes in hotel occupancy can be efficiently financed with the help of overdraft facilities. But on the other hand, short-term financing exposes the company to refinancing risk and interest rate risk. Liquidity can also be undermined by excessive dependence on short-term borrowing in the event of tightening of credit conditions (Chen </w:t>
      </w:r>
      <w:r>
        <w:rPr>
          <w:i/>
          <w:iCs/>
          <w:sz w:val="24"/>
          <w:szCs w:val="24"/>
        </w:rPr>
        <w:t xml:space="preserve">et al. </w:t>
      </w:r>
      <w:r>
        <w:rPr>
          <w:sz w:val="24"/>
          <w:szCs w:val="24"/>
        </w:rPr>
        <w:t>2025).</w:t>
      </w:r>
    </w:p>
    <w:p w14:paraId="369DE896" w14:textId="77777777" w:rsidR="008276E7" w:rsidRDefault="00000000">
      <w:pPr>
        <w:spacing w:after="200" w:line="360" w:lineRule="auto"/>
        <w:jc w:val="both"/>
        <w:rPr>
          <w:sz w:val="24"/>
          <w:szCs w:val="24"/>
        </w:rPr>
      </w:pPr>
      <w:r>
        <w:rPr>
          <w:sz w:val="24"/>
          <w:szCs w:val="24"/>
        </w:rPr>
        <w:t xml:space="preserve">Long-term financing, on the other hand, incorporates long-term bank loans, corporate bonds, lease financing and equity financing. The long-term funds are more financially stable since the payment is made over a long period (Lejeune and Mohimont, 2025). It lessens the risk of refinancing and enables large-scale investments, like hotel expansion, refurbishment programs, and international growth programs. Nonetheless, long-term financing tends to have increased total financing costs and can decrease financial flexibility because of the long-term contractual obligations (Zhu </w:t>
      </w:r>
      <w:r>
        <w:rPr>
          <w:i/>
          <w:iCs/>
          <w:sz w:val="24"/>
          <w:szCs w:val="24"/>
        </w:rPr>
        <w:t>et al.</w:t>
      </w:r>
      <w:r>
        <w:rPr>
          <w:sz w:val="24"/>
          <w:szCs w:val="24"/>
        </w:rPr>
        <w:t xml:space="preserve"> 2023).</w:t>
      </w:r>
    </w:p>
    <w:p w14:paraId="62F09849" w14:textId="77777777" w:rsidR="008276E7" w:rsidRDefault="00000000">
      <w:pPr>
        <w:spacing w:after="200" w:line="360" w:lineRule="auto"/>
        <w:jc w:val="both"/>
        <w:rPr>
          <w:sz w:val="24"/>
          <w:szCs w:val="24"/>
        </w:rPr>
      </w:pPr>
      <w:r>
        <w:rPr>
          <w:sz w:val="24"/>
          <w:szCs w:val="24"/>
        </w:rPr>
        <w:t>In the case of Whitbread, a balanced financing approach would be best. According to the opinion expressed by Challoumis (2024), strategic investments and expansion projects that yield sustainable returns in the future should be financed in the long term. This would help manage liquidity, retain financial stability, and enhance long-term shareholder value creation.</w:t>
      </w:r>
    </w:p>
    <w:p w14:paraId="430F0189" w14:textId="77777777" w:rsidR="008276E7" w:rsidRDefault="00000000">
      <w:pPr>
        <w:pStyle w:val="Heading1"/>
      </w:pPr>
      <w:bookmarkStart w:id="10" w:name="_Toc236434562"/>
      <w:r>
        <w:lastRenderedPageBreak/>
        <w:t>Strategic financial restructuring plan</w:t>
      </w:r>
      <w:bookmarkEnd w:id="10"/>
      <w:r>
        <w:t xml:space="preserve"> </w:t>
      </w:r>
    </w:p>
    <w:p w14:paraId="31BAB684" w14:textId="77777777" w:rsidR="008276E7" w:rsidRDefault="00000000">
      <w:pPr>
        <w:pStyle w:val="Heading2"/>
      </w:pPr>
      <w:bookmarkStart w:id="11" w:name="_Toc236434563"/>
      <w:r>
        <w:t>Suggested financial restructuring</w:t>
      </w:r>
      <w:bookmarkEnd w:id="11"/>
      <w:r>
        <w:t xml:space="preserve"> </w:t>
      </w:r>
    </w:p>
    <w:p w14:paraId="62F8C64F" w14:textId="77777777" w:rsidR="008276E7" w:rsidRDefault="00000000">
      <w:pPr>
        <w:spacing w:after="200" w:line="360" w:lineRule="auto"/>
        <w:jc w:val="both"/>
        <w:rPr>
          <w:sz w:val="24"/>
          <w:szCs w:val="24"/>
        </w:rPr>
      </w:pPr>
      <w:r>
        <w:rPr>
          <w:b/>
          <w:bCs/>
          <w:sz w:val="24"/>
          <w:szCs w:val="24"/>
        </w:rPr>
        <w:t xml:space="preserve">Sale of non-core and underperforming assets- </w:t>
      </w:r>
      <w:r>
        <w:rPr>
          <w:sz w:val="24"/>
          <w:szCs w:val="24"/>
        </w:rPr>
        <w:t>Whitbread is advised to sell off non-core or underperforming assets, especially those that yield below average returns. The firm already has an established hotel portfolio of owned and leased hotels in the UK and in Germany. The sale of selected mature properties and a sale-and-leaseback strategy may free up capital that is tied to fixed assets, and enable the hotel to continue to operate its facilities (Le Truong, n.d.). The resulting proceeds would be utilised in settling debt, bolstering cash reserves, and investing in future growth opportunities. With property, plant and equipment constituting around 4.68 billion of total assets in 2025, a modest disposal programme could create substantial liquidity.</w:t>
      </w:r>
    </w:p>
    <w:p w14:paraId="7CDCB52A" w14:textId="77777777" w:rsidR="008276E7" w:rsidRDefault="00000000">
      <w:pPr>
        <w:spacing w:after="200" w:line="360" w:lineRule="auto"/>
        <w:jc w:val="both"/>
        <w:rPr>
          <w:sz w:val="24"/>
          <w:szCs w:val="24"/>
        </w:rPr>
      </w:pPr>
      <w:r>
        <w:rPr>
          <w:b/>
          <w:bCs/>
          <w:sz w:val="24"/>
          <w:szCs w:val="24"/>
        </w:rPr>
        <w:t>Equity-</w:t>
      </w:r>
      <w:r>
        <w:rPr>
          <w:sz w:val="24"/>
          <w:szCs w:val="24"/>
        </w:rPr>
        <w:t xml:space="preserve"> For Whitbread, the debt-to-equity ratio decreased to 1.29 in 2021, but in 2025, the ratio stood at 1.97, which shows an increase in leverage and financial risk. The issuance of new shares would dilute the existing ownership in the short term, but it would enhance a greater equity base, which will enhance financial stability and alleviate strain on cash flows due to interest and lease payments (Rodrigues, 2026).</w:t>
      </w:r>
    </w:p>
    <w:p w14:paraId="3A1EFEC0" w14:textId="77777777" w:rsidR="008276E7" w:rsidRDefault="00000000">
      <w:pPr>
        <w:spacing w:line="360" w:lineRule="auto"/>
        <w:jc w:val="both"/>
        <w:rPr>
          <w:sz w:val="24"/>
          <w:szCs w:val="24"/>
        </w:rPr>
      </w:pPr>
      <w:r>
        <w:rPr>
          <w:b/>
          <w:bCs/>
          <w:sz w:val="24"/>
          <w:szCs w:val="24"/>
        </w:rPr>
        <w:t>Strategic partnership</w:t>
      </w:r>
      <w:r>
        <w:rPr>
          <w:sz w:val="24"/>
          <w:szCs w:val="24"/>
        </w:rPr>
        <w:t xml:space="preserve">- The large-scale mergers are associated with high integration costs and operational risks. Rather, Whitbread needs to seek strategic alliances and joint ventures with technology providers, travel platforms and local hospitality operators in the global markets. These alliances would create access to new consumers, online capabilities and market knowledge and minimise capital spending needs and decrease financial risk (Achieng and Kabisani, 2025).  </w:t>
      </w:r>
    </w:p>
    <w:p w14:paraId="521FD434" w14:textId="77777777" w:rsidR="008276E7" w:rsidRDefault="00000000">
      <w:pPr>
        <w:pStyle w:val="Heading2"/>
      </w:pPr>
      <w:bookmarkStart w:id="12" w:name="_Toc236434564"/>
      <w:r>
        <w:t>Evaluation of impacts</w:t>
      </w:r>
      <w:bookmarkEnd w:id="12"/>
      <w:r>
        <w:t xml:space="preserve"> </w:t>
      </w:r>
    </w:p>
    <w:p w14:paraId="2A1CC188" w14:textId="77777777" w:rsidR="008276E7" w:rsidRDefault="00000000">
      <w:pPr>
        <w:spacing w:line="360" w:lineRule="auto"/>
        <w:jc w:val="both"/>
        <w:rPr>
          <w:sz w:val="24"/>
          <w:szCs w:val="24"/>
        </w:rPr>
      </w:pPr>
      <w:r>
        <w:rPr>
          <w:b/>
          <w:bCs/>
          <w:sz w:val="24"/>
          <w:szCs w:val="24"/>
        </w:rPr>
        <w:t xml:space="preserve">Shareholder value- </w:t>
      </w:r>
      <w:r>
        <w:rPr>
          <w:sz w:val="24"/>
          <w:szCs w:val="24"/>
        </w:rPr>
        <w:t>The proposed restructuring measures would have a number of benefits for shareholders. First, the reduction of debt by means of asset divestitures would reduce financial risk and enhance creditworthiness. Investors tend to compensate firms with better balance sheets with lower valuation multiples and a lower cost of capital (Arhinful</w:t>
      </w:r>
      <w:r>
        <w:rPr>
          <w:i/>
          <w:iCs/>
          <w:sz w:val="24"/>
          <w:szCs w:val="24"/>
        </w:rPr>
        <w:t xml:space="preserve"> et al. </w:t>
      </w:r>
      <w:r>
        <w:rPr>
          <w:sz w:val="24"/>
          <w:szCs w:val="24"/>
        </w:rPr>
        <w:t xml:space="preserve">2024). Second, building an equity base would enhance the ability of </w:t>
      </w:r>
      <w:r>
        <w:rPr>
          <w:sz w:val="24"/>
          <w:szCs w:val="24"/>
        </w:rPr>
        <w:lastRenderedPageBreak/>
        <w:t xml:space="preserve">Whitbread to endure economic recessions. The enhanced capital structure would aid in future investment opportunities as well as maintaining long-term shareholder value (Stoiljković </w:t>
      </w:r>
      <w:r>
        <w:rPr>
          <w:i/>
          <w:iCs/>
          <w:sz w:val="24"/>
          <w:szCs w:val="24"/>
        </w:rPr>
        <w:t>et al.</w:t>
      </w:r>
      <w:r>
        <w:rPr>
          <w:sz w:val="24"/>
          <w:szCs w:val="24"/>
        </w:rPr>
        <w:t xml:space="preserve"> 2023). </w:t>
      </w:r>
    </w:p>
    <w:p w14:paraId="2C3954CD" w14:textId="77777777" w:rsidR="008276E7" w:rsidRDefault="00000000">
      <w:pPr>
        <w:spacing w:line="360" w:lineRule="auto"/>
        <w:jc w:val="both"/>
        <w:rPr>
          <w:sz w:val="24"/>
          <w:szCs w:val="24"/>
        </w:rPr>
      </w:pPr>
      <w:r>
        <w:rPr>
          <w:b/>
          <w:bCs/>
          <w:sz w:val="24"/>
          <w:szCs w:val="24"/>
        </w:rPr>
        <w:t>Debt structure-</w:t>
      </w:r>
      <w:r>
        <w:rPr>
          <w:sz w:val="24"/>
          <w:szCs w:val="24"/>
        </w:rPr>
        <w:t xml:space="preserve"> Low leverage would enhance flexibility in operations. Whitbread has total liabilities of over £6.5 billion, with over 4 billion of leases. Reduced debt obligations would enhance the capacity of the management to react to the fluctuating market conditions, invest in the renovation of its hotels, and expand its operations without being constrained by high financing requirements (Jackson, 2025). </w:t>
      </w:r>
    </w:p>
    <w:p w14:paraId="2E770082" w14:textId="77777777" w:rsidR="008276E7" w:rsidRDefault="00000000">
      <w:pPr>
        <w:spacing w:line="360" w:lineRule="auto"/>
        <w:jc w:val="both"/>
        <w:rPr>
          <w:b/>
          <w:bCs/>
          <w:sz w:val="24"/>
          <w:szCs w:val="24"/>
        </w:rPr>
      </w:pPr>
      <w:r>
        <w:rPr>
          <w:b/>
          <w:bCs/>
          <w:sz w:val="24"/>
          <w:szCs w:val="24"/>
        </w:rPr>
        <w:t>Operational flexibility-</w:t>
      </w:r>
      <w:r>
        <w:rPr>
          <w:sz w:val="24"/>
          <w:szCs w:val="24"/>
        </w:rPr>
        <w:t xml:space="preserve"> The management needs to strike the right balance in restructuring operations. The large sale of assets may lead to diminished future revenue-generating capacity, whereas massive equity issues might lead to shareholder dilution issues (MARUBE, 2025). An intensive and progressive method is hence advisable.  </w:t>
      </w:r>
    </w:p>
    <w:p w14:paraId="265B525F" w14:textId="77777777" w:rsidR="008276E7" w:rsidRDefault="00000000">
      <w:pPr>
        <w:pStyle w:val="Heading2"/>
      </w:pPr>
      <w:bookmarkStart w:id="13" w:name="_Toc236434565"/>
      <w:r>
        <w:t>International and ethical consideration</w:t>
      </w:r>
      <w:bookmarkEnd w:id="13"/>
      <w:r>
        <w:t xml:space="preserve"> </w:t>
      </w:r>
    </w:p>
    <w:p w14:paraId="1873C382" w14:textId="77777777" w:rsidR="008276E7" w:rsidRDefault="00000000">
      <w:pPr>
        <w:spacing w:line="360" w:lineRule="auto"/>
        <w:jc w:val="both"/>
        <w:rPr>
          <w:b/>
          <w:bCs/>
          <w:sz w:val="24"/>
          <w:szCs w:val="24"/>
        </w:rPr>
      </w:pPr>
      <w:r>
        <w:rPr>
          <w:b/>
          <w:bCs/>
          <w:sz w:val="24"/>
          <w:szCs w:val="24"/>
        </w:rPr>
        <w:t xml:space="preserve">International consideration: </w:t>
      </w:r>
    </w:p>
    <w:p w14:paraId="2C200029" w14:textId="77777777" w:rsidR="008276E7" w:rsidRDefault="00000000">
      <w:pPr>
        <w:spacing w:after="200" w:line="360" w:lineRule="auto"/>
        <w:jc w:val="both"/>
        <w:rPr>
          <w:sz w:val="24"/>
          <w:szCs w:val="24"/>
        </w:rPr>
      </w:pPr>
      <w:r>
        <w:rPr>
          <w:sz w:val="24"/>
          <w:szCs w:val="24"/>
        </w:rPr>
        <w:t xml:space="preserve">Though most of the revenues of Whitbread are earned in the UK, its expanding business in Germany exposes the business to the risks of the variability of the British pound and the euro. Exchange-rate volatility has the potential to impact earnings, asset valuation, and cash flows. As shown in the European Central Bank (2025), the GBP/EUR exchange rate is expected to vary between about 1.10 and 1.20 per 1 pound in 2024-2025, demonstrating how currency movements could affect global profitability. </w:t>
      </w:r>
    </w:p>
    <w:p w14:paraId="62B2E5A1" w14:textId="77777777" w:rsidR="008276E7" w:rsidRDefault="00000000">
      <w:pPr>
        <w:spacing w:after="200" w:line="360" w:lineRule="auto"/>
        <w:jc w:val="both"/>
        <w:rPr>
          <w:sz w:val="24"/>
          <w:szCs w:val="24"/>
        </w:rPr>
      </w:pPr>
      <w:r>
        <w:rPr>
          <w:sz w:val="24"/>
          <w:szCs w:val="24"/>
        </w:rPr>
        <w:t xml:space="preserve">One of the issues that is affecting the hospitality industry is inflation. The UK Office for National Statistics (2026) indicates that the consumer price index (CPI) experienced an increase of 2.8, including the housing costs of the occupiers, by June 2026. Increasing labour costs, food prices, energy costs, and maintenance costs directly affect the </w:t>
      </w:r>
      <w:r>
        <w:rPr>
          <w:sz w:val="24"/>
          <w:szCs w:val="24"/>
        </w:rPr>
        <w:lastRenderedPageBreak/>
        <w:t xml:space="preserve">profitability of the hotel (Paapa and Kambona, 2025). </w:t>
      </w:r>
      <w:r>
        <w:rPr>
          <w:noProof/>
          <w:sz w:val="24"/>
          <w:szCs w:val="24"/>
        </w:rPr>
        <w:drawing>
          <wp:inline distT="114300" distB="114300" distL="114300" distR="114300" wp14:anchorId="03F2B627" wp14:editId="1142AA19">
            <wp:extent cx="5943600" cy="369570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5943600" cy="3695700"/>
                    </a:xfrm>
                    <a:prstGeom prst="rect">
                      <a:avLst/>
                    </a:prstGeom>
                    <a:ln/>
                  </pic:spPr>
                </pic:pic>
              </a:graphicData>
            </a:graphic>
          </wp:inline>
        </w:drawing>
      </w:r>
    </w:p>
    <w:p w14:paraId="04204F4C" w14:textId="77777777" w:rsidR="008276E7" w:rsidRDefault="00000000">
      <w:pPr>
        <w:spacing w:before="240" w:after="240" w:line="360" w:lineRule="auto"/>
        <w:jc w:val="center"/>
        <w:rPr>
          <w:b/>
          <w:bCs/>
          <w:sz w:val="24"/>
          <w:szCs w:val="24"/>
        </w:rPr>
      </w:pPr>
      <w:r>
        <w:rPr>
          <w:b/>
          <w:bCs/>
          <w:sz w:val="24"/>
          <w:szCs w:val="24"/>
        </w:rPr>
        <w:t xml:space="preserve">Figure 8: Average inflationary trend of the UK over the years </w:t>
      </w:r>
    </w:p>
    <w:p w14:paraId="668EC91C" w14:textId="77777777" w:rsidR="008276E7" w:rsidRDefault="00000000">
      <w:pPr>
        <w:spacing w:before="240" w:after="240" w:line="360" w:lineRule="auto"/>
        <w:jc w:val="center"/>
        <w:rPr>
          <w:sz w:val="24"/>
          <w:szCs w:val="24"/>
        </w:rPr>
      </w:pPr>
      <w:r>
        <w:rPr>
          <w:sz w:val="24"/>
          <w:szCs w:val="24"/>
        </w:rPr>
        <w:t>(Source: Statista, 2024)</w:t>
      </w:r>
    </w:p>
    <w:p w14:paraId="0EC62159" w14:textId="77777777" w:rsidR="008276E7" w:rsidRDefault="00000000">
      <w:pPr>
        <w:spacing w:before="240" w:after="240" w:line="360" w:lineRule="auto"/>
        <w:jc w:val="both"/>
        <w:rPr>
          <w:sz w:val="24"/>
          <w:szCs w:val="24"/>
        </w:rPr>
      </w:pPr>
      <w:r>
        <w:rPr>
          <w:sz w:val="24"/>
          <w:szCs w:val="24"/>
        </w:rPr>
        <w:t xml:space="preserve">Moreover, international expansion creates exposure to different corporate tax regimes and regulatory requirements. Whitbread should adopt transparent and compliant tax planning strategies that optimise tax efficiency while avoiding aggressive tax practices that could damage corporate reputation. Maintaining compliance with OECD tax principles and local tax regulations will be essential for preserving stakeholder trust and reducing regulatory risk (Akinsola, 2025).  </w:t>
      </w:r>
    </w:p>
    <w:p w14:paraId="61FA1591" w14:textId="77777777" w:rsidR="008276E7" w:rsidRDefault="00000000">
      <w:pPr>
        <w:spacing w:line="360" w:lineRule="auto"/>
        <w:jc w:val="both"/>
        <w:rPr>
          <w:b/>
          <w:bCs/>
          <w:sz w:val="24"/>
          <w:szCs w:val="24"/>
        </w:rPr>
      </w:pPr>
      <w:r>
        <w:rPr>
          <w:b/>
          <w:bCs/>
          <w:sz w:val="24"/>
          <w:szCs w:val="24"/>
        </w:rPr>
        <w:t>Ethical consideration:</w:t>
      </w:r>
    </w:p>
    <w:p w14:paraId="521A4B65" w14:textId="77777777" w:rsidR="008276E7" w:rsidRDefault="00000000">
      <w:pPr>
        <w:spacing w:after="200" w:line="360" w:lineRule="auto"/>
        <w:jc w:val="both"/>
        <w:rPr>
          <w:sz w:val="24"/>
          <w:szCs w:val="24"/>
        </w:rPr>
      </w:pPr>
      <w:r>
        <w:rPr>
          <w:sz w:val="24"/>
          <w:szCs w:val="24"/>
        </w:rPr>
        <w:t>Reorganisation of finances should not only be aimed at experiencing profitability in the short-term, but it should also be tied to the long-term environmental, social, and governance (ESG) goals. According to Lu</w:t>
      </w:r>
      <w:r>
        <w:rPr>
          <w:i/>
          <w:iCs/>
          <w:sz w:val="24"/>
          <w:szCs w:val="24"/>
        </w:rPr>
        <w:t xml:space="preserve"> et al. </w:t>
      </w:r>
      <w:r>
        <w:rPr>
          <w:sz w:val="24"/>
          <w:szCs w:val="24"/>
        </w:rPr>
        <w:t xml:space="preserve">(2025), investors are putting more emphasis on the sustainability performance of hospitality companies. The Global </w:t>
      </w:r>
      <w:r>
        <w:rPr>
          <w:sz w:val="24"/>
          <w:szCs w:val="24"/>
        </w:rPr>
        <w:lastRenderedPageBreak/>
        <w:t>Sustainable Investment Alliance (2023) claims that the global sustainable investment assets reached more than US30.3 trillion, which is linked with a 20% increase in the non-US market, showing how much ESG considerations have become important in the capital markets.</w:t>
      </w:r>
    </w:p>
    <w:p w14:paraId="55CB34DC" w14:textId="77777777" w:rsidR="008276E7" w:rsidRDefault="00000000">
      <w:pPr>
        <w:spacing w:after="200" w:line="360" w:lineRule="auto"/>
        <w:jc w:val="both"/>
        <w:rPr>
          <w:sz w:val="24"/>
          <w:szCs w:val="24"/>
        </w:rPr>
      </w:pPr>
      <w:r>
        <w:rPr>
          <w:sz w:val="24"/>
          <w:szCs w:val="24"/>
        </w:rPr>
        <w:t xml:space="preserve">Whitbread has already pledged to cut down on carbon emissions and improve environmental performance under its Force for Good sustainability programme (Whitbread Inns, n.d.). Moreover, the management must make certain that the restructuring process has no negative impact on the welfare of employees and quality of services provided (El-Sherbeeny </w:t>
      </w:r>
      <w:r>
        <w:rPr>
          <w:i/>
          <w:iCs/>
          <w:sz w:val="24"/>
          <w:szCs w:val="24"/>
        </w:rPr>
        <w:t>et al.</w:t>
      </w:r>
      <w:r>
        <w:rPr>
          <w:sz w:val="24"/>
          <w:szCs w:val="24"/>
        </w:rPr>
        <w:t xml:space="preserve"> 2024).</w:t>
      </w:r>
    </w:p>
    <w:p w14:paraId="6FB7CD96" w14:textId="77777777" w:rsidR="008276E7" w:rsidRDefault="00000000">
      <w:pPr>
        <w:pStyle w:val="Heading1"/>
      </w:pPr>
      <w:bookmarkStart w:id="14" w:name="_Toc236434566"/>
      <w:r>
        <w:t>Investment appraisal and capital budgeting</w:t>
      </w:r>
      <w:bookmarkEnd w:id="14"/>
      <w:r>
        <w:t xml:space="preserve"> </w:t>
      </w:r>
    </w:p>
    <w:p w14:paraId="7956E262" w14:textId="77777777" w:rsidR="008276E7" w:rsidRDefault="00000000">
      <w:pPr>
        <w:pStyle w:val="Heading2"/>
      </w:pPr>
      <w:bookmarkStart w:id="15" w:name="_Toc236434567"/>
      <w:r>
        <w:t>Investment appraisal</w:t>
      </w:r>
      <w:bookmarkEnd w:id="15"/>
      <w:r>
        <w:t xml:space="preserve"> </w:t>
      </w:r>
    </w:p>
    <w:p w14:paraId="1537C337" w14:textId="77777777" w:rsidR="008276E7" w:rsidRDefault="00000000">
      <w:pPr>
        <w:spacing w:line="360" w:lineRule="auto"/>
        <w:jc w:val="both"/>
        <w:rPr>
          <w:sz w:val="24"/>
          <w:szCs w:val="24"/>
        </w:rPr>
      </w:pPr>
      <w:r>
        <w:rPr>
          <w:sz w:val="24"/>
          <w:szCs w:val="24"/>
        </w:rPr>
        <w:t xml:space="preserve">For calculations, refer to the appendix </w:t>
      </w:r>
    </w:p>
    <w:p w14:paraId="1748C0F7" w14:textId="77777777" w:rsidR="008276E7" w:rsidRDefault="00000000">
      <w:pPr>
        <w:pStyle w:val="Heading2"/>
      </w:pPr>
      <w:bookmarkStart w:id="16" w:name="_Toc236434568"/>
      <w:r>
        <w:t>Recommended project for acceptance and justification</w:t>
      </w:r>
      <w:bookmarkEnd w:id="16"/>
      <w:r>
        <w:t xml:space="preserve"> </w:t>
      </w:r>
    </w:p>
    <w:p w14:paraId="5D1F8F1B" w14:textId="77777777" w:rsidR="008276E7" w:rsidRDefault="00000000">
      <w:pPr>
        <w:spacing w:after="200" w:line="360" w:lineRule="auto"/>
        <w:jc w:val="both"/>
        <w:rPr>
          <w:sz w:val="24"/>
          <w:szCs w:val="24"/>
        </w:rPr>
      </w:pPr>
      <w:r>
        <w:rPr>
          <w:sz w:val="24"/>
          <w:szCs w:val="24"/>
        </w:rPr>
        <w:t xml:space="preserve">The three suggested investment projects have been analysed in terms of five commonly used capital budgeting methods, which include Payback Period (PBP), Accounting Rate of Return (ARR), Net Present Value (NPV), Profitability Index (PI) and Internal Rate of Return (IRR). </w:t>
      </w:r>
    </w:p>
    <w:tbl>
      <w:tblPr>
        <w:tblStyle w:val="a"/>
        <w:tblW w:w="564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95"/>
        <w:gridCol w:w="1110"/>
        <w:gridCol w:w="1110"/>
        <w:gridCol w:w="1125"/>
      </w:tblGrid>
      <w:tr w:rsidR="008276E7" w14:paraId="617B9C39" w14:textId="77777777">
        <w:trPr>
          <w:trHeight w:val="285"/>
        </w:trPr>
        <w:tc>
          <w:tcPr>
            <w:tcW w:w="22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1EC1F4AC" w14:textId="77777777" w:rsidR="008276E7" w:rsidRDefault="00000000">
            <w:pPr>
              <w:spacing w:line="360" w:lineRule="auto"/>
              <w:jc w:val="both"/>
              <w:rPr>
                <w:b/>
                <w:bCs/>
                <w:sz w:val="24"/>
                <w:szCs w:val="24"/>
              </w:rPr>
            </w:pPr>
            <w:r>
              <w:rPr>
                <w:b/>
                <w:bCs/>
                <w:sz w:val="24"/>
                <w:szCs w:val="24"/>
              </w:rPr>
              <w:t>Criteria</w:t>
            </w:r>
          </w:p>
        </w:tc>
        <w:tc>
          <w:tcPr>
            <w:tcW w:w="111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1D4399D" w14:textId="77777777" w:rsidR="008276E7" w:rsidRDefault="00000000">
            <w:pPr>
              <w:spacing w:line="360" w:lineRule="auto"/>
              <w:jc w:val="both"/>
              <w:rPr>
                <w:b/>
                <w:bCs/>
                <w:sz w:val="24"/>
                <w:szCs w:val="24"/>
              </w:rPr>
            </w:pPr>
            <w:r>
              <w:rPr>
                <w:b/>
                <w:bCs/>
                <w:sz w:val="24"/>
                <w:szCs w:val="24"/>
              </w:rPr>
              <w:t>Project A</w:t>
            </w:r>
          </w:p>
        </w:tc>
        <w:tc>
          <w:tcPr>
            <w:tcW w:w="111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5B2E852" w14:textId="77777777" w:rsidR="008276E7" w:rsidRDefault="00000000">
            <w:pPr>
              <w:spacing w:line="360" w:lineRule="auto"/>
              <w:jc w:val="both"/>
              <w:rPr>
                <w:b/>
                <w:bCs/>
                <w:sz w:val="24"/>
                <w:szCs w:val="24"/>
              </w:rPr>
            </w:pPr>
            <w:r>
              <w:rPr>
                <w:b/>
                <w:bCs/>
                <w:sz w:val="24"/>
                <w:szCs w:val="24"/>
              </w:rPr>
              <w:t>Project B</w:t>
            </w:r>
          </w:p>
        </w:tc>
        <w:tc>
          <w:tcPr>
            <w:tcW w:w="11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B8752AE" w14:textId="77777777" w:rsidR="008276E7" w:rsidRDefault="00000000">
            <w:pPr>
              <w:spacing w:line="360" w:lineRule="auto"/>
              <w:jc w:val="both"/>
              <w:rPr>
                <w:b/>
                <w:bCs/>
                <w:sz w:val="24"/>
                <w:szCs w:val="24"/>
              </w:rPr>
            </w:pPr>
            <w:r>
              <w:rPr>
                <w:b/>
                <w:bCs/>
                <w:sz w:val="24"/>
                <w:szCs w:val="24"/>
              </w:rPr>
              <w:t>Project C</w:t>
            </w:r>
          </w:p>
        </w:tc>
      </w:tr>
      <w:tr w:rsidR="008276E7" w14:paraId="70266788" w14:textId="77777777">
        <w:trPr>
          <w:trHeight w:val="28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E252DB1" w14:textId="77777777" w:rsidR="008276E7" w:rsidRDefault="00000000">
            <w:pPr>
              <w:spacing w:line="360" w:lineRule="auto"/>
              <w:jc w:val="both"/>
              <w:rPr>
                <w:sz w:val="24"/>
                <w:szCs w:val="24"/>
              </w:rPr>
            </w:pPr>
            <w:r>
              <w:rPr>
                <w:sz w:val="24"/>
                <w:szCs w:val="24"/>
              </w:rPr>
              <w:t>Payback Period (Years)</w:t>
            </w:r>
          </w:p>
        </w:tc>
        <w:tc>
          <w:tcPr>
            <w:tcW w:w="1110" w:type="dxa"/>
            <w:tcBorders>
              <w:top w:val="nil"/>
              <w:left w:val="nil"/>
              <w:bottom w:val="single" w:sz="7" w:space="0" w:color="000000"/>
              <w:right w:val="single" w:sz="7" w:space="0" w:color="000000"/>
            </w:tcBorders>
            <w:tcMar>
              <w:top w:w="0" w:type="dxa"/>
              <w:left w:w="100" w:type="dxa"/>
              <w:bottom w:w="0" w:type="dxa"/>
              <w:right w:w="100" w:type="dxa"/>
            </w:tcMar>
          </w:tcPr>
          <w:p w14:paraId="5356CA39" w14:textId="77777777" w:rsidR="008276E7" w:rsidRDefault="00000000">
            <w:pPr>
              <w:spacing w:line="360" w:lineRule="auto"/>
              <w:jc w:val="both"/>
              <w:rPr>
                <w:sz w:val="24"/>
                <w:szCs w:val="24"/>
              </w:rPr>
            </w:pPr>
            <w:r>
              <w:rPr>
                <w:sz w:val="24"/>
                <w:szCs w:val="24"/>
              </w:rPr>
              <w:t>4.50</w:t>
            </w:r>
          </w:p>
        </w:tc>
        <w:tc>
          <w:tcPr>
            <w:tcW w:w="1110" w:type="dxa"/>
            <w:tcBorders>
              <w:top w:val="nil"/>
              <w:left w:val="nil"/>
              <w:bottom w:val="single" w:sz="7" w:space="0" w:color="000000"/>
              <w:right w:val="single" w:sz="7" w:space="0" w:color="000000"/>
            </w:tcBorders>
            <w:tcMar>
              <w:top w:w="0" w:type="dxa"/>
              <w:left w:w="100" w:type="dxa"/>
              <w:bottom w:w="0" w:type="dxa"/>
              <w:right w:w="100" w:type="dxa"/>
            </w:tcMar>
          </w:tcPr>
          <w:p w14:paraId="4398CE44" w14:textId="77777777" w:rsidR="008276E7" w:rsidRDefault="00000000">
            <w:pPr>
              <w:spacing w:line="360" w:lineRule="auto"/>
              <w:jc w:val="both"/>
              <w:rPr>
                <w:sz w:val="24"/>
                <w:szCs w:val="24"/>
              </w:rPr>
            </w:pPr>
            <w:r>
              <w:rPr>
                <w:sz w:val="24"/>
                <w:szCs w:val="24"/>
              </w:rPr>
              <w:t>4.55</w:t>
            </w:r>
          </w:p>
        </w:tc>
        <w:tc>
          <w:tcPr>
            <w:tcW w:w="1125" w:type="dxa"/>
            <w:tcBorders>
              <w:top w:val="nil"/>
              <w:left w:val="nil"/>
              <w:bottom w:val="single" w:sz="7" w:space="0" w:color="000000"/>
              <w:right w:val="single" w:sz="7" w:space="0" w:color="000000"/>
            </w:tcBorders>
            <w:tcMar>
              <w:top w:w="0" w:type="dxa"/>
              <w:left w:w="100" w:type="dxa"/>
              <w:bottom w:w="0" w:type="dxa"/>
              <w:right w:w="100" w:type="dxa"/>
            </w:tcMar>
          </w:tcPr>
          <w:p w14:paraId="582DCD36" w14:textId="77777777" w:rsidR="008276E7" w:rsidRDefault="00000000">
            <w:pPr>
              <w:spacing w:line="360" w:lineRule="auto"/>
              <w:jc w:val="both"/>
              <w:rPr>
                <w:sz w:val="24"/>
                <w:szCs w:val="24"/>
              </w:rPr>
            </w:pPr>
            <w:r>
              <w:rPr>
                <w:sz w:val="24"/>
                <w:szCs w:val="24"/>
              </w:rPr>
              <w:t>3.60</w:t>
            </w:r>
          </w:p>
        </w:tc>
      </w:tr>
      <w:tr w:rsidR="008276E7" w14:paraId="73588E2B" w14:textId="77777777">
        <w:trPr>
          <w:trHeight w:val="28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C5EC139" w14:textId="77777777" w:rsidR="008276E7" w:rsidRDefault="00000000">
            <w:pPr>
              <w:spacing w:line="360" w:lineRule="auto"/>
              <w:jc w:val="both"/>
              <w:rPr>
                <w:sz w:val="24"/>
                <w:szCs w:val="24"/>
              </w:rPr>
            </w:pPr>
            <w:r>
              <w:rPr>
                <w:sz w:val="24"/>
                <w:szCs w:val="24"/>
              </w:rPr>
              <w:t>ARR (%)</w:t>
            </w:r>
          </w:p>
        </w:tc>
        <w:tc>
          <w:tcPr>
            <w:tcW w:w="1110" w:type="dxa"/>
            <w:tcBorders>
              <w:top w:val="nil"/>
              <w:left w:val="nil"/>
              <w:bottom w:val="single" w:sz="7" w:space="0" w:color="000000"/>
              <w:right w:val="single" w:sz="7" w:space="0" w:color="000000"/>
            </w:tcBorders>
            <w:tcMar>
              <w:top w:w="0" w:type="dxa"/>
              <w:left w:w="100" w:type="dxa"/>
              <w:bottom w:w="0" w:type="dxa"/>
              <w:right w:w="100" w:type="dxa"/>
            </w:tcMar>
          </w:tcPr>
          <w:p w14:paraId="2A276214" w14:textId="77777777" w:rsidR="008276E7" w:rsidRDefault="00000000">
            <w:pPr>
              <w:spacing w:line="360" w:lineRule="auto"/>
              <w:jc w:val="both"/>
              <w:rPr>
                <w:sz w:val="24"/>
                <w:szCs w:val="24"/>
              </w:rPr>
            </w:pPr>
            <w:r>
              <w:rPr>
                <w:sz w:val="24"/>
                <w:szCs w:val="24"/>
              </w:rPr>
              <w:t>1.60</w:t>
            </w:r>
          </w:p>
        </w:tc>
        <w:tc>
          <w:tcPr>
            <w:tcW w:w="1110" w:type="dxa"/>
            <w:tcBorders>
              <w:top w:val="nil"/>
              <w:left w:val="nil"/>
              <w:bottom w:val="single" w:sz="7" w:space="0" w:color="000000"/>
              <w:right w:val="single" w:sz="7" w:space="0" w:color="000000"/>
            </w:tcBorders>
            <w:tcMar>
              <w:top w:w="0" w:type="dxa"/>
              <w:left w:w="100" w:type="dxa"/>
              <w:bottom w:w="0" w:type="dxa"/>
              <w:right w:w="100" w:type="dxa"/>
            </w:tcMar>
          </w:tcPr>
          <w:p w14:paraId="43EA5FD9" w14:textId="77777777" w:rsidR="008276E7" w:rsidRDefault="00000000">
            <w:pPr>
              <w:spacing w:line="360" w:lineRule="auto"/>
              <w:jc w:val="both"/>
              <w:rPr>
                <w:sz w:val="24"/>
                <w:szCs w:val="24"/>
              </w:rPr>
            </w:pPr>
            <w:r>
              <w:rPr>
                <w:sz w:val="24"/>
                <w:szCs w:val="24"/>
              </w:rPr>
              <w:t>2.00</w:t>
            </w:r>
          </w:p>
        </w:tc>
        <w:tc>
          <w:tcPr>
            <w:tcW w:w="1125" w:type="dxa"/>
            <w:tcBorders>
              <w:top w:val="nil"/>
              <w:left w:val="nil"/>
              <w:bottom w:val="single" w:sz="7" w:space="0" w:color="000000"/>
              <w:right w:val="single" w:sz="7" w:space="0" w:color="000000"/>
            </w:tcBorders>
            <w:tcMar>
              <w:top w:w="0" w:type="dxa"/>
              <w:left w:w="100" w:type="dxa"/>
              <w:bottom w:w="0" w:type="dxa"/>
              <w:right w:w="100" w:type="dxa"/>
            </w:tcMar>
          </w:tcPr>
          <w:p w14:paraId="116BE5B8" w14:textId="77777777" w:rsidR="008276E7" w:rsidRDefault="00000000">
            <w:pPr>
              <w:spacing w:line="360" w:lineRule="auto"/>
              <w:jc w:val="both"/>
              <w:rPr>
                <w:sz w:val="24"/>
                <w:szCs w:val="24"/>
              </w:rPr>
            </w:pPr>
            <w:r>
              <w:rPr>
                <w:sz w:val="24"/>
                <w:szCs w:val="24"/>
              </w:rPr>
              <w:t>6.00</w:t>
            </w:r>
          </w:p>
        </w:tc>
      </w:tr>
      <w:tr w:rsidR="008276E7" w14:paraId="4EC0AA96" w14:textId="77777777">
        <w:trPr>
          <w:trHeight w:val="28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7530F05" w14:textId="77777777" w:rsidR="008276E7" w:rsidRDefault="00000000">
            <w:pPr>
              <w:spacing w:line="360" w:lineRule="auto"/>
              <w:jc w:val="both"/>
              <w:rPr>
                <w:sz w:val="24"/>
                <w:szCs w:val="24"/>
              </w:rPr>
            </w:pPr>
            <w:r>
              <w:rPr>
                <w:sz w:val="24"/>
                <w:szCs w:val="24"/>
              </w:rPr>
              <w:t>NPV (£m)</w:t>
            </w:r>
          </w:p>
        </w:tc>
        <w:tc>
          <w:tcPr>
            <w:tcW w:w="1110" w:type="dxa"/>
            <w:tcBorders>
              <w:top w:val="nil"/>
              <w:left w:val="nil"/>
              <w:bottom w:val="single" w:sz="7" w:space="0" w:color="000000"/>
              <w:right w:val="single" w:sz="7" w:space="0" w:color="000000"/>
            </w:tcBorders>
            <w:tcMar>
              <w:top w:w="0" w:type="dxa"/>
              <w:left w:w="100" w:type="dxa"/>
              <w:bottom w:w="0" w:type="dxa"/>
              <w:right w:w="100" w:type="dxa"/>
            </w:tcMar>
          </w:tcPr>
          <w:p w14:paraId="3873EEFC" w14:textId="77777777" w:rsidR="008276E7" w:rsidRDefault="00000000">
            <w:pPr>
              <w:spacing w:line="360" w:lineRule="auto"/>
              <w:jc w:val="both"/>
              <w:rPr>
                <w:sz w:val="24"/>
                <w:szCs w:val="24"/>
              </w:rPr>
            </w:pPr>
            <w:r>
              <w:rPr>
                <w:sz w:val="24"/>
                <w:szCs w:val="24"/>
              </w:rPr>
              <w:t>-6.55</w:t>
            </w:r>
          </w:p>
        </w:tc>
        <w:tc>
          <w:tcPr>
            <w:tcW w:w="1110" w:type="dxa"/>
            <w:tcBorders>
              <w:top w:val="nil"/>
              <w:left w:val="nil"/>
              <w:bottom w:val="single" w:sz="7" w:space="0" w:color="000000"/>
              <w:right w:val="single" w:sz="7" w:space="0" w:color="000000"/>
            </w:tcBorders>
            <w:tcMar>
              <w:top w:w="0" w:type="dxa"/>
              <w:left w:w="100" w:type="dxa"/>
              <w:bottom w:w="0" w:type="dxa"/>
              <w:right w:w="100" w:type="dxa"/>
            </w:tcMar>
          </w:tcPr>
          <w:p w14:paraId="52A40DEA" w14:textId="77777777" w:rsidR="008276E7" w:rsidRDefault="00000000">
            <w:pPr>
              <w:spacing w:line="360" w:lineRule="auto"/>
              <w:jc w:val="both"/>
              <w:rPr>
                <w:sz w:val="24"/>
                <w:szCs w:val="24"/>
              </w:rPr>
            </w:pPr>
            <w:r>
              <w:rPr>
                <w:sz w:val="24"/>
                <w:szCs w:val="24"/>
              </w:rPr>
              <w:t>-6.08</w:t>
            </w:r>
          </w:p>
        </w:tc>
        <w:tc>
          <w:tcPr>
            <w:tcW w:w="1125" w:type="dxa"/>
            <w:tcBorders>
              <w:top w:val="nil"/>
              <w:left w:val="nil"/>
              <w:bottom w:val="single" w:sz="7" w:space="0" w:color="000000"/>
              <w:right w:val="single" w:sz="7" w:space="0" w:color="000000"/>
            </w:tcBorders>
            <w:tcMar>
              <w:top w:w="0" w:type="dxa"/>
              <w:left w:w="100" w:type="dxa"/>
              <w:bottom w:w="0" w:type="dxa"/>
              <w:right w:w="100" w:type="dxa"/>
            </w:tcMar>
          </w:tcPr>
          <w:p w14:paraId="7AB6B813" w14:textId="77777777" w:rsidR="008276E7" w:rsidRDefault="00000000">
            <w:pPr>
              <w:spacing w:line="360" w:lineRule="auto"/>
              <w:jc w:val="both"/>
              <w:rPr>
                <w:sz w:val="24"/>
                <w:szCs w:val="24"/>
              </w:rPr>
            </w:pPr>
            <w:r>
              <w:rPr>
                <w:sz w:val="24"/>
                <w:szCs w:val="24"/>
              </w:rPr>
              <w:t>0.86</w:t>
            </w:r>
          </w:p>
        </w:tc>
      </w:tr>
      <w:tr w:rsidR="008276E7" w14:paraId="68690223" w14:textId="77777777">
        <w:trPr>
          <w:trHeight w:val="28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05D15BB" w14:textId="77777777" w:rsidR="008276E7" w:rsidRDefault="00000000">
            <w:pPr>
              <w:spacing w:line="360" w:lineRule="auto"/>
              <w:jc w:val="both"/>
              <w:rPr>
                <w:sz w:val="24"/>
                <w:szCs w:val="24"/>
              </w:rPr>
            </w:pPr>
            <w:r>
              <w:rPr>
                <w:sz w:val="24"/>
                <w:szCs w:val="24"/>
              </w:rPr>
              <w:t>PI</w:t>
            </w:r>
          </w:p>
        </w:tc>
        <w:tc>
          <w:tcPr>
            <w:tcW w:w="1110" w:type="dxa"/>
            <w:tcBorders>
              <w:top w:val="nil"/>
              <w:left w:val="nil"/>
              <w:bottom w:val="single" w:sz="7" w:space="0" w:color="000000"/>
              <w:right w:val="single" w:sz="7" w:space="0" w:color="000000"/>
            </w:tcBorders>
            <w:tcMar>
              <w:top w:w="0" w:type="dxa"/>
              <w:left w:w="100" w:type="dxa"/>
              <w:bottom w:w="0" w:type="dxa"/>
              <w:right w:w="100" w:type="dxa"/>
            </w:tcMar>
          </w:tcPr>
          <w:p w14:paraId="1E178D96" w14:textId="77777777" w:rsidR="008276E7" w:rsidRDefault="00000000">
            <w:pPr>
              <w:spacing w:line="360" w:lineRule="auto"/>
              <w:jc w:val="both"/>
              <w:rPr>
                <w:sz w:val="24"/>
                <w:szCs w:val="24"/>
              </w:rPr>
            </w:pPr>
            <w:r>
              <w:rPr>
                <w:sz w:val="24"/>
                <w:szCs w:val="24"/>
              </w:rPr>
              <w:t>0.87</w:t>
            </w:r>
          </w:p>
        </w:tc>
        <w:tc>
          <w:tcPr>
            <w:tcW w:w="1110" w:type="dxa"/>
            <w:tcBorders>
              <w:top w:val="nil"/>
              <w:left w:val="nil"/>
              <w:bottom w:val="single" w:sz="7" w:space="0" w:color="000000"/>
              <w:right w:val="single" w:sz="7" w:space="0" w:color="000000"/>
            </w:tcBorders>
            <w:tcMar>
              <w:top w:w="0" w:type="dxa"/>
              <w:left w:w="100" w:type="dxa"/>
              <w:bottom w:w="0" w:type="dxa"/>
              <w:right w:w="100" w:type="dxa"/>
            </w:tcMar>
          </w:tcPr>
          <w:p w14:paraId="089F877E" w14:textId="77777777" w:rsidR="008276E7" w:rsidRDefault="00000000">
            <w:pPr>
              <w:spacing w:line="360" w:lineRule="auto"/>
              <w:jc w:val="both"/>
              <w:rPr>
                <w:sz w:val="24"/>
                <w:szCs w:val="24"/>
              </w:rPr>
            </w:pPr>
            <w:r>
              <w:rPr>
                <w:sz w:val="24"/>
                <w:szCs w:val="24"/>
              </w:rPr>
              <w:t>0.88</w:t>
            </w:r>
          </w:p>
        </w:tc>
        <w:tc>
          <w:tcPr>
            <w:tcW w:w="1125" w:type="dxa"/>
            <w:tcBorders>
              <w:top w:val="nil"/>
              <w:left w:val="nil"/>
              <w:bottom w:val="single" w:sz="7" w:space="0" w:color="000000"/>
              <w:right w:val="single" w:sz="7" w:space="0" w:color="000000"/>
            </w:tcBorders>
            <w:tcMar>
              <w:top w:w="0" w:type="dxa"/>
              <w:left w:w="100" w:type="dxa"/>
              <w:bottom w:w="0" w:type="dxa"/>
              <w:right w:w="100" w:type="dxa"/>
            </w:tcMar>
          </w:tcPr>
          <w:p w14:paraId="6B1D91A3" w14:textId="77777777" w:rsidR="008276E7" w:rsidRDefault="00000000">
            <w:pPr>
              <w:spacing w:line="360" w:lineRule="auto"/>
              <w:jc w:val="both"/>
              <w:rPr>
                <w:sz w:val="24"/>
                <w:szCs w:val="24"/>
              </w:rPr>
            </w:pPr>
            <w:r>
              <w:rPr>
                <w:sz w:val="24"/>
                <w:szCs w:val="24"/>
              </w:rPr>
              <w:t>1.02</w:t>
            </w:r>
          </w:p>
        </w:tc>
      </w:tr>
      <w:tr w:rsidR="008276E7" w14:paraId="3AFE27BF" w14:textId="77777777">
        <w:trPr>
          <w:trHeight w:val="28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F83F686" w14:textId="77777777" w:rsidR="008276E7" w:rsidRDefault="00000000">
            <w:pPr>
              <w:spacing w:line="360" w:lineRule="auto"/>
              <w:jc w:val="both"/>
              <w:rPr>
                <w:sz w:val="24"/>
                <w:szCs w:val="24"/>
              </w:rPr>
            </w:pPr>
            <w:r>
              <w:rPr>
                <w:sz w:val="24"/>
                <w:szCs w:val="24"/>
              </w:rPr>
              <w:t>IRR</w:t>
            </w:r>
          </w:p>
        </w:tc>
        <w:tc>
          <w:tcPr>
            <w:tcW w:w="1110" w:type="dxa"/>
            <w:tcBorders>
              <w:top w:val="nil"/>
              <w:left w:val="nil"/>
              <w:bottom w:val="single" w:sz="7" w:space="0" w:color="000000"/>
              <w:right w:val="single" w:sz="7" w:space="0" w:color="000000"/>
            </w:tcBorders>
            <w:tcMar>
              <w:top w:w="0" w:type="dxa"/>
              <w:left w:w="100" w:type="dxa"/>
              <w:bottom w:w="0" w:type="dxa"/>
              <w:right w:w="100" w:type="dxa"/>
            </w:tcMar>
          </w:tcPr>
          <w:p w14:paraId="2495252F" w14:textId="77777777" w:rsidR="008276E7" w:rsidRDefault="00000000">
            <w:pPr>
              <w:spacing w:line="360" w:lineRule="auto"/>
              <w:jc w:val="both"/>
              <w:rPr>
                <w:sz w:val="24"/>
                <w:szCs w:val="24"/>
              </w:rPr>
            </w:pPr>
            <w:r>
              <w:rPr>
                <w:sz w:val="24"/>
                <w:szCs w:val="24"/>
              </w:rPr>
              <w:t>3%</w:t>
            </w:r>
          </w:p>
        </w:tc>
        <w:tc>
          <w:tcPr>
            <w:tcW w:w="1110" w:type="dxa"/>
            <w:tcBorders>
              <w:top w:val="nil"/>
              <w:left w:val="nil"/>
              <w:bottom w:val="single" w:sz="7" w:space="0" w:color="000000"/>
              <w:right w:val="single" w:sz="7" w:space="0" w:color="000000"/>
            </w:tcBorders>
            <w:tcMar>
              <w:top w:w="0" w:type="dxa"/>
              <w:left w:w="100" w:type="dxa"/>
              <w:bottom w:w="0" w:type="dxa"/>
              <w:right w:w="100" w:type="dxa"/>
            </w:tcMar>
          </w:tcPr>
          <w:p w14:paraId="08C03FE3" w14:textId="77777777" w:rsidR="008276E7" w:rsidRDefault="00000000">
            <w:pPr>
              <w:spacing w:line="360" w:lineRule="auto"/>
              <w:jc w:val="both"/>
              <w:rPr>
                <w:sz w:val="24"/>
                <w:szCs w:val="24"/>
              </w:rPr>
            </w:pPr>
            <w:r>
              <w:rPr>
                <w:sz w:val="24"/>
                <w:szCs w:val="24"/>
              </w:rPr>
              <w:t>3%</w:t>
            </w:r>
          </w:p>
        </w:tc>
        <w:tc>
          <w:tcPr>
            <w:tcW w:w="1125" w:type="dxa"/>
            <w:tcBorders>
              <w:top w:val="nil"/>
              <w:left w:val="nil"/>
              <w:bottom w:val="single" w:sz="7" w:space="0" w:color="000000"/>
              <w:right w:val="single" w:sz="7" w:space="0" w:color="000000"/>
            </w:tcBorders>
            <w:tcMar>
              <w:top w:w="0" w:type="dxa"/>
              <w:left w:w="100" w:type="dxa"/>
              <w:bottom w:w="0" w:type="dxa"/>
              <w:right w:w="100" w:type="dxa"/>
            </w:tcMar>
          </w:tcPr>
          <w:p w14:paraId="525FA9B3" w14:textId="77777777" w:rsidR="008276E7" w:rsidRDefault="00000000">
            <w:pPr>
              <w:spacing w:line="360" w:lineRule="auto"/>
              <w:jc w:val="both"/>
              <w:rPr>
                <w:sz w:val="24"/>
                <w:szCs w:val="24"/>
              </w:rPr>
            </w:pPr>
            <w:r>
              <w:rPr>
                <w:sz w:val="24"/>
                <w:szCs w:val="24"/>
              </w:rPr>
              <w:t>9%</w:t>
            </w:r>
          </w:p>
        </w:tc>
      </w:tr>
    </w:tbl>
    <w:p w14:paraId="43479D8F" w14:textId="77777777" w:rsidR="008276E7" w:rsidRDefault="00000000">
      <w:pPr>
        <w:spacing w:line="360" w:lineRule="auto"/>
        <w:jc w:val="both"/>
        <w:rPr>
          <w:b/>
          <w:bCs/>
          <w:sz w:val="24"/>
          <w:szCs w:val="24"/>
        </w:rPr>
      </w:pPr>
      <w:r>
        <w:rPr>
          <w:b/>
          <w:bCs/>
          <w:sz w:val="24"/>
          <w:szCs w:val="24"/>
        </w:rPr>
        <w:t xml:space="preserve">Table 1: Summary of investment appraisal of three projects </w:t>
      </w:r>
    </w:p>
    <w:p w14:paraId="2D744241" w14:textId="77777777" w:rsidR="008276E7" w:rsidRDefault="00000000">
      <w:pPr>
        <w:spacing w:after="200" w:line="360" w:lineRule="auto"/>
        <w:jc w:val="both"/>
        <w:rPr>
          <w:sz w:val="24"/>
          <w:szCs w:val="24"/>
        </w:rPr>
      </w:pPr>
      <w:r>
        <w:rPr>
          <w:sz w:val="24"/>
          <w:szCs w:val="24"/>
        </w:rPr>
        <w:lastRenderedPageBreak/>
        <w:t>In terms of liquidity, this is especially significant to Whitbread since the current ratio of the company has declined significantly over the years, falling to 0.81 in 2025, as compared to 1.74 in 2021, signalling an increased short-term financial strain. The Payback Period analysis shows that Project C recovers the initial investment the quickest, taking 3.6 years, which is half of that required under Project A (4.5 years) and Project B (4.55 years). A smaller payback period minimises the risk of the investment and enhances the rate at which the cash can be recouped by the business (Dai et al. 2022). Project C thus comes out best in this criterion.</w:t>
      </w:r>
    </w:p>
    <w:p w14:paraId="601E8024" w14:textId="77777777" w:rsidR="008276E7" w:rsidRDefault="00000000">
      <w:pPr>
        <w:spacing w:after="200" w:line="360" w:lineRule="auto"/>
        <w:jc w:val="both"/>
        <w:rPr>
          <w:sz w:val="24"/>
          <w:szCs w:val="24"/>
        </w:rPr>
      </w:pPr>
      <w:r>
        <w:rPr>
          <w:sz w:val="24"/>
          <w:szCs w:val="24"/>
        </w:rPr>
        <w:t>Project C is also supported by the Accounting Rate of Return (ARR). Its ARR of 6% is considerably higher than that of Project A of 1.6% and Project B of 2%. As ARR refers to average accounting profitability, the finding implies that Project C yields much higher earnings in comparison with the initial investment. This is especially applicable since the profitability of Whitbread has been experiencing some weaknesses, as the net profit margins have decreased to 8.68% in 2025 as compared to 10.54% in 2024. A project that can produce a greater accounting payoff would make a positive impact on subsequent earnings performance (Khan and Gupta, 2025).</w:t>
      </w:r>
    </w:p>
    <w:p w14:paraId="0D26DEB1" w14:textId="77777777" w:rsidR="008276E7" w:rsidRDefault="00000000">
      <w:pPr>
        <w:spacing w:after="200" w:line="360" w:lineRule="auto"/>
        <w:jc w:val="both"/>
        <w:rPr>
          <w:sz w:val="24"/>
          <w:szCs w:val="24"/>
        </w:rPr>
      </w:pPr>
      <w:r>
        <w:rPr>
          <w:sz w:val="24"/>
          <w:szCs w:val="24"/>
        </w:rPr>
        <w:t>The Net Present Value (NPV) method is typically viewed as the most theoretically consistent method of investment appraisal as it attempts to directly quantify wealth creation to shareholders (Chen, 2022). The analysis shows that Project C has a positive NPV of 0.86 million pounds as compared to negative NPVs of 6.55 and 6.08 million pounds in Projects A and B, respectively. A positive NPV shows that the project is likely to provide returns that will be greater than the 8% cost of capital at the company and hence raise shareholder value (Lilford, 2023). Conversely, Projects A and B would diminish shareholder value since the discounted cash inflows would not recover the initial outlay.</w:t>
      </w:r>
    </w:p>
    <w:p w14:paraId="2739D836" w14:textId="77777777" w:rsidR="008276E7" w:rsidRDefault="00000000">
      <w:pPr>
        <w:spacing w:after="200" w:line="360" w:lineRule="auto"/>
        <w:jc w:val="both"/>
        <w:rPr>
          <w:sz w:val="24"/>
          <w:szCs w:val="24"/>
        </w:rPr>
      </w:pPr>
      <w:r>
        <w:rPr>
          <w:sz w:val="24"/>
          <w:szCs w:val="24"/>
        </w:rPr>
        <w:t>This conclusion is supported by the Profitability Index (PI). Project C has a PI of 1.02, which means that a 1: 1 investment results in 1.02 present value benefits. Projects A and B, in turn, yield PIs less than 1.0, i.e. future benefits are not high enough to be covered by the initial investment. Project C, therefore, is the only one that meets the profitability criterion.</w:t>
      </w:r>
    </w:p>
    <w:p w14:paraId="71285406" w14:textId="77777777" w:rsidR="008276E7" w:rsidRDefault="00000000">
      <w:pPr>
        <w:spacing w:after="200" w:line="360" w:lineRule="auto"/>
        <w:jc w:val="both"/>
        <w:rPr>
          <w:sz w:val="24"/>
          <w:szCs w:val="24"/>
        </w:rPr>
      </w:pPr>
      <w:r>
        <w:rPr>
          <w:sz w:val="24"/>
          <w:szCs w:val="24"/>
        </w:rPr>
        <w:lastRenderedPageBreak/>
        <w:t>The result is also similar to the Internal Rate of Return (IRR) analysis. Project C has an IRR of 9, which is greater than the 8 required rate of return, but Projects A and B have IRRs of only 3, which is considerably less than the hurdle rate. This means that only Project C can provide returns that are greater than the cost of capital at Whitbread.</w:t>
      </w:r>
    </w:p>
    <w:p w14:paraId="332C642A" w14:textId="77777777" w:rsidR="008276E7" w:rsidRDefault="00000000">
      <w:pPr>
        <w:spacing w:after="200" w:line="360" w:lineRule="auto"/>
        <w:jc w:val="both"/>
        <w:rPr>
          <w:b/>
          <w:bCs/>
          <w:i/>
          <w:iCs/>
          <w:sz w:val="24"/>
          <w:szCs w:val="24"/>
        </w:rPr>
      </w:pPr>
      <w:r>
        <w:rPr>
          <w:sz w:val="24"/>
          <w:szCs w:val="24"/>
        </w:rPr>
        <w:t xml:space="preserve">According to the overall findings of the five appraisal methods, </w:t>
      </w:r>
      <w:r>
        <w:rPr>
          <w:b/>
          <w:bCs/>
          <w:i/>
          <w:iCs/>
          <w:sz w:val="24"/>
          <w:szCs w:val="24"/>
        </w:rPr>
        <w:t>Project C can be suggested.</w:t>
      </w:r>
    </w:p>
    <w:p w14:paraId="490B6E02" w14:textId="77777777" w:rsidR="008276E7" w:rsidRDefault="00000000">
      <w:pPr>
        <w:spacing w:before="240" w:after="240" w:line="360" w:lineRule="auto"/>
        <w:jc w:val="both"/>
        <w:rPr>
          <w:b/>
          <w:bCs/>
          <w:sz w:val="24"/>
          <w:szCs w:val="24"/>
          <w:u w:val="single"/>
        </w:rPr>
      </w:pPr>
      <w:r>
        <w:rPr>
          <w:b/>
          <w:bCs/>
          <w:sz w:val="24"/>
          <w:szCs w:val="24"/>
          <w:u w:val="single"/>
        </w:rPr>
        <w:t xml:space="preserve">Quantitative factors: </w:t>
      </w:r>
    </w:p>
    <w:p w14:paraId="568818E5" w14:textId="77777777" w:rsidR="008276E7" w:rsidRDefault="00000000">
      <w:pPr>
        <w:spacing w:after="200" w:line="360" w:lineRule="auto"/>
        <w:jc w:val="both"/>
        <w:rPr>
          <w:sz w:val="24"/>
          <w:szCs w:val="24"/>
        </w:rPr>
      </w:pPr>
      <w:r>
        <w:rPr>
          <w:sz w:val="24"/>
          <w:szCs w:val="24"/>
        </w:rPr>
        <w:t>The NPV criterion is the main factor to support the recommendation, as this is the most significant measure since it directly assesses the value addition to shareholders. Project C is the investment that has a positive NPV and so has a positive contribution to shareholder wealth. Moreover, it has the best ARR, the lowest payback period, the best PI, and the best IRR. This consistency in a variety of appraisal techniques is a great way to boost the investment case.</w:t>
      </w:r>
    </w:p>
    <w:p w14:paraId="3E2FDEAF" w14:textId="77777777" w:rsidR="008276E7" w:rsidRDefault="00000000">
      <w:pPr>
        <w:spacing w:after="200" w:line="360" w:lineRule="auto"/>
        <w:jc w:val="both"/>
        <w:rPr>
          <w:sz w:val="24"/>
          <w:szCs w:val="24"/>
        </w:rPr>
      </w:pPr>
      <w:r>
        <w:rPr>
          <w:sz w:val="24"/>
          <w:szCs w:val="24"/>
        </w:rPr>
        <w:t>The present financial position of Whitbread also supports this recommendation. Despite the fact that profitability has been recovering well since the pandemic, recent financial analysis has found that the net profit margin dropped as of 2025 to 8.68 per cent, compared to 10.54% in 2024. Meanwhile, the debt-to-equity ratio of the company rose to 1.97, which means growing leverage and financial risk. In such a situation, the management ought to focus on investments that yield higher returns and quicker cash recuperation. Project C achieves the two goals as it produces the best profitability measures and recovers investment capital nearly one year sooner than other alternatives.</w:t>
      </w:r>
    </w:p>
    <w:p w14:paraId="4D7EC314" w14:textId="77777777" w:rsidR="008276E7" w:rsidRDefault="00000000">
      <w:pPr>
        <w:spacing w:before="240" w:after="240" w:line="360" w:lineRule="auto"/>
        <w:jc w:val="both"/>
        <w:rPr>
          <w:b/>
          <w:bCs/>
          <w:sz w:val="24"/>
          <w:szCs w:val="24"/>
          <w:u w:val="single"/>
        </w:rPr>
      </w:pPr>
      <w:r>
        <w:rPr>
          <w:b/>
          <w:bCs/>
          <w:sz w:val="24"/>
          <w:szCs w:val="24"/>
          <w:u w:val="single"/>
        </w:rPr>
        <w:t xml:space="preserve">Qualitative factors: </w:t>
      </w:r>
    </w:p>
    <w:p w14:paraId="130EB880" w14:textId="77777777" w:rsidR="008276E7" w:rsidRDefault="00000000">
      <w:pPr>
        <w:spacing w:after="200" w:line="360" w:lineRule="auto"/>
        <w:jc w:val="both"/>
        <w:rPr>
          <w:sz w:val="24"/>
          <w:szCs w:val="24"/>
        </w:rPr>
      </w:pPr>
      <w:r>
        <w:rPr>
          <w:sz w:val="24"/>
          <w:szCs w:val="24"/>
        </w:rPr>
        <w:t>Although Project C takes on a strong position in financial metrics, the non-financial factors also need to be put in place before a final decision on investment is made.</w:t>
      </w:r>
    </w:p>
    <w:p w14:paraId="36C8BEFF" w14:textId="77777777" w:rsidR="008276E7" w:rsidRDefault="00000000">
      <w:pPr>
        <w:spacing w:after="200" w:line="360" w:lineRule="auto"/>
        <w:jc w:val="both"/>
        <w:rPr>
          <w:sz w:val="24"/>
          <w:szCs w:val="24"/>
        </w:rPr>
      </w:pPr>
      <w:r>
        <w:rPr>
          <w:sz w:val="24"/>
          <w:szCs w:val="24"/>
        </w:rPr>
        <w:t xml:space="preserve">Political and regulatory risk is one factor to be considered. Whitbread is also going global, especially in Germany. Any investment project that relates to internationalisation may be impacted by alterations in taxation policies, labour laws, environmental laws, or even </w:t>
      </w:r>
      <w:r>
        <w:rPr>
          <w:sz w:val="24"/>
          <w:szCs w:val="24"/>
        </w:rPr>
        <w:lastRenderedPageBreak/>
        <w:t>greater geopolitical uncertainty (Ishan Mudgal, 2026). Sluggish economic activity in the European markets may help to slow down hotel occupancy rates and undermine project returns.</w:t>
      </w:r>
    </w:p>
    <w:p w14:paraId="4E5414D4" w14:textId="77777777" w:rsidR="008276E7" w:rsidRDefault="00000000">
      <w:pPr>
        <w:spacing w:after="200" w:line="360" w:lineRule="auto"/>
        <w:jc w:val="both"/>
        <w:rPr>
          <w:sz w:val="24"/>
          <w:szCs w:val="24"/>
        </w:rPr>
      </w:pPr>
      <w:r>
        <w:rPr>
          <w:sz w:val="24"/>
          <w:szCs w:val="24"/>
        </w:rPr>
        <w:t xml:space="preserve">Customer loyalty and brand reputation are another crucial consideration. One of the most valuable competitive advantages of Whitbread is its Premier Inn brand. Long-term benefits that are not well reflected in the traditional financial calculations can be created by investments that enhance customer experience, digital booking systems, sustainability performance, or hotel facilities upgrades (London Stock Exchange, 2026). Assuming that Project C can facilitate these strategic emanations, its overall value might be higher than the financial benefits that are being quantified in the appraisal. Energy efficiency and carbon reduction investments with an emphasis on better customer experience can reinforce brand loyalty and competitiveness over the long term (Lin </w:t>
      </w:r>
      <w:r>
        <w:rPr>
          <w:i/>
          <w:iCs/>
          <w:sz w:val="24"/>
          <w:szCs w:val="24"/>
        </w:rPr>
        <w:t xml:space="preserve">et al. </w:t>
      </w:r>
      <w:r>
        <w:rPr>
          <w:sz w:val="24"/>
          <w:szCs w:val="24"/>
        </w:rPr>
        <w:t>2025).</w:t>
      </w:r>
    </w:p>
    <w:p w14:paraId="0AAFDAD7" w14:textId="77777777" w:rsidR="008276E7" w:rsidRDefault="00000000">
      <w:pPr>
        <w:pStyle w:val="Heading2"/>
      </w:pPr>
      <w:bookmarkStart w:id="17" w:name="_Toc236434569"/>
      <w:r>
        <w:t>Recommendation on the combination of projects</w:t>
      </w:r>
      <w:bookmarkEnd w:id="17"/>
    </w:p>
    <w:p w14:paraId="176B2B12" w14:textId="77777777" w:rsidR="008276E7" w:rsidRDefault="00000000">
      <w:pPr>
        <w:spacing w:after="200" w:line="360" w:lineRule="auto"/>
        <w:jc w:val="both"/>
        <w:rPr>
          <w:sz w:val="24"/>
          <w:szCs w:val="24"/>
        </w:rPr>
      </w:pPr>
      <w:r>
        <w:rPr>
          <w:sz w:val="24"/>
          <w:szCs w:val="24"/>
        </w:rPr>
        <w:t>A capital budget limit of 100 million has been set by the Board, which implies that only two projects will be chosen since they all need an investment of 50 million.</w:t>
      </w:r>
    </w:p>
    <w:p w14:paraId="05601787" w14:textId="77777777" w:rsidR="008276E7" w:rsidRDefault="00000000">
      <w:pPr>
        <w:spacing w:before="240" w:after="240" w:line="360" w:lineRule="auto"/>
        <w:jc w:val="both"/>
        <w:rPr>
          <w:b/>
          <w:bCs/>
          <w:sz w:val="24"/>
          <w:szCs w:val="24"/>
          <w:u w:val="single"/>
        </w:rPr>
      </w:pPr>
      <w:r>
        <w:rPr>
          <w:b/>
          <w:bCs/>
          <w:sz w:val="24"/>
          <w:szCs w:val="24"/>
          <w:u w:val="single"/>
        </w:rPr>
        <w:t xml:space="preserve">Proposed combination: </w:t>
      </w:r>
    </w:p>
    <w:tbl>
      <w:tblPr>
        <w:tblStyle w:val="a0"/>
        <w:tblW w:w="1075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640"/>
        <w:gridCol w:w="4155"/>
        <w:gridCol w:w="3960"/>
      </w:tblGrid>
      <w:tr w:rsidR="008276E7" w14:paraId="0D6CCF1C" w14:textId="77777777">
        <w:trPr>
          <w:trHeight w:val="285"/>
        </w:trPr>
        <w:tc>
          <w:tcPr>
            <w:tcW w:w="264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52733C2E" w14:textId="77777777" w:rsidR="008276E7" w:rsidRDefault="00000000">
            <w:pPr>
              <w:spacing w:line="360" w:lineRule="auto"/>
              <w:jc w:val="both"/>
              <w:rPr>
                <w:b/>
                <w:bCs/>
                <w:sz w:val="24"/>
                <w:szCs w:val="24"/>
              </w:rPr>
            </w:pPr>
            <w:r>
              <w:rPr>
                <w:b/>
                <w:bCs/>
                <w:sz w:val="24"/>
                <w:szCs w:val="24"/>
              </w:rPr>
              <w:t>Combination</w:t>
            </w:r>
          </w:p>
        </w:tc>
        <w:tc>
          <w:tcPr>
            <w:tcW w:w="415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9D89C03" w14:textId="77777777" w:rsidR="008276E7" w:rsidRDefault="00000000">
            <w:pPr>
              <w:spacing w:line="360" w:lineRule="auto"/>
              <w:jc w:val="both"/>
              <w:rPr>
                <w:b/>
                <w:bCs/>
                <w:sz w:val="24"/>
                <w:szCs w:val="24"/>
              </w:rPr>
            </w:pPr>
            <w:r>
              <w:rPr>
                <w:b/>
                <w:bCs/>
                <w:sz w:val="24"/>
                <w:szCs w:val="24"/>
              </w:rPr>
              <w:t>Total Investment (£m)</w:t>
            </w:r>
          </w:p>
        </w:tc>
        <w:tc>
          <w:tcPr>
            <w:tcW w:w="396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5E5D6C2" w14:textId="77777777" w:rsidR="008276E7" w:rsidRDefault="00000000">
            <w:pPr>
              <w:spacing w:line="360" w:lineRule="auto"/>
              <w:jc w:val="both"/>
              <w:rPr>
                <w:b/>
                <w:bCs/>
                <w:sz w:val="24"/>
                <w:szCs w:val="24"/>
              </w:rPr>
            </w:pPr>
            <w:r>
              <w:rPr>
                <w:b/>
                <w:bCs/>
                <w:sz w:val="24"/>
                <w:szCs w:val="24"/>
              </w:rPr>
              <w:t>Combined NPV (£m)</w:t>
            </w:r>
          </w:p>
        </w:tc>
      </w:tr>
      <w:tr w:rsidR="008276E7" w14:paraId="1647A469" w14:textId="77777777">
        <w:trPr>
          <w:trHeight w:val="285"/>
        </w:trPr>
        <w:tc>
          <w:tcPr>
            <w:tcW w:w="26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25217C0" w14:textId="77777777" w:rsidR="008276E7" w:rsidRDefault="00000000">
            <w:pPr>
              <w:spacing w:line="360" w:lineRule="auto"/>
              <w:jc w:val="both"/>
              <w:rPr>
                <w:sz w:val="24"/>
                <w:szCs w:val="24"/>
              </w:rPr>
            </w:pPr>
            <w:r>
              <w:rPr>
                <w:sz w:val="24"/>
                <w:szCs w:val="24"/>
              </w:rPr>
              <w:t>A + B</w:t>
            </w:r>
          </w:p>
        </w:tc>
        <w:tc>
          <w:tcPr>
            <w:tcW w:w="4155" w:type="dxa"/>
            <w:tcBorders>
              <w:top w:val="nil"/>
              <w:left w:val="nil"/>
              <w:bottom w:val="single" w:sz="7" w:space="0" w:color="000000"/>
              <w:right w:val="single" w:sz="7" w:space="0" w:color="000000"/>
            </w:tcBorders>
            <w:tcMar>
              <w:top w:w="0" w:type="dxa"/>
              <w:left w:w="100" w:type="dxa"/>
              <w:bottom w:w="0" w:type="dxa"/>
              <w:right w:w="100" w:type="dxa"/>
            </w:tcMar>
          </w:tcPr>
          <w:p w14:paraId="4265EB87" w14:textId="77777777" w:rsidR="008276E7" w:rsidRDefault="00000000">
            <w:pPr>
              <w:spacing w:line="360" w:lineRule="auto"/>
              <w:jc w:val="both"/>
              <w:rPr>
                <w:sz w:val="24"/>
                <w:szCs w:val="24"/>
              </w:rPr>
            </w:pPr>
            <w:r>
              <w:rPr>
                <w:sz w:val="24"/>
                <w:szCs w:val="24"/>
              </w:rPr>
              <w:t>100</w:t>
            </w:r>
          </w:p>
        </w:tc>
        <w:tc>
          <w:tcPr>
            <w:tcW w:w="3960" w:type="dxa"/>
            <w:tcBorders>
              <w:top w:val="nil"/>
              <w:left w:val="nil"/>
              <w:bottom w:val="single" w:sz="7" w:space="0" w:color="000000"/>
              <w:right w:val="single" w:sz="7" w:space="0" w:color="000000"/>
            </w:tcBorders>
            <w:tcMar>
              <w:top w:w="0" w:type="dxa"/>
              <w:left w:w="100" w:type="dxa"/>
              <w:bottom w:w="0" w:type="dxa"/>
              <w:right w:w="100" w:type="dxa"/>
            </w:tcMar>
          </w:tcPr>
          <w:p w14:paraId="5B097E85" w14:textId="77777777" w:rsidR="008276E7" w:rsidRDefault="00000000">
            <w:pPr>
              <w:spacing w:line="360" w:lineRule="auto"/>
              <w:jc w:val="both"/>
              <w:rPr>
                <w:sz w:val="24"/>
                <w:szCs w:val="24"/>
              </w:rPr>
            </w:pPr>
            <w:r>
              <w:rPr>
                <w:sz w:val="24"/>
                <w:szCs w:val="24"/>
              </w:rPr>
              <w:t>-12.63</w:t>
            </w:r>
          </w:p>
        </w:tc>
      </w:tr>
      <w:tr w:rsidR="008276E7" w14:paraId="648B5205" w14:textId="77777777">
        <w:trPr>
          <w:trHeight w:val="285"/>
        </w:trPr>
        <w:tc>
          <w:tcPr>
            <w:tcW w:w="26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57B1FCB" w14:textId="77777777" w:rsidR="008276E7" w:rsidRDefault="00000000">
            <w:pPr>
              <w:spacing w:line="360" w:lineRule="auto"/>
              <w:jc w:val="both"/>
              <w:rPr>
                <w:sz w:val="24"/>
                <w:szCs w:val="24"/>
              </w:rPr>
            </w:pPr>
            <w:r>
              <w:rPr>
                <w:sz w:val="24"/>
                <w:szCs w:val="24"/>
              </w:rPr>
              <w:t>A + C</w:t>
            </w:r>
          </w:p>
        </w:tc>
        <w:tc>
          <w:tcPr>
            <w:tcW w:w="4155" w:type="dxa"/>
            <w:tcBorders>
              <w:top w:val="nil"/>
              <w:left w:val="nil"/>
              <w:bottom w:val="single" w:sz="7" w:space="0" w:color="000000"/>
              <w:right w:val="single" w:sz="7" w:space="0" w:color="000000"/>
            </w:tcBorders>
            <w:tcMar>
              <w:top w:w="0" w:type="dxa"/>
              <w:left w:w="100" w:type="dxa"/>
              <w:bottom w:w="0" w:type="dxa"/>
              <w:right w:w="100" w:type="dxa"/>
            </w:tcMar>
          </w:tcPr>
          <w:p w14:paraId="6F7F8BCE" w14:textId="77777777" w:rsidR="008276E7" w:rsidRDefault="00000000">
            <w:pPr>
              <w:spacing w:line="360" w:lineRule="auto"/>
              <w:jc w:val="both"/>
              <w:rPr>
                <w:sz w:val="24"/>
                <w:szCs w:val="24"/>
              </w:rPr>
            </w:pPr>
            <w:r>
              <w:rPr>
                <w:sz w:val="24"/>
                <w:szCs w:val="24"/>
              </w:rPr>
              <w:t>100</w:t>
            </w:r>
          </w:p>
        </w:tc>
        <w:tc>
          <w:tcPr>
            <w:tcW w:w="3960" w:type="dxa"/>
            <w:tcBorders>
              <w:top w:val="nil"/>
              <w:left w:val="nil"/>
              <w:bottom w:val="single" w:sz="7" w:space="0" w:color="000000"/>
              <w:right w:val="single" w:sz="7" w:space="0" w:color="000000"/>
            </w:tcBorders>
            <w:tcMar>
              <w:top w:w="0" w:type="dxa"/>
              <w:left w:w="100" w:type="dxa"/>
              <w:bottom w:w="0" w:type="dxa"/>
              <w:right w:w="100" w:type="dxa"/>
            </w:tcMar>
          </w:tcPr>
          <w:p w14:paraId="0B234E9B" w14:textId="77777777" w:rsidR="008276E7" w:rsidRDefault="00000000">
            <w:pPr>
              <w:spacing w:line="360" w:lineRule="auto"/>
              <w:jc w:val="both"/>
              <w:rPr>
                <w:sz w:val="24"/>
                <w:szCs w:val="24"/>
              </w:rPr>
            </w:pPr>
            <w:r>
              <w:rPr>
                <w:sz w:val="24"/>
                <w:szCs w:val="24"/>
              </w:rPr>
              <w:t>-5.69</w:t>
            </w:r>
          </w:p>
        </w:tc>
      </w:tr>
      <w:tr w:rsidR="008276E7" w14:paraId="5F4C5D0E" w14:textId="77777777">
        <w:trPr>
          <w:trHeight w:val="285"/>
        </w:trPr>
        <w:tc>
          <w:tcPr>
            <w:tcW w:w="26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FD66F1E" w14:textId="77777777" w:rsidR="008276E7" w:rsidRDefault="00000000">
            <w:pPr>
              <w:spacing w:line="360" w:lineRule="auto"/>
              <w:jc w:val="both"/>
              <w:rPr>
                <w:sz w:val="24"/>
                <w:szCs w:val="24"/>
              </w:rPr>
            </w:pPr>
            <w:r>
              <w:rPr>
                <w:sz w:val="24"/>
                <w:szCs w:val="24"/>
              </w:rPr>
              <w:t>B + C</w:t>
            </w:r>
          </w:p>
        </w:tc>
        <w:tc>
          <w:tcPr>
            <w:tcW w:w="4155" w:type="dxa"/>
            <w:tcBorders>
              <w:top w:val="nil"/>
              <w:left w:val="nil"/>
              <w:bottom w:val="single" w:sz="7" w:space="0" w:color="000000"/>
              <w:right w:val="single" w:sz="7" w:space="0" w:color="000000"/>
            </w:tcBorders>
            <w:tcMar>
              <w:top w:w="0" w:type="dxa"/>
              <w:left w:w="100" w:type="dxa"/>
              <w:bottom w:w="0" w:type="dxa"/>
              <w:right w:w="100" w:type="dxa"/>
            </w:tcMar>
          </w:tcPr>
          <w:p w14:paraId="7071C1EA" w14:textId="77777777" w:rsidR="008276E7" w:rsidRDefault="00000000">
            <w:pPr>
              <w:spacing w:line="360" w:lineRule="auto"/>
              <w:jc w:val="both"/>
              <w:rPr>
                <w:sz w:val="24"/>
                <w:szCs w:val="24"/>
              </w:rPr>
            </w:pPr>
            <w:r>
              <w:rPr>
                <w:sz w:val="24"/>
                <w:szCs w:val="24"/>
              </w:rPr>
              <w:t>100</w:t>
            </w:r>
          </w:p>
        </w:tc>
        <w:tc>
          <w:tcPr>
            <w:tcW w:w="3960" w:type="dxa"/>
            <w:tcBorders>
              <w:top w:val="nil"/>
              <w:left w:val="nil"/>
              <w:bottom w:val="single" w:sz="7" w:space="0" w:color="000000"/>
              <w:right w:val="single" w:sz="7" w:space="0" w:color="000000"/>
            </w:tcBorders>
            <w:tcMar>
              <w:top w:w="0" w:type="dxa"/>
              <w:left w:w="100" w:type="dxa"/>
              <w:bottom w:w="0" w:type="dxa"/>
              <w:right w:w="100" w:type="dxa"/>
            </w:tcMar>
          </w:tcPr>
          <w:p w14:paraId="57291D0D" w14:textId="77777777" w:rsidR="008276E7" w:rsidRDefault="00000000">
            <w:pPr>
              <w:spacing w:line="360" w:lineRule="auto"/>
              <w:jc w:val="both"/>
              <w:rPr>
                <w:sz w:val="24"/>
                <w:szCs w:val="24"/>
              </w:rPr>
            </w:pPr>
            <w:r>
              <w:rPr>
                <w:sz w:val="24"/>
                <w:szCs w:val="24"/>
              </w:rPr>
              <w:t>-5.22</w:t>
            </w:r>
          </w:p>
        </w:tc>
      </w:tr>
    </w:tbl>
    <w:p w14:paraId="0F9ABA0E" w14:textId="77777777" w:rsidR="008276E7" w:rsidRDefault="00000000">
      <w:pPr>
        <w:spacing w:before="240" w:after="240" w:line="360" w:lineRule="auto"/>
        <w:jc w:val="both"/>
        <w:rPr>
          <w:b/>
          <w:bCs/>
          <w:sz w:val="24"/>
          <w:szCs w:val="24"/>
        </w:rPr>
      </w:pPr>
      <w:r>
        <w:rPr>
          <w:b/>
          <w:bCs/>
          <w:sz w:val="24"/>
          <w:szCs w:val="24"/>
        </w:rPr>
        <w:t xml:space="preserve">Table 2: Proposed combination of three projects </w:t>
      </w:r>
    </w:p>
    <w:p w14:paraId="3DE06801" w14:textId="77777777" w:rsidR="008276E7" w:rsidRDefault="00000000">
      <w:pPr>
        <w:spacing w:after="200" w:line="360" w:lineRule="auto"/>
        <w:jc w:val="both"/>
        <w:rPr>
          <w:sz w:val="24"/>
          <w:szCs w:val="24"/>
        </w:rPr>
      </w:pPr>
      <w:r>
        <w:rPr>
          <w:sz w:val="24"/>
          <w:szCs w:val="24"/>
        </w:rPr>
        <w:t>NPV should rank the projects under capital rationing since NPV is the absolute contribution to shareholder wealth (Buchanan, 2025). Project C is the first one since it has the highest NPV and PI. Project B is better than Project A when it comes to projects A and B, as Project B has a lower NPV (-£6.08m versus -£6.55m) and higher PI (0.88 versus 0.87).</w:t>
      </w:r>
    </w:p>
    <w:p w14:paraId="6502BBB0" w14:textId="77777777" w:rsidR="008276E7" w:rsidRDefault="00000000">
      <w:pPr>
        <w:spacing w:after="200" w:line="360" w:lineRule="auto"/>
        <w:jc w:val="both"/>
        <w:rPr>
          <w:sz w:val="24"/>
          <w:szCs w:val="24"/>
        </w:rPr>
      </w:pPr>
      <w:r>
        <w:rPr>
          <w:sz w:val="24"/>
          <w:szCs w:val="24"/>
        </w:rPr>
        <w:lastRenderedPageBreak/>
        <w:t xml:space="preserve">But in terms of value-maximisation, it would be most rational to accept only Project C and keep the remaining £50 million instead of investing in projects with negative NPVs because they decrease the wealth of shareholders (Danielson </w:t>
      </w:r>
      <w:r>
        <w:rPr>
          <w:i/>
          <w:iCs/>
          <w:sz w:val="24"/>
          <w:szCs w:val="24"/>
        </w:rPr>
        <w:t>et al.</w:t>
      </w:r>
      <w:r>
        <w:rPr>
          <w:sz w:val="24"/>
          <w:szCs w:val="24"/>
        </w:rPr>
        <w:t xml:space="preserve"> 2024). Therefore, Whitbread ought to choose Project C only unless there are strategic reasons to do so.</w:t>
      </w:r>
    </w:p>
    <w:p w14:paraId="34E73A29" w14:textId="77777777" w:rsidR="008276E7" w:rsidRDefault="00000000">
      <w:pPr>
        <w:spacing w:after="200" w:line="360" w:lineRule="auto"/>
        <w:jc w:val="both"/>
        <w:rPr>
          <w:sz w:val="24"/>
          <w:szCs w:val="24"/>
        </w:rPr>
      </w:pPr>
      <w:r>
        <w:rPr>
          <w:sz w:val="24"/>
          <w:szCs w:val="24"/>
        </w:rPr>
        <w:t>Therefore, Project C will be the best investment opportunity under all the appraisal methods. It offers maximum ARR, minimum payback period, maximum PI, maximum IRR and is the only project that has positive NPV. Project C is the best balance of value creation, risk mitigation, and cash flow generation, considering that Whitbread has been experiencing decreasing liquidity ratios, escalating leverage, and decreasing profitability. Project B and Project C, collectively, make the best portfolio of £100 million of capital under capital rationing, but choosing Project C alone is the most consistent with shareholder wealth maximisation.</w:t>
      </w:r>
    </w:p>
    <w:p w14:paraId="25AF0DF7" w14:textId="77777777" w:rsidR="008276E7" w:rsidRDefault="00000000">
      <w:pPr>
        <w:pStyle w:val="Heading1"/>
      </w:pPr>
      <w:bookmarkStart w:id="18" w:name="_Toc236434570"/>
      <w:r>
        <w:t>Critical reflection on AI usage</w:t>
      </w:r>
      <w:bookmarkEnd w:id="18"/>
    </w:p>
    <w:p w14:paraId="47B772C1" w14:textId="77777777" w:rsidR="008276E7" w:rsidRDefault="00000000">
      <w:pPr>
        <w:spacing w:after="200" w:line="360" w:lineRule="auto"/>
        <w:jc w:val="both"/>
        <w:rPr>
          <w:sz w:val="24"/>
          <w:szCs w:val="24"/>
        </w:rPr>
      </w:pPr>
      <w:r>
        <w:rPr>
          <w:sz w:val="24"/>
          <w:szCs w:val="24"/>
        </w:rPr>
        <w:t xml:space="preserve">Artificial Intelligence (AI) was applied as an additional support tool in the creation of this report. In line with the AI use acknowledgement, ChatGPT and other generative AI platforms were applied to format reports, organise ideas and refine language, whereas Grammarly was applied to enhance grammar, clarity, and the writing style. AI was not in place of independent analysis and decision-making. </w:t>
      </w:r>
    </w:p>
    <w:p w14:paraId="63BA2E87" w14:textId="77777777" w:rsidR="008276E7" w:rsidRDefault="00000000">
      <w:pPr>
        <w:spacing w:after="200" w:line="360" w:lineRule="auto"/>
        <w:jc w:val="both"/>
        <w:rPr>
          <w:sz w:val="24"/>
          <w:szCs w:val="24"/>
        </w:rPr>
      </w:pPr>
      <w:r>
        <w:rPr>
          <w:sz w:val="24"/>
          <w:szCs w:val="24"/>
        </w:rPr>
        <w:t xml:space="preserve">The critical approach has been embraced in considering AI-generated content. Even though AI tools are capable of summarising and explaining data rather quickly, sometimes they could come up with inaccurate explanations, old data, or unsubstantiated assumptions (Christou, 2023). In order to reduce this risk, all the financial information recommended by AI was cross-examined with the published financial statements of Whitbread, such as the income statement, balance sheet, cash flow statement and the calculation of ratios. Any differences between AI-generated interpretations and the real financial outcomes were fixed and included in the report. </w:t>
      </w:r>
    </w:p>
    <w:p w14:paraId="7897D7C4" w14:textId="77777777" w:rsidR="008276E7" w:rsidRDefault="00000000">
      <w:pPr>
        <w:spacing w:after="200" w:line="360" w:lineRule="auto"/>
        <w:jc w:val="both"/>
        <w:rPr>
          <w:sz w:val="24"/>
          <w:szCs w:val="24"/>
        </w:rPr>
      </w:pPr>
      <w:r>
        <w:rPr>
          <w:sz w:val="24"/>
          <w:szCs w:val="24"/>
        </w:rPr>
        <w:t xml:space="preserve">The role of AI was limited primarily to the provision of the framework in which the information will be presented, the proposal of a suitable report structure, and the </w:t>
      </w:r>
      <w:r>
        <w:rPr>
          <w:sz w:val="24"/>
          <w:szCs w:val="24"/>
        </w:rPr>
        <w:lastRenderedPageBreak/>
        <w:t xml:space="preserve">enhancement of the legibility of the written parts. Analysis of the substantive financial information, analysis of the performance trends of Whitbread, analysis of strategic risks, analysis of restructuring options and ultimate investment recommendations are my critical thinking and judgement. </w:t>
      </w:r>
    </w:p>
    <w:p w14:paraId="743D7B87" w14:textId="77777777" w:rsidR="008276E7" w:rsidRDefault="00000000">
      <w:pPr>
        <w:spacing w:after="200" w:line="360" w:lineRule="auto"/>
        <w:jc w:val="both"/>
        <w:rPr>
          <w:sz w:val="24"/>
          <w:szCs w:val="24"/>
        </w:rPr>
      </w:pPr>
      <w:r>
        <w:rPr>
          <w:sz w:val="24"/>
          <w:szCs w:val="24"/>
        </w:rPr>
        <w:t xml:space="preserve">The growing application of AI in financial management presents some critical ethical and professional issues. The use of AI tools in professional work requires transparency, as its stakeholders must be aware of how this kind of technology has been used (Balasubramaniam </w:t>
      </w:r>
      <w:r>
        <w:rPr>
          <w:i/>
          <w:iCs/>
          <w:sz w:val="24"/>
          <w:szCs w:val="24"/>
        </w:rPr>
        <w:t>et al.</w:t>
      </w:r>
      <w:r>
        <w:rPr>
          <w:sz w:val="24"/>
          <w:szCs w:val="24"/>
        </w:rPr>
        <w:t xml:space="preserve"> 2023). Data privacy is a secondary issue since financial information tends to have commercially sensitive data that should be managed safely (Gudepu and Jaladi, 2022). Professionals should make sure that they do not provide confidential data to third parties inappropriately to other AI platforms. Moreover, overuse of AI might undermine professional judgment and critical thinking.</w:t>
      </w:r>
    </w:p>
    <w:p w14:paraId="75B8D7A9" w14:textId="77777777" w:rsidR="008276E7" w:rsidRDefault="00000000">
      <w:pPr>
        <w:pStyle w:val="Heading1"/>
      </w:pPr>
      <w:bookmarkStart w:id="19" w:name="_Toc236434571"/>
      <w:r>
        <w:t>Conclusion</w:t>
      </w:r>
      <w:bookmarkEnd w:id="19"/>
    </w:p>
    <w:p w14:paraId="4F3664B5" w14:textId="77777777" w:rsidR="008276E7" w:rsidRDefault="00000000">
      <w:pPr>
        <w:spacing w:after="200" w:line="360" w:lineRule="auto"/>
        <w:jc w:val="both"/>
        <w:rPr>
          <w:sz w:val="24"/>
          <w:szCs w:val="24"/>
        </w:rPr>
      </w:pPr>
      <w:r>
        <w:rPr>
          <w:sz w:val="24"/>
          <w:szCs w:val="24"/>
        </w:rPr>
        <w:t>The conclusion of this report is that Whitbread PLC has made a robust financial recovery since the pandemic, as evidenced by the fact that the company has improved its revenue growth, profitability, operational efficiency, and performance of cash flows. Nonetheless, the reduction of liquidity ratios, growing leverage, as well as expanding the financial obligations of a long-term nature are rather challenging issues that have to be managed with care. The suggested financial restructuring plans and working capital reforms would enhance financial resiliency and promote sustainable growth. The results of investment appraisal showed that Project C was the most value-creating alternative, with a positive NPV and high returns. In general, financial discipline, flexibility of operations, and responsible development will be crucial in improving long-term shareholder value and competitiveness.</w:t>
      </w:r>
    </w:p>
    <w:p w14:paraId="74C24666" w14:textId="77777777" w:rsidR="008276E7" w:rsidRDefault="00000000">
      <w:pPr>
        <w:spacing w:line="360" w:lineRule="auto"/>
        <w:jc w:val="both"/>
        <w:rPr>
          <w:sz w:val="24"/>
          <w:szCs w:val="24"/>
        </w:rPr>
      </w:pPr>
      <w:r>
        <w:rPr>
          <w:sz w:val="24"/>
          <w:szCs w:val="24"/>
        </w:rPr>
        <w:t xml:space="preserve"> </w:t>
      </w:r>
    </w:p>
    <w:p w14:paraId="5C139E4E" w14:textId="77777777" w:rsidR="008276E7" w:rsidRDefault="00000000">
      <w:pPr>
        <w:spacing w:line="360" w:lineRule="auto"/>
        <w:jc w:val="both"/>
        <w:rPr>
          <w:b/>
          <w:bCs/>
          <w:sz w:val="28"/>
          <w:szCs w:val="28"/>
        </w:rPr>
      </w:pPr>
      <w:r>
        <w:br w:type="page"/>
      </w:r>
    </w:p>
    <w:p w14:paraId="77ACFBDC" w14:textId="77777777" w:rsidR="008276E7" w:rsidRDefault="00000000">
      <w:pPr>
        <w:pStyle w:val="Heading1"/>
      </w:pPr>
      <w:bookmarkStart w:id="20" w:name="_Toc236434572"/>
      <w:r>
        <w:lastRenderedPageBreak/>
        <w:t>References</w:t>
      </w:r>
      <w:bookmarkEnd w:id="20"/>
      <w:r>
        <w:t xml:space="preserve"> </w:t>
      </w:r>
    </w:p>
    <w:p w14:paraId="42472BD8" w14:textId="77777777" w:rsidR="008276E7" w:rsidRDefault="00000000">
      <w:pPr>
        <w:spacing w:line="360" w:lineRule="auto"/>
        <w:jc w:val="both"/>
        <w:rPr>
          <w:color w:val="1155CC"/>
          <w:sz w:val="24"/>
          <w:szCs w:val="24"/>
          <w:u w:val="single"/>
        </w:rPr>
      </w:pPr>
      <w:r>
        <w:rPr>
          <w:color w:val="222222"/>
          <w:sz w:val="24"/>
          <w:szCs w:val="24"/>
        </w:rPr>
        <w:t xml:space="preserve">Achieng, O.F. and Kabisani, F.M., 2025. Effect of Digital Strategic Partnerships on Financial Performance of Commercial Banks in Kenya. </w:t>
      </w:r>
      <w:r>
        <w:rPr>
          <w:i/>
          <w:iCs/>
          <w:color w:val="222222"/>
          <w:sz w:val="24"/>
          <w:szCs w:val="24"/>
        </w:rPr>
        <w:t>Journal of Consumer Studies and Applied Marketing</w:t>
      </w:r>
      <w:r>
        <w:rPr>
          <w:color w:val="222222"/>
          <w:sz w:val="24"/>
          <w:szCs w:val="24"/>
        </w:rPr>
        <w:t xml:space="preserve">, </w:t>
      </w:r>
      <w:r>
        <w:rPr>
          <w:i/>
          <w:iCs/>
          <w:color w:val="222222"/>
          <w:sz w:val="24"/>
          <w:szCs w:val="24"/>
        </w:rPr>
        <w:t>3</w:t>
      </w:r>
      <w:r>
        <w:rPr>
          <w:color w:val="222222"/>
          <w:sz w:val="24"/>
          <w:szCs w:val="24"/>
        </w:rPr>
        <w:t>(1), pp.67-79. Available at:</w:t>
      </w:r>
      <w:hyperlink r:id="rId16">
        <w:r w:rsidR="008276E7">
          <w:rPr>
            <w:color w:val="222222"/>
            <w:sz w:val="24"/>
            <w:szCs w:val="24"/>
          </w:rPr>
          <w:t xml:space="preserve"> </w:t>
        </w:r>
      </w:hyperlink>
      <w:hyperlink r:id="rId17">
        <w:r w:rsidR="008276E7">
          <w:rPr>
            <w:color w:val="1155CC"/>
            <w:sz w:val="24"/>
            <w:szCs w:val="24"/>
            <w:u w:val="single"/>
          </w:rPr>
          <w:t>https://jurnal.integrasisainsmedia.co.id/index.php/JCSAM/article/download/392/328</w:t>
        </w:r>
      </w:hyperlink>
    </w:p>
    <w:p w14:paraId="3F69E04D" w14:textId="77777777" w:rsidR="008276E7" w:rsidRDefault="00000000">
      <w:pPr>
        <w:spacing w:line="360" w:lineRule="auto"/>
        <w:jc w:val="both"/>
        <w:rPr>
          <w:color w:val="1155CC"/>
          <w:sz w:val="24"/>
          <w:szCs w:val="24"/>
          <w:u w:val="single"/>
        </w:rPr>
      </w:pPr>
      <w:r>
        <w:rPr>
          <w:color w:val="222222"/>
          <w:sz w:val="24"/>
          <w:szCs w:val="24"/>
        </w:rPr>
        <w:t xml:space="preserve">agustin WULANDARI, K., SEPTIVIARI, A.A.I.M. and YUSMARISA, N.L.R., 2026. Analysis of Uncollectible Receivables on the Turnover Rate of Receivables at Hotel X. </w:t>
      </w:r>
      <w:r>
        <w:rPr>
          <w:i/>
          <w:iCs/>
          <w:color w:val="222222"/>
          <w:sz w:val="24"/>
          <w:szCs w:val="24"/>
        </w:rPr>
        <w:t>Journal of Governance, Taxation and Auditing</w:t>
      </w:r>
      <w:r>
        <w:rPr>
          <w:color w:val="222222"/>
          <w:sz w:val="24"/>
          <w:szCs w:val="24"/>
        </w:rPr>
        <w:t xml:space="preserve">, </w:t>
      </w:r>
      <w:r>
        <w:rPr>
          <w:i/>
          <w:iCs/>
          <w:color w:val="222222"/>
          <w:sz w:val="24"/>
          <w:szCs w:val="24"/>
        </w:rPr>
        <w:t>4</w:t>
      </w:r>
      <w:r>
        <w:rPr>
          <w:color w:val="222222"/>
          <w:sz w:val="24"/>
          <w:szCs w:val="24"/>
        </w:rPr>
        <w:t>(1), pp.12-20. Available at:</w:t>
      </w:r>
      <w:hyperlink r:id="rId18">
        <w:r w:rsidR="008276E7">
          <w:rPr>
            <w:color w:val="222222"/>
            <w:sz w:val="24"/>
            <w:szCs w:val="24"/>
          </w:rPr>
          <w:t xml:space="preserve"> </w:t>
        </w:r>
      </w:hyperlink>
      <w:hyperlink r:id="rId19">
        <w:r w:rsidR="008276E7">
          <w:rPr>
            <w:color w:val="1155CC"/>
            <w:sz w:val="24"/>
            <w:szCs w:val="24"/>
            <w:u w:val="single"/>
          </w:rPr>
          <w:t>https://journalkeberlanjutan.com/index.php/JoGTA/article/download/1622/1267</w:t>
        </w:r>
      </w:hyperlink>
    </w:p>
    <w:p w14:paraId="5BCEB3DA" w14:textId="77777777" w:rsidR="008276E7" w:rsidRDefault="00000000">
      <w:pPr>
        <w:spacing w:line="360" w:lineRule="auto"/>
        <w:jc w:val="both"/>
        <w:rPr>
          <w:color w:val="1155CC"/>
          <w:sz w:val="24"/>
          <w:szCs w:val="24"/>
          <w:u w:val="single"/>
        </w:rPr>
      </w:pPr>
      <w:r>
        <w:rPr>
          <w:color w:val="222222"/>
          <w:sz w:val="24"/>
          <w:szCs w:val="24"/>
        </w:rPr>
        <w:t xml:space="preserve">Akinsola, K., 2025. Legal frameworks for corporate tax compliance: Navigating local and global regulations. </w:t>
      </w:r>
      <w:r>
        <w:rPr>
          <w:i/>
          <w:iCs/>
          <w:color w:val="222222"/>
          <w:sz w:val="24"/>
          <w:szCs w:val="24"/>
        </w:rPr>
        <w:t>Available at SSRN 5127003</w:t>
      </w:r>
      <w:r>
        <w:rPr>
          <w:color w:val="222222"/>
          <w:sz w:val="24"/>
          <w:szCs w:val="24"/>
        </w:rPr>
        <w:t>. Available at:</w:t>
      </w:r>
      <w:hyperlink r:id="rId20">
        <w:r w:rsidR="008276E7">
          <w:rPr>
            <w:color w:val="222222"/>
            <w:sz w:val="24"/>
            <w:szCs w:val="24"/>
          </w:rPr>
          <w:t xml:space="preserve"> </w:t>
        </w:r>
      </w:hyperlink>
      <w:hyperlink r:id="rId21">
        <w:r w:rsidR="008276E7">
          <w:rPr>
            <w:color w:val="1155CC"/>
            <w:sz w:val="24"/>
            <w:szCs w:val="24"/>
            <w:u w:val="single"/>
          </w:rPr>
          <w:t>https://papers.ssrn.com/sol3/Delivery.cfm?abstractid=5127003</w:t>
        </w:r>
      </w:hyperlink>
    </w:p>
    <w:p w14:paraId="23D68FC8" w14:textId="77777777" w:rsidR="008276E7" w:rsidRDefault="00000000">
      <w:pPr>
        <w:spacing w:line="360" w:lineRule="auto"/>
        <w:jc w:val="both"/>
        <w:rPr>
          <w:color w:val="1155CC"/>
          <w:sz w:val="24"/>
          <w:szCs w:val="24"/>
          <w:u w:val="single"/>
        </w:rPr>
      </w:pPr>
      <w:r>
        <w:rPr>
          <w:color w:val="222222"/>
          <w:sz w:val="24"/>
          <w:szCs w:val="24"/>
        </w:rPr>
        <w:t xml:space="preserve">Arhinful, R., Mensah, L., Amin, H.I.M. and Obeng, H.A., 2024. The influence of cost of debt, cost of equity and weighted average cost of capital on dividend policy decision: Evidence from non-financial companies listed on the Frankfurt Stock Exchange. </w:t>
      </w:r>
      <w:r>
        <w:rPr>
          <w:i/>
          <w:iCs/>
          <w:color w:val="222222"/>
          <w:sz w:val="24"/>
          <w:szCs w:val="24"/>
        </w:rPr>
        <w:t>Future Business Journal</w:t>
      </w:r>
      <w:r>
        <w:rPr>
          <w:color w:val="222222"/>
          <w:sz w:val="24"/>
          <w:szCs w:val="24"/>
        </w:rPr>
        <w:t xml:space="preserve">, </w:t>
      </w:r>
      <w:r>
        <w:rPr>
          <w:i/>
          <w:iCs/>
          <w:color w:val="222222"/>
          <w:sz w:val="24"/>
          <w:szCs w:val="24"/>
        </w:rPr>
        <w:t>10</w:t>
      </w:r>
      <w:r>
        <w:rPr>
          <w:color w:val="222222"/>
          <w:sz w:val="24"/>
          <w:szCs w:val="24"/>
        </w:rPr>
        <w:t>(1), p.99. Available at:</w:t>
      </w:r>
      <w:hyperlink r:id="rId22">
        <w:r w:rsidR="008276E7">
          <w:rPr>
            <w:color w:val="222222"/>
            <w:sz w:val="24"/>
            <w:szCs w:val="24"/>
          </w:rPr>
          <w:t xml:space="preserve"> </w:t>
        </w:r>
      </w:hyperlink>
      <w:hyperlink r:id="rId23">
        <w:r w:rsidR="008276E7">
          <w:rPr>
            <w:color w:val="1155CC"/>
            <w:sz w:val="24"/>
            <w:szCs w:val="24"/>
            <w:u w:val="single"/>
          </w:rPr>
          <w:t>https://link.springer.com/content/pdf/10.1186/s43093-024-00384-8.pdf</w:t>
        </w:r>
      </w:hyperlink>
    </w:p>
    <w:p w14:paraId="7956C079" w14:textId="77777777" w:rsidR="008276E7" w:rsidRDefault="00000000">
      <w:pPr>
        <w:spacing w:line="360" w:lineRule="auto"/>
        <w:jc w:val="both"/>
        <w:rPr>
          <w:color w:val="1155CC"/>
          <w:sz w:val="24"/>
          <w:szCs w:val="24"/>
          <w:u w:val="single"/>
        </w:rPr>
      </w:pPr>
      <w:r>
        <w:rPr>
          <w:color w:val="222222"/>
          <w:sz w:val="24"/>
          <w:szCs w:val="24"/>
        </w:rPr>
        <w:t xml:space="preserve">Arifaj, A.H., Berisha, V., Morina, F. and Avdyli, E., 2023. Exploring the impact of cash flow, company size, and debt on financial performance in corporations. </w:t>
      </w:r>
      <w:r>
        <w:rPr>
          <w:i/>
          <w:iCs/>
          <w:color w:val="222222"/>
          <w:sz w:val="24"/>
          <w:szCs w:val="24"/>
        </w:rPr>
        <w:t>Investment Management &amp; Financial Innovations</w:t>
      </w:r>
      <w:r>
        <w:rPr>
          <w:color w:val="222222"/>
          <w:sz w:val="24"/>
          <w:szCs w:val="24"/>
        </w:rPr>
        <w:t xml:space="preserve">, </w:t>
      </w:r>
      <w:r>
        <w:rPr>
          <w:i/>
          <w:iCs/>
          <w:color w:val="222222"/>
          <w:sz w:val="24"/>
          <w:szCs w:val="24"/>
        </w:rPr>
        <w:t>20</w:t>
      </w:r>
      <w:r>
        <w:rPr>
          <w:color w:val="222222"/>
          <w:sz w:val="24"/>
          <w:szCs w:val="24"/>
        </w:rPr>
        <w:t>(3), p.264. Available at:</w:t>
      </w:r>
      <w:hyperlink r:id="rId24">
        <w:r w:rsidR="008276E7">
          <w:rPr>
            <w:color w:val="222222"/>
            <w:sz w:val="24"/>
            <w:szCs w:val="24"/>
          </w:rPr>
          <w:t xml:space="preserve"> </w:t>
        </w:r>
      </w:hyperlink>
      <w:hyperlink r:id="rId25">
        <w:r w:rsidR="008276E7">
          <w:rPr>
            <w:color w:val="1155CC"/>
            <w:sz w:val="24"/>
            <w:szCs w:val="24"/>
            <w:u w:val="single"/>
          </w:rPr>
          <w:t>https://pdfs.semanticscholar.org/b297/a823988fa5f3b58516df9f08c16c2c20d0e5.pdf</w:t>
        </w:r>
      </w:hyperlink>
    </w:p>
    <w:p w14:paraId="1022D37A" w14:textId="77777777" w:rsidR="008276E7" w:rsidRDefault="00000000">
      <w:pPr>
        <w:spacing w:line="360" w:lineRule="auto"/>
        <w:jc w:val="both"/>
        <w:rPr>
          <w:color w:val="1155CC"/>
          <w:sz w:val="24"/>
          <w:szCs w:val="24"/>
          <w:u w:val="single"/>
        </w:rPr>
      </w:pPr>
      <w:r>
        <w:rPr>
          <w:color w:val="222222"/>
          <w:sz w:val="24"/>
          <w:szCs w:val="24"/>
        </w:rPr>
        <w:t xml:space="preserve">Asman, F.N., Fernandez, D., Jamaludin, N.A., Omar Zaki, H. and Ghazali, A.W., 2022. Cash conversion cycle and firm’s performance. </w:t>
      </w:r>
      <w:r>
        <w:rPr>
          <w:i/>
          <w:iCs/>
          <w:color w:val="222222"/>
          <w:sz w:val="24"/>
          <w:szCs w:val="24"/>
        </w:rPr>
        <w:t>International Journal of Academic Research in Business and Social Sciences</w:t>
      </w:r>
      <w:r>
        <w:rPr>
          <w:color w:val="222222"/>
          <w:sz w:val="24"/>
          <w:szCs w:val="24"/>
        </w:rPr>
        <w:t xml:space="preserve">, </w:t>
      </w:r>
      <w:r>
        <w:rPr>
          <w:i/>
          <w:iCs/>
          <w:color w:val="222222"/>
          <w:sz w:val="24"/>
          <w:szCs w:val="24"/>
        </w:rPr>
        <w:t>12</w:t>
      </w:r>
      <w:r>
        <w:rPr>
          <w:color w:val="222222"/>
          <w:sz w:val="24"/>
          <w:szCs w:val="24"/>
        </w:rPr>
        <w:t>(11), pp.2682-2692. Available at:</w:t>
      </w:r>
      <w:hyperlink r:id="rId26">
        <w:r w:rsidR="008276E7">
          <w:rPr>
            <w:color w:val="222222"/>
            <w:sz w:val="24"/>
            <w:szCs w:val="24"/>
          </w:rPr>
          <w:t xml:space="preserve"> </w:t>
        </w:r>
      </w:hyperlink>
      <w:hyperlink r:id="rId27">
        <w:r w:rsidR="008276E7">
          <w:rPr>
            <w:color w:val="1155CC"/>
            <w:sz w:val="24"/>
            <w:szCs w:val="24"/>
            <w:u w:val="single"/>
          </w:rPr>
          <w:t>https://www.academia.edu/download/106769993/cash-conversion-cycle-and-firms-performance.pdf</w:t>
        </w:r>
      </w:hyperlink>
    </w:p>
    <w:p w14:paraId="2317A9FE" w14:textId="77777777" w:rsidR="008276E7" w:rsidRDefault="00000000">
      <w:pPr>
        <w:spacing w:line="360" w:lineRule="auto"/>
        <w:jc w:val="both"/>
        <w:rPr>
          <w:color w:val="1155CC"/>
          <w:sz w:val="24"/>
          <w:szCs w:val="24"/>
          <w:u w:val="single"/>
        </w:rPr>
      </w:pPr>
      <w:r>
        <w:rPr>
          <w:color w:val="222222"/>
          <w:sz w:val="24"/>
          <w:szCs w:val="24"/>
        </w:rPr>
        <w:t xml:space="preserve">Balasubramaniam, N., Kauppinen, M., Rannisto, A., Hiekkanen, K. and Kujala, S., 2023. Transparency and explainability of AI systems: From ethical guidelines to requirements. </w:t>
      </w:r>
      <w:r>
        <w:rPr>
          <w:i/>
          <w:iCs/>
          <w:color w:val="222222"/>
          <w:sz w:val="24"/>
          <w:szCs w:val="24"/>
        </w:rPr>
        <w:t>Information and Software Technology</w:t>
      </w:r>
      <w:r>
        <w:rPr>
          <w:color w:val="222222"/>
          <w:sz w:val="24"/>
          <w:szCs w:val="24"/>
        </w:rPr>
        <w:t xml:space="preserve">, </w:t>
      </w:r>
      <w:r>
        <w:rPr>
          <w:i/>
          <w:iCs/>
          <w:color w:val="222222"/>
          <w:sz w:val="24"/>
          <w:szCs w:val="24"/>
        </w:rPr>
        <w:t>159</w:t>
      </w:r>
      <w:r>
        <w:rPr>
          <w:color w:val="222222"/>
          <w:sz w:val="24"/>
          <w:szCs w:val="24"/>
        </w:rPr>
        <w:t>, p.107197. Available at:</w:t>
      </w:r>
      <w:hyperlink r:id="rId28">
        <w:r w:rsidR="008276E7">
          <w:rPr>
            <w:color w:val="222222"/>
            <w:sz w:val="24"/>
            <w:szCs w:val="24"/>
          </w:rPr>
          <w:t xml:space="preserve"> </w:t>
        </w:r>
      </w:hyperlink>
      <w:hyperlink r:id="rId29">
        <w:r w:rsidR="008276E7">
          <w:rPr>
            <w:color w:val="1155CC"/>
            <w:sz w:val="24"/>
            <w:szCs w:val="24"/>
            <w:u w:val="single"/>
          </w:rPr>
          <w:t>https://www.sciencedirect.com/science/article/pii/S0950584923000514</w:t>
        </w:r>
      </w:hyperlink>
    </w:p>
    <w:p w14:paraId="5DE1315D" w14:textId="77777777" w:rsidR="008276E7" w:rsidRDefault="00000000">
      <w:pPr>
        <w:spacing w:line="360" w:lineRule="auto"/>
        <w:jc w:val="both"/>
        <w:rPr>
          <w:color w:val="1155CC"/>
          <w:sz w:val="24"/>
          <w:szCs w:val="24"/>
          <w:u w:val="single"/>
        </w:rPr>
      </w:pPr>
      <w:r>
        <w:rPr>
          <w:color w:val="222222"/>
          <w:sz w:val="24"/>
          <w:szCs w:val="24"/>
        </w:rPr>
        <w:lastRenderedPageBreak/>
        <w:t xml:space="preserve">Barnabas, B. and Oloyede, J., 2024. Cash flow optimization: Strategies for enhancing short-term liquidity. </w:t>
      </w:r>
      <w:r>
        <w:rPr>
          <w:i/>
          <w:iCs/>
          <w:color w:val="222222"/>
          <w:sz w:val="24"/>
          <w:szCs w:val="24"/>
        </w:rPr>
        <w:t>Available at SSRN 5004465</w:t>
      </w:r>
      <w:r>
        <w:rPr>
          <w:color w:val="222222"/>
          <w:sz w:val="24"/>
          <w:szCs w:val="24"/>
        </w:rPr>
        <w:t>. Available at:</w:t>
      </w:r>
      <w:hyperlink r:id="rId30">
        <w:r w:rsidR="008276E7">
          <w:rPr>
            <w:color w:val="222222"/>
            <w:sz w:val="24"/>
            <w:szCs w:val="24"/>
          </w:rPr>
          <w:t xml:space="preserve"> </w:t>
        </w:r>
      </w:hyperlink>
      <w:hyperlink r:id="rId31">
        <w:r w:rsidR="008276E7">
          <w:rPr>
            <w:color w:val="1155CC"/>
            <w:sz w:val="24"/>
            <w:szCs w:val="24"/>
            <w:u w:val="single"/>
          </w:rPr>
          <w:t>https://papers.ssrn.com/sol3/Delivery.cfm?abstractid=5004465</w:t>
        </w:r>
      </w:hyperlink>
    </w:p>
    <w:p w14:paraId="232FB08D" w14:textId="77777777" w:rsidR="008276E7" w:rsidRDefault="00000000">
      <w:pPr>
        <w:spacing w:line="360" w:lineRule="auto"/>
        <w:jc w:val="both"/>
        <w:rPr>
          <w:color w:val="1155CC"/>
          <w:sz w:val="24"/>
          <w:szCs w:val="24"/>
          <w:u w:val="single"/>
        </w:rPr>
      </w:pPr>
      <w:r>
        <w:rPr>
          <w:color w:val="222222"/>
          <w:sz w:val="24"/>
          <w:szCs w:val="24"/>
        </w:rPr>
        <w:t xml:space="preserve">Berkem, Z., 2025. Cash Flow Statement Analysis as a Tool for Assessing Liquidity and Financial Health: Evidence from El-Aurassi Hotel (2014–2023). </w:t>
      </w:r>
      <w:r>
        <w:rPr>
          <w:i/>
          <w:iCs/>
          <w:color w:val="222222"/>
          <w:sz w:val="24"/>
          <w:szCs w:val="24"/>
          <w:rtl/>
        </w:rPr>
        <w:t>مجلة الدراسات الإقتصادية والمالية</w:t>
      </w:r>
      <w:r>
        <w:rPr>
          <w:color w:val="222222"/>
          <w:sz w:val="24"/>
          <w:szCs w:val="24"/>
        </w:rPr>
        <w:t xml:space="preserve">, </w:t>
      </w:r>
      <w:r>
        <w:rPr>
          <w:i/>
          <w:iCs/>
          <w:color w:val="222222"/>
          <w:sz w:val="24"/>
          <w:szCs w:val="24"/>
        </w:rPr>
        <w:t>18</w:t>
      </w:r>
      <w:r>
        <w:rPr>
          <w:color w:val="222222"/>
          <w:sz w:val="24"/>
          <w:szCs w:val="24"/>
        </w:rPr>
        <w:t>(1), pp.26-44. Available at:</w:t>
      </w:r>
      <w:hyperlink r:id="rId32">
        <w:r w:rsidR="008276E7">
          <w:rPr>
            <w:color w:val="222222"/>
            <w:sz w:val="24"/>
            <w:szCs w:val="24"/>
          </w:rPr>
          <w:t xml:space="preserve"> </w:t>
        </w:r>
      </w:hyperlink>
      <w:hyperlink r:id="rId33">
        <w:r w:rsidR="008276E7">
          <w:rPr>
            <w:color w:val="1155CC"/>
            <w:sz w:val="24"/>
            <w:szCs w:val="24"/>
            <w:u w:val="single"/>
          </w:rPr>
          <w:t>https://papers.ssrn.com/sol3/Delivery.cfm?abstractid=5004465</w:t>
        </w:r>
      </w:hyperlink>
    </w:p>
    <w:p w14:paraId="7794DD0C" w14:textId="77777777" w:rsidR="008276E7" w:rsidRDefault="00000000">
      <w:pPr>
        <w:spacing w:line="360" w:lineRule="auto"/>
        <w:jc w:val="both"/>
        <w:rPr>
          <w:color w:val="1155CC"/>
          <w:sz w:val="24"/>
          <w:szCs w:val="24"/>
          <w:u w:val="single"/>
        </w:rPr>
      </w:pPr>
      <w:r>
        <w:rPr>
          <w:color w:val="222222"/>
          <w:sz w:val="24"/>
          <w:szCs w:val="24"/>
        </w:rPr>
        <w:t xml:space="preserve">Binsaddig, R., Ali, A., Al-Alkawi, T. and Ali, B.J., 2023. Inventory Turnover, accounts receivable turnover, and manufacturing profitability: an empirical study. </w:t>
      </w:r>
      <w:r>
        <w:rPr>
          <w:i/>
          <w:iCs/>
          <w:color w:val="222222"/>
          <w:sz w:val="24"/>
          <w:szCs w:val="24"/>
        </w:rPr>
        <w:t>International Journal of Economics and Finance Studies</w:t>
      </w:r>
      <w:r>
        <w:rPr>
          <w:color w:val="222222"/>
          <w:sz w:val="24"/>
          <w:szCs w:val="24"/>
        </w:rPr>
        <w:t xml:space="preserve">, </w:t>
      </w:r>
      <w:r>
        <w:rPr>
          <w:i/>
          <w:iCs/>
          <w:color w:val="222222"/>
          <w:sz w:val="24"/>
          <w:szCs w:val="24"/>
        </w:rPr>
        <w:t>15</w:t>
      </w:r>
      <w:r>
        <w:rPr>
          <w:color w:val="222222"/>
          <w:sz w:val="24"/>
          <w:szCs w:val="24"/>
        </w:rPr>
        <w:t>(1), pp.1-16. Available at:</w:t>
      </w:r>
      <w:hyperlink r:id="rId34">
        <w:r w:rsidR="008276E7">
          <w:rPr>
            <w:color w:val="222222"/>
            <w:sz w:val="24"/>
            <w:szCs w:val="24"/>
          </w:rPr>
          <w:t xml:space="preserve"> </w:t>
        </w:r>
      </w:hyperlink>
      <w:hyperlink r:id="rId35">
        <w:r w:rsidR="008276E7">
          <w:rPr>
            <w:color w:val="1155CC"/>
            <w:sz w:val="24"/>
            <w:szCs w:val="24"/>
            <w:u w:val="single"/>
          </w:rPr>
          <w:t>https://sobiad.org/menuscript/index.php/ijefs/article/download/1394/314</w:t>
        </w:r>
      </w:hyperlink>
    </w:p>
    <w:p w14:paraId="24F10EAC" w14:textId="77777777" w:rsidR="008276E7" w:rsidRDefault="00000000">
      <w:pPr>
        <w:spacing w:line="360" w:lineRule="auto"/>
        <w:jc w:val="both"/>
        <w:rPr>
          <w:color w:val="1155CC"/>
          <w:sz w:val="24"/>
          <w:szCs w:val="24"/>
          <w:u w:val="single"/>
        </w:rPr>
      </w:pPr>
      <w:r>
        <w:rPr>
          <w:color w:val="222222"/>
          <w:sz w:val="24"/>
          <w:szCs w:val="24"/>
        </w:rPr>
        <w:t xml:space="preserve">Blessing, H. and Sakouvogui, G., 2023. Impact of liquidity and solvency ratios on financial performance: a comprehensive analysis. </w:t>
      </w:r>
      <w:r>
        <w:rPr>
          <w:i/>
          <w:iCs/>
          <w:color w:val="222222"/>
          <w:sz w:val="24"/>
          <w:szCs w:val="24"/>
        </w:rPr>
        <w:t>Indonesia Auditing Research Journal</w:t>
      </w:r>
      <w:r>
        <w:rPr>
          <w:color w:val="222222"/>
          <w:sz w:val="24"/>
          <w:szCs w:val="24"/>
        </w:rPr>
        <w:t xml:space="preserve">, </w:t>
      </w:r>
      <w:r>
        <w:rPr>
          <w:i/>
          <w:iCs/>
          <w:color w:val="222222"/>
          <w:sz w:val="24"/>
          <w:szCs w:val="24"/>
        </w:rPr>
        <w:t>12</w:t>
      </w:r>
      <w:r>
        <w:rPr>
          <w:color w:val="222222"/>
          <w:sz w:val="24"/>
          <w:szCs w:val="24"/>
        </w:rPr>
        <w:t>(3), pp.102-115. Available at:</w:t>
      </w:r>
      <w:hyperlink r:id="rId36">
        <w:r w:rsidR="008276E7">
          <w:rPr>
            <w:color w:val="222222"/>
            <w:sz w:val="24"/>
            <w:szCs w:val="24"/>
          </w:rPr>
          <w:t xml:space="preserve"> </w:t>
        </w:r>
      </w:hyperlink>
      <w:hyperlink r:id="rId37">
        <w:r w:rsidR="008276E7">
          <w:rPr>
            <w:color w:val="1155CC"/>
            <w:sz w:val="24"/>
            <w:szCs w:val="24"/>
            <w:u w:val="single"/>
          </w:rPr>
          <w:t>http://journals.iarn.or.id/index.php/ARJ/article/download/208/141</w:t>
        </w:r>
      </w:hyperlink>
    </w:p>
    <w:p w14:paraId="4ECC92F5" w14:textId="77777777" w:rsidR="008276E7" w:rsidRDefault="00000000">
      <w:pPr>
        <w:spacing w:line="360" w:lineRule="auto"/>
        <w:jc w:val="both"/>
        <w:rPr>
          <w:color w:val="1155CC"/>
          <w:sz w:val="24"/>
          <w:szCs w:val="24"/>
          <w:u w:val="single"/>
        </w:rPr>
      </w:pPr>
      <w:r>
        <w:rPr>
          <w:color w:val="222222"/>
          <w:sz w:val="24"/>
          <w:szCs w:val="24"/>
        </w:rPr>
        <w:t xml:space="preserve">Buchanan, D.L., 2025. Equity fund raising and the role of share performance metrics in the valuation of mineral projects. </w:t>
      </w:r>
      <w:r>
        <w:rPr>
          <w:i/>
          <w:iCs/>
          <w:color w:val="222222"/>
          <w:sz w:val="24"/>
          <w:szCs w:val="24"/>
        </w:rPr>
        <w:t>Mineral Economics</w:t>
      </w:r>
      <w:r>
        <w:rPr>
          <w:color w:val="222222"/>
          <w:sz w:val="24"/>
          <w:szCs w:val="24"/>
        </w:rPr>
        <w:t xml:space="preserve">, </w:t>
      </w:r>
      <w:r>
        <w:rPr>
          <w:i/>
          <w:iCs/>
          <w:color w:val="222222"/>
          <w:sz w:val="24"/>
          <w:szCs w:val="24"/>
        </w:rPr>
        <w:t>38</w:t>
      </w:r>
      <w:r>
        <w:rPr>
          <w:color w:val="222222"/>
          <w:sz w:val="24"/>
          <w:szCs w:val="24"/>
        </w:rPr>
        <w:t>(3), pp.527-536. Available at:</w:t>
      </w:r>
      <w:hyperlink r:id="rId38">
        <w:r w:rsidR="008276E7">
          <w:rPr>
            <w:color w:val="222222"/>
            <w:sz w:val="24"/>
            <w:szCs w:val="24"/>
          </w:rPr>
          <w:t xml:space="preserve"> </w:t>
        </w:r>
      </w:hyperlink>
      <w:hyperlink r:id="rId39">
        <w:r w:rsidR="008276E7">
          <w:rPr>
            <w:color w:val="1155CC"/>
            <w:sz w:val="24"/>
            <w:szCs w:val="24"/>
            <w:u w:val="single"/>
          </w:rPr>
          <w:t>https://link.springer.com/content/pdf/10.1007/s13563-025-00500-2.pdf</w:t>
        </w:r>
      </w:hyperlink>
    </w:p>
    <w:p w14:paraId="192E9CDE" w14:textId="77777777" w:rsidR="008276E7" w:rsidRDefault="00000000">
      <w:pPr>
        <w:spacing w:line="360" w:lineRule="auto"/>
        <w:jc w:val="both"/>
        <w:rPr>
          <w:color w:val="1155CC"/>
          <w:sz w:val="24"/>
          <w:szCs w:val="24"/>
          <w:u w:val="single"/>
        </w:rPr>
      </w:pPr>
      <w:r>
        <w:rPr>
          <w:color w:val="222222"/>
          <w:sz w:val="24"/>
          <w:szCs w:val="24"/>
        </w:rPr>
        <w:t xml:space="preserve">Challoumis, C., 2024. Sustainable Investment and Long-Term Economic Growth. </w:t>
      </w:r>
      <w:r>
        <w:rPr>
          <w:i/>
          <w:iCs/>
          <w:color w:val="222222"/>
          <w:sz w:val="24"/>
          <w:szCs w:val="24"/>
        </w:rPr>
        <w:t>SSRN Electronic Journal</w:t>
      </w:r>
      <w:r>
        <w:rPr>
          <w:color w:val="222222"/>
          <w:sz w:val="24"/>
          <w:szCs w:val="24"/>
        </w:rPr>
        <w:t>. Available at:</w:t>
      </w:r>
      <w:hyperlink r:id="rId40">
        <w:r w:rsidR="008276E7">
          <w:rPr>
            <w:color w:val="222222"/>
            <w:sz w:val="24"/>
            <w:szCs w:val="24"/>
          </w:rPr>
          <w:t xml:space="preserve"> </w:t>
        </w:r>
      </w:hyperlink>
      <w:hyperlink r:id="rId41">
        <w:r w:rsidR="008276E7">
          <w:rPr>
            <w:color w:val="1155CC"/>
            <w:sz w:val="24"/>
            <w:szCs w:val="24"/>
            <w:u w:val="single"/>
          </w:rPr>
          <w:t>https://www.academia.edu/download/120640573/ssrn_4915788_1_.pdf</w:t>
        </w:r>
      </w:hyperlink>
    </w:p>
    <w:p w14:paraId="2C44BEA6" w14:textId="77777777" w:rsidR="008276E7" w:rsidRDefault="00000000">
      <w:pPr>
        <w:spacing w:line="360" w:lineRule="auto"/>
        <w:jc w:val="both"/>
        <w:rPr>
          <w:color w:val="1155CC"/>
          <w:sz w:val="24"/>
          <w:szCs w:val="24"/>
          <w:u w:val="single"/>
        </w:rPr>
      </w:pPr>
      <w:r>
        <w:rPr>
          <w:color w:val="222222"/>
          <w:sz w:val="24"/>
          <w:szCs w:val="24"/>
        </w:rPr>
        <w:t xml:space="preserve">Chambers, N. and Cifter, A., 2022. Working capital management and firm performance in the hospitality and tourism industry. </w:t>
      </w:r>
      <w:r>
        <w:rPr>
          <w:i/>
          <w:iCs/>
          <w:color w:val="222222"/>
          <w:sz w:val="24"/>
          <w:szCs w:val="24"/>
        </w:rPr>
        <w:t>International Journal of Hospitality Management</w:t>
      </w:r>
      <w:r>
        <w:rPr>
          <w:color w:val="222222"/>
          <w:sz w:val="24"/>
          <w:szCs w:val="24"/>
        </w:rPr>
        <w:t xml:space="preserve">, </w:t>
      </w:r>
      <w:r>
        <w:rPr>
          <w:i/>
          <w:iCs/>
          <w:color w:val="222222"/>
          <w:sz w:val="24"/>
          <w:szCs w:val="24"/>
        </w:rPr>
        <w:t>102</w:t>
      </w:r>
      <w:r>
        <w:rPr>
          <w:color w:val="222222"/>
          <w:sz w:val="24"/>
          <w:szCs w:val="24"/>
        </w:rPr>
        <w:t>, p.103144. Available at:</w:t>
      </w:r>
      <w:hyperlink r:id="rId42">
        <w:r w:rsidR="008276E7">
          <w:rPr>
            <w:color w:val="222222"/>
            <w:sz w:val="24"/>
            <w:szCs w:val="24"/>
          </w:rPr>
          <w:t xml:space="preserve"> </w:t>
        </w:r>
      </w:hyperlink>
      <w:hyperlink r:id="rId43">
        <w:r w:rsidR="008276E7">
          <w:rPr>
            <w:color w:val="1155CC"/>
            <w:sz w:val="24"/>
            <w:szCs w:val="24"/>
            <w:u w:val="single"/>
          </w:rPr>
          <w:t>https://uhra.herts.ac.uk/id/eprint/9532/1/Manuscript_final_draft_e.pdf</w:t>
        </w:r>
      </w:hyperlink>
    </w:p>
    <w:p w14:paraId="6452C383" w14:textId="77777777" w:rsidR="008276E7" w:rsidRDefault="00000000">
      <w:pPr>
        <w:spacing w:line="360" w:lineRule="auto"/>
        <w:jc w:val="both"/>
        <w:rPr>
          <w:color w:val="1155CC"/>
          <w:sz w:val="24"/>
          <w:szCs w:val="24"/>
          <w:u w:val="single"/>
        </w:rPr>
      </w:pPr>
      <w:r>
        <w:rPr>
          <w:color w:val="222222"/>
          <w:sz w:val="24"/>
          <w:szCs w:val="24"/>
        </w:rPr>
        <w:t xml:space="preserve">Chen, L., Zhang, K. and Yang, X., 2025. The long-term and short-term effects of interest rate volatility on corporate bankruptcy risk: An industry and supply chain perspective. </w:t>
      </w:r>
      <w:r>
        <w:rPr>
          <w:i/>
          <w:iCs/>
          <w:color w:val="222222"/>
          <w:sz w:val="24"/>
          <w:szCs w:val="24"/>
        </w:rPr>
        <w:t>Plos one</w:t>
      </w:r>
      <w:r>
        <w:rPr>
          <w:color w:val="222222"/>
          <w:sz w:val="24"/>
          <w:szCs w:val="24"/>
        </w:rPr>
        <w:t xml:space="preserve">, </w:t>
      </w:r>
      <w:r>
        <w:rPr>
          <w:i/>
          <w:iCs/>
          <w:color w:val="222222"/>
          <w:sz w:val="24"/>
          <w:szCs w:val="24"/>
        </w:rPr>
        <w:t>20</w:t>
      </w:r>
      <w:r>
        <w:rPr>
          <w:color w:val="222222"/>
          <w:sz w:val="24"/>
          <w:szCs w:val="24"/>
        </w:rPr>
        <w:t>(2), p.e0317185. Available at:</w:t>
      </w:r>
      <w:hyperlink r:id="rId44">
        <w:r w:rsidR="008276E7">
          <w:rPr>
            <w:color w:val="222222"/>
            <w:sz w:val="24"/>
            <w:szCs w:val="24"/>
          </w:rPr>
          <w:t xml:space="preserve"> </w:t>
        </w:r>
      </w:hyperlink>
      <w:hyperlink r:id="rId45">
        <w:r w:rsidR="008276E7">
          <w:rPr>
            <w:color w:val="1155CC"/>
            <w:sz w:val="24"/>
            <w:szCs w:val="24"/>
            <w:u w:val="single"/>
          </w:rPr>
          <w:t>https://journals.plos.org/plosone/article/file?id=10.1371/journal.pone.0317185&amp;type=printable</w:t>
        </w:r>
      </w:hyperlink>
    </w:p>
    <w:p w14:paraId="5623774B" w14:textId="77777777" w:rsidR="008276E7" w:rsidRDefault="00000000">
      <w:pPr>
        <w:spacing w:line="360" w:lineRule="auto"/>
        <w:jc w:val="both"/>
        <w:rPr>
          <w:color w:val="1155CC"/>
          <w:sz w:val="24"/>
          <w:szCs w:val="24"/>
          <w:u w:val="single"/>
        </w:rPr>
      </w:pPr>
      <w:r>
        <w:rPr>
          <w:color w:val="222222"/>
          <w:sz w:val="24"/>
          <w:szCs w:val="24"/>
        </w:rPr>
        <w:lastRenderedPageBreak/>
        <w:t xml:space="preserve">Chen, X., 2022. Theoretical analysis of net present value. </w:t>
      </w:r>
      <w:r>
        <w:rPr>
          <w:i/>
          <w:iCs/>
          <w:color w:val="222222"/>
          <w:sz w:val="24"/>
          <w:szCs w:val="24"/>
        </w:rPr>
        <w:t>BCP Business &amp; Management</w:t>
      </w:r>
      <w:r>
        <w:rPr>
          <w:color w:val="222222"/>
          <w:sz w:val="24"/>
          <w:szCs w:val="24"/>
        </w:rPr>
        <w:t xml:space="preserve">, </w:t>
      </w:r>
      <w:r>
        <w:rPr>
          <w:i/>
          <w:iCs/>
          <w:color w:val="222222"/>
          <w:sz w:val="24"/>
          <w:szCs w:val="24"/>
        </w:rPr>
        <w:t>30</w:t>
      </w:r>
      <w:r>
        <w:rPr>
          <w:color w:val="222222"/>
          <w:sz w:val="24"/>
          <w:szCs w:val="24"/>
        </w:rPr>
        <w:t>, pp.683-687. Available at:</w:t>
      </w:r>
      <w:hyperlink r:id="rId46">
        <w:r w:rsidR="008276E7">
          <w:rPr>
            <w:color w:val="222222"/>
            <w:sz w:val="24"/>
            <w:szCs w:val="24"/>
          </w:rPr>
          <w:t xml:space="preserve"> </w:t>
        </w:r>
      </w:hyperlink>
      <w:hyperlink r:id="rId47">
        <w:r w:rsidR="008276E7">
          <w:rPr>
            <w:color w:val="1155CC"/>
            <w:sz w:val="24"/>
            <w:szCs w:val="24"/>
            <w:u w:val="single"/>
          </w:rPr>
          <w:t>https://pdfs.semanticscholar.org/0b99/d2d2ca458d4add46b67194457c46d012a38f.pdf</w:t>
        </w:r>
      </w:hyperlink>
    </w:p>
    <w:p w14:paraId="29A45802" w14:textId="77777777" w:rsidR="008276E7" w:rsidRDefault="00000000">
      <w:pPr>
        <w:spacing w:line="360" w:lineRule="auto"/>
        <w:jc w:val="both"/>
        <w:rPr>
          <w:color w:val="1155CC"/>
          <w:sz w:val="24"/>
          <w:szCs w:val="24"/>
          <w:u w:val="single"/>
        </w:rPr>
      </w:pPr>
      <w:r>
        <w:rPr>
          <w:color w:val="222222"/>
          <w:sz w:val="24"/>
          <w:szCs w:val="24"/>
        </w:rPr>
        <w:t xml:space="preserve">Christou, P.A., 2023. How to use artificial intelligence (AI) as a resource, methodological and analysis tool in qualitative research?. </w:t>
      </w:r>
      <w:r>
        <w:rPr>
          <w:i/>
          <w:iCs/>
          <w:color w:val="222222"/>
          <w:sz w:val="24"/>
          <w:szCs w:val="24"/>
        </w:rPr>
        <w:t>Qualitative Report</w:t>
      </w:r>
      <w:r>
        <w:rPr>
          <w:color w:val="222222"/>
          <w:sz w:val="24"/>
          <w:szCs w:val="24"/>
        </w:rPr>
        <w:t xml:space="preserve">, </w:t>
      </w:r>
      <w:r>
        <w:rPr>
          <w:i/>
          <w:iCs/>
          <w:color w:val="222222"/>
          <w:sz w:val="24"/>
          <w:szCs w:val="24"/>
        </w:rPr>
        <w:t>28</w:t>
      </w:r>
      <w:r>
        <w:rPr>
          <w:color w:val="222222"/>
          <w:sz w:val="24"/>
          <w:szCs w:val="24"/>
        </w:rPr>
        <w:t>(7). Available at:</w:t>
      </w:r>
      <w:hyperlink r:id="rId48">
        <w:r w:rsidR="008276E7">
          <w:rPr>
            <w:color w:val="222222"/>
            <w:sz w:val="24"/>
            <w:szCs w:val="24"/>
          </w:rPr>
          <w:t xml:space="preserve"> </w:t>
        </w:r>
      </w:hyperlink>
      <w:hyperlink r:id="rId49">
        <w:r w:rsidR="008276E7">
          <w:rPr>
            <w:color w:val="1155CC"/>
            <w:sz w:val="24"/>
            <w:szCs w:val="24"/>
            <w:u w:val="single"/>
          </w:rPr>
          <w:t>https://www.researchgate.net/profile/Prokopis-A-Christou/publication/372250627_Eow_to_Use_Artificial_Intelligence_AI_as_a_Resource_Methodological_and_Analysis_Tool_in_Qualitative_Research/links/64acfe8c8de7ed28ba8f5aa5/Eow-to-Use-Artificial-Intelligence-AI-as-a-Resource-Methodological-and-Analysis-Tool-in-Qualitative-Research.pdf</w:t>
        </w:r>
      </w:hyperlink>
    </w:p>
    <w:p w14:paraId="20D0FD73" w14:textId="77777777" w:rsidR="008276E7" w:rsidRDefault="00000000">
      <w:pPr>
        <w:spacing w:line="360" w:lineRule="auto"/>
        <w:jc w:val="both"/>
        <w:rPr>
          <w:color w:val="1155CC"/>
          <w:sz w:val="24"/>
          <w:szCs w:val="24"/>
          <w:u w:val="single"/>
        </w:rPr>
      </w:pPr>
      <w:r>
        <w:rPr>
          <w:color w:val="222222"/>
          <w:sz w:val="24"/>
          <w:szCs w:val="24"/>
        </w:rPr>
        <w:t xml:space="preserve">Dai, H., Li, N., Wang, Y. and Zhao, X., 2022, March. The analysis of three main investment criteria: NPV IRR and payback period. In </w:t>
      </w:r>
      <w:r>
        <w:rPr>
          <w:i/>
          <w:iCs/>
          <w:color w:val="222222"/>
          <w:sz w:val="24"/>
          <w:szCs w:val="24"/>
        </w:rPr>
        <w:t>2022 7th International Conference on Financial Innovation and Economic Development (ICFIED 2022)</w:t>
      </w:r>
      <w:r>
        <w:rPr>
          <w:color w:val="222222"/>
          <w:sz w:val="24"/>
          <w:szCs w:val="24"/>
        </w:rPr>
        <w:t xml:space="preserve"> (pp. 185-189). Atlantis Press. Available at:</w:t>
      </w:r>
      <w:hyperlink r:id="rId50">
        <w:r w:rsidR="008276E7">
          <w:rPr>
            <w:color w:val="222222"/>
            <w:sz w:val="24"/>
            <w:szCs w:val="24"/>
          </w:rPr>
          <w:t xml:space="preserve"> </w:t>
        </w:r>
      </w:hyperlink>
      <w:hyperlink r:id="rId51">
        <w:r w:rsidR="008276E7">
          <w:rPr>
            <w:color w:val="1155CC"/>
            <w:sz w:val="24"/>
            <w:szCs w:val="24"/>
            <w:u w:val="single"/>
          </w:rPr>
          <w:t>https://www.atlantis-press.com/article/125971510.pdf</w:t>
        </w:r>
      </w:hyperlink>
    </w:p>
    <w:p w14:paraId="0C97EB83" w14:textId="77777777" w:rsidR="008276E7" w:rsidRDefault="00000000">
      <w:pPr>
        <w:spacing w:line="360" w:lineRule="auto"/>
        <w:jc w:val="both"/>
        <w:rPr>
          <w:color w:val="1155CC"/>
          <w:sz w:val="24"/>
          <w:szCs w:val="24"/>
          <w:u w:val="single"/>
        </w:rPr>
      </w:pPr>
      <w:r>
        <w:rPr>
          <w:color w:val="222222"/>
          <w:sz w:val="24"/>
          <w:szCs w:val="24"/>
        </w:rPr>
        <w:t xml:space="preserve">Danielson, M.G., Hogan, K.M. and Olson, G.T., 2024. Shareholder theory, stakeholder theory, and the capital budgeting decision. </w:t>
      </w:r>
      <w:r>
        <w:rPr>
          <w:i/>
          <w:iCs/>
          <w:color w:val="222222"/>
          <w:sz w:val="24"/>
          <w:szCs w:val="24"/>
        </w:rPr>
        <w:t>Corporate Ownership &amp; Control</w:t>
      </w:r>
      <w:r>
        <w:rPr>
          <w:color w:val="222222"/>
          <w:sz w:val="24"/>
          <w:szCs w:val="24"/>
        </w:rPr>
        <w:t xml:space="preserve">, </w:t>
      </w:r>
      <w:r>
        <w:rPr>
          <w:i/>
          <w:iCs/>
          <w:color w:val="222222"/>
          <w:sz w:val="24"/>
          <w:szCs w:val="24"/>
        </w:rPr>
        <w:t>21</w:t>
      </w:r>
      <w:r>
        <w:rPr>
          <w:color w:val="222222"/>
          <w:sz w:val="24"/>
          <w:szCs w:val="24"/>
        </w:rPr>
        <w:t>(2). Available at:</w:t>
      </w:r>
      <w:hyperlink r:id="rId52">
        <w:r w:rsidR="008276E7">
          <w:rPr>
            <w:color w:val="222222"/>
            <w:sz w:val="24"/>
            <w:szCs w:val="24"/>
          </w:rPr>
          <w:t xml:space="preserve"> </w:t>
        </w:r>
      </w:hyperlink>
      <w:hyperlink r:id="rId53">
        <w:r w:rsidR="008276E7">
          <w:rPr>
            <w:color w:val="1155CC"/>
            <w:sz w:val="24"/>
            <w:szCs w:val="24"/>
            <w:u w:val="single"/>
          </w:rPr>
          <w:t>https://papers.ssrn.com/sol3/Delivery.cfm?abstractid=4826778</w:t>
        </w:r>
      </w:hyperlink>
    </w:p>
    <w:p w14:paraId="3B32C60D" w14:textId="77777777" w:rsidR="008276E7" w:rsidRDefault="00000000">
      <w:pPr>
        <w:spacing w:line="360" w:lineRule="auto"/>
        <w:jc w:val="both"/>
        <w:rPr>
          <w:color w:val="1155CC"/>
          <w:sz w:val="24"/>
          <w:szCs w:val="24"/>
          <w:u w:val="single"/>
        </w:rPr>
      </w:pPr>
      <w:r>
        <w:rPr>
          <w:color w:val="222222"/>
          <w:sz w:val="24"/>
          <w:szCs w:val="24"/>
        </w:rPr>
        <w:t xml:space="preserve">Dutta, I., 2024. Adapting to change: Exploring contemporary issues in the tourism and hospitality industry. </w:t>
      </w:r>
      <w:r>
        <w:rPr>
          <w:i/>
          <w:iCs/>
          <w:color w:val="222222"/>
          <w:sz w:val="24"/>
          <w:szCs w:val="24"/>
        </w:rPr>
        <w:t>International Journal of Advanced Academic Studies</w:t>
      </w:r>
      <w:r>
        <w:rPr>
          <w:color w:val="222222"/>
          <w:sz w:val="24"/>
          <w:szCs w:val="24"/>
        </w:rPr>
        <w:t xml:space="preserve">, </w:t>
      </w:r>
      <w:r>
        <w:rPr>
          <w:i/>
          <w:iCs/>
          <w:color w:val="222222"/>
          <w:sz w:val="24"/>
          <w:szCs w:val="24"/>
        </w:rPr>
        <w:t>6</w:t>
      </w:r>
      <w:r>
        <w:rPr>
          <w:color w:val="222222"/>
          <w:sz w:val="24"/>
          <w:szCs w:val="24"/>
        </w:rPr>
        <w:t>(9), pp.1-6. Available at:</w:t>
      </w:r>
      <w:hyperlink r:id="rId54">
        <w:r w:rsidR="008276E7">
          <w:rPr>
            <w:color w:val="222222"/>
            <w:sz w:val="24"/>
            <w:szCs w:val="24"/>
          </w:rPr>
          <w:t xml:space="preserve"> </w:t>
        </w:r>
      </w:hyperlink>
      <w:hyperlink r:id="rId55">
        <w:r w:rsidR="008276E7">
          <w:rPr>
            <w:color w:val="1155CC"/>
            <w:sz w:val="24"/>
            <w:szCs w:val="24"/>
            <w:u w:val="single"/>
          </w:rPr>
          <w:t>https://www.researchgate.net/profile/Indrajit-Dutta-3/publication/383824729_Adapting_to_change_Exploring_contemporary_issues_in_the_tourism_and_hospitality_industry/links/66dbad6d64f7bf7b199c72fc/Adapting-to-change-Exploring-contemporary-issues-in-the-tourism-and-hospitality-industry.pdf</w:t>
        </w:r>
      </w:hyperlink>
    </w:p>
    <w:p w14:paraId="25E4A2D0" w14:textId="77777777" w:rsidR="008276E7" w:rsidRDefault="00000000">
      <w:pPr>
        <w:spacing w:line="360" w:lineRule="auto"/>
        <w:jc w:val="both"/>
        <w:rPr>
          <w:color w:val="1155CC"/>
          <w:sz w:val="24"/>
          <w:szCs w:val="24"/>
          <w:u w:val="single"/>
        </w:rPr>
      </w:pPr>
      <w:r>
        <w:rPr>
          <w:color w:val="222222"/>
          <w:sz w:val="24"/>
          <w:szCs w:val="24"/>
        </w:rPr>
        <w:t xml:space="preserve">El-Sherbeeny, A.M., Alsetoohy, O., Sheikhelsouk, S., Liu, S. and Abou Kamar, M., 2024. Enhancing hotel employees' well-being and safe behaviors: The influences of physical workload, mental workload, and psychological resilience. </w:t>
      </w:r>
      <w:r>
        <w:rPr>
          <w:i/>
          <w:iCs/>
          <w:color w:val="222222"/>
          <w:sz w:val="24"/>
          <w:szCs w:val="24"/>
        </w:rPr>
        <w:t>Oeconomia Copernicana</w:t>
      </w:r>
      <w:r>
        <w:rPr>
          <w:color w:val="222222"/>
          <w:sz w:val="24"/>
          <w:szCs w:val="24"/>
        </w:rPr>
        <w:t xml:space="preserve">, </w:t>
      </w:r>
      <w:r>
        <w:rPr>
          <w:i/>
          <w:iCs/>
          <w:color w:val="222222"/>
          <w:sz w:val="24"/>
          <w:szCs w:val="24"/>
        </w:rPr>
        <w:t>15</w:t>
      </w:r>
      <w:r>
        <w:rPr>
          <w:color w:val="222222"/>
          <w:sz w:val="24"/>
          <w:szCs w:val="24"/>
        </w:rPr>
        <w:t>(2), pp.765-807. Available at:</w:t>
      </w:r>
      <w:hyperlink r:id="rId56">
        <w:r w:rsidR="008276E7">
          <w:rPr>
            <w:color w:val="222222"/>
            <w:sz w:val="24"/>
            <w:szCs w:val="24"/>
          </w:rPr>
          <w:t xml:space="preserve"> </w:t>
        </w:r>
      </w:hyperlink>
      <w:hyperlink r:id="rId57">
        <w:r w:rsidR="008276E7">
          <w:rPr>
            <w:color w:val="1155CC"/>
            <w:sz w:val="24"/>
            <w:szCs w:val="24"/>
            <w:u w:val="single"/>
          </w:rPr>
          <w:t>https://bibliotekanauki.pl/articles/39993224.pdf</w:t>
        </w:r>
      </w:hyperlink>
    </w:p>
    <w:p w14:paraId="4F46C0FB" w14:textId="77777777" w:rsidR="008276E7" w:rsidRDefault="00000000">
      <w:pPr>
        <w:spacing w:line="360" w:lineRule="auto"/>
        <w:jc w:val="both"/>
        <w:rPr>
          <w:sz w:val="24"/>
          <w:szCs w:val="24"/>
        </w:rPr>
      </w:pPr>
      <w:r>
        <w:rPr>
          <w:sz w:val="24"/>
          <w:szCs w:val="24"/>
        </w:rPr>
        <w:t xml:space="preserve">European Central Bank. (2025). </w:t>
      </w:r>
      <w:r>
        <w:rPr>
          <w:i/>
          <w:iCs/>
          <w:sz w:val="24"/>
          <w:szCs w:val="24"/>
        </w:rPr>
        <w:t>Euro exchange rates charts</w:t>
      </w:r>
      <w:r>
        <w:rPr>
          <w:sz w:val="24"/>
          <w:szCs w:val="24"/>
        </w:rPr>
        <w:t xml:space="preserve">. [online] </w:t>
      </w:r>
      <w:r>
        <w:rPr>
          <w:i/>
          <w:iCs/>
          <w:sz w:val="24"/>
          <w:szCs w:val="24"/>
        </w:rPr>
        <w:t>European Central Bank</w:t>
      </w:r>
      <w:r>
        <w:rPr>
          <w:sz w:val="24"/>
          <w:szCs w:val="24"/>
        </w:rPr>
        <w:t>. Available at:</w:t>
      </w:r>
      <w:hyperlink r:id="rId58">
        <w:r w:rsidR="008276E7">
          <w:rPr>
            <w:sz w:val="24"/>
            <w:szCs w:val="24"/>
          </w:rPr>
          <w:t xml:space="preserve"> </w:t>
        </w:r>
      </w:hyperlink>
      <w:hyperlink r:id="rId59">
        <w:r w:rsidR="008276E7">
          <w:rPr>
            <w:color w:val="1155CC"/>
            <w:sz w:val="24"/>
            <w:szCs w:val="24"/>
            <w:u w:val="single"/>
          </w:rPr>
          <w:t>https://www.ecb.europa.eu/stats/policy_and_exchange_rates/euro_reference_exchange_rates/html/eurofxref-graph-gbp.fr.html</w:t>
        </w:r>
      </w:hyperlink>
      <w:r>
        <w:rPr>
          <w:sz w:val="24"/>
          <w:szCs w:val="24"/>
        </w:rPr>
        <w:t xml:space="preserve"> [Accessed 31 July 2026]</w:t>
      </w:r>
    </w:p>
    <w:p w14:paraId="68663898" w14:textId="77777777" w:rsidR="008276E7" w:rsidRDefault="00000000">
      <w:pPr>
        <w:spacing w:line="360" w:lineRule="auto"/>
        <w:jc w:val="both"/>
        <w:rPr>
          <w:sz w:val="24"/>
          <w:szCs w:val="24"/>
        </w:rPr>
      </w:pPr>
      <w:r>
        <w:rPr>
          <w:sz w:val="24"/>
          <w:szCs w:val="24"/>
        </w:rPr>
        <w:lastRenderedPageBreak/>
        <w:t xml:space="preserve">Force for Good | Whitbread Inns. (n.d.). [online] </w:t>
      </w:r>
      <w:r>
        <w:rPr>
          <w:i/>
          <w:iCs/>
          <w:sz w:val="24"/>
          <w:szCs w:val="24"/>
        </w:rPr>
        <w:t>www.whitbreadinns.co.uk</w:t>
      </w:r>
      <w:r>
        <w:rPr>
          <w:sz w:val="24"/>
          <w:szCs w:val="24"/>
        </w:rPr>
        <w:t>. Available at:</w:t>
      </w:r>
      <w:hyperlink r:id="rId60">
        <w:r w:rsidR="008276E7">
          <w:rPr>
            <w:sz w:val="24"/>
            <w:szCs w:val="24"/>
          </w:rPr>
          <w:t xml:space="preserve"> </w:t>
        </w:r>
      </w:hyperlink>
      <w:hyperlink r:id="rId61">
        <w:r w:rsidR="008276E7">
          <w:rPr>
            <w:color w:val="1155CC"/>
            <w:sz w:val="24"/>
            <w:szCs w:val="24"/>
            <w:u w:val="single"/>
          </w:rPr>
          <w:t>https://www.whitbreadinns.co.uk/en-gb/force-for-good</w:t>
        </w:r>
      </w:hyperlink>
      <w:r>
        <w:rPr>
          <w:sz w:val="24"/>
          <w:szCs w:val="24"/>
        </w:rPr>
        <w:t xml:space="preserve"> [Accessed 31 July 2026]</w:t>
      </w:r>
    </w:p>
    <w:p w14:paraId="34961023" w14:textId="77777777" w:rsidR="008276E7" w:rsidRDefault="00000000">
      <w:pPr>
        <w:spacing w:line="360" w:lineRule="auto"/>
        <w:jc w:val="both"/>
        <w:rPr>
          <w:sz w:val="24"/>
          <w:szCs w:val="24"/>
        </w:rPr>
      </w:pPr>
      <w:r>
        <w:rPr>
          <w:sz w:val="24"/>
          <w:szCs w:val="24"/>
        </w:rPr>
        <w:t>Global Sustainable Investment Alliance. (2023). Available at:</w:t>
      </w:r>
      <w:hyperlink r:id="rId62">
        <w:r w:rsidR="008276E7">
          <w:rPr>
            <w:sz w:val="24"/>
            <w:szCs w:val="24"/>
          </w:rPr>
          <w:t xml:space="preserve"> </w:t>
        </w:r>
      </w:hyperlink>
      <w:hyperlink r:id="rId63">
        <w:r w:rsidR="008276E7">
          <w:rPr>
            <w:color w:val="1155CC"/>
            <w:sz w:val="24"/>
            <w:szCs w:val="24"/>
            <w:u w:val="single"/>
          </w:rPr>
          <w:t>https://www.gsi-alliance.org/global-sustainable-investment-review-finds-us30-trillion-invested-in-sustainable-assets/</w:t>
        </w:r>
      </w:hyperlink>
      <w:r>
        <w:rPr>
          <w:sz w:val="24"/>
          <w:szCs w:val="24"/>
        </w:rPr>
        <w:t xml:space="preserve"> [Accessed 31 July 2026]</w:t>
      </w:r>
    </w:p>
    <w:p w14:paraId="7BF5DE49" w14:textId="77777777" w:rsidR="008276E7" w:rsidRDefault="00000000">
      <w:pPr>
        <w:spacing w:line="360" w:lineRule="auto"/>
        <w:jc w:val="both"/>
        <w:rPr>
          <w:color w:val="1155CC"/>
          <w:sz w:val="24"/>
          <w:szCs w:val="24"/>
          <w:u w:val="single"/>
        </w:rPr>
      </w:pPr>
      <w:r>
        <w:rPr>
          <w:color w:val="222222"/>
          <w:sz w:val="24"/>
          <w:szCs w:val="24"/>
        </w:rPr>
        <w:t>Grewal, J., Mohan, A. and Pérez</w:t>
      </w:r>
      <w:r>
        <w:rPr>
          <w:rFonts w:ascii="Times New Roman" w:eastAsia="Times New Roman" w:hAnsi="Times New Roman" w:cs="Times New Roman"/>
          <w:color w:val="222222"/>
          <w:sz w:val="24"/>
          <w:szCs w:val="24"/>
        </w:rPr>
        <w:t>‐</w:t>
      </w:r>
      <w:r>
        <w:rPr>
          <w:color w:val="222222"/>
          <w:sz w:val="24"/>
          <w:szCs w:val="24"/>
        </w:rPr>
        <w:t>Cavazos, G., 2024. Payment practices transparency and customer</w:t>
      </w:r>
      <w:r>
        <w:rPr>
          <w:rFonts w:ascii="Times New Roman" w:eastAsia="Times New Roman" w:hAnsi="Times New Roman" w:cs="Times New Roman"/>
          <w:color w:val="222222"/>
          <w:sz w:val="24"/>
          <w:szCs w:val="24"/>
        </w:rPr>
        <w:t>‐</w:t>
      </w:r>
      <w:r>
        <w:rPr>
          <w:color w:val="222222"/>
          <w:sz w:val="24"/>
          <w:szCs w:val="24"/>
        </w:rPr>
        <w:t xml:space="preserve">supplier dynamics. </w:t>
      </w:r>
      <w:r>
        <w:rPr>
          <w:i/>
          <w:iCs/>
          <w:color w:val="222222"/>
          <w:sz w:val="24"/>
          <w:szCs w:val="24"/>
        </w:rPr>
        <w:t>Journal of Accounting Research</w:t>
      </w:r>
      <w:r>
        <w:rPr>
          <w:color w:val="222222"/>
          <w:sz w:val="24"/>
          <w:szCs w:val="24"/>
        </w:rPr>
        <w:t xml:space="preserve">, </w:t>
      </w:r>
      <w:r>
        <w:rPr>
          <w:i/>
          <w:iCs/>
          <w:color w:val="222222"/>
          <w:sz w:val="24"/>
          <w:szCs w:val="24"/>
        </w:rPr>
        <w:t>62</w:t>
      </w:r>
      <w:r>
        <w:rPr>
          <w:color w:val="222222"/>
          <w:sz w:val="24"/>
          <w:szCs w:val="24"/>
        </w:rPr>
        <w:t>(2), pp.635-674. Available at:</w:t>
      </w:r>
      <w:hyperlink r:id="rId64">
        <w:r w:rsidR="008276E7">
          <w:rPr>
            <w:color w:val="222222"/>
            <w:sz w:val="24"/>
            <w:szCs w:val="24"/>
          </w:rPr>
          <w:t xml:space="preserve"> </w:t>
        </w:r>
      </w:hyperlink>
      <w:hyperlink r:id="rId65">
        <w:r w:rsidR="008276E7">
          <w:rPr>
            <w:color w:val="1155CC"/>
            <w:sz w:val="24"/>
            <w:szCs w:val="24"/>
            <w:u w:val="single"/>
          </w:rPr>
          <w:t>https://papers.ssrn.com/sol3/Delivery.cfm?abstractid=4648620</w:t>
        </w:r>
      </w:hyperlink>
    </w:p>
    <w:p w14:paraId="225D92FA" w14:textId="77777777" w:rsidR="008276E7" w:rsidRDefault="00000000">
      <w:pPr>
        <w:spacing w:line="360" w:lineRule="auto"/>
        <w:jc w:val="both"/>
        <w:rPr>
          <w:color w:val="1155CC"/>
          <w:sz w:val="24"/>
          <w:szCs w:val="24"/>
          <w:u w:val="single"/>
        </w:rPr>
      </w:pPr>
      <w:r>
        <w:rPr>
          <w:color w:val="222222"/>
          <w:sz w:val="24"/>
          <w:szCs w:val="24"/>
        </w:rPr>
        <w:t xml:space="preserve">Gudepu, B.K. and Jaladi, D.S., 2022. Data Discovery and Security: Protecting Sensitive Information. </w:t>
      </w:r>
      <w:r>
        <w:rPr>
          <w:i/>
          <w:iCs/>
          <w:color w:val="222222"/>
          <w:sz w:val="24"/>
          <w:szCs w:val="24"/>
        </w:rPr>
        <w:t>International Journal of Acta Informatica</w:t>
      </w:r>
      <w:r>
        <w:rPr>
          <w:color w:val="222222"/>
          <w:sz w:val="24"/>
          <w:szCs w:val="24"/>
        </w:rPr>
        <w:t xml:space="preserve">, </w:t>
      </w:r>
      <w:r>
        <w:rPr>
          <w:i/>
          <w:iCs/>
          <w:color w:val="222222"/>
          <w:sz w:val="24"/>
          <w:szCs w:val="24"/>
        </w:rPr>
        <w:t>1</w:t>
      </w:r>
      <w:r>
        <w:rPr>
          <w:color w:val="222222"/>
          <w:sz w:val="24"/>
          <w:szCs w:val="24"/>
        </w:rPr>
        <w:t>(1), pp.176-187. Available at:</w:t>
      </w:r>
      <w:hyperlink r:id="rId66">
        <w:r w:rsidR="008276E7">
          <w:rPr>
            <w:color w:val="222222"/>
            <w:sz w:val="24"/>
            <w:szCs w:val="24"/>
          </w:rPr>
          <w:t xml:space="preserve"> </w:t>
        </w:r>
      </w:hyperlink>
      <w:hyperlink r:id="rId67">
        <w:r w:rsidR="008276E7">
          <w:rPr>
            <w:color w:val="1155CC"/>
            <w:sz w:val="24"/>
            <w:szCs w:val="24"/>
            <w:u w:val="single"/>
          </w:rPr>
          <w:t>http://yuktabpublisher.com/index.php/IJAI/article/download/265/253</w:t>
        </w:r>
      </w:hyperlink>
    </w:p>
    <w:p w14:paraId="7ADC4F6B" w14:textId="77777777" w:rsidR="008276E7" w:rsidRDefault="00000000">
      <w:pPr>
        <w:spacing w:line="360" w:lineRule="auto"/>
        <w:jc w:val="both"/>
        <w:rPr>
          <w:color w:val="1155CC"/>
          <w:sz w:val="24"/>
          <w:szCs w:val="24"/>
          <w:u w:val="single"/>
        </w:rPr>
      </w:pPr>
      <w:r>
        <w:rPr>
          <w:color w:val="222222"/>
          <w:sz w:val="24"/>
          <w:szCs w:val="24"/>
        </w:rPr>
        <w:t>Halilović, E., 2022. Strategies for reduce excess and obsolete inventory. Available at:</w:t>
      </w:r>
      <w:hyperlink r:id="rId68">
        <w:r w:rsidR="008276E7">
          <w:rPr>
            <w:color w:val="222222"/>
            <w:sz w:val="24"/>
            <w:szCs w:val="24"/>
          </w:rPr>
          <w:t xml:space="preserve"> </w:t>
        </w:r>
      </w:hyperlink>
      <w:hyperlink r:id="rId69">
        <w:r w:rsidR="008276E7">
          <w:rPr>
            <w:color w:val="1155CC"/>
            <w:sz w:val="24"/>
            <w:szCs w:val="24"/>
            <w:u w:val="single"/>
          </w:rPr>
          <w:t>https://lutpub.lut.fi/bitstream/handle/10024/164723/masterthesis_halilovic_emir.pdf?sequence=1&amp;isAllowed=y</w:t>
        </w:r>
      </w:hyperlink>
    </w:p>
    <w:p w14:paraId="70DFAA76" w14:textId="77777777" w:rsidR="008276E7" w:rsidRDefault="00000000">
      <w:pPr>
        <w:spacing w:line="360" w:lineRule="auto"/>
        <w:jc w:val="both"/>
        <w:rPr>
          <w:color w:val="1155CC"/>
          <w:sz w:val="24"/>
          <w:szCs w:val="24"/>
          <w:u w:val="single"/>
        </w:rPr>
      </w:pPr>
      <w:r>
        <w:rPr>
          <w:color w:val="222222"/>
          <w:sz w:val="24"/>
          <w:szCs w:val="24"/>
        </w:rPr>
        <w:t xml:space="preserve">Hanb, Y.L.S. and Liuc, J., 2024. The Impact Of Accounts Receivable On Corporate Financial Risk Management. </w:t>
      </w:r>
      <w:r>
        <w:rPr>
          <w:i/>
          <w:iCs/>
          <w:color w:val="222222"/>
          <w:sz w:val="24"/>
          <w:szCs w:val="24"/>
        </w:rPr>
        <w:t xml:space="preserve">Journal of Advanced Academic Research and Studies </w:t>
      </w:r>
      <w:r>
        <w:rPr>
          <w:rFonts w:ascii="MS Gothic" w:eastAsia="MS Gothic" w:hAnsi="MS Gothic" w:cs="MS Gothic"/>
          <w:i/>
          <w:iCs/>
          <w:color w:val="222222"/>
          <w:sz w:val="24"/>
          <w:szCs w:val="24"/>
        </w:rPr>
        <w:t>高等学</w:t>
      </w:r>
      <w:r>
        <w:rPr>
          <w:rFonts w:ascii="SimSun" w:eastAsia="SimSun" w:hAnsi="SimSun" w:cs="SimSun"/>
          <w:i/>
          <w:iCs/>
          <w:color w:val="222222"/>
          <w:sz w:val="24"/>
          <w:szCs w:val="24"/>
        </w:rPr>
        <w:t>术研究期</w:t>
      </w:r>
      <w:r>
        <w:rPr>
          <w:rFonts w:ascii="MS Gothic" w:eastAsia="MS Gothic" w:hAnsi="MS Gothic" w:cs="MS Gothic"/>
          <w:i/>
          <w:iCs/>
          <w:color w:val="222222"/>
          <w:sz w:val="24"/>
          <w:szCs w:val="24"/>
        </w:rPr>
        <w:t>刊</w:t>
      </w:r>
      <w:r>
        <w:rPr>
          <w:color w:val="222222"/>
          <w:sz w:val="24"/>
          <w:szCs w:val="24"/>
        </w:rPr>
        <w:t xml:space="preserve">, </w:t>
      </w:r>
      <w:r>
        <w:rPr>
          <w:i/>
          <w:iCs/>
          <w:color w:val="222222"/>
          <w:sz w:val="24"/>
          <w:szCs w:val="24"/>
        </w:rPr>
        <w:t>1</w:t>
      </w:r>
      <w:r>
        <w:rPr>
          <w:color w:val="222222"/>
          <w:sz w:val="24"/>
          <w:szCs w:val="24"/>
        </w:rPr>
        <w:t>(10), pp.1-27. Available at:</w:t>
      </w:r>
      <w:hyperlink r:id="rId70" w:anchor="page=5">
        <w:r w:rsidR="008276E7">
          <w:rPr>
            <w:color w:val="222222"/>
            <w:sz w:val="24"/>
            <w:szCs w:val="24"/>
          </w:rPr>
          <w:t xml:space="preserve"> </w:t>
        </w:r>
      </w:hyperlink>
      <w:hyperlink r:id="rId71" w:anchor="page=5">
        <w:r w:rsidR="008276E7">
          <w:rPr>
            <w:color w:val="1155CC"/>
            <w:sz w:val="24"/>
            <w:szCs w:val="24"/>
            <w:u w:val="single"/>
          </w:rPr>
          <w:t>http://www.nlbaeai.org/static/upload/file/20250416/1744774749637497.pdf#page=5</w:t>
        </w:r>
      </w:hyperlink>
    </w:p>
    <w:p w14:paraId="4F9B74F7" w14:textId="77777777" w:rsidR="008276E7" w:rsidRDefault="00000000">
      <w:pPr>
        <w:spacing w:line="360" w:lineRule="auto"/>
        <w:jc w:val="both"/>
        <w:rPr>
          <w:color w:val="1155CC"/>
          <w:sz w:val="24"/>
          <w:szCs w:val="24"/>
          <w:u w:val="single"/>
        </w:rPr>
      </w:pPr>
      <w:r>
        <w:rPr>
          <w:color w:val="222222"/>
          <w:sz w:val="24"/>
          <w:szCs w:val="24"/>
        </w:rPr>
        <w:t xml:space="preserve">Hayes, C. and Jung, C., 2022. </w:t>
      </w:r>
      <w:r>
        <w:rPr>
          <w:i/>
          <w:iCs/>
          <w:color w:val="222222"/>
          <w:sz w:val="24"/>
          <w:szCs w:val="24"/>
        </w:rPr>
        <w:t>PRICES AND PROFITS AFTER THE PANDEMIC</w:t>
      </w:r>
      <w:r>
        <w:rPr>
          <w:color w:val="222222"/>
          <w:sz w:val="24"/>
          <w:szCs w:val="24"/>
        </w:rPr>
        <w:t>. Institute for Public Policy Research (IPPR). Available at:</w:t>
      </w:r>
      <w:hyperlink r:id="rId72">
        <w:r w:rsidR="008276E7">
          <w:rPr>
            <w:color w:val="222222"/>
            <w:sz w:val="24"/>
            <w:szCs w:val="24"/>
          </w:rPr>
          <w:t xml:space="preserve"> </w:t>
        </w:r>
      </w:hyperlink>
      <w:hyperlink r:id="rId73">
        <w:r w:rsidR="008276E7">
          <w:rPr>
            <w:color w:val="1155CC"/>
            <w:sz w:val="24"/>
            <w:szCs w:val="24"/>
            <w:u w:val="single"/>
          </w:rPr>
          <w:t>https://ippr-org.files.svdcdn.com/production/Downloads/prices-and-profits-after-the-pandemic-june22.pdf</w:t>
        </w:r>
      </w:hyperlink>
    </w:p>
    <w:p w14:paraId="19E30A90" w14:textId="77777777" w:rsidR="008276E7" w:rsidRDefault="00000000">
      <w:pPr>
        <w:spacing w:line="360" w:lineRule="auto"/>
        <w:jc w:val="both"/>
        <w:rPr>
          <w:color w:val="1155CC"/>
          <w:sz w:val="24"/>
          <w:szCs w:val="24"/>
          <w:u w:val="single"/>
        </w:rPr>
      </w:pPr>
      <w:r>
        <w:rPr>
          <w:color w:val="222222"/>
          <w:sz w:val="24"/>
          <w:szCs w:val="24"/>
        </w:rPr>
        <w:t xml:space="preserve">Hazar, A., 2019. The impact of the new lease accounting standards-IFRS 16-on corporate real estate decisions: Especially on real estate transactions. </w:t>
      </w:r>
      <w:r>
        <w:rPr>
          <w:i/>
          <w:iCs/>
          <w:color w:val="222222"/>
          <w:sz w:val="24"/>
          <w:szCs w:val="24"/>
        </w:rPr>
        <w:t>Master of Advanced Studies in Real Estate Masters, University of Zurich</w:t>
      </w:r>
      <w:r>
        <w:rPr>
          <w:color w:val="222222"/>
          <w:sz w:val="24"/>
          <w:szCs w:val="24"/>
        </w:rPr>
        <w:t>. Available at:</w:t>
      </w:r>
      <w:hyperlink r:id="rId74">
        <w:r w:rsidR="008276E7">
          <w:rPr>
            <w:color w:val="222222"/>
            <w:sz w:val="24"/>
            <w:szCs w:val="24"/>
          </w:rPr>
          <w:t xml:space="preserve"> </w:t>
        </w:r>
      </w:hyperlink>
      <w:hyperlink r:id="rId75">
        <w:r w:rsidR="008276E7">
          <w:rPr>
            <w:color w:val="1155CC"/>
            <w:sz w:val="24"/>
            <w:szCs w:val="24"/>
            <w:u w:val="single"/>
          </w:rPr>
          <w:t>https://www.uzh.ch/cmsssl/curem/dam/jcr:adfda69e-a942-439f-af9b-1dcb4fd3ff93/Allami_Hazar_AbAr_Lg18-19.pdf</w:t>
        </w:r>
      </w:hyperlink>
    </w:p>
    <w:p w14:paraId="36190031" w14:textId="77777777" w:rsidR="008276E7" w:rsidRDefault="00000000">
      <w:pPr>
        <w:spacing w:line="360" w:lineRule="auto"/>
        <w:jc w:val="both"/>
        <w:rPr>
          <w:sz w:val="24"/>
          <w:szCs w:val="24"/>
        </w:rPr>
      </w:pPr>
      <w:r>
        <w:rPr>
          <w:sz w:val="24"/>
          <w:szCs w:val="24"/>
        </w:rPr>
        <w:t xml:space="preserve">Ishan Mudgal (2026). </w:t>
      </w:r>
      <w:r>
        <w:rPr>
          <w:i/>
          <w:iCs/>
          <w:sz w:val="24"/>
          <w:szCs w:val="24"/>
        </w:rPr>
        <w:t>Could Whitbread’s Expansion Strategy Unlock Future Growth?</w:t>
      </w:r>
      <w:r>
        <w:rPr>
          <w:sz w:val="24"/>
          <w:szCs w:val="24"/>
        </w:rPr>
        <w:t xml:space="preserve"> [online] Kalkine. Available at:</w:t>
      </w:r>
      <w:hyperlink r:id="rId76">
        <w:r w:rsidR="008276E7">
          <w:rPr>
            <w:sz w:val="24"/>
            <w:szCs w:val="24"/>
          </w:rPr>
          <w:t xml:space="preserve"> </w:t>
        </w:r>
      </w:hyperlink>
      <w:hyperlink r:id="rId77">
        <w:r w:rsidR="008276E7">
          <w:rPr>
            <w:color w:val="1155CC"/>
            <w:sz w:val="24"/>
            <w:szCs w:val="24"/>
            <w:u w:val="single"/>
          </w:rPr>
          <w:t>https://kalkine.co.uk/news/general-news/could-whitbreads-expansion-strategy-unlock-future-growth</w:t>
        </w:r>
      </w:hyperlink>
      <w:r>
        <w:rPr>
          <w:sz w:val="24"/>
          <w:szCs w:val="24"/>
        </w:rPr>
        <w:t xml:space="preserve"> [Accessed 31 July 2026]</w:t>
      </w:r>
    </w:p>
    <w:p w14:paraId="78293562" w14:textId="77777777" w:rsidR="008276E7" w:rsidRDefault="00000000">
      <w:pPr>
        <w:spacing w:line="360" w:lineRule="auto"/>
        <w:jc w:val="both"/>
        <w:rPr>
          <w:color w:val="1155CC"/>
          <w:sz w:val="24"/>
          <w:szCs w:val="24"/>
          <w:u w:val="single"/>
        </w:rPr>
      </w:pPr>
      <w:r>
        <w:rPr>
          <w:color w:val="222222"/>
          <w:sz w:val="24"/>
          <w:szCs w:val="24"/>
        </w:rPr>
        <w:lastRenderedPageBreak/>
        <w:t xml:space="preserve">Jackson, L.A., 2025. Hotel asset managers as catalysts for sustainable change. </w:t>
      </w:r>
      <w:r>
        <w:rPr>
          <w:i/>
          <w:iCs/>
          <w:color w:val="222222"/>
          <w:sz w:val="24"/>
          <w:szCs w:val="24"/>
        </w:rPr>
        <w:t>International Hospitality Review</w:t>
      </w:r>
      <w:r>
        <w:rPr>
          <w:color w:val="222222"/>
          <w:sz w:val="24"/>
          <w:szCs w:val="24"/>
        </w:rPr>
        <w:t>, pp.1-7. Available at:</w:t>
      </w:r>
      <w:hyperlink r:id="rId78">
        <w:r w:rsidR="008276E7">
          <w:rPr>
            <w:color w:val="222222"/>
            <w:sz w:val="24"/>
            <w:szCs w:val="24"/>
          </w:rPr>
          <w:t xml:space="preserve"> </w:t>
        </w:r>
      </w:hyperlink>
      <w:hyperlink r:id="rId79">
        <w:r w:rsidR="008276E7">
          <w:rPr>
            <w:color w:val="1155CC"/>
            <w:sz w:val="24"/>
            <w:szCs w:val="24"/>
            <w:u w:val="single"/>
          </w:rPr>
          <w:t>https://www.emerald.com/ihr/article-pdf/doi/10.1108/IHR-07-2025-0066/11160018/ihr-07-2025-0066en.pdf</w:t>
        </w:r>
      </w:hyperlink>
    </w:p>
    <w:p w14:paraId="5FF1EBC8" w14:textId="77777777" w:rsidR="008276E7" w:rsidRDefault="00000000">
      <w:pPr>
        <w:spacing w:line="360" w:lineRule="auto"/>
        <w:jc w:val="both"/>
        <w:rPr>
          <w:color w:val="1155CC"/>
          <w:sz w:val="24"/>
          <w:szCs w:val="24"/>
          <w:u w:val="single"/>
        </w:rPr>
      </w:pPr>
      <w:r>
        <w:rPr>
          <w:color w:val="222222"/>
          <w:sz w:val="24"/>
          <w:szCs w:val="24"/>
        </w:rPr>
        <w:t xml:space="preserve">Khan, S. and Gupta, S., 2025. Boosting the efficacy of green accounting for better firm performance: artificial intelligence and accounting quality as moderators. </w:t>
      </w:r>
      <w:r>
        <w:rPr>
          <w:i/>
          <w:iCs/>
          <w:color w:val="222222"/>
          <w:sz w:val="24"/>
          <w:szCs w:val="24"/>
        </w:rPr>
        <w:t>Meditari Accountancy Research</w:t>
      </w:r>
      <w:r>
        <w:rPr>
          <w:color w:val="222222"/>
          <w:sz w:val="24"/>
          <w:szCs w:val="24"/>
        </w:rPr>
        <w:t xml:space="preserve">, </w:t>
      </w:r>
      <w:r>
        <w:rPr>
          <w:i/>
          <w:iCs/>
          <w:color w:val="222222"/>
          <w:sz w:val="24"/>
          <w:szCs w:val="24"/>
        </w:rPr>
        <w:t>33</w:t>
      </w:r>
      <w:r>
        <w:rPr>
          <w:color w:val="222222"/>
          <w:sz w:val="24"/>
          <w:szCs w:val="24"/>
        </w:rPr>
        <w:t>(2), pp.472-496. Available at:</w:t>
      </w:r>
      <w:hyperlink r:id="rId80">
        <w:r w:rsidR="008276E7">
          <w:rPr>
            <w:color w:val="222222"/>
            <w:sz w:val="24"/>
            <w:szCs w:val="24"/>
          </w:rPr>
          <w:t xml:space="preserve"> </w:t>
        </w:r>
      </w:hyperlink>
      <w:hyperlink r:id="rId81">
        <w:r w:rsidR="008276E7">
          <w:rPr>
            <w:color w:val="1155CC"/>
            <w:sz w:val="24"/>
            <w:szCs w:val="24"/>
            <w:u w:val="single"/>
          </w:rPr>
          <w:t>https://www.emerald.com/medar/article-abstract/33/2/472/1243739</w:t>
        </w:r>
      </w:hyperlink>
    </w:p>
    <w:p w14:paraId="5EEF492C" w14:textId="77777777" w:rsidR="008276E7" w:rsidRDefault="00000000">
      <w:pPr>
        <w:spacing w:line="360" w:lineRule="auto"/>
        <w:jc w:val="both"/>
        <w:rPr>
          <w:color w:val="1155CC"/>
          <w:sz w:val="24"/>
          <w:szCs w:val="24"/>
          <w:u w:val="single"/>
        </w:rPr>
      </w:pPr>
      <w:r>
        <w:rPr>
          <w:color w:val="222222"/>
          <w:sz w:val="24"/>
          <w:szCs w:val="24"/>
        </w:rPr>
        <w:t xml:space="preserve">Koralun-Bereźnicka, J., 2025. </w:t>
      </w:r>
      <w:r>
        <w:rPr>
          <w:i/>
          <w:iCs/>
          <w:color w:val="222222"/>
          <w:sz w:val="24"/>
          <w:szCs w:val="24"/>
        </w:rPr>
        <w:t>Corporate Short-Term Financing in Europe: The Role of Trade Credit and Bank Loans in Liquidity Management</w:t>
      </w:r>
      <w:r>
        <w:rPr>
          <w:color w:val="222222"/>
          <w:sz w:val="24"/>
          <w:szCs w:val="24"/>
        </w:rPr>
        <w:t>. Routledge. Available at:</w:t>
      </w:r>
      <w:hyperlink r:id="rId82">
        <w:r w:rsidR="008276E7">
          <w:rPr>
            <w:color w:val="222222"/>
            <w:sz w:val="24"/>
            <w:szCs w:val="24"/>
          </w:rPr>
          <w:t xml:space="preserve"> </w:t>
        </w:r>
      </w:hyperlink>
      <w:hyperlink r:id="rId83">
        <w:r w:rsidR="008276E7">
          <w:rPr>
            <w:color w:val="1155CC"/>
            <w:sz w:val="24"/>
            <w:szCs w:val="24"/>
            <w:u w:val="single"/>
          </w:rPr>
          <w:t>https://www.taylorfrancis.com/books/mono/10.4324/9781003687986/corporate-short-term-financing-europe-julia-koralun-bere%C5%BAnicka</w:t>
        </w:r>
      </w:hyperlink>
    </w:p>
    <w:p w14:paraId="1CD6FDF2" w14:textId="77777777" w:rsidR="008276E7" w:rsidRDefault="00000000">
      <w:pPr>
        <w:spacing w:line="360" w:lineRule="auto"/>
        <w:jc w:val="both"/>
        <w:rPr>
          <w:color w:val="1155CC"/>
          <w:sz w:val="24"/>
          <w:szCs w:val="24"/>
          <w:u w:val="single"/>
        </w:rPr>
      </w:pPr>
      <w:r>
        <w:rPr>
          <w:color w:val="222222"/>
          <w:sz w:val="24"/>
          <w:szCs w:val="24"/>
        </w:rPr>
        <w:t>Le Truong, Q., MOTIVES AND CRITICAL FACTORS OF SALE AND LEASEBACK TRANSACTIONS IN VIETNAM. Available at:</w:t>
      </w:r>
      <w:hyperlink r:id="rId84">
        <w:r w:rsidR="008276E7">
          <w:rPr>
            <w:color w:val="222222"/>
            <w:sz w:val="24"/>
            <w:szCs w:val="24"/>
          </w:rPr>
          <w:t xml:space="preserve"> </w:t>
        </w:r>
      </w:hyperlink>
      <w:hyperlink r:id="rId85">
        <w:r w:rsidR="008276E7">
          <w:rPr>
            <w:color w:val="1155CC"/>
            <w:sz w:val="24"/>
            <w:szCs w:val="24"/>
            <w:u w:val="single"/>
          </w:rPr>
          <w:t>https://researchspace.auckland.ac.nz/server/api/core/bitstreams/7d1bb444-beb2-4ed3-8a7e-5ddfcfee2d42/content</w:t>
        </w:r>
      </w:hyperlink>
    </w:p>
    <w:p w14:paraId="7ED8E209" w14:textId="77777777" w:rsidR="008276E7" w:rsidRDefault="00000000">
      <w:pPr>
        <w:spacing w:line="360" w:lineRule="auto"/>
        <w:jc w:val="both"/>
        <w:rPr>
          <w:color w:val="1155CC"/>
          <w:sz w:val="24"/>
          <w:szCs w:val="24"/>
          <w:u w:val="single"/>
        </w:rPr>
      </w:pPr>
      <w:r>
        <w:rPr>
          <w:color w:val="222222"/>
          <w:sz w:val="24"/>
          <w:szCs w:val="24"/>
        </w:rPr>
        <w:t xml:space="preserve">Lee, C.C., 2023. Analyses of the operating performance of information service companies based on indicators of financial statements. </w:t>
      </w:r>
      <w:r>
        <w:rPr>
          <w:i/>
          <w:iCs/>
          <w:color w:val="222222"/>
          <w:sz w:val="24"/>
          <w:szCs w:val="24"/>
        </w:rPr>
        <w:t>Asia Pacific Management Review</w:t>
      </w:r>
      <w:r>
        <w:rPr>
          <w:color w:val="222222"/>
          <w:sz w:val="24"/>
          <w:szCs w:val="24"/>
        </w:rPr>
        <w:t xml:space="preserve">, </w:t>
      </w:r>
      <w:r>
        <w:rPr>
          <w:i/>
          <w:iCs/>
          <w:color w:val="222222"/>
          <w:sz w:val="24"/>
          <w:szCs w:val="24"/>
        </w:rPr>
        <w:t>28</w:t>
      </w:r>
      <w:r>
        <w:rPr>
          <w:color w:val="222222"/>
          <w:sz w:val="24"/>
          <w:szCs w:val="24"/>
        </w:rPr>
        <w:t>(4), pp.410-419. Available at:</w:t>
      </w:r>
      <w:hyperlink r:id="rId86">
        <w:r w:rsidR="008276E7">
          <w:rPr>
            <w:color w:val="222222"/>
            <w:sz w:val="24"/>
            <w:szCs w:val="24"/>
          </w:rPr>
          <w:t xml:space="preserve"> </w:t>
        </w:r>
      </w:hyperlink>
      <w:hyperlink r:id="rId87">
        <w:r w:rsidR="008276E7">
          <w:rPr>
            <w:color w:val="1155CC"/>
            <w:sz w:val="24"/>
            <w:szCs w:val="24"/>
            <w:u w:val="single"/>
          </w:rPr>
          <w:t>https://www.sciencedirect.com/science/article/pii/S1029313223000027</w:t>
        </w:r>
      </w:hyperlink>
    </w:p>
    <w:p w14:paraId="61646B27" w14:textId="77777777" w:rsidR="008276E7" w:rsidRDefault="00000000">
      <w:pPr>
        <w:spacing w:line="360" w:lineRule="auto"/>
        <w:jc w:val="both"/>
        <w:rPr>
          <w:color w:val="1155CC"/>
          <w:sz w:val="24"/>
          <w:szCs w:val="24"/>
          <w:u w:val="single"/>
        </w:rPr>
      </w:pPr>
      <w:r>
        <w:rPr>
          <w:color w:val="222222"/>
          <w:sz w:val="24"/>
          <w:szCs w:val="24"/>
        </w:rPr>
        <w:t xml:space="preserve">Lejeune, T. and Mohimont, J., 2025. </w:t>
      </w:r>
      <w:r>
        <w:rPr>
          <w:i/>
          <w:iCs/>
          <w:color w:val="222222"/>
          <w:sz w:val="24"/>
          <w:szCs w:val="24"/>
        </w:rPr>
        <w:t>Long-term loans and capital requirements in universal banking: Sectoral spillovers and crowding out effects</w:t>
      </w:r>
      <w:r>
        <w:rPr>
          <w:color w:val="222222"/>
          <w:sz w:val="24"/>
          <w:szCs w:val="24"/>
        </w:rPr>
        <w:t xml:space="preserve"> (No. 474). NBB Working Paper. Available at:</w:t>
      </w:r>
      <w:hyperlink r:id="rId88">
        <w:r w:rsidR="008276E7">
          <w:rPr>
            <w:color w:val="222222"/>
            <w:sz w:val="24"/>
            <w:szCs w:val="24"/>
          </w:rPr>
          <w:t xml:space="preserve"> </w:t>
        </w:r>
      </w:hyperlink>
      <w:hyperlink r:id="rId89">
        <w:r w:rsidR="008276E7">
          <w:rPr>
            <w:color w:val="1155CC"/>
            <w:sz w:val="24"/>
            <w:szCs w:val="24"/>
            <w:u w:val="single"/>
          </w:rPr>
          <w:t>https://www.econstor.eu/bitstream/10419/322352/1/1923566121.pdf</w:t>
        </w:r>
      </w:hyperlink>
    </w:p>
    <w:p w14:paraId="646FA8FB" w14:textId="77777777" w:rsidR="008276E7" w:rsidRDefault="00000000">
      <w:pPr>
        <w:spacing w:line="360" w:lineRule="auto"/>
        <w:jc w:val="both"/>
        <w:rPr>
          <w:color w:val="1155CC"/>
          <w:sz w:val="24"/>
          <w:szCs w:val="24"/>
          <w:u w:val="single"/>
        </w:rPr>
      </w:pPr>
      <w:r>
        <w:rPr>
          <w:color w:val="222222"/>
          <w:sz w:val="24"/>
          <w:szCs w:val="24"/>
        </w:rPr>
        <w:t xml:space="preserve">Li, X., 2024. Research on the impact of financial leverage on corporate capital structure. </w:t>
      </w:r>
      <w:r>
        <w:rPr>
          <w:i/>
          <w:iCs/>
          <w:color w:val="222222"/>
          <w:sz w:val="24"/>
          <w:szCs w:val="24"/>
        </w:rPr>
        <w:t>Journal of modern business and economics</w:t>
      </w:r>
      <w:r>
        <w:rPr>
          <w:color w:val="222222"/>
          <w:sz w:val="24"/>
          <w:szCs w:val="24"/>
        </w:rPr>
        <w:t xml:space="preserve">, </w:t>
      </w:r>
      <w:r>
        <w:rPr>
          <w:i/>
          <w:iCs/>
          <w:color w:val="222222"/>
          <w:sz w:val="24"/>
          <w:szCs w:val="24"/>
        </w:rPr>
        <w:t>1</w:t>
      </w:r>
      <w:r>
        <w:rPr>
          <w:color w:val="222222"/>
          <w:sz w:val="24"/>
          <w:szCs w:val="24"/>
        </w:rPr>
        <w:t>(3). Available at:</w:t>
      </w:r>
      <w:hyperlink r:id="rId90">
        <w:r w:rsidR="008276E7">
          <w:rPr>
            <w:color w:val="222222"/>
            <w:sz w:val="24"/>
            <w:szCs w:val="24"/>
          </w:rPr>
          <w:t xml:space="preserve"> </w:t>
        </w:r>
      </w:hyperlink>
      <w:hyperlink r:id="rId91">
        <w:r w:rsidR="008276E7">
          <w:rPr>
            <w:color w:val="1155CC"/>
            <w:sz w:val="24"/>
            <w:szCs w:val="24"/>
            <w:u w:val="single"/>
          </w:rPr>
          <w:t>https://atlantic-press-journals.com/index.php/JMBE/article/download/422/987</w:t>
        </w:r>
      </w:hyperlink>
    </w:p>
    <w:p w14:paraId="2AB2A204" w14:textId="77777777" w:rsidR="008276E7" w:rsidRDefault="00000000">
      <w:pPr>
        <w:spacing w:line="360" w:lineRule="auto"/>
        <w:jc w:val="both"/>
        <w:rPr>
          <w:color w:val="1155CC"/>
          <w:sz w:val="24"/>
          <w:szCs w:val="24"/>
          <w:u w:val="single"/>
        </w:rPr>
      </w:pPr>
      <w:r>
        <w:rPr>
          <w:color w:val="222222"/>
          <w:sz w:val="24"/>
          <w:szCs w:val="24"/>
        </w:rPr>
        <w:t xml:space="preserve">Lilford, E., 2023. Natural resources: Cost of capital and discounting–Risk and uncertainty. </w:t>
      </w:r>
      <w:r>
        <w:rPr>
          <w:i/>
          <w:iCs/>
          <w:color w:val="222222"/>
          <w:sz w:val="24"/>
          <w:szCs w:val="24"/>
        </w:rPr>
        <w:t>Resources Policy</w:t>
      </w:r>
      <w:r>
        <w:rPr>
          <w:color w:val="222222"/>
          <w:sz w:val="24"/>
          <w:szCs w:val="24"/>
        </w:rPr>
        <w:t xml:space="preserve">, </w:t>
      </w:r>
      <w:r>
        <w:rPr>
          <w:i/>
          <w:iCs/>
          <w:color w:val="222222"/>
          <w:sz w:val="24"/>
          <w:szCs w:val="24"/>
        </w:rPr>
        <w:t>80</w:t>
      </w:r>
      <w:r>
        <w:rPr>
          <w:color w:val="222222"/>
          <w:sz w:val="24"/>
          <w:szCs w:val="24"/>
        </w:rPr>
        <w:t>, p.103242. Available at:</w:t>
      </w:r>
      <w:hyperlink r:id="rId92">
        <w:r w:rsidR="008276E7">
          <w:rPr>
            <w:color w:val="222222"/>
            <w:sz w:val="24"/>
            <w:szCs w:val="24"/>
          </w:rPr>
          <w:t xml:space="preserve"> </w:t>
        </w:r>
      </w:hyperlink>
      <w:hyperlink r:id="rId93">
        <w:r w:rsidR="008276E7">
          <w:rPr>
            <w:color w:val="1155CC"/>
            <w:sz w:val="24"/>
            <w:szCs w:val="24"/>
            <w:u w:val="single"/>
          </w:rPr>
          <w:t>https://papers.ssrn.com/sol3/Delivery.cfm?abstractid=3928372</w:t>
        </w:r>
      </w:hyperlink>
    </w:p>
    <w:p w14:paraId="21FE3E75" w14:textId="77777777" w:rsidR="008276E7" w:rsidRDefault="00000000">
      <w:pPr>
        <w:spacing w:line="360" w:lineRule="auto"/>
        <w:jc w:val="both"/>
        <w:rPr>
          <w:color w:val="1155CC"/>
          <w:sz w:val="24"/>
          <w:szCs w:val="24"/>
          <w:u w:val="single"/>
        </w:rPr>
      </w:pPr>
      <w:r>
        <w:rPr>
          <w:color w:val="222222"/>
          <w:sz w:val="24"/>
          <w:szCs w:val="24"/>
        </w:rPr>
        <w:t xml:space="preserve">Lin, C.C., Nugraha, K.S. and Hsu, Y.J., 2025. The effect of sustainable development goals on customer satisfaction, customer loyalty and the role of brand image in green </w:t>
      </w:r>
      <w:r>
        <w:rPr>
          <w:color w:val="222222"/>
          <w:sz w:val="24"/>
          <w:szCs w:val="24"/>
        </w:rPr>
        <w:lastRenderedPageBreak/>
        <w:t xml:space="preserve">hotels. </w:t>
      </w:r>
      <w:r>
        <w:rPr>
          <w:i/>
          <w:iCs/>
          <w:color w:val="222222"/>
          <w:sz w:val="24"/>
          <w:szCs w:val="24"/>
        </w:rPr>
        <w:t>Advances in Management and Applied Economics</w:t>
      </w:r>
      <w:r>
        <w:rPr>
          <w:color w:val="222222"/>
          <w:sz w:val="24"/>
          <w:szCs w:val="24"/>
        </w:rPr>
        <w:t xml:space="preserve">, </w:t>
      </w:r>
      <w:r>
        <w:rPr>
          <w:i/>
          <w:iCs/>
          <w:color w:val="222222"/>
          <w:sz w:val="24"/>
          <w:szCs w:val="24"/>
        </w:rPr>
        <w:t>15</w:t>
      </w:r>
      <w:r>
        <w:rPr>
          <w:color w:val="222222"/>
          <w:sz w:val="24"/>
          <w:szCs w:val="24"/>
        </w:rPr>
        <w:t>(1), pp.1-7. Available at:</w:t>
      </w:r>
      <w:hyperlink r:id="rId94">
        <w:r w:rsidR="008276E7">
          <w:rPr>
            <w:color w:val="222222"/>
            <w:sz w:val="24"/>
            <w:szCs w:val="24"/>
          </w:rPr>
          <w:t xml:space="preserve"> </w:t>
        </w:r>
      </w:hyperlink>
      <w:hyperlink r:id="rId95">
        <w:r w:rsidR="008276E7">
          <w:rPr>
            <w:color w:val="1155CC"/>
            <w:sz w:val="24"/>
            <w:szCs w:val="24"/>
            <w:u w:val="single"/>
          </w:rPr>
          <w:t>http://www.scienpress.com/Upload/AMAE/Vol%2015_1_7.pdf</w:t>
        </w:r>
      </w:hyperlink>
    </w:p>
    <w:p w14:paraId="31AEE187" w14:textId="77777777" w:rsidR="008276E7" w:rsidRDefault="00000000">
      <w:pPr>
        <w:spacing w:line="360" w:lineRule="auto"/>
        <w:jc w:val="both"/>
        <w:rPr>
          <w:sz w:val="24"/>
          <w:szCs w:val="24"/>
        </w:rPr>
      </w:pPr>
      <w:r>
        <w:rPr>
          <w:sz w:val="24"/>
          <w:szCs w:val="24"/>
        </w:rPr>
        <w:t xml:space="preserve">Londonstockexchange.com. (2026). </w:t>
      </w:r>
      <w:r>
        <w:rPr>
          <w:i/>
          <w:iCs/>
          <w:sz w:val="24"/>
          <w:szCs w:val="24"/>
        </w:rPr>
        <w:t>London Stock Exchange | London Stock Exchange</w:t>
      </w:r>
      <w:r>
        <w:rPr>
          <w:sz w:val="24"/>
          <w:szCs w:val="24"/>
        </w:rPr>
        <w:t>. [online] Available at:</w:t>
      </w:r>
      <w:hyperlink r:id="rId96">
        <w:r w:rsidR="008276E7">
          <w:rPr>
            <w:sz w:val="24"/>
            <w:szCs w:val="24"/>
          </w:rPr>
          <w:t xml:space="preserve"> </w:t>
        </w:r>
      </w:hyperlink>
      <w:hyperlink r:id="rId97">
        <w:r w:rsidR="008276E7">
          <w:rPr>
            <w:color w:val="1155CC"/>
            <w:sz w:val="24"/>
            <w:szCs w:val="24"/>
            <w:u w:val="single"/>
          </w:rPr>
          <w:t>https://www.londonstockexchange.com/news-article/wtb/outcome-of-business-review/17570770</w:t>
        </w:r>
      </w:hyperlink>
      <w:r>
        <w:rPr>
          <w:sz w:val="24"/>
          <w:szCs w:val="24"/>
        </w:rPr>
        <w:t xml:space="preserve"> [Accessed 31 July 2026]</w:t>
      </w:r>
    </w:p>
    <w:p w14:paraId="1D0EB569" w14:textId="77777777" w:rsidR="008276E7" w:rsidRDefault="00000000">
      <w:pPr>
        <w:spacing w:line="360" w:lineRule="auto"/>
        <w:jc w:val="both"/>
        <w:rPr>
          <w:color w:val="1155CC"/>
          <w:sz w:val="24"/>
          <w:szCs w:val="24"/>
          <w:u w:val="single"/>
        </w:rPr>
      </w:pPr>
      <w:r>
        <w:rPr>
          <w:color w:val="222222"/>
          <w:sz w:val="24"/>
          <w:szCs w:val="24"/>
        </w:rPr>
        <w:t xml:space="preserve">Lu, K., Onuk, C.B., Xia, Y. and Zhang, J., 2025. ESG ratings and financial performance in the global hospitality industry. </w:t>
      </w:r>
      <w:r>
        <w:rPr>
          <w:i/>
          <w:iCs/>
          <w:color w:val="222222"/>
          <w:sz w:val="24"/>
          <w:szCs w:val="24"/>
        </w:rPr>
        <w:t>Journal of Risk and Financial Management</w:t>
      </w:r>
      <w:r>
        <w:rPr>
          <w:color w:val="222222"/>
          <w:sz w:val="24"/>
          <w:szCs w:val="24"/>
        </w:rPr>
        <w:t xml:space="preserve">, </w:t>
      </w:r>
      <w:r>
        <w:rPr>
          <w:i/>
          <w:iCs/>
          <w:color w:val="222222"/>
          <w:sz w:val="24"/>
          <w:szCs w:val="24"/>
        </w:rPr>
        <w:t>18</w:t>
      </w:r>
      <w:r>
        <w:rPr>
          <w:color w:val="222222"/>
          <w:sz w:val="24"/>
          <w:szCs w:val="24"/>
        </w:rPr>
        <w:t>(1), p.24. Available at:</w:t>
      </w:r>
      <w:hyperlink r:id="rId98">
        <w:r w:rsidR="008276E7">
          <w:rPr>
            <w:color w:val="222222"/>
            <w:sz w:val="24"/>
            <w:szCs w:val="24"/>
          </w:rPr>
          <w:t xml:space="preserve"> </w:t>
        </w:r>
      </w:hyperlink>
      <w:hyperlink r:id="rId99">
        <w:r w:rsidR="008276E7">
          <w:rPr>
            <w:color w:val="1155CC"/>
            <w:sz w:val="24"/>
            <w:szCs w:val="24"/>
            <w:u w:val="single"/>
          </w:rPr>
          <w:t>https://www.mdpi.com/1911-8074/18/1/24</w:t>
        </w:r>
      </w:hyperlink>
    </w:p>
    <w:p w14:paraId="58524DEB" w14:textId="77777777" w:rsidR="008276E7" w:rsidRDefault="00000000">
      <w:pPr>
        <w:spacing w:line="360" w:lineRule="auto"/>
        <w:jc w:val="both"/>
        <w:rPr>
          <w:color w:val="1155CC"/>
          <w:sz w:val="24"/>
          <w:szCs w:val="24"/>
          <w:u w:val="single"/>
        </w:rPr>
      </w:pPr>
      <w:r>
        <w:rPr>
          <w:color w:val="222222"/>
          <w:sz w:val="24"/>
          <w:szCs w:val="24"/>
        </w:rPr>
        <w:t>MARUBE, J., 2025. CORPORATE RESTRUCTURING INITIATIVES ON THE FINANCIAL PERFORMANCE OF STATE CORPORATIONS IN KENYA. Available at:</w:t>
      </w:r>
      <w:hyperlink r:id="rId100">
        <w:r w:rsidR="008276E7">
          <w:rPr>
            <w:color w:val="222222"/>
            <w:sz w:val="24"/>
            <w:szCs w:val="24"/>
          </w:rPr>
          <w:t xml:space="preserve"> </w:t>
        </w:r>
      </w:hyperlink>
      <w:hyperlink r:id="rId101">
        <w:r w:rsidR="008276E7">
          <w:rPr>
            <w:color w:val="1155CC"/>
            <w:sz w:val="24"/>
            <w:szCs w:val="24"/>
            <w:u w:val="single"/>
          </w:rPr>
          <w:t>https://repository.kcau.ac.ke/server/api/core/bitstreams/b95b32a7-5724-4b73-b9cd-14e21493d3c8/content</w:t>
        </w:r>
      </w:hyperlink>
    </w:p>
    <w:p w14:paraId="688402DD" w14:textId="77777777" w:rsidR="008276E7" w:rsidRDefault="00000000">
      <w:pPr>
        <w:spacing w:line="360" w:lineRule="auto"/>
        <w:jc w:val="both"/>
        <w:rPr>
          <w:color w:val="1155CC"/>
          <w:sz w:val="24"/>
          <w:szCs w:val="24"/>
          <w:u w:val="single"/>
        </w:rPr>
      </w:pPr>
      <w:r>
        <w:rPr>
          <w:color w:val="222222"/>
          <w:sz w:val="24"/>
          <w:szCs w:val="24"/>
        </w:rPr>
        <w:t xml:space="preserve">Mohammad, Z.A., 2025. Understanding high P/E multiples: Market expectations, sector growth, and fundamental signals. </w:t>
      </w:r>
      <w:r>
        <w:rPr>
          <w:i/>
          <w:iCs/>
          <w:color w:val="222222"/>
          <w:sz w:val="24"/>
          <w:szCs w:val="24"/>
        </w:rPr>
        <w:t>E Multiples: Market Expectations, Sector Growth, and Fundamental Signals (August 28, 2025)</w:t>
      </w:r>
      <w:r>
        <w:rPr>
          <w:color w:val="222222"/>
          <w:sz w:val="24"/>
          <w:szCs w:val="24"/>
        </w:rPr>
        <w:t>. Available at:</w:t>
      </w:r>
      <w:hyperlink r:id="rId102">
        <w:r w:rsidR="008276E7">
          <w:rPr>
            <w:color w:val="222222"/>
            <w:sz w:val="24"/>
            <w:szCs w:val="24"/>
          </w:rPr>
          <w:t xml:space="preserve"> </w:t>
        </w:r>
      </w:hyperlink>
      <w:hyperlink r:id="rId103">
        <w:r w:rsidR="008276E7">
          <w:rPr>
            <w:color w:val="1155CC"/>
            <w:sz w:val="24"/>
            <w:szCs w:val="24"/>
            <w:u w:val="single"/>
          </w:rPr>
          <w:t>https://papers.ssrn.com/sol3/Delivery.cfm?abstractid=5411683</w:t>
        </w:r>
      </w:hyperlink>
    </w:p>
    <w:p w14:paraId="2B6ED7F7" w14:textId="77777777" w:rsidR="008276E7" w:rsidRDefault="00000000">
      <w:pPr>
        <w:spacing w:line="360" w:lineRule="auto"/>
        <w:jc w:val="both"/>
        <w:rPr>
          <w:sz w:val="24"/>
          <w:szCs w:val="24"/>
        </w:rPr>
      </w:pPr>
      <w:r>
        <w:rPr>
          <w:sz w:val="24"/>
          <w:szCs w:val="24"/>
        </w:rPr>
        <w:t xml:space="preserve">Office for National Statistics (2026). </w:t>
      </w:r>
      <w:r>
        <w:rPr>
          <w:i/>
          <w:iCs/>
          <w:sz w:val="24"/>
          <w:szCs w:val="24"/>
        </w:rPr>
        <w:t>CPIH ANNUAL RATE</w:t>
      </w:r>
      <w:r>
        <w:rPr>
          <w:sz w:val="24"/>
          <w:szCs w:val="24"/>
        </w:rPr>
        <w:t xml:space="preserve">. [online] </w:t>
      </w:r>
      <w:r>
        <w:rPr>
          <w:i/>
          <w:iCs/>
          <w:sz w:val="24"/>
          <w:szCs w:val="24"/>
        </w:rPr>
        <w:t>Ons.gov.uk</w:t>
      </w:r>
      <w:r>
        <w:rPr>
          <w:sz w:val="24"/>
          <w:szCs w:val="24"/>
        </w:rPr>
        <w:t>. Office for National Statistics. Available at:</w:t>
      </w:r>
      <w:hyperlink r:id="rId104">
        <w:r w:rsidR="008276E7">
          <w:rPr>
            <w:sz w:val="24"/>
            <w:szCs w:val="24"/>
          </w:rPr>
          <w:t xml:space="preserve"> </w:t>
        </w:r>
      </w:hyperlink>
      <w:hyperlink r:id="rId105">
        <w:r w:rsidR="008276E7">
          <w:rPr>
            <w:color w:val="1155CC"/>
            <w:sz w:val="24"/>
            <w:szCs w:val="24"/>
            <w:u w:val="single"/>
          </w:rPr>
          <w:t>https://www.ons.gov.uk/economy/inflationandpriceindices/timeseries/l55o/mm23</w:t>
        </w:r>
      </w:hyperlink>
      <w:r>
        <w:rPr>
          <w:sz w:val="24"/>
          <w:szCs w:val="24"/>
        </w:rPr>
        <w:t xml:space="preserve"> [Accessed 31 July 2026]</w:t>
      </w:r>
    </w:p>
    <w:p w14:paraId="565FE5FC" w14:textId="77777777" w:rsidR="008276E7" w:rsidRDefault="00000000">
      <w:pPr>
        <w:spacing w:line="360" w:lineRule="auto"/>
        <w:jc w:val="both"/>
        <w:rPr>
          <w:color w:val="1155CC"/>
          <w:sz w:val="24"/>
          <w:szCs w:val="24"/>
          <w:u w:val="single"/>
        </w:rPr>
      </w:pPr>
      <w:r>
        <w:rPr>
          <w:color w:val="222222"/>
          <w:sz w:val="24"/>
          <w:szCs w:val="24"/>
        </w:rPr>
        <w:t xml:space="preserve">Paapa, C. and Kambona, O.O., 2025. Subsidizing energy use in hotels and other hospitality facilities with a view to making tourism less expensive: A policy approach. </w:t>
      </w:r>
      <w:r>
        <w:rPr>
          <w:i/>
          <w:iCs/>
          <w:color w:val="222222"/>
          <w:sz w:val="24"/>
          <w:szCs w:val="24"/>
        </w:rPr>
        <w:t>Sustainable development</w:t>
      </w:r>
      <w:r>
        <w:rPr>
          <w:color w:val="222222"/>
          <w:sz w:val="24"/>
          <w:szCs w:val="24"/>
        </w:rPr>
        <w:t xml:space="preserve">, </w:t>
      </w:r>
      <w:r>
        <w:rPr>
          <w:i/>
          <w:iCs/>
          <w:color w:val="222222"/>
          <w:sz w:val="24"/>
          <w:szCs w:val="24"/>
        </w:rPr>
        <w:t>8</w:t>
      </w:r>
      <w:r>
        <w:rPr>
          <w:color w:val="222222"/>
          <w:sz w:val="24"/>
          <w:szCs w:val="24"/>
        </w:rPr>
        <w:t>, p.9. Available at:</w:t>
      </w:r>
      <w:hyperlink r:id="rId106">
        <w:r w:rsidR="008276E7">
          <w:rPr>
            <w:color w:val="222222"/>
            <w:sz w:val="24"/>
            <w:szCs w:val="24"/>
          </w:rPr>
          <w:t xml:space="preserve"> </w:t>
        </w:r>
      </w:hyperlink>
      <w:hyperlink r:id="rId107">
        <w:r w:rsidR="008276E7">
          <w:rPr>
            <w:color w:val="1155CC"/>
            <w:sz w:val="24"/>
            <w:szCs w:val="24"/>
            <w:u w:val="single"/>
          </w:rPr>
          <w:t>https://www.researchgate.net/profile/Christopher-Paapa-2/publication/395414365_Subsidizing_energy_use_in_hotels_and_other_hospitality_facilities_with_a_view_to_making_tourism_less_expensive_A_policy_approach/links/68c3211310c4b65c74f3dfdc/Subsidizing-energy-use-in-hotels-and-other-hospitality-facilities-with-a-view-to-making-tourism-less-expensive-A-policy-approach.pdf</w:t>
        </w:r>
      </w:hyperlink>
    </w:p>
    <w:p w14:paraId="3806EAC9" w14:textId="77777777" w:rsidR="008276E7" w:rsidRDefault="00000000">
      <w:pPr>
        <w:spacing w:line="360" w:lineRule="auto"/>
        <w:jc w:val="both"/>
        <w:rPr>
          <w:color w:val="1155CC"/>
          <w:sz w:val="24"/>
          <w:szCs w:val="24"/>
          <w:u w:val="single"/>
        </w:rPr>
      </w:pPr>
      <w:r>
        <w:rPr>
          <w:color w:val="222222"/>
          <w:sz w:val="24"/>
          <w:szCs w:val="24"/>
        </w:rPr>
        <w:t xml:space="preserve">Patil, D., 2024. Artificial intelligence-driven supply chain optimization: Enhancing demand forecasting and cost reduction. </w:t>
      </w:r>
      <w:r>
        <w:rPr>
          <w:i/>
          <w:iCs/>
          <w:color w:val="222222"/>
          <w:sz w:val="24"/>
          <w:szCs w:val="24"/>
        </w:rPr>
        <w:t>Available at SSRN 5057408</w:t>
      </w:r>
      <w:r>
        <w:rPr>
          <w:color w:val="222222"/>
          <w:sz w:val="24"/>
          <w:szCs w:val="24"/>
        </w:rPr>
        <w:t>. Available at:</w:t>
      </w:r>
      <w:hyperlink r:id="rId108">
        <w:r w:rsidR="008276E7">
          <w:rPr>
            <w:color w:val="222222"/>
            <w:sz w:val="24"/>
            <w:szCs w:val="24"/>
          </w:rPr>
          <w:t xml:space="preserve"> </w:t>
        </w:r>
      </w:hyperlink>
      <w:hyperlink r:id="rId109">
        <w:r w:rsidR="008276E7">
          <w:rPr>
            <w:color w:val="1155CC"/>
            <w:sz w:val="24"/>
            <w:szCs w:val="24"/>
            <w:u w:val="single"/>
          </w:rPr>
          <w:t>https://papers.ssrn.com/sol3/Delivery.cfm?abstractid=5057408</w:t>
        </w:r>
      </w:hyperlink>
    </w:p>
    <w:p w14:paraId="7C69EC9E" w14:textId="77777777" w:rsidR="008276E7" w:rsidRDefault="00000000">
      <w:pPr>
        <w:spacing w:line="360" w:lineRule="auto"/>
        <w:jc w:val="both"/>
        <w:rPr>
          <w:color w:val="1155CC"/>
          <w:sz w:val="24"/>
          <w:szCs w:val="24"/>
          <w:u w:val="single"/>
        </w:rPr>
      </w:pPr>
      <w:r>
        <w:rPr>
          <w:color w:val="222222"/>
          <w:sz w:val="24"/>
          <w:szCs w:val="24"/>
        </w:rPr>
        <w:lastRenderedPageBreak/>
        <w:t>Rodrigues, M., 2026. From blockbuster to breakdown: the journey of American multi-cinema through crisis, capital markets and reinvention. Available at:</w:t>
      </w:r>
      <w:hyperlink r:id="rId110">
        <w:r w:rsidR="008276E7">
          <w:rPr>
            <w:color w:val="222222"/>
            <w:sz w:val="24"/>
            <w:szCs w:val="24"/>
          </w:rPr>
          <w:t xml:space="preserve"> </w:t>
        </w:r>
      </w:hyperlink>
      <w:hyperlink r:id="rId111">
        <w:r w:rsidR="008276E7">
          <w:rPr>
            <w:color w:val="1155CC"/>
            <w:sz w:val="24"/>
            <w:szCs w:val="24"/>
            <w:u w:val="single"/>
          </w:rPr>
          <w:t>https://run.unl.pt/bitstreams/6c142d20-11a2-4395-bdf3-b868bc557bee/download</w:t>
        </w:r>
      </w:hyperlink>
    </w:p>
    <w:p w14:paraId="06A7742B" w14:textId="77777777" w:rsidR="008276E7" w:rsidRDefault="00000000">
      <w:pPr>
        <w:spacing w:line="360" w:lineRule="auto"/>
        <w:jc w:val="both"/>
        <w:rPr>
          <w:color w:val="1155CC"/>
          <w:sz w:val="24"/>
          <w:szCs w:val="24"/>
          <w:u w:val="single"/>
        </w:rPr>
      </w:pPr>
      <w:r>
        <w:rPr>
          <w:color w:val="222222"/>
          <w:sz w:val="24"/>
          <w:szCs w:val="24"/>
        </w:rPr>
        <w:t xml:space="preserve">Saar, K. and Vaher, M., 2025. Real data from 500 hospitality businesses when hotels doubled revenue post-COVID. </w:t>
      </w:r>
      <w:r>
        <w:rPr>
          <w:i/>
          <w:iCs/>
          <w:color w:val="222222"/>
          <w:sz w:val="24"/>
          <w:szCs w:val="24"/>
        </w:rPr>
        <w:t>Journal of Tourism, Culture, and Management Studies</w:t>
      </w:r>
      <w:r>
        <w:rPr>
          <w:color w:val="222222"/>
          <w:sz w:val="24"/>
          <w:szCs w:val="24"/>
        </w:rPr>
        <w:t xml:space="preserve">, </w:t>
      </w:r>
      <w:r>
        <w:rPr>
          <w:i/>
          <w:iCs/>
          <w:color w:val="222222"/>
          <w:sz w:val="24"/>
          <w:szCs w:val="24"/>
        </w:rPr>
        <w:t>2</w:t>
      </w:r>
      <w:r>
        <w:rPr>
          <w:color w:val="222222"/>
          <w:sz w:val="24"/>
          <w:szCs w:val="24"/>
        </w:rPr>
        <w:t>(1), pp.13-26. Available at:</w:t>
      </w:r>
      <w:hyperlink r:id="rId112">
        <w:r w:rsidR="008276E7">
          <w:rPr>
            <w:color w:val="222222"/>
            <w:sz w:val="24"/>
            <w:szCs w:val="24"/>
          </w:rPr>
          <w:t xml:space="preserve"> </w:t>
        </w:r>
      </w:hyperlink>
      <w:hyperlink r:id="rId113">
        <w:r w:rsidR="008276E7">
          <w:rPr>
            <w:color w:val="1155CC"/>
            <w:sz w:val="24"/>
            <w:szCs w:val="24"/>
            <w:u w:val="single"/>
          </w:rPr>
          <w:t>https://theeducationjournals.com/index.php/JTCMS/article/download/168/152</w:t>
        </w:r>
      </w:hyperlink>
    </w:p>
    <w:p w14:paraId="61205861" w14:textId="77777777" w:rsidR="008276E7" w:rsidRDefault="00000000">
      <w:pPr>
        <w:spacing w:line="360" w:lineRule="auto"/>
        <w:jc w:val="both"/>
        <w:rPr>
          <w:sz w:val="24"/>
          <w:szCs w:val="24"/>
        </w:rPr>
      </w:pPr>
      <w:r>
        <w:rPr>
          <w:sz w:val="24"/>
          <w:szCs w:val="24"/>
        </w:rPr>
        <w:t xml:space="preserve">Statista. (2024). </w:t>
      </w:r>
      <w:r>
        <w:rPr>
          <w:i/>
          <w:iCs/>
          <w:sz w:val="24"/>
          <w:szCs w:val="24"/>
        </w:rPr>
        <w:t>Inflationsrate in Großbritannien bis 2031</w:t>
      </w:r>
      <w:r>
        <w:rPr>
          <w:sz w:val="24"/>
          <w:szCs w:val="24"/>
        </w:rPr>
        <w:t>. [online] Available at:</w:t>
      </w:r>
      <w:hyperlink r:id="rId114" w:anchor="google_vignette">
        <w:r w:rsidR="008276E7">
          <w:rPr>
            <w:sz w:val="24"/>
            <w:szCs w:val="24"/>
          </w:rPr>
          <w:t xml:space="preserve"> </w:t>
        </w:r>
      </w:hyperlink>
      <w:hyperlink r:id="rId115" w:anchor="google_vignette">
        <w:r w:rsidR="008276E7">
          <w:rPr>
            <w:color w:val="1155CC"/>
            <w:sz w:val="24"/>
            <w:szCs w:val="24"/>
            <w:u w:val="single"/>
          </w:rPr>
          <w:t>https://de.statista.com/statistik/daten/studie/167319/umfrage/inflationsrate-in-grossbritannien/#google_vignette</w:t>
        </w:r>
      </w:hyperlink>
      <w:r>
        <w:rPr>
          <w:sz w:val="24"/>
          <w:szCs w:val="24"/>
        </w:rPr>
        <w:t xml:space="preserve"> [Accessed 31 July 2026]</w:t>
      </w:r>
    </w:p>
    <w:p w14:paraId="30EB7B5F" w14:textId="77777777" w:rsidR="008276E7" w:rsidRDefault="00000000">
      <w:pPr>
        <w:spacing w:line="360" w:lineRule="auto"/>
        <w:jc w:val="both"/>
        <w:rPr>
          <w:color w:val="1155CC"/>
          <w:sz w:val="24"/>
          <w:szCs w:val="24"/>
          <w:u w:val="single"/>
        </w:rPr>
      </w:pPr>
      <w:r>
        <w:rPr>
          <w:color w:val="222222"/>
          <w:sz w:val="24"/>
          <w:szCs w:val="24"/>
        </w:rPr>
        <w:t xml:space="preserve">Stoiljković, A., Tomić, S., Leković, B. and Matić, M., 2023. Determinants of Capital Structure: Empirical Evidence of Manufacturing Companies in the Republic of Serbia. </w:t>
      </w:r>
      <w:r>
        <w:rPr>
          <w:i/>
          <w:iCs/>
          <w:color w:val="222222"/>
          <w:sz w:val="24"/>
          <w:szCs w:val="24"/>
        </w:rPr>
        <w:t>Sustainability (2071-1050)</w:t>
      </w:r>
      <w:r>
        <w:rPr>
          <w:color w:val="222222"/>
          <w:sz w:val="24"/>
          <w:szCs w:val="24"/>
        </w:rPr>
        <w:t xml:space="preserve">, </w:t>
      </w:r>
      <w:r>
        <w:rPr>
          <w:i/>
          <w:iCs/>
          <w:color w:val="222222"/>
          <w:sz w:val="24"/>
          <w:szCs w:val="24"/>
        </w:rPr>
        <w:t>15</w:t>
      </w:r>
      <w:r>
        <w:rPr>
          <w:color w:val="222222"/>
          <w:sz w:val="24"/>
          <w:szCs w:val="24"/>
        </w:rPr>
        <w:t>(1). Available at:</w:t>
      </w:r>
      <w:hyperlink r:id="rId116">
        <w:r w:rsidR="008276E7">
          <w:rPr>
            <w:color w:val="222222"/>
            <w:sz w:val="24"/>
            <w:szCs w:val="24"/>
          </w:rPr>
          <w:t xml:space="preserve"> </w:t>
        </w:r>
      </w:hyperlink>
      <w:hyperlink r:id="rId117">
        <w:r w:rsidR="008276E7">
          <w:rPr>
            <w:color w:val="1155CC"/>
            <w:sz w:val="24"/>
            <w:szCs w:val="24"/>
            <w:u w:val="single"/>
          </w:rPr>
          <w:t>https://www.mdpi.com/2071-1050/15/1/778</w:t>
        </w:r>
      </w:hyperlink>
    </w:p>
    <w:p w14:paraId="54E8C832" w14:textId="77777777" w:rsidR="008276E7" w:rsidRDefault="00000000">
      <w:pPr>
        <w:spacing w:line="360" w:lineRule="auto"/>
        <w:jc w:val="both"/>
        <w:rPr>
          <w:color w:val="1155CC"/>
          <w:sz w:val="24"/>
          <w:szCs w:val="24"/>
          <w:u w:val="single"/>
        </w:rPr>
      </w:pPr>
      <w:r>
        <w:rPr>
          <w:color w:val="222222"/>
          <w:sz w:val="24"/>
          <w:szCs w:val="24"/>
        </w:rPr>
        <w:t xml:space="preserve">Survilė, E., 2025. </w:t>
      </w:r>
      <w:r>
        <w:rPr>
          <w:i/>
          <w:iCs/>
          <w:color w:val="222222"/>
          <w:sz w:val="24"/>
          <w:szCs w:val="24"/>
        </w:rPr>
        <w:t>The impact of business cycle fluctuations and working capital strategies on profitability: retail and manufacturing sectors' case</w:t>
      </w:r>
      <w:r>
        <w:rPr>
          <w:color w:val="222222"/>
          <w:sz w:val="24"/>
          <w:szCs w:val="24"/>
        </w:rPr>
        <w:t xml:space="preserve"> (Doctoral dissertation, Vilniaus universitetas.). Available at:</w:t>
      </w:r>
      <w:hyperlink r:id="rId118">
        <w:r w:rsidR="008276E7">
          <w:rPr>
            <w:color w:val="222222"/>
            <w:sz w:val="24"/>
            <w:szCs w:val="24"/>
          </w:rPr>
          <w:t xml:space="preserve"> </w:t>
        </w:r>
      </w:hyperlink>
      <w:hyperlink r:id="rId119">
        <w:r w:rsidR="008276E7">
          <w:rPr>
            <w:color w:val="1155CC"/>
            <w:sz w:val="24"/>
            <w:szCs w:val="24"/>
            <w:u w:val="single"/>
          </w:rPr>
          <w:t>https://epublications.vu.lt/object/elaba:229580950/229580950.pdf</w:t>
        </w:r>
      </w:hyperlink>
    </w:p>
    <w:p w14:paraId="01551A75" w14:textId="77777777" w:rsidR="008276E7" w:rsidRDefault="00000000">
      <w:pPr>
        <w:spacing w:line="360" w:lineRule="auto"/>
        <w:jc w:val="both"/>
        <w:rPr>
          <w:sz w:val="24"/>
          <w:szCs w:val="24"/>
        </w:rPr>
      </w:pPr>
      <w:r>
        <w:rPr>
          <w:sz w:val="24"/>
          <w:szCs w:val="24"/>
        </w:rPr>
        <w:t>Whitbread PLC (2025). Investing Investing in growth Annual Report and Accounts 2024/25. [online] Available at:</w:t>
      </w:r>
      <w:hyperlink r:id="rId120">
        <w:r w:rsidR="008276E7">
          <w:rPr>
            <w:sz w:val="24"/>
            <w:szCs w:val="24"/>
          </w:rPr>
          <w:t xml:space="preserve"> </w:t>
        </w:r>
      </w:hyperlink>
      <w:hyperlink r:id="rId121">
        <w:r w:rsidR="008276E7">
          <w:rPr>
            <w:color w:val="1155CC"/>
            <w:sz w:val="24"/>
            <w:szCs w:val="24"/>
            <w:u w:val="single"/>
          </w:rPr>
          <w:t>https://cdn.whitbread.co.uk/media/2025/05/Whitbread-PLC-Annual-Report-and-Accounts-2024-25.pdf</w:t>
        </w:r>
      </w:hyperlink>
      <w:r>
        <w:rPr>
          <w:sz w:val="24"/>
          <w:szCs w:val="24"/>
        </w:rPr>
        <w:t xml:space="preserve"> [Accessed 31 July 2026]</w:t>
      </w:r>
    </w:p>
    <w:p w14:paraId="38E4AA62" w14:textId="77777777" w:rsidR="008276E7" w:rsidRDefault="00000000">
      <w:pPr>
        <w:spacing w:line="360" w:lineRule="auto"/>
        <w:jc w:val="both"/>
        <w:rPr>
          <w:color w:val="1155CC"/>
          <w:sz w:val="24"/>
          <w:szCs w:val="24"/>
          <w:u w:val="single"/>
        </w:rPr>
      </w:pPr>
      <w:r>
        <w:rPr>
          <w:color w:val="222222"/>
          <w:sz w:val="24"/>
          <w:szCs w:val="24"/>
        </w:rPr>
        <w:t xml:space="preserve">Zhu, Z., Guo, Y., Jiang, Z. and Chen, X., 2023. The perspective of long-term and short-term incentives on the business environment, executive incentive contracts, and enterprise innovation. </w:t>
      </w:r>
      <w:r>
        <w:rPr>
          <w:i/>
          <w:iCs/>
          <w:color w:val="222222"/>
          <w:sz w:val="24"/>
          <w:szCs w:val="24"/>
        </w:rPr>
        <w:t>Sage Open</w:t>
      </w:r>
      <w:r>
        <w:rPr>
          <w:color w:val="222222"/>
          <w:sz w:val="24"/>
          <w:szCs w:val="24"/>
        </w:rPr>
        <w:t xml:space="preserve">, </w:t>
      </w:r>
      <w:r>
        <w:rPr>
          <w:i/>
          <w:iCs/>
          <w:color w:val="222222"/>
          <w:sz w:val="24"/>
          <w:szCs w:val="24"/>
        </w:rPr>
        <w:t>13</w:t>
      </w:r>
      <w:r>
        <w:rPr>
          <w:color w:val="222222"/>
          <w:sz w:val="24"/>
          <w:szCs w:val="24"/>
        </w:rPr>
        <w:t>(4), p.21582440231206960. Available at:</w:t>
      </w:r>
      <w:hyperlink r:id="rId122">
        <w:r w:rsidR="008276E7">
          <w:rPr>
            <w:color w:val="222222"/>
            <w:sz w:val="24"/>
            <w:szCs w:val="24"/>
          </w:rPr>
          <w:t xml:space="preserve"> </w:t>
        </w:r>
      </w:hyperlink>
      <w:hyperlink r:id="rId123">
        <w:r w:rsidR="008276E7">
          <w:rPr>
            <w:color w:val="1155CC"/>
            <w:sz w:val="24"/>
            <w:szCs w:val="24"/>
            <w:u w:val="single"/>
          </w:rPr>
          <w:t>https://journals.sagepub.com/doi/pdf/10.1177/21582440231206960</w:t>
        </w:r>
      </w:hyperlink>
    </w:p>
    <w:p w14:paraId="37694E11" w14:textId="77777777" w:rsidR="008276E7" w:rsidRDefault="008276E7">
      <w:pPr>
        <w:spacing w:line="360" w:lineRule="auto"/>
        <w:jc w:val="both"/>
        <w:rPr>
          <w:sz w:val="24"/>
          <w:szCs w:val="24"/>
        </w:rPr>
      </w:pPr>
    </w:p>
    <w:p w14:paraId="5DE4A6A9" w14:textId="77777777" w:rsidR="008276E7" w:rsidRDefault="00000000">
      <w:pPr>
        <w:spacing w:line="360" w:lineRule="auto"/>
        <w:jc w:val="both"/>
        <w:rPr>
          <w:b/>
          <w:bCs/>
          <w:sz w:val="28"/>
          <w:szCs w:val="28"/>
        </w:rPr>
      </w:pPr>
      <w:r>
        <w:br w:type="page"/>
      </w:r>
    </w:p>
    <w:p w14:paraId="27DA7BFC" w14:textId="77777777" w:rsidR="008276E7" w:rsidRDefault="00000000">
      <w:pPr>
        <w:pStyle w:val="Heading1"/>
      </w:pPr>
      <w:bookmarkStart w:id="21" w:name="_Toc236434573"/>
      <w:r>
        <w:lastRenderedPageBreak/>
        <w:t>Appendices</w:t>
      </w:r>
      <w:bookmarkEnd w:id="21"/>
      <w:r>
        <w:t xml:space="preserve"> </w:t>
      </w:r>
    </w:p>
    <w:p w14:paraId="03D33D2E" w14:textId="77777777" w:rsidR="008276E7" w:rsidRDefault="00000000">
      <w:pPr>
        <w:spacing w:line="360" w:lineRule="auto"/>
        <w:jc w:val="both"/>
        <w:rPr>
          <w:b/>
          <w:bCs/>
          <w:sz w:val="24"/>
          <w:szCs w:val="24"/>
        </w:rPr>
      </w:pPr>
      <w:r>
        <w:rPr>
          <w:b/>
          <w:bCs/>
          <w:sz w:val="24"/>
          <w:szCs w:val="24"/>
        </w:rPr>
        <w:t xml:space="preserve">Profitability </w:t>
      </w:r>
    </w:p>
    <w:p w14:paraId="59DEBDE3" w14:textId="77777777" w:rsidR="008276E7" w:rsidRDefault="00000000">
      <w:pPr>
        <w:spacing w:line="360" w:lineRule="auto"/>
        <w:jc w:val="both"/>
        <w:rPr>
          <w:b/>
          <w:bCs/>
          <w:sz w:val="28"/>
          <w:szCs w:val="28"/>
        </w:rPr>
      </w:pPr>
      <w:r>
        <w:rPr>
          <w:b/>
          <w:bCs/>
          <w:noProof/>
          <w:sz w:val="28"/>
          <w:szCs w:val="28"/>
        </w:rPr>
        <w:drawing>
          <wp:inline distT="114300" distB="114300" distL="114300" distR="114300" wp14:anchorId="45842FD6" wp14:editId="7B2C0BC4">
            <wp:extent cx="5943600" cy="111760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4"/>
                    <a:srcRect/>
                    <a:stretch>
                      <a:fillRect/>
                    </a:stretch>
                  </pic:blipFill>
                  <pic:spPr>
                    <a:xfrm>
                      <a:off x="0" y="0"/>
                      <a:ext cx="5943600" cy="1117600"/>
                    </a:xfrm>
                    <a:prstGeom prst="rect">
                      <a:avLst/>
                    </a:prstGeom>
                    <a:ln/>
                  </pic:spPr>
                </pic:pic>
              </a:graphicData>
            </a:graphic>
          </wp:inline>
        </w:drawing>
      </w:r>
    </w:p>
    <w:p w14:paraId="5127A5CD" w14:textId="77777777" w:rsidR="008276E7" w:rsidRDefault="00000000">
      <w:pPr>
        <w:spacing w:line="360" w:lineRule="auto"/>
        <w:jc w:val="both"/>
        <w:rPr>
          <w:b/>
          <w:bCs/>
          <w:sz w:val="24"/>
          <w:szCs w:val="24"/>
        </w:rPr>
      </w:pPr>
      <w:r>
        <w:rPr>
          <w:b/>
          <w:bCs/>
          <w:sz w:val="24"/>
          <w:szCs w:val="24"/>
        </w:rPr>
        <w:t xml:space="preserve">Liquidity </w:t>
      </w:r>
    </w:p>
    <w:p w14:paraId="7910785E" w14:textId="77777777" w:rsidR="008276E7" w:rsidRDefault="00000000">
      <w:pPr>
        <w:spacing w:line="360" w:lineRule="auto"/>
        <w:jc w:val="both"/>
        <w:rPr>
          <w:b/>
          <w:bCs/>
          <w:sz w:val="24"/>
          <w:szCs w:val="24"/>
        </w:rPr>
      </w:pPr>
      <w:r>
        <w:rPr>
          <w:b/>
          <w:bCs/>
          <w:noProof/>
          <w:sz w:val="24"/>
          <w:szCs w:val="24"/>
        </w:rPr>
        <w:drawing>
          <wp:inline distT="114300" distB="114300" distL="114300" distR="114300" wp14:anchorId="63CC550A" wp14:editId="30E73DC5">
            <wp:extent cx="5943600" cy="965200"/>
            <wp:effectExtent l="0" t="0" r="0" b="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25"/>
                    <a:srcRect/>
                    <a:stretch>
                      <a:fillRect/>
                    </a:stretch>
                  </pic:blipFill>
                  <pic:spPr>
                    <a:xfrm>
                      <a:off x="0" y="0"/>
                      <a:ext cx="5943600" cy="965200"/>
                    </a:xfrm>
                    <a:prstGeom prst="rect">
                      <a:avLst/>
                    </a:prstGeom>
                    <a:ln/>
                  </pic:spPr>
                </pic:pic>
              </a:graphicData>
            </a:graphic>
          </wp:inline>
        </w:drawing>
      </w:r>
    </w:p>
    <w:p w14:paraId="07E6B89F" w14:textId="77777777" w:rsidR="008276E7" w:rsidRDefault="00000000">
      <w:pPr>
        <w:spacing w:line="360" w:lineRule="auto"/>
        <w:jc w:val="both"/>
        <w:rPr>
          <w:b/>
          <w:bCs/>
          <w:sz w:val="24"/>
          <w:szCs w:val="24"/>
        </w:rPr>
      </w:pPr>
      <w:r>
        <w:rPr>
          <w:b/>
          <w:bCs/>
          <w:sz w:val="24"/>
          <w:szCs w:val="24"/>
        </w:rPr>
        <w:t>Efficiency</w:t>
      </w:r>
    </w:p>
    <w:p w14:paraId="394552A6" w14:textId="77777777" w:rsidR="008276E7" w:rsidRDefault="00000000">
      <w:pPr>
        <w:spacing w:line="360" w:lineRule="auto"/>
        <w:jc w:val="both"/>
        <w:rPr>
          <w:b/>
          <w:bCs/>
          <w:sz w:val="24"/>
          <w:szCs w:val="24"/>
        </w:rPr>
      </w:pPr>
      <w:r>
        <w:rPr>
          <w:b/>
          <w:bCs/>
          <w:noProof/>
          <w:sz w:val="24"/>
          <w:szCs w:val="24"/>
        </w:rPr>
        <w:drawing>
          <wp:inline distT="114300" distB="114300" distL="114300" distR="114300" wp14:anchorId="32397FF1" wp14:editId="62EDFE11">
            <wp:extent cx="5524500" cy="1228725"/>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26"/>
                    <a:srcRect/>
                    <a:stretch>
                      <a:fillRect/>
                    </a:stretch>
                  </pic:blipFill>
                  <pic:spPr>
                    <a:xfrm>
                      <a:off x="0" y="0"/>
                      <a:ext cx="5524500" cy="1228725"/>
                    </a:xfrm>
                    <a:prstGeom prst="rect">
                      <a:avLst/>
                    </a:prstGeom>
                    <a:ln/>
                  </pic:spPr>
                </pic:pic>
              </a:graphicData>
            </a:graphic>
          </wp:inline>
        </w:drawing>
      </w:r>
    </w:p>
    <w:p w14:paraId="33808E8F" w14:textId="77777777" w:rsidR="008276E7" w:rsidRDefault="00000000">
      <w:pPr>
        <w:spacing w:line="360" w:lineRule="auto"/>
        <w:jc w:val="both"/>
        <w:rPr>
          <w:b/>
          <w:bCs/>
          <w:sz w:val="24"/>
          <w:szCs w:val="24"/>
        </w:rPr>
      </w:pPr>
      <w:r>
        <w:rPr>
          <w:b/>
          <w:bCs/>
          <w:sz w:val="24"/>
          <w:szCs w:val="24"/>
        </w:rPr>
        <w:t>Gearing</w:t>
      </w:r>
    </w:p>
    <w:p w14:paraId="65E9DF23" w14:textId="77777777" w:rsidR="008276E7" w:rsidRDefault="00000000">
      <w:pPr>
        <w:spacing w:line="360" w:lineRule="auto"/>
        <w:jc w:val="both"/>
        <w:rPr>
          <w:b/>
          <w:bCs/>
          <w:sz w:val="24"/>
          <w:szCs w:val="24"/>
        </w:rPr>
      </w:pPr>
      <w:r>
        <w:rPr>
          <w:b/>
          <w:bCs/>
          <w:noProof/>
          <w:sz w:val="24"/>
          <w:szCs w:val="24"/>
        </w:rPr>
        <w:drawing>
          <wp:inline distT="114300" distB="114300" distL="114300" distR="114300" wp14:anchorId="5F38B0E2" wp14:editId="1CE6BEB9">
            <wp:extent cx="5591175" cy="1219200"/>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27"/>
                    <a:srcRect/>
                    <a:stretch>
                      <a:fillRect/>
                    </a:stretch>
                  </pic:blipFill>
                  <pic:spPr>
                    <a:xfrm>
                      <a:off x="0" y="0"/>
                      <a:ext cx="5591175" cy="1219200"/>
                    </a:xfrm>
                    <a:prstGeom prst="rect">
                      <a:avLst/>
                    </a:prstGeom>
                    <a:ln/>
                  </pic:spPr>
                </pic:pic>
              </a:graphicData>
            </a:graphic>
          </wp:inline>
        </w:drawing>
      </w:r>
    </w:p>
    <w:p w14:paraId="58221DBA" w14:textId="77777777" w:rsidR="008276E7" w:rsidRDefault="00000000">
      <w:pPr>
        <w:spacing w:line="360" w:lineRule="auto"/>
        <w:jc w:val="both"/>
        <w:rPr>
          <w:b/>
          <w:bCs/>
          <w:sz w:val="24"/>
          <w:szCs w:val="24"/>
        </w:rPr>
      </w:pPr>
      <w:r>
        <w:rPr>
          <w:b/>
          <w:bCs/>
          <w:sz w:val="24"/>
          <w:szCs w:val="24"/>
        </w:rPr>
        <w:t xml:space="preserve">Investment </w:t>
      </w:r>
    </w:p>
    <w:p w14:paraId="2FDB4482" w14:textId="77777777" w:rsidR="008276E7" w:rsidRDefault="00000000">
      <w:pPr>
        <w:spacing w:line="360" w:lineRule="auto"/>
        <w:jc w:val="both"/>
        <w:rPr>
          <w:b/>
          <w:bCs/>
          <w:i/>
          <w:iCs/>
          <w:sz w:val="24"/>
          <w:szCs w:val="24"/>
        </w:rPr>
      </w:pPr>
      <w:r>
        <w:rPr>
          <w:b/>
          <w:bCs/>
          <w:i/>
          <w:iCs/>
          <w:noProof/>
          <w:sz w:val="24"/>
          <w:szCs w:val="24"/>
        </w:rPr>
        <w:drawing>
          <wp:inline distT="114300" distB="114300" distL="114300" distR="114300" wp14:anchorId="5B2F72E8" wp14:editId="465814DC">
            <wp:extent cx="5372100" cy="1390650"/>
            <wp:effectExtent l="0" t="0" r="0" b="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28"/>
                    <a:srcRect/>
                    <a:stretch>
                      <a:fillRect/>
                    </a:stretch>
                  </pic:blipFill>
                  <pic:spPr>
                    <a:xfrm>
                      <a:off x="0" y="0"/>
                      <a:ext cx="5372100" cy="1390650"/>
                    </a:xfrm>
                    <a:prstGeom prst="rect">
                      <a:avLst/>
                    </a:prstGeom>
                    <a:ln/>
                  </pic:spPr>
                </pic:pic>
              </a:graphicData>
            </a:graphic>
          </wp:inline>
        </w:drawing>
      </w:r>
    </w:p>
    <w:p w14:paraId="09E00433" w14:textId="77777777" w:rsidR="008276E7" w:rsidRDefault="00000000">
      <w:pPr>
        <w:spacing w:line="360" w:lineRule="auto"/>
        <w:jc w:val="both"/>
        <w:rPr>
          <w:b/>
          <w:bCs/>
          <w:sz w:val="24"/>
          <w:szCs w:val="24"/>
        </w:rPr>
      </w:pPr>
      <w:r>
        <w:rPr>
          <w:b/>
          <w:bCs/>
          <w:sz w:val="24"/>
          <w:szCs w:val="24"/>
        </w:rPr>
        <w:lastRenderedPageBreak/>
        <w:t xml:space="preserve">Cash flow </w:t>
      </w:r>
    </w:p>
    <w:p w14:paraId="720DCB40" w14:textId="77777777" w:rsidR="008276E7" w:rsidRDefault="00000000">
      <w:pPr>
        <w:spacing w:line="360" w:lineRule="auto"/>
        <w:jc w:val="both"/>
        <w:rPr>
          <w:sz w:val="24"/>
          <w:szCs w:val="24"/>
        </w:rPr>
      </w:pPr>
      <w:r>
        <w:rPr>
          <w:noProof/>
          <w:sz w:val="24"/>
          <w:szCs w:val="24"/>
        </w:rPr>
        <w:drawing>
          <wp:inline distT="114300" distB="114300" distL="114300" distR="114300" wp14:anchorId="3C2508F3" wp14:editId="73D521A0">
            <wp:extent cx="5724525" cy="1314450"/>
            <wp:effectExtent l="0" t="0" r="0" b="0"/>
            <wp:docPr id="1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29"/>
                    <a:srcRect/>
                    <a:stretch>
                      <a:fillRect/>
                    </a:stretch>
                  </pic:blipFill>
                  <pic:spPr>
                    <a:xfrm>
                      <a:off x="0" y="0"/>
                      <a:ext cx="5724525" cy="1314450"/>
                    </a:xfrm>
                    <a:prstGeom prst="rect">
                      <a:avLst/>
                    </a:prstGeom>
                    <a:ln/>
                  </pic:spPr>
                </pic:pic>
              </a:graphicData>
            </a:graphic>
          </wp:inline>
        </w:drawing>
      </w:r>
    </w:p>
    <w:p w14:paraId="163B5555" w14:textId="77777777" w:rsidR="008276E7" w:rsidRDefault="00000000">
      <w:pPr>
        <w:spacing w:line="360" w:lineRule="auto"/>
        <w:jc w:val="both"/>
        <w:rPr>
          <w:b/>
          <w:bCs/>
          <w:sz w:val="24"/>
          <w:szCs w:val="24"/>
        </w:rPr>
      </w:pPr>
      <w:r>
        <w:rPr>
          <w:b/>
          <w:bCs/>
          <w:sz w:val="24"/>
          <w:szCs w:val="24"/>
        </w:rPr>
        <w:t xml:space="preserve">PBP </w:t>
      </w:r>
    </w:p>
    <w:p w14:paraId="7D4553C0" w14:textId="77777777" w:rsidR="008276E7" w:rsidRDefault="00000000">
      <w:pPr>
        <w:spacing w:line="360" w:lineRule="auto"/>
        <w:jc w:val="both"/>
        <w:rPr>
          <w:b/>
          <w:bCs/>
          <w:sz w:val="24"/>
          <w:szCs w:val="24"/>
        </w:rPr>
      </w:pPr>
      <w:r>
        <w:rPr>
          <w:b/>
          <w:bCs/>
          <w:noProof/>
          <w:sz w:val="24"/>
          <w:szCs w:val="24"/>
        </w:rPr>
        <w:drawing>
          <wp:inline distT="114300" distB="114300" distL="114300" distR="114300" wp14:anchorId="5277DEAD" wp14:editId="5BA66DE2">
            <wp:extent cx="5943600" cy="2260600"/>
            <wp:effectExtent l="0" t="0" r="0" b="0"/>
            <wp:docPr id="1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30"/>
                    <a:srcRect/>
                    <a:stretch>
                      <a:fillRect/>
                    </a:stretch>
                  </pic:blipFill>
                  <pic:spPr>
                    <a:xfrm>
                      <a:off x="0" y="0"/>
                      <a:ext cx="5943600" cy="2260600"/>
                    </a:xfrm>
                    <a:prstGeom prst="rect">
                      <a:avLst/>
                    </a:prstGeom>
                    <a:ln/>
                  </pic:spPr>
                </pic:pic>
              </a:graphicData>
            </a:graphic>
          </wp:inline>
        </w:drawing>
      </w:r>
    </w:p>
    <w:p w14:paraId="67AADD97" w14:textId="77777777" w:rsidR="008276E7" w:rsidRDefault="00000000">
      <w:pPr>
        <w:spacing w:line="360" w:lineRule="auto"/>
        <w:jc w:val="both"/>
        <w:rPr>
          <w:b/>
          <w:bCs/>
          <w:sz w:val="24"/>
          <w:szCs w:val="24"/>
        </w:rPr>
      </w:pPr>
      <w:r>
        <w:rPr>
          <w:b/>
          <w:bCs/>
          <w:noProof/>
          <w:sz w:val="24"/>
          <w:szCs w:val="24"/>
        </w:rPr>
        <w:drawing>
          <wp:inline distT="114300" distB="114300" distL="114300" distR="114300" wp14:anchorId="1AD26B8B" wp14:editId="15747151">
            <wp:extent cx="5943600" cy="2324100"/>
            <wp:effectExtent l="0" t="0" r="0" b="0"/>
            <wp:docPr id="1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31"/>
                    <a:srcRect/>
                    <a:stretch>
                      <a:fillRect/>
                    </a:stretch>
                  </pic:blipFill>
                  <pic:spPr>
                    <a:xfrm>
                      <a:off x="0" y="0"/>
                      <a:ext cx="5943600" cy="2324100"/>
                    </a:xfrm>
                    <a:prstGeom prst="rect">
                      <a:avLst/>
                    </a:prstGeom>
                    <a:ln/>
                  </pic:spPr>
                </pic:pic>
              </a:graphicData>
            </a:graphic>
          </wp:inline>
        </w:drawing>
      </w:r>
    </w:p>
    <w:p w14:paraId="2103D8FA" w14:textId="77777777" w:rsidR="008276E7" w:rsidRDefault="00000000">
      <w:pPr>
        <w:spacing w:line="360" w:lineRule="auto"/>
        <w:jc w:val="both"/>
        <w:rPr>
          <w:b/>
          <w:bCs/>
          <w:sz w:val="24"/>
          <w:szCs w:val="24"/>
        </w:rPr>
      </w:pPr>
      <w:r>
        <w:rPr>
          <w:b/>
          <w:bCs/>
          <w:noProof/>
          <w:sz w:val="24"/>
          <w:szCs w:val="24"/>
        </w:rPr>
        <w:lastRenderedPageBreak/>
        <w:drawing>
          <wp:inline distT="114300" distB="114300" distL="114300" distR="114300" wp14:anchorId="2F2BDE49" wp14:editId="40FB504A">
            <wp:extent cx="5943600" cy="2260600"/>
            <wp:effectExtent l="0" t="0" r="0" b="0"/>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32"/>
                    <a:srcRect/>
                    <a:stretch>
                      <a:fillRect/>
                    </a:stretch>
                  </pic:blipFill>
                  <pic:spPr>
                    <a:xfrm>
                      <a:off x="0" y="0"/>
                      <a:ext cx="5943600" cy="2260600"/>
                    </a:xfrm>
                    <a:prstGeom prst="rect">
                      <a:avLst/>
                    </a:prstGeom>
                    <a:ln/>
                  </pic:spPr>
                </pic:pic>
              </a:graphicData>
            </a:graphic>
          </wp:inline>
        </w:drawing>
      </w:r>
    </w:p>
    <w:p w14:paraId="2BA7B09C" w14:textId="77777777" w:rsidR="008276E7" w:rsidRDefault="00000000">
      <w:pPr>
        <w:spacing w:line="360" w:lineRule="auto"/>
        <w:jc w:val="both"/>
        <w:rPr>
          <w:b/>
          <w:bCs/>
          <w:sz w:val="24"/>
          <w:szCs w:val="24"/>
        </w:rPr>
      </w:pPr>
      <w:r>
        <w:rPr>
          <w:b/>
          <w:bCs/>
          <w:sz w:val="24"/>
          <w:szCs w:val="24"/>
        </w:rPr>
        <w:t>ARR</w:t>
      </w:r>
    </w:p>
    <w:p w14:paraId="5B2F1694" w14:textId="77777777" w:rsidR="008276E7" w:rsidRDefault="00000000">
      <w:pPr>
        <w:spacing w:line="360" w:lineRule="auto"/>
        <w:jc w:val="both"/>
        <w:rPr>
          <w:b/>
          <w:bCs/>
          <w:sz w:val="24"/>
          <w:szCs w:val="24"/>
        </w:rPr>
      </w:pPr>
      <w:r>
        <w:rPr>
          <w:b/>
          <w:bCs/>
          <w:noProof/>
          <w:sz w:val="24"/>
          <w:szCs w:val="24"/>
        </w:rPr>
        <w:drawing>
          <wp:inline distT="114300" distB="114300" distL="114300" distR="114300" wp14:anchorId="04440273" wp14:editId="401EA7E8">
            <wp:extent cx="5943600" cy="711200"/>
            <wp:effectExtent l="0" t="0" r="0" b="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33"/>
                    <a:srcRect/>
                    <a:stretch>
                      <a:fillRect/>
                    </a:stretch>
                  </pic:blipFill>
                  <pic:spPr>
                    <a:xfrm>
                      <a:off x="0" y="0"/>
                      <a:ext cx="5943600" cy="711200"/>
                    </a:xfrm>
                    <a:prstGeom prst="rect">
                      <a:avLst/>
                    </a:prstGeom>
                    <a:ln/>
                  </pic:spPr>
                </pic:pic>
              </a:graphicData>
            </a:graphic>
          </wp:inline>
        </w:drawing>
      </w:r>
    </w:p>
    <w:p w14:paraId="388217AA" w14:textId="77777777" w:rsidR="008276E7" w:rsidRDefault="00000000">
      <w:pPr>
        <w:spacing w:line="360" w:lineRule="auto"/>
        <w:jc w:val="both"/>
        <w:rPr>
          <w:b/>
          <w:bCs/>
          <w:sz w:val="24"/>
          <w:szCs w:val="24"/>
        </w:rPr>
      </w:pPr>
      <w:r>
        <w:rPr>
          <w:b/>
          <w:bCs/>
          <w:sz w:val="24"/>
          <w:szCs w:val="24"/>
        </w:rPr>
        <w:t>NPV</w:t>
      </w:r>
    </w:p>
    <w:p w14:paraId="71D29DCF" w14:textId="77777777" w:rsidR="008276E7" w:rsidRDefault="00000000">
      <w:pPr>
        <w:spacing w:line="360" w:lineRule="auto"/>
        <w:jc w:val="both"/>
        <w:rPr>
          <w:b/>
          <w:bCs/>
          <w:sz w:val="24"/>
          <w:szCs w:val="24"/>
        </w:rPr>
      </w:pPr>
      <w:r>
        <w:rPr>
          <w:b/>
          <w:bCs/>
          <w:noProof/>
          <w:sz w:val="24"/>
          <w:szCs w:val="24"/>
        </w:rPr>
        <w:drawing>
          <wp:inline distT="114300" distB="114300" distL="114300" distR="114300" wp14:anchorId="731C369C" wp14:editId="1C67FBE1">
            <wp:extent cx="4695825" cy="1752600"/>
            <wp:effectExtent l="0" t="0" r="0" b="0"/>
            <wp:docPr id="2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34"/>
                    <a:srcRect/>
                    <a:stretch>
                      <a:fillRect/>
                    </a:stretch>
                  </pic:blipFill>
                  <pic:spPr>
                    <a:xfrm>
                      <a:off x="0" y="0"/>
                      <a:ext cx="4695825" cy="1752600"/>
                    </a:xfrm>
                    <a:prstGeom prst="rect">
                      <a:avLst/>
                    </a:prstGeom>
                    <a:ln/>
                  </pic:spPr>
                </pic:pic>
              </a:graphicData>
            </a:graphic>
          </wp:inline>
        </w:drawing>
      </w:r>
    </w:p>
    <w:p w14:paraId="37FD1239" w14:textId="77777777" w:rsidR="008276E7" w:rsidRDefault="00000000">
      <w:pPr>
        <w:spacing w:line="360" w:lineRule="auto"/>
        <w:jc w:val="both"/>
        <w:rPr>
          <w:b/>
          <w:bCs/>
          <w:sz w:val="24"/>
          <w:szCs w:val="24"/>
        </w:rPr>
      </w:pPr>
      <w:r>
        <w:rPr>
          <w:b/>
          <w:bCs/>
          <w:noProof/>
          <w:sz w:val="24"/>
          <w:szCs w:val="24"/>
        </w:rPr>
        <w:drawing>
          <wp:inline distT="114300" distB="114300" distL="114300" distR="114300" wp14:anchorId="5C36AE4B" wp14:editId="38C95EFE">
            <wp:extent cx="4714875" cy="1819275"/>
            <wp:effectExtent l="0" t="0" r="0" b="0"/>
            <wp:docPr id="2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35"/>
                    <a:srcRect/>
                    <a:stretch>
                      <a:fillRect/>
                    </a:stretch>
                  </pic:blipFill>
                  <pic:spPr>
                    <a:xfrm>
                      <a:off x="0" y="0"/>
                      <a:ext cx="4714875" cy="1819275"/>
                    </a:xfrm>
                    <a:prstGeom prst="rect">
                      <a:avLst/>
                    </a:prstGeom>
                    <a:ln/>
                  </pic:spPr>
                </pic:pic>
              </a:graphicData>
            </a:graphic>
          </wp:inline>
        </w:drawing>
      </w:r>
    </w:p>
    <w:p w14:paraId="02B0F0A6" w14:textId="77777777" w:rsidR="008276E7" w:rsidRDefault="00000000">
      <w:pPr>
        <w:spacing w:line="360" w:lineRule="auto"/>
        <w:jc w:val="both"/>
        <w:rPr>
          <w:b/>
          <w:bCs/>
          <w:sz w:val="24"/>
          <w:szCs w:val="24"/>
        </w:rPr>
      </w:pPr>
      <w:r>
        <w:rPr>
          <w:b/>
          <w:bCs/>
          <w:noProof/>
          <w:sz w:val="24"/>
          <w:szCs w:val="24"/>
        </w:rPr>
        <w:lastRenderedPageBreak/>
        <w:drawing>
          <wp:inline distT="114300" distB="114300" distL="114300" distR="114300" wp14:anchorId="204E17C2" wp14:editId="6EF22D03">
            <wp:extent cx="4695825" cy="18192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6"/>
                    <a:srcRect/>
                    <a:stretch>
                      <a:fillRect/>
                    </a:stretch>
                  </pic:blipFill>
                  <pic:spPr>
                    <a:xfrm>
                      <a:off x="0" y="0"/>
                      <a:ext cx="4695825" cy="1819275"/>
                    </a:xfrm>
                    <a:prstGeom prst="rect">
                      <a:avLst/>
                    </a:prstGeom>
                    <a:ln/>
                  </pic:spPr>
                </pic:pic>
              </a:graphicData>
            </a:graphic>
          </wp:inline>
        </w:drawing>
      </w:r>
    </w:p>
    <w:p w14:paraId="590CBEE9" w14:textId="77777777" w:rsidR="008276E7" w:rsidRDefault="00000000">
      <w:pPr>
        <w:spacing w:line="360" w:lineRule="auto"/>
        <w:jc w:val="both"/>
        <w:rPr>
          <w:b/>
          <w:bCs/>
          <w:sz w:val="24"/>
          <w:szCs w:val="24"/>
        </w:rPr>
      </w:pPr>
      <w:r>
        <w:rPr>
          <w:b/>
          <w:bCs/>
          <w:sz w:val="24"/>
          <w:szCs w:val="24"/>
        </w:rPr>
        <w:t>PI</w:t>
      </w:r>
    </w:p>
    <w:p w14:paraId="5904C9BC" w14:textId="77777777" w:rsidR="008276E7" w:rsidRDefault="00000000">
      <w:pPr>
        <w:spacing w:line="360" w:lineRule="auto"/>
        <w:jc w:val="both"/>
        <w:rPr>
          <w:b/>
          <w:bCs/>
          <w:sz w:val="24"/>
          <w:szCs w:val="24"/>
        </w:rPr>
      </w:pPr>
      <w:r>
        <w:rPr>
          <w:b/>
          <w:bCs/>
          <w:noProof/>
          <w:sz w:val="24"/>
          <w:szCs w:val="24"/>
        </w:rPr>
        <w:drawing>
          <wp:inline distT="114300" distB="114300" distL="114300" distR="114300" wp14:anchorId="5BB5CD7D" wp14:editId="689928EC">
            <wp:extent cx="2428875" cy="47053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7"/>
                    <a:srcRect/>
                    <a:stretch>
                      <a:fillRect/>
                    </a:stretch>
                  </pic:blipFill>
                  <pic:spPr>
                    <a:xfrm>
                      <a:off x="0" y="0"/>
                      <a:ext cx="2428875" cy="4705350"/>
                    </a:xfrm>
                    <a:prstGeom prst="rect">
                      <a:avLst/>
                    </a:prstGeom>
                    <a:ln/>
                  </pic:spPr>
                </pic:pic>
              </a:graphicData>
            </a:graphic>
          </wp:inline>
        </w:drawing>
      </w:r>
    </w:p>
    <w:p w14:paraId="27BC2104" w14:textId="77777777" w:rsidR="008276E7" w:rsidRDefault="00000000">
      <w:pPr>
        <w:spacing w:line="360" w:lineRule="auto"/>
        <w:jc w:val="both"/>
        <w:rPr>
          <w:b/>
          <w:bCs/>
          <w:sz w:val="24"/>
          <w:szCs w:val="24"/>
        </w:rPr>
      </w:pPr>
      <w:r>
        <w:rPr>
          <w:b/>
          <w:bCs/>
          <w:sz w:val="24"/>
          <w:szCs w:val="24"/>
        </w:rPr>
        <w:t xml:space="preserve">IRR </w:t>
      </w:r>
    </w:p>
    <w:p w14:paraId="774B699F" w14:textId="77777777" w:rsidR="008276E7" w:rsidRDefault="00000000">
      <w:pPr>
        <w:spacing w:line="360" w:lineRule="auto"/>
        <w:jc w:val="both"/>
        <w:rPr>
          <w:b/>
          <w:bCs/>
          <w:sz w:val="24"/>
          <w:szCs w:val="24"/>
        </w:rPr>
      </w:pPr>
      <w:r>
        <w:rPr>
          <w:b/>
          <w:bCs/>
          <w:noProof/>
          <w:sz w:val="24"/>
          <w:szCs w:val="24"/>
        </w:rPr>
        <w:lastRenderedPageBreak/>
        <w:drawing>
          <wp:inline distT="114300" distB="114300" distL="114300" distR="114300" wp14:anchorId="56C3D0E1" wp14:editId="31313E33">
            <wp:extent cx="1819275" cy="45624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8"/>
                    <a:srcRect/>
                    <a:stretch>
                      <a:fillRect/>
                    </a:stretch>
                  </pic:blipFill>
                  <pic:spPr>
                    <a:xfrm>
                      <a:off x="0" y="0"/>
                      <a:ext cx="1819275" cy="4562475"/>
                    </a:xfrm>
                    <a:prstGeom prst="rect">
                      <a:avLst/>
                    </a:prstGeom>
                    <a:ln/>
                  </pic:spPr>
                </pic:pic>
              </a:graphicData>
            </a:graphic>
          </wp:inline>
        </w:drawing>
      </w:r>
    </w:p>
    <w:p w14:paraId="231FEA6E" w14:textId="77777777" w:rsidR="008276E7" w:rsidRDefault="008276E7">
      <w:pPr>
        <w:spacing w:line="360" w:lineRule="auto"/>
        <w:jc w:val="both"/>
        <w:rPr>
          <w:sz w:val="24"/>
          <w:szCs w:val="24"/>
        </w:rPr>
      </w:pPr>
    </w:p>
    <w:p w14:paraId="1A714692" w14:textId="77777777" w:rsidR="008276E7" w:rsidRDefault="008276E7">
      <w:pPr>
        <w:spacing w:line="360" w:lineRule="auto"/>
        <w:jc w:val="both"/>
        <w:rPr>
          <w:b/>
          <w:bCs/>
          <w:sz w:val="24"/>
          <w:szCs w:val="24"/>
        </w:rPr>
      </w:pPr>
    </w:p>
    <w:p w14:paraId="06AD02E5" w14:textId="77777777" w:rsidR="008276E7" w:rsidRDefault="008276E7">
      <w:pPr>
        <w:spacing w:line="360" w:lineRule="auto"/>
        <w:jc w:val="center"/>
        <w:rPr>
          <w:b/>
          <w:bCs/>
          <w:i/>
          <w:iCs/>
          <w:sz w:val="24"/>
          <w:szCs w:val="24"/>
        </w:rPr>
      </w:pPr>
    </w:p>
    <w:p w14:paraId="3654B2FB" w14:textId="77777777" w:rsidR="008276E7" w:rsidRDefault="008276E7">
      <w:pPr>
        <w:spacing w:line="360" w:lineRule="auto"/>
        <w:jc w:val="both"/>
        <w:rPr>
          <w:b/>
          <w:bCs/>
          <w:sz w:val="24"/>
          <w:szCs w:val="24"/>
        </w:rPr>
      </w:pPr>
    </w:p>
    <w:p w14:paraId="6A630BF7" w14:textId="77777777" w:rsidR="008276E7" w:rsidRDefault="008276E7">
      <w:pPr>
        <w:spacing w:line="360" w:lineRule="auto"/>
        <w:jc w:val="both"/>
        <w:rPr>
          <w:b/>
          <w:bCs/>
          <w:sz w:val="24"/>
          <w:szCs w:val="24"/>
        </w:rPr>
      </w:pPr>
    </w:p>
    <w:p w14:paraId="74CEF930" w14:textId="77777777" w:rsidR="008276E7" w:rsidRDefault="008276E7">
      <w:pPr>
        <w:spacing w:line="360" w:lineRule="auto"/>
        <w:jc w:val="both"/>
        <w:rPr>
          <w:b/>
          <w:bCs/>
          <w:sz w:val="28"/>
          <w:szCs w:val="28"/>
        </w:rPr>
      </w:pPr>
    </w:p>
    <w:sectPr w:rsidR="008276E7">
      <w:footerReference w:type="default" r:id="rId139"/>
      <w:footerReference w:type="first" r:id="rId14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5F5B8" w14:textId="77777777" w:rsidR="00E02C22" w:rsidRDefault="00E02C22">
      <w:pPr>
        <w:spacing w:line="240" w:lineRule="auto"/>
      </w:pPr>
      <w:r>
        <w:separator/>
      </w:r>
    </w:p>
  </w:endnote>
  <w:endnote w:type="continuationSeparator" w:id="0">
    <w:p w14:paraId="648D3B94" w14:textId="77777777" w:rsidR="00E02C22" w:rsidRDefault="00E02C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0FCE7331-F78D-4C88-B02D-D4893204FEBF}"/>
    <w:embedBold r:id="rId2" w:fontKey="{9327CAEE-66B5-44E2-B310-FDEEC338D602}"/>
  </w:font>
  <w:font w:name="SimSun">
    <w:altName w:val="宋体"/>
    <w:panose1 w:val="02010600030101010101"/>
    <w:charset w:val="86"/>
    <w:family w:val="auto"/>
    <w:pitch w:val="variable"/>
    <w:sig w:usb0="00000203" w:usb1="288F0000" w:usb2="00000016" w:usb3="00000000" w:csb0="00040001" w:csb1="00000000"/>
    <w:embedItalic r:id="rId3" w:subsetted="1" w:fontKey="{0844363A-D67A-419A-B938-89F5C7D980C9}"/>
  </w:font>
  <w:font w:name="MS Gothic">
    <w:altName w:val="ＭＳ ゴシック"/>
    <w:panose1 w:val="020B0609070205080204"/>
    <w:charset w:val="80"/>
    <w:family w:val="modern"/>
    <w:pitch w:val="fixed"/>
    <w:sig w:usb0="E00002FF" w:usb1="6AC7FDFB" w:usb2="08000012" w:usb3="00000000" w:csb0="0002009F" w:csb1="00000000"/>
    <w:embedItalic r:id="rId4" w:subsetted="1" w:fontKey="{3D1FCCC6-B459-46B4-AED0-33A0588E5000}"/>
  </w:font>
  <w:font w:name="Calibri">
    <w:panose1 w:val="020F0502020204030204"/>
    <w:charset w:val="00"/>
    <w:family w:val="swiss"/>
    <w:pitch w:val="variable"/>
    <w:sig w:usb0="E4002EFF" w:usb1="C200247B" w:usb2="00000009" w:usb3="00000000" w:csb0="000001FF" w:csb1="00000000"/>
    <w:embedRegular r:id="rId5" w:fontKey="{DC97F39D-05A5-4861-B8A6-5D2D9AB5D4D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B16FA" w14:textId="77777777" w:rsidR="008276E7" w:rsidRDefault="00000000">
    <w:pPr>
      <w:jc w:val="right"/>
    </w:pPr>
    <w:r>
      <w:fldChar w:fldCharType="begin"/>
    </w:r>
    <w:r>
      <w:instrText>PAGE</w:instrText>
    </w:r>
    <w:r>
      <w:fldChar w:fldCharType="separate"/>
    </w:r>
    <w:r w:rsidR="00F052A0">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4F2E73" w14:textId="77777777" w:rsidR="008276E7" w:rsidRDefault="008276E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C82EEB" w14:textId="77777777" w:rsidR="00E02C22" w:rsidRDefault="00E02C22">
      <w:pPr>
        <w:spacing w:line="240" w:lineRule="auto"/>
      </w:pPr>
      <w:r>
        <w:separator/>
      </w:r>
    </w:p>
  </w:footnote>
  <w:footnote w:type="continuationSeparator" w:id="0">
    <w:p w14:paraId="49A65AA0" w14:textId="77777777" w:rsidR="00E02C22" w:rsidRDefault="00E02C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D26D90"/>
    <w:multiLevelType w:val="multilevel"/>
    <w:tmpl w:val="7062C5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18827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76E7"/>
    <w:rsid w:val="0064469C"/>
    <w:rsid w:val="006A6DA0"/>
    <w:rsid w:val="0076695F"/>
    <w:rsid w:val="008276E7"/>
    <w:rsid w:val="00A212CF"/>
    <w:rsid w:val="00E02C22"/>
    <w:rsid w:val="00F052A0"/>
    <w:rsid w:val="00F31262"/>
    <w:rsid w:val="00FA1D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2EE21"/>
  <w15:docId w15:val="{C8B8FCB4-4404-4952-8119-37085CFEF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b/>
      <w:bCs/>
      <w:sz w:val="28"/>
      <w:szCs w:val="28"/>
    </w:rPr>
  </w:style>
  <w:style w:type="paragraph" w:styleId="Heading2">
    <w:name w:val="heading 2"/>
    <w:basedOn w:val="Normal"/>
    <w:next w:val="Normal"/>
    <w:uiPriority w:val="9"/>
    <w:unhideWhenUsed/>
    <w:qFormat/>
    <w:pPr>
      <w:keepNext/>
      <w:keepLines/>
      <w:spacing w:before="360" w:after="120" w:line="360" w:lineRule="auto"/>
      <w:jc w:val="both"/>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FA1D86"/>
    <w:pPr>
      <w:tabs>
        <w:tab w:val="right" w:pos="9350"/>
      </w:tabs>
      <w:spacing w:after="100"/>
      <w:jc w:val="center"/>
    </w:pPr>
    <w:rPr>
      <w:b/>
      <w:bCs/>
      <w:sz w:val="24"/>
      <w:szCs w:val="24"/>
    </w:rPr>
  </w:style>
  <w:style w:type="paragraph" w:styleId="TOC2">
    <w:name w:val="toc 2"/>
    <w:basedOn w:val="Normal"/>
    <w:next w:val="Normal"/>
    <w:autoRedefine/>
    <w:uiPriority w:val="39"/>
    <w:unhideWhenUsed/>
    <w:rsid w:val="0076695F"/>
    <w:pPr>
      <w:spacing w:after="100"/>
      <w:ind w:left="220"/>
    </w:pPr>
  </w:style>
  <w:style w:type="character" w:styleId="Hyperlink">
    <w:name w:val="Hyperlink"/>
    <w:basedOn w:val="DefaultParagraphFont"/>
    <w:uiPriority w:val="99"/>
    <w:unhideWhenUsed/>
    <w:rsid w:val="0076695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mdpi.com/2071-1050/15/1/778" TargetMode="External"/><Relationship Id="rId21" Type="http://schemas.openxmlformats.org/officeDocument/2006/relationships/hyperlink" Target="https://papers.ssrn.com/sol3/Delivery.cfm?abstractid=5127003" TargetMode="External"/><Relationship Id="rId42" Type="http://schemas.openxmlformats.org/officeDocument/2006/relationships/hyperlink" Target="https://uhra.herts.ac.uk/id/eprint/9532/1/Manuscript_final_draft_e.pdf" TargetMode="External"/><Relationship Id="rId63" Type="http://schemas.openxmlformats.org/officeDocument/2006/relationships/hyperlink" Target="https://www.gsi-alliance.org/global-sustainable-investment-review-finds-us30-trillion-invested-in-sustainable-assets/" TargetMode="External"/><Relationship Id="rId84" Type="http://schemas.openxmlformats.org/officeDocument/2006/relationships/hyperlink" Target="https://researchspace.auckland.ac.nz/server/api/core/bitstreams/7d1bb444-beb2-4ed3-8a7e-5ddfcfee2d42/content" TargetMode="External"/><Relationship Id="rId138" Type="http://schemas.openxmlformats.org/officeDocument/2006/relationships/image" Target="media/image24.png"/><Relationship Id="rId107" Type="http://schemas.openxmlformats.org/officeDocument/2006/relationships/hyperlink" Target="https://www.researchgate.net/profile/Christopher-Paapa-2/publication/395414365_Subsidizing_energy_use_in_hotels_and_other_hospitality_facilities_with_a_view_to_making_tourism_less_expensive_A_policy_approach/links/68c3211310c4b65c74f3dfdc/Subsidizing-energy-use-in-hotels-and-other-hospitality-facilities-with-a-view-to-making-tourism-less-expensive-A-policy-approach.pdf" TargetMode="External"/><Relationship Id="rId11" Type="http://schemas.openxmlformats.org/officeDocument/2006/relationships/image" Target="media/image5.png"/><Relationship Id="rId32" Type="http://schemas.openxmlformats.org/officeDocument/2006/relationships/hyperlink" Target="https://papers.ssrn.com/sol3/Delivery.cfm?abstractid=5004465" TargetMode="External"/><Relationship Id="rId37" Type="http://schemas.openxmlformats.org/officeDocument/2006/relationships/hyperlink" Target="http://journals.iarn.or.id/index.php/ARJ/article/download/208/141" TargetMode="External"/><Relationship Id="rId53" Type="http://schemas.openxmlformats.org/officeDocument/2006/relationships/hyperlink" Target="https://papers.ssrn.com/sol3/Delivery.cfm?abstractid=4826778" TargetMode="External"/><Relationship Id="rId58" Type="http://schemas.openxmlformats.org/officeDocument/2006/relationships/hyperlink" Target="https://www.ecb.europa.eu/stats/policy_and_exchange_rates/euro_reference_exchange_rates/html/eurofxref-graph-gbp.fr.html" TargetMode="External"/><Relationship Id="rId74" Type="http://schemas.openxmlformats.org/officeDocument/2006/relationships/hyperlink" Target="https://www.uzh.ch/cmsssl/curem/dam/jcr:adfda69e-a942-439f-af9b-1dcb4fd3ff93/Allami_Hazar_AbAr_Lg18-19.pdf" TargetMode="External"/><Relationship Id="rId79" Type="http://schemas.openxmlformats.org/officeDocument/2006/relationships/hyperlink" Target="https://www.emerald.com/ihr/article-pdf/doi/10.1108/IHR-07-2025-0066/11160018/ihr-07-2025-0066en.pdf" TargetMode="External"/><Relationship Id="rId102" Type="http://schemas.openxmlformats.org/officeDocument/2006/relationships/hyperlink" Target="https://papers.ssrn.com/sol3/Delivery.cfm?abstractid=5411683" TargetMode="External"/><Relationship Id="rId123" Type="http://schemas.openxmlformats.org/officeDocument/2006/relationships/hyperlink" Target="https://journals.sagepub.com/doi/pdf/10.1177/21582440231206960" TargetMode="External"/><Relationship Id="rId128" Type="http://schemas.openxmlformats.org/officeDocument/2006/relationships/image" Target="media/image14.png"/><Relationship Id="rId5" Type="http://schemas.openxmlformats.org/officeDocument/2006/relationships/footnotes" Target="footnotes.xml"/><Relationship Id="rId90" Type="http://schemas.openxmlformats.org/officeDocument/2006/relationships/hyperlink" Target="https://atlantic-press-journals.com/index.php/JMBE/article/download/422/987" TargetMode="External"/><Relationship Id="rId95" Type="http://schemas.openxmlformats.org/officeDocument/2006/relationships/hyperlink" Target="http://www.scienpress.com/Upload/AMAE/Vol%2015_1_7.pdf" TargetMode="External"/><Relationship Id="rId22" Type="http://schemas.openxmlformats.org/officeDocument/2006/relationships/hyperlink" Target="https://link.springer.com/content/pdf/10.1186/s43093-024-00384-8.pdf" TargetMode="External"/><Relationship Id="rId27" Type="http://schemas.openxmlformats.org/officeDocument/2006/relationships/hyperlink" Target="https://www.academia.edu/download/106769993/cash-conversion-cycle-and-firms-performance.pdf" TargetMode="External"/><Relationship Id="rId43" Type="http://schemas.openxmlformats.org/officeDocument/2006/relationships/hyperlink" Target="https://uhra.herts.ac.uk/id/eprint/9532/1/Manuscript_final_draft_e.pdf" TargetMode="External"/><Relationship Id="rId48" Type="http://schemas.openxmlformats.org/officeDocument/2006/relationships/hyperlink" Target="https://www.researchgate.net/profile/Prokopis-A-Christou/publication/372250627_Eow_to_Use_Artificial_Intelligence_AI_as_a_Resource_Methodological_and_Analysis_Tool_in_Qualitative_Research/links/64acfe8c8de7ed28ba8f5aa5/Eow-to-Use-Artificial-Intelligence-AI-as-a-Resource-Methodological-and-Analysis-Tool-in-Qualitative-Research.pdf" TargetMode="External"/><Relationship Id="rId64" Type="http://schemas.openxmlformats.org/officeDocument/2006/relationships/hyperlink" Target="https://papers.ssrn.com/sol3/Delivery.cfm?abstractid=4648620" TargetMode="External"/><Relationship Id="rId69" Type="http://schemas.openxmlformats.org/officeDocument/2006/relationships/hyperlink" Target="https://lutpub.lut.fi/bitstream/handle/10024/164723/masterthesis_halilovic_emir.pdf?sequence=1&amp;isAllowed=y" TargetMode="External"/><Relationship Id="rId113" Type="http://schemas.openxmlformats.org/officeDocument/2006/relationships/hyperlink" Target="https://theeducationjournals.com/index.php/JTCMS/article/download/168/152" TargetMode="External"/><Relationship Id="rId118" Type="http://schemas.openxmlformats.org/officeDocument/2006/relationships/hyperlink" Target="https://epublications.vu.lt/object/elaba:229580950/229580950.pdf" TargetMode="External"/><Relationship Id="rId134" Type="http://schemas.openxmlformats.org/officeDocument/2006/relationships/image" Target="media/image20.png"/><Relationship Id="rId139" Type="http://schemas.openxmlformats.org/officeDocument/2006/relationships/footer" Target="footer1.xml"/><Relationship Id="rId80" Type="http://schemas.openxmlformats.org/officeDocument/2006/relationships/hyperlink" Target="https://www.emerald.com/medar/article-abstract/33/2/472/1243739" TargetMode="External"/><Relationship Id="rId85" Type="http://schemas.openxmlformats.org/officeDocument/2006/relationships/hyperlink" Target="https://researchspace.auckland.ac.nz/server/api/core/bitstreams/7d1bb444-beb2-4ed3-8a7e-5ddfcfee2d42/content" TargetMode="External"/><Relationship Id="rId12" Type="http://schemas.openxmlformats.org/officeDocument/2006/relationships/image" Target="media/image6.png"/><Relationship Id="rId17" Type="http://schemas.openxmlformats.org/officeDocument/2006/relationships/hyperlink" Target="https://jurnal.integrasisainsmedia.co.id/index.php/JCSAM/article/download/392/328" TargetMode="External"/><Relationship Id="rId33" Type="http://schemas.openxmlformats.org/officeDocument/2006/relationships/hyperlink" Target="https://papers.ssrn.com/sol3/Delivery.cfm?abstractid=5004465" TargetMode="External"/><Relationship Id="rId38" Type="http://schemas.openxmlformats.org/officeDocument/2006/relationships/hyperlink" Target="https://link.springer.com/content/pdf/10.1007/s13563-025-00500-2.pdf" TargetMode="External"/><Relationship Id="rId59" Type="http://schemas.openxmlformats.org/officeDocument/2006/relationships/hyperlink" Target="https://www.ecb.europa.eu/stats/policy_and_exchange_rates/euro_reference_exchange_rates/html/eurofxref-graph-gbp.fr.html" TargetMode="External"/><Relationship Id="rId103" Type="http://schemas.openxmlformats.org/officeDocument/2006/relationships/hyperlink" Target="https://papers.ssrn.com/sol3/Delivery.cfm?abstractid=5411683" TargetMode="External"/><Relationship Id="rId108" Type="http://schemas.openxmlformats.org/officeDocument/2006/relationships/hyperlink" Target="https://papers.ssrn.com/sol3/Delivery.cfm?abstractid=5057408" TargetMode="External"/><Relationship Id="rId124" Type="http://schemas.openxmlformats.org/officeDocument/2006/relationships/image" Target="media/image10.png"/><Relationship Id="rId129" Type="http://schemas.openxmlformats.org/officeDocument/2006/relationships/image" Target="media/image15.png"/><Relationship Id="rId54" Type="http://schemas.openxmlformats.org/officeDocument/2006/relationships/hyperlink" Target="https://www.researchgate.net/profile/Indrajit-Dutta-3/publication/383824729_Adapting_to_change_Exploring_contemporary_issues_in_the_tourism_and_hospitality_industry/links/66dbad6d64f7bf7b199c72fc/Adapting-to-change-Exploring-contemporary-issues-in-the-tourism-and-hospitality-industry.pdf" TargetMode="External"/><Relationship Id="rId70" Type="http://schemas.openxmlformats.org/officeDocument/2006/relationships/hyperlink" Target="http://www.nlbaeai.org/static/upload/file/20250416/1744774749637497.pdf" TargetMode="External"/><Relationship Id="rId75" Type="http://schemas.openxmlformats.org/officeDocument/2006/relationships/hyperlink" Target="https://www.uzh.ch/cmsssl/curem/dam/jcr:adfda69e-a942-439f-af9b-1dcb4fd3ff93/Allami_Hazar_AbAr_Lg18-19.pdf" TargetMode="External"/><Relationship Id="rId91" Type="http://schemas.openxmlformats.org/officeDocument/2006/relationships/hyperlink" Target="https://atlantic-press-journals.com/index.php/JMBE/article/download/422/987" TargetMode="External"/><Relationship Id="rId96" Type="http://schemas.openxmlformats.org/officeDocument/2006/relationships/hyperlink" Target="https://www.londonstockexchange.com/news-article/wtb/outcome-of-business-review/17570770" TargetMode="External"/><Relationship Id="rId14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link.springer.com/content/pdf/10.1186/s43093-024-00384-8.pdf" TargetMode="External"/><Relationship Id="rId28" Type="http://schemas.openxmlformats.org/officeDocument/2006/relationships/hyperlink" Target="https://www.sciencedirect.com/science/article/pii/S0950584923000514" TargetMode="External"/><Relationship Id="rId49" Type="http://schemas.openxmlformats.org/officeDocument/2006/relationships/hyperlink" Target="https://www.researchgate.net/profile/Prokopis-A-Christou/publication/372250627_Eow_to_Use_Artificial_Intelligence_AI_as_a_Resource_Methodological_and_Analysis_Tool_in_Qualitative_Research/links/64acfe8c8de7ed28ba8f5aa5/Eow-to-Use-Artificial-Intelligence-AI-as-a-Resource-Methodological-and-Analysis-Tool-in-Qualitative-Research.pdf" TargetMode="External"/><Relationship Id="rId114" Type="http://schemas.openxmlformats.org/officeDocument/2006/relationships/hyperlink" Target="https://de.statista.com/statistik/daten/studie/167319/umfrage/inflationsrate-in-grossbritannien/" TargetMode="External"/><Relationship Id="rId119" Type="http://schemas.openxmlformats.org/officeDocument/2006/relationships/hyperlink" Target="https://epublications.vu.lt/object/elaba:229580950/229580950.pdf" TargetMode="External"/><Relationship Id="rId44" Type="http://schemas.openxmlformats.org/officeDocument/2006/relationships/hyperlink" Target="https://journals.plos.org/plosone/article/file?id=10.1371/journal.pone.0317185&amp;type=printable" TargetMode="External"/><Relationship Id="rId60" Type="http://schemas.openxmlformats.org/officeDocument/2006/relationships/hyperlink" Target="https://www.whitbreadinns.co.uk/en-gb/force-for-good" TargetMode="External"/><Relationship Id="rId65" Type="http://schemas.openxmlformats.org/officeDocument/2006/relationships/hyperlink" Target="https://papers.ssrn.com/sol3/Delivery.cfm?abstractid=4648620" TargetMode="External"/><Relationship Id="rId81" Type="http://schemas.openxmlformats.org/officeDocument/2006/relationships/hyperlink" Target="https://www.emerald.com/medar/article-abstract/33/2/472/1243739" TargetMode="External"/><Relationship Id="rId86" Type="http://schemas.openxmlformats.org/officeDocument/2006/relationships/hyperlink" Target="https://www.sciencedirect.com/science/article/pii/S1029313223000027" TargetMode="External"/><Relationship Id="rId130" Type="http://schemas.openxmlformats.org/officeDocument/2006/relationships/image" Target="media/image16.png"/><Relationship Id="rId135" Type="http://schemas.openxmlformats.org/officeDocument/2006/relationships/image" Target="media/image21.png"/><Relationship Id="rId13" Type="http://schemas.openxmlformats.org/officeDocument/2006/relationships/image" Target="media/image7.png"/><Relationship Id="rId18" Type="http://schemas.openxmlformats.org/officeDocument/2006/relationships/hyperlink" Target="https://journalkeberlanjutan.com/index.php/JoGTA/article/download/1622/1267" TargetMode="External"/><Relationship Id="rId39" Type="http://schemas.openxmlformats.org/officeDocument/2006/relationships/hyperlink" Target="https://link.springer.com/content/pdf/10.1007/s13563-025-00500-2.pdf" TargetMode="External"/><Relationship Id="rId109" Type="http://schemas.openxmlformats.org/officeDocument/2006/relationships/hyperlink" Target="https://papers.ssrn.com/sol3/Delivery.cfm?abstractid=5057408" TargetMode="External"/><Relationship Id="rId34" Type="http://schemas.openxmlformats.org/officeDocument/2006/relationships/hyperlink" Target="https://sobiad.org/menuscript/index.php/ijefs/article/download/1394/314" TargetMode="External"/><Relationship Id="rId50" Type="http://schemas.openxmlformats.org/officeDocument/2006/relationships/hyperlink" Target="https://www.atlantis-press.com/article/125971510.pdf" TargetMode="External"/><Relationship Id="rId55" Type="http://schemas.openxmlformats.org/officeDocument/2006/relationships/hyperlink" Target="https://www.researchgate.net/profile/Indrajit-Dutta-3/publication/383824729_Adapting_to_change_Exploring_contemporary_issues_in_the_tourism_and_hospitality_industry/links/66dbad6d64f7bf7b199c72fc/Adapting-to-change-Exploring-contemporary-issues-in-the-tourism-and-hospitality-industry.pdf" TargetMode="External"/><Relationship Id="rId76" Type="http://schemas.openxmlformats.org/officeDocument/2006/relationships/hyperlink" Target="https://kalkine.co.uk/news/general-news/could-whitbreads-expansion-strategy-unlock-future-growth" TargetMode="External"/><Relationship Id="rId97" Type="http://schemas.openxmlformats.org/officeDocument/2006/relationships/hyperlink" Target="https://www.londonstockexchange.com/news-article/wtb/outcome-of-business-review/17570770" TargetMode="External"/><Relationship Id="rId104" Type="http://schemas.openxmlformats.org/officeDocument/2006/relationships/hyperlink" Target="https://www.ons.gov.uk/economy/inflationandpriceindices/timeseries/l55o/mm23" TargetMode="External"/><Relationship Id="rId120" Type="http://schemas.openxmlformats.org/officeDocument/2006/relationships/hyperlink" Target="https://cdn.whitbread.co.uk/media/2025/05/Whitbread-PLC-Annual-Report-and-Accounts-2024-25.pdf" TargetMode="External"/><Relationship Id="rId125" Type="http://schemas.openxmlformats.org/officeDocument/2006/relationships/image" Target="media/image11.png"/><Relationship Id="rId141" Type="http://schemas.openxmlformats.org/officeDocument/2006/relationships/fontTable" Target="fontTable.xml"/><Relationship Id="rId7" Type="http://schemas.openxmlformats.org/officeDocument/2006/relationships/image" Target="media/image1.jpeg"/><Relationship Id="rId71" Type="http://schemas.openxmlformats.org/officeDocument/2006/relationships/hyperlink" Target="http://www.nlbaeai.org/static/upload/file/20250416/1744774749637497.pdf" TargetMode="External"/><Relationship Id="rId92" Type="http://schemas.openxmlformats.org/officeDocument/2006/relationships/hyperlink" Target="https://papers.ssrn.com/sol3/Delivery.cfm?abstractid=3928372" TargetMode="External"/><Relationship Id="rId2" Type="http://schemas.openxmlformats.org/officeDocument/2006/relationships/styles" Target="styles.xml"/><Relationship Id="rId29" Type="http://schemas.openxmlformats.org/officeDocument/2006/relationships/hyperlink" Target="https://www.sciencedirect.com/science/article/pii/S0950584923000514" TargetMode="External"/><Relationship Id="rId24" Type="http://schemas.openxmlformats.org/officeDocument/2006/relationships/hyperlink" Target="https://pdfs.semanticscholar.org/b297/a823988fa5f3b58516df9f08c16c2c20d0e5.pdf" TargetMode="External"/><Relationship Id="rId40" Type="http://schemas.openxmlformats.org/officeDocument/2006/relationships/hyperlink" Target="https://www.academia.edu/download/120640573/ssrn_4915788_1_.pdf" TargetMode="External"/><Relationship Id="rId45" Type="http://schemas.openxmlformats.org/officeDocument/2006/relationships/hyperlink" Target="https://journals.plos.org/plosone/article/file?id=10.1371/journal.pone.0317185&amp;type=printable" TargetMode="External"/><Relationship Id="rId66" Type="http://schemas.openxmlformats.org/officeDocument/2006/relationships/hyperlink" Target="http://yuktabpublisher.com/index.php/IJAI/article/download/265/253" TargetMode="External"/><Relationship Id="rId87" Type="http://schemas.openxmlformats.org/officeDocument/2006/relationships/hyperlink" Target="https://www.sciencedirect.com/science/article/pii/S1029313223000027" TargetMode="External"/><Relationship Id="rId110" Type="http://schemas.openxmlformats.org/officeDocument/2006/relationships/hyperlink" Target="https://run.unl.pt/bitstreams/6c142d20-11a2-4395-bdf3-b868bc557bee/download" TargetMode="External"/><Relationship Id="rId115" Type="http://schemas.openxmlformats.org/officeDocument/2006/relationships/hyperlink" Target="https://de.statista.com/statistik/daten/studie/167319/umfrage/inflationsrate-in-grossbritannien/" TargetMode="External"/><Relationship Id="rId131" Type="http://schemas.openxmlformats.org/officeDocument/2006/relationships/image" Target="media/image17.png"/><Relationship Id="rId136" Type="http://schemas.openxmlformats.org/officeDocument/2006/relationships/image" Target="media/image22.png"/><Relationship Id="rId61" Type="http://schemas.openxmlformats.org/officeDocument/2006/relationships/hyperlink" Target="https://www.whitbreadinns.co.uk/en-gb/force-for-good" TargetMode="External"/><Relationship Id="rId82" Type="http://schemas.openxmlformats.org/officeDocument/2006/relationships/hyperlink" Target="https://www.taylorfrancis.com/books/mono/10.4324/9781003687986/corporate-short-term-financing-europe-julia-koralun-bere%C5%BAnicka" TargetMode="External"/><Relationship Id="rId19" Type="http://schemas.openxmlformats.org/officeDocument/2006/relationships/hyperlink" Target="https://journalkeberlanjutan.com/index.php/JoGTA/article/download/1622/1267" TargetMode="External"/><Relationship Id="rId14" Type="http://schemas.openxmlformats.org/officeDocument/2006/relationships/image" Target="media/image8.png"/><Relationship Id="rId30" Type="http://schemas.openxmlformats.org/officeDocument/2006/relationships/hyperlink" Target="https://papers.ssrn.com/sol3/Delivery.cfm?abstractid=5004465" TargetMode="External"/><Relationship Id="rId35" Type="http://schemas.openxmlformats.org/officeDocument/2006/relationships/hyperlink" Target="https://sobiad.org/menuscript/index.php/ijefs/article/download/1394/314" TargetMode="External"/><Relationship Id="rId56" Type="http://schemas.openxmlformats.org/officeDocument/2006/relationships/hyperlink" Target="https://bibliotekanauki.pl/articles/39993224.pdf" TargetMode="External"/><Relationship Id="rId77" Type="http://schemas.openxmlformats.org/officeDocument/2006/relationships/hyperlink" Target="https://kalkine.co.uk/news/general-news/could-whitbreads-expansion-strategy-unlock-future-growth" TargetMode="External"/><Relationship Id="rId100" Type="http://schemas.openxmlformats.org/officeDocument/2006/relationships/hyperlink" Target="https://repository.kcau.ac.ke/server/api/core/bitstreams/b95b32a7-5724-4b73-b9cd-14e21493d3c8/content" TargetMode="External"/><Relationship Id="rId105" Type="http://schemas.openxmlformats.org/officeDocument/2006/relationships/hyperlink" Target="https://www.ons.gov.uk/economy/inflationandpriceindices/timeseries/l55o/mm23" TargetMode="External"/><Relationship Id="rId126" Type="http://schemas.openxmlformats.org/officeDocument/2006/relationships/image" Target="media/image12.png"/><Relationship Id="rId8" Type="http://schemas.openxmlformats.org/officeDocument/2006/relationships/image" Target="media/image2.png"/><Relationship Id="rId51" Type="http://schemas.openxmlformats.org/officeDocument/2006/relationships/hyperlink" Target="https://www.atlantis-press.com/article/125971510.pdf" TargetMode="External"/><Relationship Id="rId72" Type="http://schemas.openxmlformats.org/officeDocument/2006/relationships/hyperlink" Target="https://ippr-org.files.svdcdn.com/production/Downloads/prices-and-profits-after-the-pandemic-june22.pdf" TargetMode="External"/><Relationship Id="rId93" Type="http://schemas.openxmlformats.org/officeDocument/2006/relationships/hyperlink" Target="https://papers.ssrn.com/sol3/Delivery.cfm?abstractid=3928372" TargetMode="External"/><Relationship Id="rId98" Type="http://schemas.openxmlformats.org/officeDocument/2006/relationships/hyperlink" Target="https://www.mdpi.com/1911-8074/18/1/24" TargetMode="External"/><Relationship Id="rId121" Type="http://schemas.openxmlformats.org/officeDocument/2006/relationships/hyperlink" Target="https://cdn.whitbread.co.uk/media/2025/05/Whitbread-PLC-Annual-Report-and-Accounts-2024-25.pdf" TargetMode="External"/><Relationship Id="rId142" Type="http://schemas.openxmlformats.org/officeDocument/2006/relationships/theme" Target="theme/theme1.xml"/><Relationship Id="rId3" Type="http://schemas.openxmlformats.org/officeDocument/2006/relationships/settings" Target="settings.xml"/><Relationship Id="rId25" Type="http://schemas.openxmlformats.org/officeDocument/2006/relationships/hyperlink" Target="https://pdfs.semanticscholar.org/b297/a823988fa5f3b58516df9f08c16c2c20d0e5.pdf" TargetMode="External"/><Relationship Id="rId46" Type="http://schemas.openxmlformats.org/officeDocument/2006/relationships/hyperlink" Target="https://pdfs.semanticscholar.org/0b99/d2d2ca458d4add46b67194457c46d012a38f.pdf" TargetMode="External"/><Relationship Id="rId67" Type="http://schemas.openxmlformats.org/officeDocument/2006/relationships/hyperlink" Target="http://yuktabpublisher.com/index.php/IJAI/article/download/265/253" TargetMode="External"/><Relationship Id="rId116" Type="http://schemas.openxmlformats.org/officeDocument/2006/relationships/hyperlink" Target="https://www.mdpi.com/2071-1050/15/1/778" TargetMode="External"/><Relationship Id="rId137" Type="http://schemas.openxmlformats.org/officeDocument/2006/relationships/image" Target="media/image23.png"/><Relationship Id="rId20" Type="http://schemas.openxmlformats.org/officeDocument/2006/relationships/hyperlink" Target="https://papers.ssrn.com/sol3/Delivery.cfm?abstractid=5127003" TargetMode="External"/><Relationship Id="rId41" Type="http://schemas.openxmlformats.org/officeDocument/2006/relationships/hyperlink" Target="https://www.academia.edu/download/120640573/ssrn_4915788_1_.pdf" TargetMode="External"/><Relationship Id="rId62" Type="http://schemas.openxmlformats.org/officeDocument/2006/relationships/hyperlink" Target="https://www.gsi-alliance.org/global-sustainable-investment-review-finds-us30-trillion-invested-in-sustainable-assets/" TargetMode="External"/><Relationship Id="rId83" Type="http://schemas.openxmlformats.org/officeDocument/2006/relationships/hyperlink" Target="https://www.taylorfrancis.com/books/mono/10.4324/9781003687986/corporate-short-term-financing-europe-julia-koralun-bere%C5%BAnicka" TargetMode="External"/><Relationship Id="rId88" Type="http://schemas.openxmlformats.org/officeDocument/2006/relationships/hyperlink" Target="https://www.econstor.eu/bitstream/10419/322352/1/1923566121.pdf" TargetMode="External"/><Relationship Id="rId111" Type="http://schemas.openxmlformats.org/officeDocument/2006/relationships/hyperlink" Target="https://run.unl.pt/bitstreams/6c142d20-11a2-4395-bdf3-b868bc557bee/download" TargetMode="External"/><Relationship Id="rId132" Type="http://schemas.openxmlformats.org/officeDocument/2006/relationships/image" Target="media/image18.png"/><Relationship Id="rId15" Type="http://schemas.openxmlformats.org/officeDocument/2006/relationships/image" Target="media/image9.png"/><Relationship Id="rId36" Type="http://schemas.openxmlformats.org/officeDocument/2006/relationships/hyperlink" Target="http://journals.iarn.or.id/index.php/ARJ/article/download/208/141" TargetMode="External"/><Relationship Id="rId57" Type="http://schemas.openxmlformats.org/officeDocument/2006/relationships/hyperlink" Target="https://bibliotekanauki.pl/articles/39993224.pdf" TargetMode="External"/><Relationship Id="rId106" Type="http://schemas.openxmlformats.org/officeDocument/2006/relationships/hyperlink" Target="https://www.researchgate.net/profile/Christopher-Paapa-2/publication/395414365_Subsidizing_energy_use_in_hotels_and_other_hospitality_facilities_with_a_view_to_making_tourism_less_expensive_A_policy_approach/links/68c3211310c4b65c74f3dfdc/Subsidizing-energy-use-in-hotels-and-other-hospitality-facilities-with-a-view-to-making-tourism-less-expensive-A-policy-approach.pdf" TargetMode="External"/><Relationship Id="rId127" Type="http://schemas.openxmlformats.org/officeDocument/2006/relationships/image" Target="media/image13.png"/><Relationship Id="rId10" Type="http://schemas.openxmlformats.org/officeDocument/2006/relationships/image" Target="media/image4.png"/><Relationship Id="rId31" Type="http://schemas.openxmlformats.org/officeDocument/2006/relationships/hyperlink" Target="https://papers.ssrn.com/sol3/Delivery.cfm?abstractid=5004465" TargetMode="External"/><Relationship Id="rId52" Type="http://schemas.openxmlformats.org/officeDocument/2006/relationships/hyperlink" Target="https://papers.ssrn.com/sol3/Delivery.cfm?abstractid=4826778" TargetMode="External"/><Relationship Id="rId73" Type="http://schemas.openxmlformats.org/officeDocument/2006/relationships/hyperlink" Target="https://ippr-org.files.svdcdn.com/production/Downloads/prices-and-profits-after-the-pandemic-june22.pdf" TargetMode="External"/><Relationship Id="rId78" Type="http://schemas.openxmlformats.org/officeDocument/2006/relationships/hyperlink" Target="https://www.emerald.com/ihr/article-pdf/doi/10.1108/IHR-07-2025-0066/11160018/ihr-07-2025-0066en.pdf" TargetMode="External"/><Relationship Id="rId94" Type="http://schemas.openxmlformats.org/officeDocument/2006/relationships/hyperlink" Target="http://www.scienpress.com/Upload/AMAE/Vol%2015_1_7.pdf" TargetMode="External"/><Relationship Id="rId99" Type="http://schemas.openxmlformats.org/officeDocument/2006/relationships/hyperlink" Target="https://www.mdpi.com/1911-8074/18/1/24" TargetMode="External"/><Relationship Id="rId101" Type="http://schemas.openxmlformats.org/officeDocument/2006/relationships/hyperlink" Target="https://repository.kcau.ac.ke/server/api/core/bitstreams/b95b32a7-5724-4b73-b9cd-14e21493d3c8/content" TargetMode="External"/><Relationship Id="rId122" Type="http://schemas.openxmlformats.org/officeDocument/2006/relationships/hyperlink" Target="https://journals.sagepub.com/doi/pdf/10.1177/21582440231206960" TargetMode="External"/><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www.academia.edu/download/106769993/cash-conversion-cycle-and-firms-performance.pdf" TargetMode="External"/><Relationship Id="rId47" Type="http://schemas.openxmlformats.org/officeDocument/2006/relationships/hyperlink" Target="https://pdfs.semanticscholar.org/0b99/d2d2ca458d4add46b67194457c46d012a38f.pdf" TargetMode="External"/><Relationship Id="rId68" Type="http://schemas.openxmlformats.org/officeDocument/2006/relationships/hyperlink" Target="https://lutpub.lut.fi/bitstream/handle/10024/164723/masterthesis_halilovic_emir.pdf?sequence=1&amp;isAllowed=y" TargetMode="External"/><Relationship Id="rId89" Type="http://schemas.openxmlformats.org/officeDocument/2006/relationships/hyperlink" Target="https://www.econstor.eu/bitstream/10419/322352/1/1923566121.pdf" TargetMode="External"/><Relationship Id="rId112" Type="http://schemas.openxmlformats.org/officeDocument/2006/relationships/hyperlink" Target="https://theeducationjournals.com/index.php/JTCMS/article/download/168/152" TargetMode="External"/><Relationship Id="rId133" Type="http://schemas.openxmlformats.org/officeDocument/2006/relationships/image" Target="media/image19.png"/><Relationship Id="rId16" Type="http://schemas.openxmlformats.org/officeDocument/2006/relationships/hyperlink" Target="https://jurnal.integrasisainsmedia.co.id/index.php/JCSAM/article/download/392/32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35</Pages>
  <Words>9273</Words>
  <Characters>52862</Characters>
  <Application>Microsoft Office Word</Application>
  <DocSecurity>0</DocSecurity>
  <Lines>440</Lines>
  <Paragraphs>124</Paragraphs>
  <ScaleCrop>false</ScaleCrop>
  <Company/>
  <LinksUpToDate>false</LinksUpToDate>
  <CharactersWithSpaces>62011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5</cp:revision>
  <dcterms:created xsi:type="dcterms:W3CDTF">2026-07-31T18:24:00Z</dcterms:created>
  <dcterms:modified xsi:type="dcterms:W3CDTF">2026-08-13T05:55:00Z</dcterms:modified>
</cp:coreProperties>
</file>