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00F7B" w14:textId="0CEFE3CB" w:rsidR="00521D4D" w:rsidRPr="00FB3CCF" w:rsidRDefault="00521D4D" w:rsidP="0045121F">
      <w:pPr>
        <w:spacing w:after="0" w:line="360" w:lineRule="auto"/>
        <w:jc w:val="both"/>
        <w:rPr>
          <w:rFonts w:ascii="Arial" w:hAnsi="Arial" w:cs="Arial"/>
          <w:b/>
          <w:bCs/>
          <w:sz w:val="22"/>
          <w:szCs w:val="22"/>
        </w:rPr>
      </w:pPr>
      <w:r w:rsidRPr="00FB3CCF">
        <w:rPr>
          <w:rFonts w:ascii="Arial" w:hAnsi="Arial" w:cs="Arial"/>
          <w:b/>
          <w:bCs/>
          <w:sz w:val="22"/>
          <w:szCs w:val="22"/>
        </w:rPr>
        <w:t xml:space="preserve">Part 1 Critical </w:t>
      </w:r>
      <w:r w:rsidR="007B77A2" w:rsidRPr="00FB3CCF">
        <w:rPr>
          <w:rFonts w:ascii="Arial" w:hAnsi="Arial" w:cs="Arial"/>
          <w:b/>
          <w:bCs/>
          <w:sz w:val="22"/>
          <w:szCs w:val="22"/>
        </w:rPr>
        <w:t>F</w:t>
      </w:r>
      <w:r w:rsidRPr="00FB3CCF">
        <w:rPr>
          <w:rFonts w:ascii="Arial" w:hAnsi="Arial" w:cs="Arial"/>
          <w:b/>
          <w:bCs/>
          <w:sz w:val="22"/>
          <w:szCs w:val="22"/>
        </w:rPr>
        <w:t xml:space="preserve">oundations for the </w:t>
      </w:r>
      <w:r w:rsidR="007B77A2" w:rsidRPr="00FB3CCF">
        <w:rPr>
          <w:rFonts w:ascii="Arial" w:hAnsi="Arial" w:cs="Arial"/>
          <w:b/>
          <w:bCs/>
          <w:sz w:val="22"/>
          <w:szCs w:val="22"/>
        </w:rPr>
        <w:t>L</w:t>
      </w:r>
      <w:r w:rsidRPr="00FB3CCF">
        <w:rPr>
          <w:rFonts w:ascii="Arial" w:hAnsi="Arial" w:cs="Arial"/>
          <w:b/>
          <w:bCs/>
          <w:sz w:val="22"/>
          <w:szCs w:val="22"/>
        </w:rPr>
        <w:t xml:space="preserve">iterature </w:t>
      </w:r>
      <w:r w:rsidR="007B77A2" w:rsidRPr="00FB3CCF">
        <w:rPr>
          <w:rFonts w:ascii="Arial" w:hAnsi="Arial" w:cs="Arial"/>
          <w:b/>
          <w:bCs/>
          <w:sz w:val="22"/>
          <w:szCs w:val="22"/>
        </w:rPr>
        <w:t>R</w:t>
      </w:r>
      <w:r w:rsidRPr="00FB3CCF">
        <w:rPr>
          <w:rFonts w:ascii="Arial" w:hAnsi="Arial" w:cs="Arial"/>
          <w:b/>
          <w:bCs/>
          <w:sz w:val="22"/>
          <w:szCs w:val="22"/>
        </w:rPr>
        <w:t>eview</w:t>
      </w:r>
    </w:p>
    <w:p w14:paraId="774DA5D5" w14:textId="7AA29073" w:rsidR="0055606D" w:rsidRPr="00FB3CCF" w:rsidRDefault="00521D4D" w:rsidP="0045121F">
      <w:pPr>
        <w:spacing w:after="0" w:line="360" w:lineRule="auto"/>
        <w:jc w:val="both"/>
        <w:rPr>
          <w:rFonts w:ascii="Arial" w:hAnsi="Arial" w:cs="Arial"/>
          <w:sz w:val="22"/>
          <w:szCs w:val="22"/>
        </w:rPr>
      </w:pPr>
      <w:r w:rsidRPr="00FB3CCF">
        <w:rPr>
          <w:rFonts w:ascii="Arial" w:hAnsi="Arial" w:cs="Arial"/>
          <w:sz w:val="22"/>
          <w:szCs w:val="22"/>
        </w:rPr>
        <w:t xml:space="preserve">The critical literature review for a Doctor of Business Administration is expected to establish </w:t>
      </w:r>
      <w:r w:rsidR="00C143EF" w:rsidRPr="00FB3CCF">
        <w:rPr>
          <w:rFonts w:ascii="Arial" w:hAnsi="Arial" w:cs="Arial"/>
          <w:sz w:val="22"/>
          <w:szCs w:val="22"/>
        </w:rPr>
        <w:t>an academic influence in</w:t>
      </w:r>
      <w:r w:rsidRPr="00FB3CCF">
        <w:rPr>
          <w:rFonts w:ascii="Arial" w:hAnsi="Arial" w:cs="Arial"/>
          <w:sz w:val="22"/>
          <w:szCs w:val="22"/>
        </w:rPr>
        <w:t xml:space="preserve"> the </w:t>
      </w:r>
      <w:r w:rsidR="00C143EF" w:rsidRPr="00FB3CCF">
        <w:rPr>
          <w:rFonts w:ascii="Arial" w:hAnsi="Arial" w:cs="Arial"/>
          <w:sz w:val="22"/>
          <w:szCs w:val="22"/>
        </w:rPr>
        <w:t xml:space="preserve">research area by </w:t>
      </w:r>
      <w:r w:rsidRPr="00FB3CCF">
        <w:rPr>
          <w:rFonts w:ascii="Arial" w:hAnsi="Arial" w:cs="Arial"/>
          <w:sz w:val="22"/>
          <w:szCs w:val="22"/>
        </w:rPr>
        <w:t>evaluat</w:t>
      </w:r>
      <w:r w:rsidR="00C143EF" w:rsidRPr="00FB3CCF">
        <w:rPr>
          <w:rFonts w:ascii="Arial" w:hAnsi="Arial" w:cs="Arial"/>
          <w:sz w:val="22"/>
          <w:szCs w:val="22"/>
        </w:rPr>
        <w:t>ing</w:t>
      </w:r>
      <w:r w:rsidRPr="00FB3CCF">
        <w:rPr>
          <w:rFonts w:ascii="Arial" w:hAnsi="Arial" w:cs="Arial"/>
          <w:sz w:val="22"/>
          <w:szCs w:val="22"/>
        </w:rPr>
        <w:t xml:space="preserve"> the strengths and limitations of </w:t>
      </w:r>
      <w:r w:rsidR="00C143EF" w:rsidRPr="00FB3CCF">
        <w:rPr>
          <w:rFonts w:ascii="Arial" w:hAnsi="Arial" w:cs="Arial"/>
          <w:sz w:val="22"/>
          <w:szCs w:val="22"/>
        </w:rPr>
        <w:t>previous studies</w:t>
      </w:r>
      <w:r w:rsidRPr="00FB3CCF">
        <w:rPr>
          <w:rFonts w:ascii="Arial" w:hAnsi="Arial" w:cs="Arial"/>
          <w:sz w:val="22"/>
          <w:szCs w:val="22"/>
        </w:rPr>
        <w:t xml:space="preserve"> and justify</w:t>
      </w:r>
      <w:r w:rsidR="00C143EF" w:rsidRPr="00FB3CCF">
        <w:rPr>
          <w:rFonts w:ascii="Arial" w:hAnsi="Arial" w:cs="Arial"/>
          <w:sz w:val="22"/>
          <w:szCs w:val="22"/>
        </w:rPr>
        <w:t>ing</w:t>
      </w:r>
      <w:r w:rsidRPr="00FB3CCF">
        <w:rPr>
          <w:rFonts w:ascii="Arial" w:hAnsi="Arial" w:cs="Arial"/>
          <w:sz w:val="22"/>
          <w:szCs w:val="22"/>
        </w:rPr>
        <w:t xml:space="preserve"> the need for a new study. </w:t>
      </w:r>
      <w:r w:rsidR="00C143EF" w:rsidRPr="00FB3CCF">
        <w:rPr>
          <w:rFonts w:ascii="Arial" w:hAnsi="Arial" w:cs="Arial"/>
          <w:sz w:val="22"/>
          <w:szCs w:val="22"/>
        </w:rPr>
        <w:t xml:space="preserve">Therefore, </w:t>
      </w:r>
      <w:r w:rsidRPr="00FB3CCF">
        <w:rPr>
          <w:rFonts w:ascii="Arial" w:hAnsi="Arial" w:cs="Arial"/>
          <w:sz w:val="22"/>
          <w:szCs w:val="22"/>
        </w:rPr>
        <w:t xml:space="preserve">a critical literature review is not a </w:t>
      </w:r>
      <w:r w:rsidR="00C143EF" w:rsidRPr="00FB3CCF">
        <w:rPr>
          <w:rFonts w:ascii="Arial" w:hAnsi="Arial" w:cs="Arial"/>
          <w:sz w:val="22"/>
          <w:szCs w:val="22"/>
        </w:rPr>
        <w:t xml:space="preserve">summary </w:t>
      </w:r>
      <w:r w:rsidRPr="00FB3CCF">
        <w:rPr>
          <w:rFonts w:ascii="Arial" w:hAnsi="Arial" w:cs="Arial"/>
          <w:sz w:val="22"/>
          <w:szCs w:val="22"/>
        </w:rPr>
        <w:t>of prior publications</w:t>
      </w:r>
      <w:r w:rsidR="00C143EF" w:rsidRPr="00FB3CCF">
        <w:rPr>
          <w:rFonts w:ascii="Arial" w:hAnsi="Arial" w:cs="Arial"/>
          <w:sz w:val="22"/>
          <w:szCs w:val="22"/>
        </w:rPr>
        <w:t xml:space="preserve"> but</w:t>
      </w:r>
      <w:r w:rsidRPr="00FB3CCF">
        <w:rPr>
          <w:rFonts w:ascii="Arial" w:hAnsi="Arial" w:cs="Arial"/>
          <w:sz w:val="22"/>
          <w:szCs w:val="22"/>
        </w:rPr>
        <w:t xml:space="preserve"> an argument about what is known</w:t>
      </w:r>
      <w:r w:rsidR="00C143EF" w:rsidRPr="00FB3CCF">
        <w:rPr>
          <w:rFonts w:ascii="Arial" w:hAnsi="Arial" w:cs="Arial"/>
          <w:sz w:val="22"/>
          <w:szCs w:val="22"/>
        </w:rPr>
        <w:t xml:space="preserve"> in the field</w:t>
      </w:r>
      <w:r w:rsidRPr="00FB3CCF">
        <w:rPr>
          <w:rFonts w:ascii="Arial" w:hAnsi="Arial" w:cs="Arial"/>
          <w:sz w:val="22"/>
          <w:szCs w:val="22"/>
        </w:rPr>
        <w:t xml:space="preserve">, how that knowledge has been </w:t>
      </w:r>
      <w:r w:rsidR="007632D1" w:rsidRPr="00FB3CCF">
        <w:rPr>
          <w:rFonts w:ascii="Arial" w:hAnsi="Arial" w:cs="Arial"/>
          <w:sz w:val="22"/>
          <w:szCs w:val="22"/>
        </w:rPr>
        <w:t>developed</w:t>
      </w:r>
      <w:r w:rsidRPr="00FB3CCF">
        <w:rPr>
          <w:rFonts w:ascii="Arial" w:hAnsi="Arial" w:cs="Arial"/>
          <w:sz w:val="22"/>
          <w:szCs w:val="22"/>
        </w:rPr>
        <w:t xml:space="preserve">, where </w:t>
      </w:r>
      <w:r w:rsidR="000238D9" w:rsidRPr="00FB3CCF">
        <w:rPr>
          <w:rFonts w:ascii="Arial" w:hAnsi="Arial" w:cs="Arial"/>
          <w:sz w:val="22"/>
          <w:szCs w:val="22"/>
        </w:rPr>
        <w:t xml:space="preserve">the existing literature </w:t>
      </w:r>
      <w:r w:rsidRPr="00FB3CCF">
        <w:rPr>
          <w:rFonts w:ascii="Arial" w:hAnsi="Arial" w:cs="Arial"/>
          <w:sz w:val="22"/>
          <w:szCs w:val="22"/>
        </w:rPr>
        <w:t xml:space="preserve">remains </w:t>
      </w:r>
      <w:r w:rsidR="0091510C" w:rsidRPr="00FB3CCF">
        <w:rPr>
          <w:rFonts w:ascii="Arial" w:hAnsi="Arial" w:cs="Arial"/>
          <w:sz w:val="22"/>
          <w:szCs w:val="22"/>
        </w:rPr>
        <w:t xml:space="preserve">limited in scope </w:t>
      </w:r>
      <w:r w:rsidRPr="00FB3CCF">
        <w:rPr>
          <w:rFonts w:ascii="Arial" w:hAnsi="Arial" w:cs="Arial"/>
          <w:sz w:val="22"/>
          <w:szCs w:val="22"/>
        </w:rPr>
        <w:t xml:space="preserve">and why </w:t>
      </w:r>
      <w:r w:rsidR="0091510C" w:rsidRPr="00FB3CCF">
        <w:rPr>
          <w:rFonts w:ascii="Arial" w:hAnsi="Arial" w:cs="Arial"/>
          <w:sz w:val="22"/>
          <w:szCs w:val="22"/>
        </w:rPr>
        <w:t>future research</w:t>
      </w:r>
      <w:r w:rsidRPr="00FB3CCF">
        <w:rPr>
          <w:rFonts w:ascii="Arial" w:hAnsi="Arial" w:cs="Arial"/>
          <w:sz w:val="22"/>
          <w:szCs w:val="22"/>
        </w:rPr>
        <w:t xml:space="preserve"> is necessary. </w:t>
      </w:r>
      <w:r w:rsidR="0091510C" w:rsidRPr="00FB3CCF">
        <w:rPr>
          <w:rFonts w:ascii="Arial" w:hAnsi="Arial" w:cs="Arial"/>
          <w:sz w:val="22"/>
          <w:szCs w:val="22"/>
        </w:rPr>
        <w:t>T</w:t>
      </w:r>
      <w:r w:rsidRPr="00FB3CCF">
        <w:rPr>
          <w:rFonts w:ascii="Arial" w:hAnsi="Arial" w:cs="Arial"/>
          <w:sz w:val="22"/>
          <w:szCs w:val="22"/>
        </w:rPr>
        <w:t xml:space="preserve">he </w:t>
      </w:r>
      <w:r w:rsidR="0091510C" w:rsidRPr="00FB3CCF">
        <w:rPr>
          <w:rFonts w:ascii="Arial" w:hAnsi="Arial" w:cs="Arial"/>
          <w:sz w:val="22"/>
          <w:szCs w:val="22"/>
        </w:rPr>
        <w:t>critical</w:t>
      </w:r>
      <w:r w:rsidRPr="00FB3CCF">
        <w:rPr>
          <w:rFonts w:ascii="Arial" w:hAnsi="Arial" w:cs="Arial"/>
          <w:sz w:val="22"/>
          <w:szCs w:val="22"/>
        </w:rPr>
        <w:t xml:space="preserve"> literature review </w:t>
      </w:r>
      <w:r w:rsidR="0091510C" w:rsidRPr="00FB3CCF">
        <w:rPr>
          <w:rFonts w:ascii="Arial" w:hAnsi="Arial" w:cs="Arial"/>
          <w:sz w:val="22"/>
          <w:szCs w:val="22"/>
        </w:rPr>
        <w:t>i</w:t>
      </w:r>
      <w:r w:rsidRPr="00FB3CCF">
        <w:rPr>
          <w:rFonts w:ascii="Arial" w:hAnsi="Arial" w:cs="Arial"/>
          <w:sz w:val="22"/>
          <w:szCs w:val="22"/>
        </w:rPr>
        <w:t xml:space="preserve">s a </w:t>
      </w:r>
      <w:r w:rsidR="00046A72" w:rsidRPr="00FB3CCF">
        <w:rPr>
          <w:rFonts w:ascii="Arial" w:hAnsi="Arial" w:cs="Arial"/>
          <w:sz w:val="22"/>
          <w:szCs w:val="22"/>
        </w:rPr>
        <w:t xml:space="preserve">structured research process </w:t>
      </w:r>
      <w:r w:rsidR="0091510C" w:rsidRPr="00FB3CCF">
        <w:rPr>
          <w:rFonts w:ascii="Arial" w:hAnsi="Arial" w:cs="Arial"/>
          <w:sz w:val="22"/>
          <w:szCs w:val="22"/>
        </w:rPr>
        <w:t>that</w:t>
      </w:r>
      <w:r w:rsidRPr="00FB3CCF">
        <w:rPr>
          <w:rFonts w:ascii="Arial" w:hAnsi="Arial" w:cs="Arial"/>
          <w:sz w:val="22"/>
          <w:szCs w:val="22"/>
        </w:rPr>
        <w:t xml:space="preserve"> helps</w:t>
      </w:r>
      <w:r w:rsidR="00FD0FD9" w:rsidRPr="00FB3CCF">
        <w:rPr>
          <w:rFonts w:ascii="Arial" w:hAnsi="Arial" w:cs="Arial"/>
          <w:sz w:val="22"/>
          <w:szCs w:val="22"/>
        </w:rPr>
        <w:t xml:space="preserve"> clarify </w:t>
      </w:r>
      <w:r w:rsidRPr="00FB3CCF">
        <w:rPr>
          <w:rFonts w:ascii="Arial" w:hAnsi="Arial" w:cs="Arial"/>
          <w:sz w:val="22"/>
          <w:szCs w:val="22"/>
        </w:rPr>
        <w:t xml:space="preserve">the research problem and </w:t>
      </w:r>
      <w:r w:rsidR="00FD0FD9" w:rsidRPr="00FB3CCF">
        <w:rPr>
          <w:rFonts w:ascii="Arial" w:hAnsi="Arial" w:cs="Arial"/>
          <w:sz w:val="22"/>
          <w:szCs w:val="22"/>
        </w:rPr>
        <w:t>identify</w:t>
      </w:r>
      <w:r w:rsidRPr="00FB3CCF">
        <w:rPr>
          <w:rFonts w:ascii="Arial" w:hAnsi="Arial" w:cs="Arial"/>
          <w:sz w:val="22"/>
          <w:szCs w:val="22"/>
        </w:rPr>
        <w:t xml:space="preserve"> </w:t>
      </w:r>
      <w:r w:rsidR="00FD0FD9" w:rsidRPr="00FB3CCF">
        <w:rPr>
          <w:rFonts w:ascii="Arial" w:hAnsi="Arial" w:cs="Arial"/>
          <w:sz w:val="22"/>
          <w:szCs w:val="22"/>
        </w:rPr>
        <w:t xml:space="preserve">the areas that still require further analysis </w:t>
      </w:r>
      <w:r w:rsidR="0091510C" w:rsidRPr="00FB3CCF">
        <w:rPr>
          <w:rFonts w:ascii="Arial" w:hAnsi="Arial" w:cs="Arial"/>
          <w:sz w:val="22"/>
          <w:szCs w:val="22"/>
        </w:rPr>
        <w:t>(Randolph, 2009)</w:t>
      </w:r>
      <w:r w:rsidRPr="00FB3CCF">
        <w:rPr>
          <w:rFonts w:ascii="Arial" w:hAnsi="Arial" w:cs="Arial"/>
          <w:sz w:val="22"/>
          <w:szCs w:val="22"/>
        </w:rPr>
        <w:t>.</w:t>
      </w:r>
      <w:r w:rsidR="00FD0FD9" w:rsidRPr="00FB3CCF">
        <w:rPr>
          <w:rFonts w:ascii="Arial" w:hAnsi="Arial" w:cs="Arial"/>
          <w:sz w:val="22"/>
          <w:szCs w:val="22"/>
        </w:rPr>
        <w:t xml:space="preserve"> </w:t>
      </w:r>
      <w:r w:rsidR="00046A72" w:rsidRPr="00FB3CCF">
        <w:rPr>
          <w:rFonts w:ascii="Arial" w:hAnsi="Arial" w:cs="Arial"/>
          <w:sz w:val="22"/>
          <w:szCs w:val="22"/>
        </w:rPr>
        <w:t xml:space="preserve">Given that clarifying the research problem also involves defining its scope, the present study focuses on UK-based wave energy start-ups rather than the wider marine energy sector. </w:t>
      </w:r>
    </w:p>
    <w:p w14:paraId="3F2C7128" w14:textId="498C8E27" w:rsidR="0055606D" w:rsidRPr="00FB3CCF" w:rsidRDefault="00046A72" w:rsidP="0045121F">
      <w:pPr>
        <w:spacing w:after="0" w:line="360" w:lineRule="auto"/>
        <w:jc w:val="both"/>
        <w:rPr>
          <w:rFonts w:ascii="Arial" w:hAnsi="Arial" w:cs="Arial"/>
          <w:sz w:val="22"/>
          <w:szCs w:val="22"/>
        </w:rPr>
      </w:pPr>
      <w:r w:rsidRPr="00FB3CCF">
        <w:rPr>
          <w:rFonts w:ascii="Arial" w:hAnsi="Arial" w:cs="Arial"/>
          <w:sz w:val="22"/>
          <w:szCs w:val="22"/>
        </w:rPr>
        <w:t>For the</w:t>
      </w:r>
      <w:r w:rsidR="00521D4D" w:rsidRPr="00FB3CCF">
        <w:rPr>
          <w:rFonts w:ascii="Arial" w:hAnsi="Arial" w:cs="Arial"/>
          <w:sz w:val="22"/>
          <w:szCs w:val="22"/>
        </w:rPr>
        <w:t xml:space="preserve"> present study</w:t>
      </w:r>
      <w:r w:rsidRPr="00FB3CCF">
        <w:rPr>
          <w:rFonts w:ascii="Arial" w:hAnsi="Arial" w:cs="Arial"/>
          <w:sz w:val="22"/>
          <w:szCs w:val="22"/>
        </w:rPr>
        <w:t xml:space="preserve">, which is titled </w:t>
      </w:r>
      <w:r w:rsidRPr="00FB3CCF">
        <w:rPr>
          <w:rFonts w:ascii="Arial" w:hAnsi="Arial" w:cs="Arial"/>
          <w:b/>
          <w:bCs/>
          <w:sz w:val="22"/>
          <w:szCs w:val="22"/>
        </w:rPr>
        <w:t>“</w:t>
      </w:r>
      <w:r w:rsidR="00521D4D" w:rsidRPr="00FB3CCF">
        <w:rPr>
          <w:rFonts w:ascii="Arial" w:hAnsi="Arial" w:cs="Arial"/>
          <w:b/>
          <w:bCs/>
          <w:sz w:val="22"/>
          <w:szCs w:val="22"/>
        </w:rPr>
        <w:t>Comprehending the Bankability Nuances of Start-Up Businesses: The Case of UK Wave Energy</w:t>
      </w:r>
      <w:r w:rsidRPr="00FB3CCF">
        <w:rPr>
          <w:rFonts w:ascii="Arial" w:hAnsi="Arial" w:cs="Arial"/>
          <w:b/>
          <w:bCs/>
          <w:sz w:val="22"/>
          <w:szCs w:val="22"/>
        </w:rPr>
        <w:t>”</w:t>
      </w:r>
      <w:r w:rsidRPr="00FB3CCF">
        <w:rPr>
          <w:rFonts w:ascii="Arial" w:hAnsi="Arial" w:cs="Arial"/>
          <w:sz w:val="22"/>
          <w:szCs w:val="22"/>
        </w:rPr>
        <w:t xml:space="preserve">, </w:t>
      </w:r>
      <w:r w:rsidR="00521D4D" w:rsidRPr="00FB3CCF">
        <w:rPr>
          <w:rFonts w:ascii="Arial" w:hAnsi="Arial" w:cs="Arial"/>
          <w:sz w:val="22"/>
          <w:szCs w:val="22"/>
        </w:rPr>
        <w:t>th</w:t>
      </w:r>
      <w:r w:rsidRPr="00FB3CCF">
        <w:rPr>
          <w:rFonts w:ascii="Arial" w:hAnsi="Arial" w:cs="Arial"/>
          <w:sz w:val="22"/>
          <w:szCs w:val="22"/>
        </w:rPr>
        <w:t>e</w:t>
      </w:r>
      <w:r w:rsidR="00521D4D" w:rsidRPr="00FB3CCF">
        <w:rPr>
          <w:rFonts w:ascii="Arial" w:hAnsi="Arial" w:cs="Arial"/>
          <w:sz w:val="22"/>
          <w:szCs w:val="22"/>
        </w:rPr>
        <w:t xml:space="preserve"> critical function</w:t>
      </w:r>
      <w:r w:rsidRPr="00FB3CCF">
        <w:rPr>
          <w:rFonts w:ascii="Arial" w:hAnsi="Arial" w:cs="Arial"/>
          <w:sz w:val="22"/>
          <w:szCs w:val="22"/>
        </w:rPr>
        <w:t xml:space="preserve"> of the literature review</w:t>
      </w:r>
      <w:r w:rsidR="00521D4D" w:rsidRPr="00FB3CCF">
        <w:rPr>
          <w:rFonts w:ascii="Arial" w:hAnsi="Arial" w:cs="Arial"/>
          <w:sz w:val="22"/>
          <w:szCs w:val="22"/>
        </w:rPr>
        <w:t xml:space="preserve"> is especially important</w:t>
      </w:r>
      <w:r w:rsidRPr="00FB3CCF">
        <w:rPr>
          <w:rFonts w:ascii="Arial" w:hAnsi="Arial" w:cs="Arial"/>
          <w:sz w:val="22"/>
          <w:szCs w:val="22"/>
        </w:rPr>
        <w:t xml:space="preserve"> because t</w:t>
      </w:r>
      <w:r w:rsidR="00521D4D" w:rsidRPr="00FB3CCF">
        <w:rPr>
          <w:rFonts w:ascii="Arial" w:hAnsi="Arial" w:cs="Arial"/>
          <w:sz w:val="22"/>
          <w:szCs w:val="22"/>
        </w:rPr>
        <w:t xml:space="preserve">he </w:t>
      </w:r>
      <w:r w:rsidRPr="00FB3CCF">
        <w:rPr>
          <w:rFonts w:ascii="Arial" w:hAnsi="Arial" w:cs="Arial"/>
          <w:sz w:val="22"/>
          <w:szCs w:val="22"/>
        </w:rPr>
        <w:t xml:space="preserve">research area of this study </w:t>
      </w:r>
      <w:r w:rsidR="00521D4D" w:rsidRPr="00FB3CCF">
        <w:rPr>
          <w:rFonts w:ascii="Arial" w:hAnsi="Arial" w:cs="Arial"/>
          <w:sz w:val="22"/>
          <w:szCs w:val="22"/>
        </w:rPr>
        <w:t xml:space="preserve">is </w:t>
      </w:r>
      <w:r w:rsidRPr="00FB3CCF">
        <w:rPr>
          <w:rFonts w:ascii="Arial" w:hAnsi="Arial" w:cs="Arial"/>
          <w:sz w:val="22"/>
          <w:szCs w:val="22"/>
        </w:rPr>
        <w:t xml:space="preserve">fragmented across related literature rather than </w:t>
      </w:r>
      <w:r w:rsidR="0085402D" w:rsidRPr="00FB3CCF">
        <w:rPr>
          <w:rFonts w:ascii="Arial" w:hAnsi="Arial" w:cs="Arial"/>
          <w:sz w:val="22"/>
          <w:szCs w:val="22"/>
        </w:rPr>
        <w:t xml:space="preserve">being </w:t>
      </w:r>
      <w:r w:rsidRPr="00FB3CCF">
        <w:rPr>
          <w:rFonts w:ascii="Arial" w:hAnsi="Arial" w:cs="Arial"/>
          <w:sz w:val="22"/>
          <w:szCs w:val="22"/>
        </w:rPr>
        <w:t>consolidated and unified as a part of a single literature</w:t>
      </w:r>
      <w:r w:rsidR="003B1F6B" w:rsidRPr="00FB3CCF">
        <w:rPr>
          <w:rFonts w:ascii="Arial" w:hAnsi="Arial" w:cs="Arial"/>
          <w:sz w:val="22"/>
          <w:szCs w:val="22"/>
        </w:rPr>
        <w:t>:</w:t>
      </w:r>
      <w:r w:rsidR="000B39C2" w:rsidRPr="00FB3CCF">
        <w:rPr>
          <w:rFonts w:ascii="Arial" w:hAnsi="Arial" w:cs="Arial"/>
          <w:sz w:val="22"/>
          <w:szCs w:val="22"/>
        </w:rPr>
        <w:t xml:space="preserve"> </w:t>
      </w:r>
      <w:r w:rsidR="003B1F6B" w:rsidRPr="00FB3CCF">
        <w:rPr>
          <w:rFonts w:ascii="Arial" w:hAnsi="Arial" w:cs="Arial"/>
          <w:sz w:val="22"/>
          <w:szCs w:val="22"/>
        </w:rPr>
        <w:t xml:space="preserve">The existing literature on marine renewable investment examines investor priorities, motivations, and decision criteria </w:t>
      </w:r>
      <w:r w:rsidR="002B7A66" w:rsidRPr="00FB3CCF">
        <w:rPr>
          <w:rFonts w:ascii="Arial" w:hAnsi="Arial" w:cs="Arial"/>
          <w:sz w:val="22"/>
          <w:szCs w:val="22"/>
        </w:rPr>
        <w:t xml:space="preserve">that determine whether investors view marine renewable ventures as credible and investable </w:t>
      </w:r>
      <w:r w:rsidR="003B1F6B" w:rsidRPr="00FB3CCF">
        <w:rPr>
          <w:rFonts w:ascii="Arial" w:hAnsi="Arial" w:cs="Arial"/>
          <w:sz w:val="22"/>
          <w:szCs w:val="22"/>
        </w:rPr>
        <w:t>(Leete, Xu and Wheeler, 2013; Polzin et al., 2019).</w:t>
      </w:r>
      <w:r w:rsidR="000B39C2" w:rsidRPr="00FB3CCF">
        <w:rPr>
          <w:rFonts w:ascii="Arial" w:hAnsi="Arial" w:cs="Arial"/>
          <w:sz w:val="22"/>
          <w:szCs w:val="22"/>
        </w:rPr>
        <w:t xml:space="preserve"> </w:t>
      </w:r>
      <w:r w:rsidR="002B7A66" w:rsidRPr="00FB3CCF">
        <w:rPr>
          <w:rFonts w:ascii="Arial" w:hAnsi="Arial" w:cs="Arial"/>
          <w:sz w:val="22"/>
          <w:szCs w:val="22"/>
        </w:rPr>
        <w:t xml:space="preserve">Innovation systems research identifies policy, institutional, and capability-related deficiencies that limit investment mobilisation, innovation and commercialisation. </w:t>
      </w:r>
      <w:r w:rsidR="003B1F6B" w:rsidRPr="00FB3CCF">
        <w:rPr>
          <w:rFonts w:ascii="Arial" w:hAnsi="Arial" w:cs="Arial"/>
          <w:sz w:val="22"/>
          <w:szCs w:val="22"/>
        </w:rPr>
        <w:t>(</w:t>
      </w:r>
      <w:proofErr w:type="spellStart"/>
      <w:r w:rsidR="003B1F6B" w:rsidRPr="00FB3CCF">
        <w:rPr>
          <w:rFonts w:ascii="Arial" w:hAnsi="Arial" w:cs="Arial"/>
          <w:sz w:val="22"/>
          <w:szCs w:val="22"/>
        </w:rPr>
        <w:t>Winskel</w:t>
      </w:r>
      <w:proofErr w:type="spellEnd"/>
      <w:r w:rsidR="003B1F6B" w:rsidRPr="00FB3CCF">
        <w:rPr>
          <w:rFonts w:ascii="Arial" w:hAnsi="Arial" w:cs="Arial"/>
          <w:sz w:val="22"/>
          <w:szCs w:val="22"/>
        </w:rPr>
        <w:t xml:space="preserve"> et al., 2006; Hannon, Diemen and Skea, 2017; </w:t>
      </w:r>
      <w:proofErr w:type="spellStart"/>
      <w:r w:rsidR="003B1F6B" w:rsidRPr="00FB3CCF">
        <w:rPr>
          <w:rFonts w:ascii="Arial" w:hAnsi="Arial" w:cs="Arial"/>
          <w:sz w:val="22"/>
          <w:szCs w:val="22"/>
        </w:rPr>
        <w:t>Corsatea</w:t>
      </w:r>
      <w:proofErr w:type="spellEnd"/>
      <w:r w:rsidR="003B1F6B" w:rsidRPr="00FB3CCF">
        <w:rPr>
          <w:rFonts w:ascii="Arial" w:hAnsi="Arial" w:cs="Arial"/>
          <w:sz w:val="22"/>
          <w:szCs w:val="22"/>
        </w:rPr>
        <w:t>, 2014).</w:t>
      </w:r>
      <w:r w:rsidR="000B39C2" w:rsidRPr="00FB3CCF">
        <w:rPr>
          <w:rFonts w:ascii="Arial" w:hAnsi="Arial" w:cs="Arial"/>
          <w:sz w:val="22"/>
          <w:szCs w:val="22"/>
        </w:rPr>
        <w:t xml:space="preserve"> </w:t>
      </w:r>
      <w:r w:rsidR="00FE1309" w:rsidRPr="00FB3CCF">
        <w:rPr>
          <w:rFonts w:ascii="Arial" w:hAnsi="Arial" w:cs="Arial"/>
          <w:sz w:val="22"/>
          <w:szCs w:val="22"/>
        </w:rPr>
        <w:t>Techno-economic studies investigate cost parameters, technological reliability, and market readiness thresholds</w:t>
      </w:r>
      <w:r w:rsidR="000B39C2" w:rsidRPr="00FB3CCF">
        <w:rPr>
          <w:rFonts w:ascii="Arial" w:hAnsi="Arial" w:cs="Arial"/>
          <w:sz w:val="22"/>
          <w:szCs w:val="22"/>
        </w:rPr>
        <w:t xml:space="preserve"> for marine energy technologies that are cost-effective, reliable, and mature enough for commercial deployment </w:t>
      </w:r>
      <w:r w:rsidR="003B1F6B" w:rsidRPr="00FB3CCF">
        <w:rPr>
          <w:rFonts w:ascii="Arial" w:hAnsi="Arial" w:cs="Arial"/>
          <w:sz w:val="22"/>
          <w:szCs w:val="22"/>
        </w:rPr>
        <w:t>(Allan et al., 2011; Gray et al., 2017; Stegman et al., 2017).</w:t>
      </w:r>
      <w:r w:rsidR="000B39C2" w:rsidRPr="00FB3CCF">
        <w:rPr>
          <w:rFonts w:ascii="Arial" w:hAnsi="Arial" w:cs="Arial"/>
          <w:sz w:val="22"/>
          <w:szCs w:val="22"/>
        </w:rPr>
        <w:t xml:space="preserve"> </w:t>
      </w:r>
      <w:r w:rsidR="00FE1309" w:rsidRPr="00FB3CCF">
        <w:rPr>
          <w:rFonts w:ascii="Arial" w:hAnsi="Arial" w:cs="Arial"/>
          <w:sz w:val="22"/>
          <w:szCs w:val="22"/>
        </w:rPr>
        <w:t>The g</w:t>
      </w:r>
      <w:r w:rsidR="003B1F6B" w:rsidRPr="00FB3CCF">
        <w:rPr>
          <w:rFonts w:ascii="Arial" w:hAnsi="Arial" w:cs="Arial"/>
          <w:sz w:val="22"/>
          <w:szCs w:val="22"/>
        </w:rPr>
        <w:t xml:space="preserve">overnance </w:t>
      </w:r>
      <w:r w:rsidR="00FE1309" w:rsidRPr="00FB3CCF">
        <w:rPr>
          <w:rFonts w:ascii="Arial" w:hAnsi="Arial" w:cs="Arial"/>
          <w:sz w:val="22"/>
          <w:szCs w:val="22"/>
        </w:rPr>
        <w:t>literature</w:t>
      </w:r>
      <w:r w:rsidR="003B1F6B" w:rsidRPr="00FB3CCF">
        <w:rPr>
          <w:rFonts w:ascii="Arial" w:hAnsi="Arial" w:cs="Arial"/>
          <w:sz w:val="22"/>
          <w:szCs w:val="22"/>
        </w:rPr>
        <w:t xml:space="preserve"> </w:t>
      </w:r>
      <w:r w:rsidR="00FE1309" w:rsidRPr="00FB3CCF">
        <w:rPr>
          <w:rFonts w:ascii="Arial" w:hAnsi="Arial" w:cs="Arial"/>
          <w:sz w:val="22"/>
          <w:szCs w:val="22"/>
        </w:rPr>
        <w:t>analyses</w:t>
      </w:r>
      <w:r w:rsidR="003B1F6B" w:rsidRPr="00FB3CCF">
        <w:rPr>
          <w:rFonts w:ascii="Arial" w:hAnsi="Arial" w:cs="Arial"/>
          <w:sz w:val="22"/>
          <w:szCs w:val="22"/>
        </w:rPr>
        <w:t xml:space="preserve"> regulat</w:t>
      </w:r>
      <w:r w:rsidR="00FE1309" w:rsidRPr="00FB3CCF">
        <w:rPr>
          <w:rFonts w:ascii="Arial" w:hAnsi="Arial" w:cs="Arial"/>
          <w:sz w:val="22"/>
          <w:szCs w:val="22"/>
        </w:rPr>
        <w:t>ory frameworks</w:t>
      </w:r>
      <w:r w:rsidR="003B1F6B" w:rsidRPr="00FB3CCF">
        <w:rPr>
          <w:rFonts w:ascii="Arial" w:hAnsi="Arial" w:cs="Arial"/>
          <w:sz w:val="22"/>
          <w:szCs w:val="22"/>
        </w:rPr>
        <w:t xml:space="preserve">, </w:t>
      </w:r>
      <w:r w:rsidR="00FE1309" w:rsidRPr="00FB3CCF">
        <w:rPr>
          <w:rFonts w:ascii="Arial" w:hAnsi="Arial" w:cs="Arial"/>
          <w:sz w:val="22"/>
          <w:szCs w:val="22"/>
        </w:rPr>
        <w:t>approval processes and regulatory obligations</w:t>
      </w:r>
      <w:r w:rsidR="003B1F6B" w:rsidRPr="00FB3CCF">
        <w:rPr>
          <w:rFonts w:ascii="Arial" w:hAnsi="Arial" w:cs="Arial"/>
          <w:sz w:val="22"/>
          <w:szCs w:val="22"/>
        </w:rPr>
        <w:t xml:space="preserve"> </w:t>
      </w:r>
      <w:r w:rsidR="000B39C2" w:rsidRPr="00FB3CCF">
        <w:rPr>
          <w:rFonts w:ascii="Arial" w:hAnsi="Arial" w:cs="Arial"/>
          <w:sz w:val="22"/>
          <w:szCs w:val="22"/>
        </w:rPr>
        <w:t xml:space="preserve">that shape the conditions for project development </w:t>
      </w:r>
      <w:r w:rsidR="003B1F6B" w:rsidRPr="00FB3CCF">
        <w:rPr>
          <w:rFonts w:ascii="Arial" w:hAnsi="Arial" w:cs="Arial"/>
          <w:sz w:val="22"/>
          <w:szCs w:val="22"/>
        </w:rPr>
        <w:t xml:space="preserve">(Wright, 2016; Greaves et al., 2016; Mackie and </w:t>
      </w:r>
      <w:proofErr w:type="spellStart"/>
      <w:r w:rsidR="003B1F6B" w:rsidRPr="00FB3CCF">
        <w:rPr>
          <w:rFonts w:ascii="Arial" w:hAnsi="Arial" w:cs="Arial"/>
          <w:sz w:val="22"/>
          <w:szCs w:val="22"/>
        </w:rPr>
        <w:t>Velenturf</w:t>
      </w:r>
      <w:proofErr w:type="spellEnd"/>
      <w:r w:rsidR="003B1F6B" w:rsidRPr="00FB3CCF">
        <w:rPr>
          <w:rFonts w:ascii="Arial" w:hAnsi="Arial" w:cs="Arial"/>
          <w:sz w:val="22"/>
          <w:szCs w:val="22"/>
        </w:rPr>
        <w:t>, 2021).</w:t>
      </w:r>
      <w:r w:rsidR="008A6041" w:rsidRPr="00FB3CCF">
        <w:rPr>
          <w:rFonts w:ascii="Arial" w:hAnsi="Arial" w:cs="Arial"/>
          <w:sz w:val="22"/>
          <w:szCs w:val="22"/>
        </w:rPr>
        <w:t xml:space="preserve"> </w:t>
      </w:r>
      <w:r w:rsidR="00521D4D" w:rsidRPr="00FB3CCF">
        <w:rPr>
          <w:rFonts w:ascii="Arial" w:hAnsi="Arial" w:cs="Arial"/>
          <w:sz w:val="22"/>
          <w:szCs w:val="22"/>
        </w:rPr>
        <w:t xml:space="preserve">Yet these </w:t>
      </w:r>
      <w:r w:rsidR="000B39C2" w:rsidRPr="00FB3CCF">
        <w:rPr>
          <w:rFonts w:ascii="Arial" w:hAnsi="Arial" w:cs="Arial"/>
          <w:sz w:val="22"/>
          <w:szCs w:val="22"/>
        </w:rPr>
        <w:t>different lines of research</w:t>
      </w:r>
      <w:r w:rsidR="00521D4D" w:rsidRPr="00FB3CCF">
        <w:rPr>
          <w:rFonts w:ascii="Arial" w:hAnsi="Arial" w:cs="Arial"/>
          <w:sz w:val="22"/>
          <w:szCs w:val="22"/>
        </w:rPr>
        <w:t xml:space="preserve"> </w:t>
      </w:r>
      <w:r w:rsidR="000B39C2" w:rsidRPr="00FB3CCF">
        <w:rPr>
          <w:rFonts w:ascii="Arial" w:hAnsi="Arial" w:cs="Arial"/>
          <w:sz w:val="22"/>
          <w:szCs w:val="22"/>
        </w:rPr>
        <w:t>do not automatically form a unified framework</w:t>
      </w:r>
      <w:r w:rsidR="00D5701E" w:rsidRPr="00FB3CCF">
        <w:rPr>
          <w:rFonts w:ascii="Arial" w:hAnsi="Arial" w:cs="Arial"/>
          <w:sz w:val="22"/>
          <w:szCs w:val="22"/>
        </w:rPr>
        <w:t xml:space="preserve"> for</w:t>
      </w:r>
      <w:r w:rsidR="00521D4D" w:rsidRPr="00FB3CCF">
        <w:rPr>
          <w:rFonts w:ascii="Arial" w:hAnsi="Arial" w:cs="Arial"/>
          <w:sz w:val="22"/>
          <w:szCs w:val="22"/>
        </w:rPr>
        <w:t xml:space="preserve"> a coherent understanding of bankability </w:t>
      </w:r>
      <w:r w:rsidR="00D5701E" w:rsidRPr="00FB3CCF">
        <w:rPr>
          <w:rFonts w:ascii="Arial" w:hAnsi="Arial" w:cs="Arial"/>
          <w:sz w:val="22"/>
          <w:szCs w:val="22"/>
        </w:rPr>
        <w:t xml:space="preserve">at the start-up business level. </w:t>
      </w:r>
      <w:r w:rsidR="00521D4D" w:rsidRPr="00FB3CCF">
        <w:rPr>
          <w:rFonts w:ascii="Arial" w:hAnsi="Arial" w:cs="Arial"/>
          <w:sz w:val="22"/>
          <w:szCs w:val="22"/>
        </w:rPr>
        <w:t xml:space="preserve">A DBA-level critical </w:t>
      </w:r>
      <w:r w:rsidR="00D5701E" w:rsidRPr="00FB3CCF">
        <w:rPr>
          <w:rFonts w:ascii="Arial" w:hAnsi="Arial" w:cs="Arial"/>
          <w:sz w:val="22"/>
          <w:szCs w:val="22"/>
        </w:rPr>
        <w:t xml:space="preserve">literature </w:t>
      </w:r>
      <w:r w:rsidR="00521D4D" w:rsidRPr="00FB3CCF">
        <w:rPr>
          <w:rFonts w:ascii="Arial" w:hAnsi="Arial" w:cs="Arial"/>
          <w:sz w:val="22"/>
          <w:szCs w:val="22"/>
        </w:rPr>
        <w:t>review must therefore do two things at once</w:t>
      </w:r>
      <w:r w:rsidR="00D5701E" w:rsidRPr="00FB3CCF">
        <w:rPr>
          <w:rFonts w:ascii="Arial" w:hAnsi="Arial" w:cs="Arial"/>
          <w:sz w:val="22"/>
          <w:szCs w:val="22"/>
        </w:rPr>
        <w:t>: at first, i</w:t>
      </w:r>
      <w:r w:rsidR="00521D4D" w:rsidRPr="00FB3CCF">
        <w:rPr>
          <w:rFonts w:ascii="Arial" w:hAnsi="Arial" w:cs="Arial"/>
          <w:sz w:val="22"/>
          <w:szCs w:val="22"/>
        </w:rPr>
        <w:t xml:space="preserve">t must </w:t>
      </w:r>
      <w:r w:rsidR="00D5701E" w:rsidRPr="00FB3CCF">
        <w:rPr>
          <w:rFonts w:ascii="Arial" w:hAnsi="Arial" w:cs="Arial"/>
          <w:kern w:val="0"/>
          <w:sz w:val="22"/>
          <w:szCs w:val="22"/>
          <w14:ligatures w14:val="none"/>
        </w:rPr>
        <w:t xml:space="preserve">show a comprehensive understanding of </w:t>
      </w:r>
      <w:r w:rsidR="00521D4D" w:rsidRPr="00FB3CCF">
        <w:rPr>
          <w:rFonts w:ascii="Arial" w:hAnsi="Arial" w:cs="Arial"/>
          <w:kern w:val="0"/>
          <w:sz w:val="22"/>
          <w:szCs w:val="22"/>
          <w14:ligatures w14:val="none"/>
        </w:rPr>
        <w:t xml:space="preserve">the wider </w:t>
      </w:r>
      <w:r w:rsidR="00D5701E" w:rsidRPr="00FB3CCF">
        <w:rPr>
          <w:rFonts w:ascii="Arial" w:hAnsi="Arial" w:cs="Arial"/>
          <w:kern w:val="0"/>
          <w:sz w:val="22"/>
          <w:szCs w:val="22"/>
          <w14:ligatures w14:val="none"/>
        </w:rPr>
        <w:t>research area</w:t>
      </w:r>
      <w:r w:rsidR="00521D4D" w:rsidRPr="00FB3CCF">
        <w:rPr>
          <w:rFonts w:ascii="Arial" w:hAnsi="Arial" w:cs="Arial"/>
          <w:kern w:val="0"/>
          <w:sz w:val="22"/>
          <w:szCs w:val="22"/>
          <w14:ligatures w14:val="none"/>
        </w:rPr>
        <w:t xml:space="preserve"> and</w:t>
      </w:r>
      <w:r w:rsidR="00D5701E" w:rsidRPr="00FB3CCF">
        <w:rPr>
          <w:rFonts w:ascii="Arial" w:hAnsi="Arial" w:cs="Arial"/>
          <w:kern w:val="0"/>
          <w:sz w:val="22"/>
          <w:szCs w:val="22"/>
          <w14:ligatures w14:val="none"/>
        </w:rPr>
        <w:t xml:space="preserve"> then</w:t>
      </w:r>
      <w:r w:rsidR="00521D4D" w:rsidRPr="00FB3CCF">
        <w:rPr>
          <w:rFonts w:ascii="Arial" w:hAnsi="Arial" w:cs="Arial"/>
          <w:kern w:val="0"/>
          <w:sz w:val="22"/>
          <w:szCs w:val="22"/>
          <w14:ligatures w14:val="none"/>
        </w:rPr>
        <w:t xml:space="preserve"> narrow it</w:t>
      </w:r>
      <w:r w:rsidR="00521D4D" w:rsidRPr="00FB3CCF">
        <w:rPr>
          <w:rFonts w:ascii="Arial" w:hAnsi="Arial" w:cs="Arial"/>
          <w:sz w:val="22"/>
          <w:szCs w:val="22"/>
        </w:rPr>
        <w:t xml:space="preserve"> into a defensible research problem centred on bankability in UK wave energy startups.</w:t>
      </w:r>
    </w:p>
    <w:p w14:paraId="73AF9C04" w14:textId="77777777" w:rsidR="00F528FB" w:rsidRPr="00FB3CCF" w:rsidRDefault="00F528FB" w:rsidP="0045121F">
      <w:pPr>
        <w:spacing w:after="0" w:line="360" w:lineRule="auto"/>
        <w:jc w:val="both"/>
        <w:rPr>
          <w:rFonts w:ascii="Arial" w:hAnsi="Arial" w:cs="Arial"/>
          <w:sz w:val="22"/>
          <w:szCs w:val="22"/>
        </w:rPr>
      </w:pPr>
    </w:p>
    <w:p w14:paraId="5F476F83" w14:textId="332124D1" w:rsidR="008A6041" w:rsidRPr="00FB3CCF" w:rsidRDefault="008A6041" w:rsidP="0045121F">
      <w:pPr>
        <w:spacing w:after="0" w:line="360" w:lineRule="auto"/>
        <w:jc w:val="both"/>
        <w:rPr>
          <w:rFonts w:ascii="Arial" w:hAnsi="Arial" w:cs="Arial"/>
          <w:b/>
          <w:bCs/>
          <w:sz w:val="22"/>
          <w:szCs w:val="22"/>
        </w:rPr>
      </w:pPr>
      <w:r w:rsidRPr="00FB3CCF">
        <w:rPr>
          <w:rFonts w:ascii="Arial" w:hAnsi="Arial" w:cs="Arial"/>
          <w:b/>
          <w:bCs/>
          <w:sz w:val="22"/>
          <w:szCs w:val="22"/>
        </w:rPr>
        <w:t xml:space="preserve">Understanding the </w:t>
      </w:r>
      <w:r w:rsidR="007B77A2" w:rsidRPr="00FB3CCF">
        <w:rPr>
          <w:rFonts w:ascii="Arial" w:hAnsi="Arial" w:cs="Arial"/>
          <w:b/>
          <w:bCs/>
          <w:sz w:val="22"/>
          <w:szCs w:val="22"/>
        </w:rPr>
        <w:t>C</w:t>
      </w:r>
      <w:r w:rsidRPr="00FB3CCF">
        <w:rPr>
          <w:rFonts w:ascii="Arial" w:hAnsi="Arial" w:cs="Arial"/>
          <w:b/>
          <w:bCs/>
          <w:sz w:val="22"/>
          <w:szCs w:val="22"/>
        </w:rPr>
        <w:t xml:space="preserve">ritical </w:t>
      </w:r>
      <w:r w:rsidR="007B77A2" w:rsidRPr="00FB3CCF">
        <w:rPr>
          <w:rFonts w:ascii="Arial" w:hAnsi="Arial" w:cs="Arial"/>
          <w:b/>
          <w:bCs/>
          <w:sz w:val="22"/>
          <w:szCs w:val="22"/>
        </w:rPr>
        <w:t>L</w:t>
      </w:r>
      <w:r w:rsidRPr="00FB3CCF">
        <w:rPr>
          <w:rFonts w:ascii="Arial" w:hAnsi="Arial" w:cs="Arial"/>
          <w:b/>
          <w:bCs/>
          <w:sz w:val="22"/>
          <w:szCs w:val="22"/>
        </w:rPr>
        <w:t xml:space="preserve">iterature </w:t>
      </w:r>
      <w:r w:rsidR="007B77A2" w:rsidRPr="00FB3CCF">
        <w:rPr>
          <w:rFonts w:ascii="Arial" w:hAnsi="Arial" w:cs="Arial"/>
          <w:b/>
          <w:bCs/>
          <w:sz w:val="22"/>
          <w:szCs w:val="22"/>
        </w:rPr>
        <w:t>R</w:t>
      </w:r>
      <w:r w:rsidRPr="00FB3CCF">
        <w:rPr>
          <w:rFonts w:ascii="Arial" w:hAnsi="Arial" w:cs="Arial"/>
          <w:b/>
          <w:bCs/>
          <w:sz w:val="22"/>
          <w:szCs w:val="22"/>
        </w:rPr>
        <w:t>eview</w:t>
      </w:r>
    </w:p>
    <w:p w14:paraId="72306364" w14:textId="30364A1B" w:rsidR="0055606D" w:rsidRPr="00FB3CCF" w:rsidRDefault="00B80F67" w:rsidP="0045121F">
      <w:pPr>
        <w:spacing w:after="0" w:line="360" w:lineRule="auto"/>
        <w:jc w:val="both"/>
        <w:rPr>
          <w:rFonts w:ascii="Arial" w:hAnsi="Arial" w:cs="Arial"/>
          <w:sz w:val="22"/>
          <w:szCs w:val="22"/>
        </w:rPr>
      </w:pPr>
      <w:r w:rsidRPr="00FB3CCF">
        <w:rPr>
          <w:rFonts w:ascii="Arial" w:hAnsi="Arial" w:cs="Arial"/>
          <w:sz w:val="22"/>
          <w:szCs w:val="22"/>
        </w:rPr>
        <w:t xml:space="preserve">Evaluation and theory-informed analysis are prioritised in a critical literature review over mere reporting. </w:t>
      </w:r>
      <w:r w:rsidR="00D0134D" w:rsidRPr="00FB3CCF">
        <w:rPr>
          <w:rFonts w:ascii="Arial" w:hAnsi="Arial" w:cs="Arial"/>
          <w:sz w:val="22"/>
          <w:szCs w:val="22"/>
        </w:rPr>
        <w:t xml:space="preserve">Contrary to merely listing research sources, a doctoral literature review should critically integrate existing findings in order to clarify the research problem (Randolph, 2009). </w:t>
      </w:r>
      <w:r w:rsidRPr="00FB3CCF">
        <w:rPr>
          <w:rFonts w:ascii="Arial" w:hAnsi="Arial" w:cs="Arial"/>
          <w:sz w:val="22"/>
          <w:szCs w:val="22"/>
        </w:rPr>
        <w:t xml:space="preserve">This is especially crucial in DBA research, where originality may be based on critical analysis, </w:t>
      </w:r>
      <w:r w:rsidRPr="00FB3CCF">
        <w:rPr>
          <w:rFonts w:ascii="Arial" w:hAnsi="Arial" w:cs="Arial"/>
          <w:sz w:val="22"/>
          <w:szCs w:val="22"/>
        </w:rPr>
        <w:lastRenderedPageBreak/>
        <w:t>systematic synthesis, and practice-orient</w:t>
      </w:r>
      <w:r w:rsidR="00D0134D" w:rsidRPr="00FB3CCF">
        <w:rPr>
          <w:rFonts w:ascii="Arial" w:hAnsi="Arial" w:cs="Arial"/>
          <w:sz w:val="22"/>
          <w:szCs w:val="22"/>
        </w:rPr>
        <w:t>e</w:t>
      </w:r>
      <w:r w:rsidRPr="00FB3CCF">
        <w:rPr>
          <w:rFonts w:ascii="Arial" w:hAnsi="Arial" w:cs="Arial"/>
          <w:sz w:val="22"/>
          <w:szCs w:val="22"/>
        </w:rPr>
        <w:t>d problem identification, in addition to primary data collection.</w:t>
      </w:r>
    </w:p>
    <w:p w14:paraId="070DBEB2" w14:textId="77777777" w:rsidR="00B80F67" w:rsidRPr="00FB3CCF" w:rsidRDefault="00B80F67" w:rsidP="0045121F">
      <w:pPr>
        <w:spacing w:after="0" w:line="360" w:lineRule="auto"/>
        <w:jc w:val="both"/>
        <w:rPr>
          <w:rFonts w:ascii="Arial" w:hAnsi="Arial" w:cs="Arial"/>
          <w:sz w:val="22"/>
          <w:szCs w:val="22"/>
        </w:rPr>
      </w:pPr>
      <w:r w:rsidRPr="00FB3CCF">
        <w:rPr>
          <w:rFonts w:ascii="Arial" w:hAnsi="Arial" w:cs="Arial"/>
          <w:sz w:val="22"/>
          <w:szCs w:val="22"/>
        </w:rPr>
        <w:t>The doctoral critical literature review can be summarised in five interrelated objectives.</w:t>
      </w:r>
    </w:p>
    <w:p w14:paraId="713C3D65" w14:textId="2CF1F147" w:rsidR="00B80F67" w:rsidRPr="00FB3CCF" w:rsidRDefault="00B80F67" w:rsidP="0045121F">
      <w:pPr>
        <w:pStyle w:val="ListParagraph"/>
        <w:numPr>
          <w:ilvl w:val="0"/>
          <w:numId w:val="3"/>
        </w:numPr>
        <w:spacing w:after="0" w:line="360" w:lineRule="auto"/>
        <w:ind w:left="0"/>
        <w:jc w:val="both"/>
        <w:rPr>
          <w:rFonts w:ascii="Arial" w:hAnsi="Arial" w:cs="Arial"/>
          <w:sz w:val="22"/>
          <w:szCs w:val="22"/>
        </w:rPr>
      </w:pPr>
      <w:r w:rsidRPr="00FB3CCF">
        <w:rPr>
          <w:rFonts w:ascii="Arial" w:hAnsi="Arial" w:cs="Arial"/>
          <w:sz w:val="22"/>
          <w:szCs w:val="22"/>
        </w:rPr>
        <w:t>to define the research area and its parameters</w:t>
      </w:r>
    </w:p>
    <w:p w14:paraId="2F0C40A8" w14:textId="58C1F2F4" w:rsidR="00B80F67" w:rsidRPr="00FB3CCF" w:rsidRDefault="00B80F67" w:rsidP="0045121F">
      <w:pPr>
        <w:pStyle w:val="ListParagraph"/>
        <w:numPr>
          <w:ilvl w:val="0"/>
          <w:numId w:val="3"/>
        </w:numPr>
        <w:spacing w:after="0" w:line="360" w:lineRule="auto"/>
        <w:ind w:left="0"/>
        <w:jc w:val="both"/>
        <w:rPr>
          <w:rFonts w:ascii="Arial" w:hAnsi="Arial" w:cs="Arial"/>
          <w:sz w:val="22"/>
          <w:szCs w:val="22"/>
        </w:rPr>
      </w:pPr>
      <w:r w:rsidRPr="00FB3CCF">
        <w:rPr>
          <w:rFonts w:ascii="Arial" w:hAnsi="Arial" w:cs="Arial"/>
          <w:sz w:val="22"/>
          <w:szCs w:val="22"/>
        </w:rPr>
        <w:t>to critically evaluate and identify the primary concepts and theoretical perspectives</w:t>
      </w:r>
    </w:p>
    <w:p w14:paraId="48D60769" w14:textId="739900B0" w:rsidR="00B80F67" w:rsidRPr="00FB3CCF" w:rsidRDefault="00B80F67" w:rsidP="0045121F">
      <w:pPr>
        <w:pStyle w:val="ListParagraph"/>
        <w:numPr>
          <w:ilvl w:val="0"/>
          <w:numId w:val="3"/>
        </w:numPr>
        <w:spacing w:after="0" w:line="360" w:lineRule="auto"/>
        <w:ind w:left="0"/>
        <w:jc w:val="both"/>
        <w:rPr>
          <w:rFonts w:ascii="Arial" w:hAnsi="Arial" w:cs="Arial"/>
          <w:sz w:val="22"/>
          <w:szCs w:val="22"/>
        </w:rPr>
      </w:pPr>
      <w:r w:rsidRPr="00FB3CCF">
        <w:rPr>
          <w:rFonts w:ascii="Arial" w:hAnsi="Arial" w:cs="Arial"/>
          <w:sz w:val="22"/>
          <w:szCs w:val="22"/>
        </w:rPr>
        <w:t xml:space="preserve">to compare empirical findings and techniques across the literature </w:t>
      </w:r>
    </w:p>
    <w:p w14:paraId="60014CF3" w14:textId="06B02EA0" w:rsidR="00B80F67" w:rsidRPr="00FB3CCF" w:rsidRDefault="00B80F67" w:rsidP="0045121F">
      <w:pPr>
        <w:pStyle w:val="ListParagraph"/>
        <w:numPr>
          <w:ilvl w:val="0"/>
          <w:numId w:val="3"/>
        </w:numPr>
        <w:spacing w:after="0" w:line="360" w:lineRule="auto"/>
        <w:ind w:left="0"/>
        <w:jc w:val="both"/>
        <w:rPr>
          <w:rFonts w:ascii="Arial" w:hAnsi="Arial" w:cs="Arial"/>
          <w:sz w:val="22"/>
          <w:szCs w:val="22"/>
        </w:rPr>
      </w:pPr>
      <w:r w:rsidRPr="00FB3CCF">
        <w:rPr>
          <w:rFonts w:ascii="Arial" w:hAnsi="Arial" w:cs="Arial"/>
          <w:sz w:val="22"/>
          <w:szCs w:val="22"/>
        </w:rPr>
        <w:t>to identify the existing literature's ambiguity, blind spots, and unresolved gaps</w:t>
      </w:r>
    </w:p>
    <w:p w14:paraId="5A2A35C1" w14:textId="58BB22A0" w:rsidR="0055606D" w:rsidRPr="00FB3CCF" w:rsidRDefault="00B80F67" w:rsidP="0045121F">
      <w:pPr>
        <w:pStyle w:val="ListParagraph"/>
        <w:numPr>
          <w:ilvl w:val="0"/>
          <w:numId w:val="3"/>
        </w:numPr>
        <w:spacing w:after="0" w:line="360" w:lineRule="auto"/>
        <w:ind w:left="0"/>
        <w:jc w:val="both"/>
        <w:rPr>
          <w:rFonts w:ascii="Arial" w:hAnsi="Arial" w:cs="Arial"/>
          <w:sz w:val="22"/>
          <w:szCs w:val="22"/>
        </w:rPr>
      </w:pPr>
      <w:r w:rsidRPr="00FB3CCF">
        <w:rPr>
          <w:rFonts w:ascii="Arial" w:hAnsi="Arial" w:cs="Arial"/>
          <w:sz w:val="22"/>
          <w:szCs w:val="22"/>
        </w:rPr>
        <w:t>to establish the rationale for the study's problem statement, research questions, and contribution to knowledge (Boote and Beile, 2005; Randolph, 2009)</w:t>
      </w:r>
    </w:p>
    <w:p w14:paraId="6B518DCD" w14:textId="6E34503C" w:rsidR="0055606D" w:rsidRPr="00FB3CCF" w:rsidRDefault="00987C11" w:rsidP="0045121F">
      <w:pPr>
        <w:spacing w:after="0" w:line="360" w:lineRule="auto"/>
        <w:jc w:val="both"/>
        <w:rPr>
          <w:rFonts w:ascii="Arial" w:hAnsi="Arial" w:cs="Arial"/>
          <w:sz w:val="22"/>
          <w:szCs w:val="22"/>
        </w:rPr>
      </w:pPr>
      <w:r w:rsidRPr="00FB3CCF">
        <w:rPr>
          <w:rFonts w:ascii="Arial" w:hAnsi="Arial" w:cs="Arial"/>
          <w:sz w:val="22"/>
          <w:szCs w:val="22"/>
        </w:rPr>
        <w:t xml:space="preserve">For this study, the review must therefore do more than state that financing in wave energy is difficult. It must show why existing </w:t>
      </w:r>
      <w:r w:rsidR="00013A50" w:rsidRPr="00FB3CCF">
        <w:rPr>
          <w:rFonts w:ascii="Arial" w:hAnsi="Arial" w:cs="Arial"/>
          <w:sz w:val="22"/>
          <w:szCs w:val="22"/>
        </w:rPr>
        <w:t>literature</w:t>
      </w:r>
      <w:r w:rsidRPr="00FB3CCF">
        <w:rPr>
          <w:rFonts w:ascii="Arial" w:hAnsi="Arial" w:cs="Arial"/>
          <w:sz w:val="22"/>
          <w:szCs w:val="22"/>
        </w:rPr>
        <w:t xml:space="preserve"> does not yet adequately explain the nuances of bankability for start-up businesses in the UK wave energy sector. That requires engagement not only with </w:t>
      </w:r>
      <w:r w:rsidR="00013A50" w:rsidRPr="00FB3CCF">
        <w:rPr>
          <w:rFonts w:ascii="Arial" w:hAnsi="Arial" w:cs="Arial"/>
          <w:sz w:val="22"/>
          <w:szCs w:val="22"/>
        </w:rPr>
        <w:t xml:space="preserve">the </w:t>
      </w:r>
      <w:r w:rsidRPr="00FB3CCF">
        <w:rPr>
          <w:rFonts w:ascii="Arial" w:hAnsi="Arial" w:cs="Arial"/>
          <w:sz w:val="22"/>
          <w:szCs w:val="22"/>
        </w:rPr>
        <w:t>wave energy literature but also with work on renewable energy finance, investor behaviour, innovation systems, technology commercialisation</w:t>
      </w:r>
      <w:r w:rsidR="00013A50" w:rsidRPr="00FB3CCF">
        <w:rPr>
          <w:rFonts w:ascii="Arial" w:hAnsi="Arial" w:cs="Arial"/>
          <w:sz w:val="22"/>
          <w:szCs w:val="22"/>
        </w:rPr>
        <w:t>,</w:t>
      </w:r>
      <w:r w:rsidRPr="00FB3CCF">
        <w:rPr>
          <w:rFonts w:ascii="Arial" w:hAnsi="Arial" w:cs="Arial"/>
          <w:sz w:val="22"/>
          <w:szCs w:val="22"/>
        </w:rPr>
        <w:t xml:space="preserve"> and de-risking.</w:t>
      </w:r>
    </w:p>
    <w:p w14:paraId="4ED7DDDF" w14:textId="77777777" w:rsidR="00F528FB" w:rsidRPr="00FB3CCF" w:rsidRDefault="00F528FB" w:rsidP="0045121F">
      <w:pPr>
        <w:spacing w:after="0" w:line="360" w:lineRule="auto"/>
        <w:jc w:val="both"/>
        <w:rPr>
          <w:rFonts w:ascii="Arial" w:hAnsi="Arial" w:cs="Arial"/>
          <w:sz w:val="22"/>
          <w:szCs w:val="22"/>
        </w:rPr>
      </w:pPr>
    </w:p>
    <w:p w14:paraId="56D4B18B" w14:textId="67012999" w:rsidR="008C5D4A" w:rsidRPr="00FB3CCF" w:rsidRDefault="008C5D4A" w:rsidP="0045121F">
      <w:pPr>
        <w:spacing w:after="0" w:line="360" w:lineRule="auto"/>
        <w:jc w:val="both"/>
        <w:rPr>
          <w:rFonts w:ascii="Arial" w:hAnsi="Arial" w:cs="Arial"/>
          <w:b/>
          <w:bCs/>
          <w:sz w:val="22"/>
          <w:szCs w:val="22"/>
        </w:rPr>
      </w:pPr>
      <w:r w:rsidRPr="00FB3CCF">
        <w:rPr>
          <w:rFonts w:ascii="Arial" w:hAnsi="Arial" w:cs="Arial"/>
          <w:b/>
          <w:bCs/>
          <w:sz w:val="22"/>
          <w:szCs w:val="22"/>
        </w:rPr>
        <w:t xml:space="preserve">Critical versus </w:t>
      </w:r>
      <w:r w:rsidR="007B77A2" w:rsidRPr="00FB3CCF">
        <w:rPr>
          <w:rFonts w:ascii="Arial" w:hAnsi="Arial" w:cs="Arial"/>
          <w:b/>
          <w:bCs/>
          <w:sz w:val="22"/>
          <w:szCs w:val="22"/>
        </w:rPr>
        <w:t>D</w:t>
      </w:r>
      <w:r w:rsidRPr="00FB3CCF">
        <w:rPr>
          <w:rFonts w:ascii="Arial" w:hAnsi="Arial" w:cs="Arial"/>
          <w:b/>
          <w:bCs/>
          <w:sz w:val="22"/>
          <w:szCs w:val="22"/>
        </w:rPr>
        <w:t xml:space="preserve">escriptive </w:t>
      </w:r>
      <w:r w:rsidR="007B77A2" w:rsidRPr="00FB3CCF">
        <w:rPr>
          <w:rFonts w:ascii="Arial" w:hAnsi="Arial" w:cs="Arial"/>
          <w:b/>
          <w:bCs/>
          <w:sz w:val="22"/>
          <w:szCs w:val="22"/>
        </w:rPr>
        <w:t>R</w:t>
      </w:r>
      <w:r w:rsidRPr="00FB3CCF">
        <w:rPr>
          <w:rFonts w:ascii="Arial" w:hAnsi="Arial" w:cs="Arial"/>
          <w:b/>
          <w:bCs/>
          <w:sz w:val="22"/>
          <w:szCs w:val="22"/>
        </w:rPr>
        <w:t>eview</w:t>
      </w:r>
    </w:p>
    <w:p w14:paraId="03AAFF7F" w14:textId="52186E1F" w:rsidR="00F528FB" w:rsidRPr="00FB3CCF" w:rsidRDefault="00F328D3" w:rsidP="0045121F">
      <w:pPr>
        <w:spacing w:after="0" w:line="360" w:lineRule="auto"/>
        <w:jc w:val="both"/>
        <w:rPr>
          <w:rFonts w:ascii="Arial" w:hAnsi="Arial" w:cs="Arial"/>
          <w:sz w:val="22"/>
          <w:szCs w:val="22"/>
        </w:rPr>
      </w:pPr>
      <w:r w:rsidRPr="00FB3CCF">
        <w:rPr>
          <w:rFonts w:ascii="Arial" w:hAnsi="Arial" w:cs="Arial"/>
          <w:sz w:val="22"/>
          <w:szCs w:val="22"/>
        </w:rPr>
        <w:t xml:space="preserve">At the doctoral level, the difference between descriptive and critical review is more than a matter of style. </w:t>
      </w:r>
      <w:r w:rsidR="0018244F" w:rsidRPr="00FB3CCF">
        <w:rPr>
          <w:rFonts w:ascii="Arial" w:hAnsi="Arial" w:cs="Arial"/>
          <w:sz w:val="22"/>
          <w:szCs w:val="22"/>
        </w:rPr>
        <w:t xml:space="preserve">A descriptive review primarily </w:t>
      </w:r>
      <w:r w:rsidR="006671EE" w:rsidRPr="00FB3CCF">
        <w:rPr>
          <w:rFonts w:ascii="Arial" w:hAnsi="Arial" w:cs="Arial"/>
          <w:sz w:val="22"/>
          <w:szCs w:val="22"/>
        </w:rPr>
        <w:t>summarises the existing literature</w:t>
      </w:r>
      <w:r w:rsidR="0018244F" w:rsidRPr="00FB3CCF">
        <w:rPr>
          <w:rFonts w:ascii="Arial" w:hAnsi="Arial" w:cs="Arial"/>
          <w:sz w:val="22"/>
          <w:szCs w:val="22"/>
        </w:rPr>
        <w:t xml:space="preserve">, whereas a critical review evaluates </w:t>
      </w:r>
      <w:r w:rsidR="006671EE" w:rsidRPr="00FB3CCF">
        <w:rPr>
          <w:rFonts w:ascii="Arial" w:hAnsi="Arial" w:cs="Arial"/>
          <w:sz w:val="22"/>
          <w:szCs w:val="22"/>
        </w:rPr>
        <w:t>the published research by</w:t>
      </w:r>
      <w:r w:rsidR="0018244F" w:rsidRPr="00FB3CCF">
        <w:rPr>
          <w:rFonts w:ascii="Arial" w:hAnsi="Arial" w:cs="Arial"/>
          <w:sz w:val="22"/>
          <w:szCs w:val="22"/>
        </w:rPr>
        <w:t xml:space="preserve"> explain</w:t>
      </w:r>
      <w:r w:rsidR="006671EE" w:rsidRPr="00FB3CCF">
        <w:rPr>
          <w:rFonts w:ascii="Arial" w:hAnsi="Arial" w:cs="Arial"/>
          <w:sz w:val="22"/>
          <w:szCs w:val="22"/>
        </w:rPr>
        <w:t>ing</w:t>
      </w:r>
      <w:r w:rsidR="0018244F" w:rsidRPr="00FB3CCF">
        <w:rPr>
          <w:rFonts w:ascii="Arial" w:hAnsi="Arial" w:cs="Arial"/>
          <w:sz w:val="22"/>
          <w:szCs w:val="22"/>
        </w:rPr>
        <w:t xml:space="preserve"> where findings or </w:t>
      </w:r>
      <w:r w:rsidR="006671EE" w:rsidRPr="00FB3CCF">
        <w:rPr>
          <w:rFonts w:ascii="Arial" w:hAnsi="Arial" w:cs="Arial"/>
          <w:sz w:val="22"/>
          <w:szCs w:val="22"/>
        </w:rPr>
        <w:t xml:space="preserve">analyses </w:t>
      </w:r>
      <w:r w:rsidR="0018244F" w:rsidRPr="00FB3CCF">
        <w:rPr>
          <w:rFonts w:ascii="Arial" w:hAnsi="Arial" w:cs="Arial"/>
          <w:sz w:val="22"/>
          <w:szCs w:val="22"/>
        </w:rPr>
        <w:t>conflict, and what remains unresolved. This d</w:t>
      </w:r>
      <w:r w:rsidR="006671EE" w:rsidRPr="00FB3CCF">
        <w:rPr>
          <w:rFonts w:ascii="Arial" w:hAnsi="Arial" w:cs="Arial"/>
          <w:sz w:val="22"/>
          <w:szCs w:val="22"/>
        </w:rPr>
        <w:t>ifference between descriptive and critical review</w:t>
      </w:r>
      <w:r w:rsidR="0018244F" w:rsidRPr="00FB3CCF">
        <w:rPr>
          <w:rFonts w:ascii="Arial" w:hAnsi="Arial" w:cs="Arial"/>
          <w:sz w:val="22"/>
          <w:szCs w:val="22"/>
        </w:rPr>
        <w:t xml:space="preserve"> shapes the intellectual purpose</w:t>
      </w:r>
      <w:r w:rsidR="006671EE" w:rsidRPr="00FB3CCF">
        <w:rPr>
          <w:rFonts w:ascii="Arial" w:hAnsi="Arial" w:cs="Arial"/>
          <w:sz w:val="22"/>
          <w:szCs w:val="22"/>
        </w:rPr>
        <w:t xml:space="preserve"> of the literature review </w:t>
      </w:r>
      <w:r w:rsidR="0018244F" w:rsidRPr="00FB3CCF">
        <w:rPr>
          <w:rFonts w:ascii="Arial" w:hAnsi="Arial" w:cs="Arial"/>
          <w:sz w:val="22"/>
          <w:szCs w:val="22"/>
        </w:rPr>
        <w:t>and its capacity to support a clearly defined research problem.</w:t>
      </w:r>
      <w:r w:rsidR="006671EE" w:rsidRPr="00FB3CCF">
        <w:rPr>
          <w:rFonts w:ascii="Arial" w:hAnsi="Arial" w:cs="Arial"/>
          <w:sz w:val="22"/>
          <w:szCs w:val="22"/>
        </w:rPr>
        <w:t xml:space="preserve"> </w:t>
      </w:r>
      <w:r w:rsidRPr="00FB3CCF">
        <w:rPr>
          <w:rFonts w:ascii="Arial" w:hAnsi="Arial" w:cs="Arial"/>
          <w:sz w:val="22"/>
          <w:szCs w:val="22"/>
        </w:rPr>
        <w:t>Table 1 summarises the main review types and their relevance to the present study.</w:t>
      </w:r>
    </w:p>
    <w:p w14:paraId="0E5A2B59" w14:textId="2CB4BD4C" w:rsidR="008C5D4A" w:rsidRPr="00FB3CCF" w:rsidRDefault="00CE3236" w:rsidP="0045121F">
      <w:pPr>
        <w:spacing w:after="0" w:line="360" w:lineRule="auto"/>
        <w:jc w:val="both"/>
        <w:rPr>
          <w:rFonts w:ascii="Arial" w:hAnsi="Arial" w:cs="Arial"/>
          <w:sz w:val="22"/>
          <w:szCs w:val="22"/>
        </w:rPr>
      </w:pPr>
      <w:r w:rsidRPr="00FB3CCF">
        <w:rPr>
          <w:rFonts w:ascii="Arial" w:hAnsi="Arial" w:cs="Arial"/>
          <w:sz w:val="22"/>
          <w:szCs w:val="22"/>
        </w:rPr>
        <w:t>Table 1. Review types and their relevance to the present study</w:t>
      </w:r>
    </w:p>
    <w:tbl>
      <w:tblPr>
        <w:tblW w:w="9626" w:type="dxa"/>
        <w:tblLook w:val="04A0" w:firstRow="1" w:lastRow="0" w:firstColumn="1" w:lastColumn="0" w:noHBand="0" w:noVBand="1"/>
      </w:tblPr>
      <w:tblGrid>
        <w:gridCol w:w="2830"/>
        <w:gridCol w:w="3119"/>
        <w:gridCol w:w="3677"/>
      </w:tblGrid>
      <w:tr w:rsidR="00CE3236" w:rsidRPr="00FB3CCF" w14:paraId="1939256F" w14:textId="77777777" w:rsidTr="00CE3236">
        <w:trPr>
          <w:trHeight w:val="505"/>
        </w:trPr>
        <w:tc>
          <w:tcPr>
            <w:tcW w:w="2830" w:type="dxa"/>
            <w:tcBorders>
              <w:top w:val="single" w:sz="4" w:space="0" w:color="auto"/>
              <w:left w:val="single" w:sz="4" w:space="0" w:color="auto"/>
              <w:bottom w:val="single" w:sz="4" w:space="0" w:color="auto"/>
              <w:right w:val="single" w:sz="4" w:space="0" w:color="auto"/>
            </w:tcBorders>
            <w:vAlign w:val="center"/>
            <w:hideMark/>
          </w:tcPr>
          <w:p w14:paraId="0A9D96A3" w14:textId="77777777" w:rsidR="00CE3236" w:rsidRPr="00FB3CCF" w:rsidRDefault="00CE3236" w:rsidP="0045121F">
            <w:pPr>
              <w:spacing w:after="0" w:line="360" w:lineRule="auto"/>
              <w:rPr>
                <w:rFonts w:ascii="Arial" w:eastAsia="Times New Roman" w:hAnsi="Arial" w:cs="Arial"/>
                <w:b/>
                <w:bCs/>
                <w:kern w:val="0"/>
                <w:sz w:val="22"/>
                <w:szCs w:val="22"/>
                <w:lang w:eastAsia="en-GB"/>
                <w14:ligatures w14:val="none"/>
              </w:rPr>
            </w:pPr>
            <w:r w:rsidRPr="00FB3CCF">
              <w:rPr>
                <w:rFonts w:ascii="Arial" w:eastAsia="Times New Roman" w:hAnsi="Arial" w:cs="Arial"/>
                <w:b/>
                <w:bCs/>
                <w:kern w:val="0"/>
                <w:sz w:val="22"/>
                <w:szCs w:val="22"/>
                <w:lang w:eastAsia="en-GB"/>
                <w14:ligatures w14:val="none"/>
              </w:rPr>
              <w:t>Review type</w:t>
            </w:r>
          </w:p>
        </w:tc>
        <w:tc>
          <w:tcPr>
            <w:tcW w:w="3119" w:type="dxa"/>
            <w:tcBorders>
              <w:top w:val="single" w:sz="4" w:space="0" w:color="auto"/>
              <w:left w:val="nil"/>
              <w:bottom w:val="single" w:sz="4" w:space="0" w:color="auto"/>
              <w:right w:val="single" w:sz="4" w:space="0" w:color="auto"/>
            </w:tcBorders>
            <w:vAlign w:val="center"/>
            <w:hideMark/>
          </w:tcPr>
          <w:p w14:paraId="5AA8A941" w14:textId="77777777" w:rsidR="00CE3236" w:rsidRPr="00FB3CCF" w:rsidRDefault="00CE3236" w:rsidP="0045121F">
            <w:pPr>
              <w:spacing w:after="0" w:line="360" w:lineRule="auto"/>
              <w:rPr>
                <w:rFonts w:ascii="Arial" w:eastAsia="Times New Roman" w:hAnsi="Arial" w:cs="Arial"/>
                <w:b/>
                <w:bCs/>
                <w:kern w:val="0"/>
                <w:sz w:val="22"/>
                <w:szCs w:val="22"/>
                <w:lang w:eastAsia="en-GB"/>
                <w14:ligatures w14:val="none"/>
              </w:rPr>
            </w:pPr>
            <w:r w:rsidRPr="00FB3CCF">
              <w:rPr>
                <w:rFonts w:ascii="Arial" w:eastAsia="Times New Roman" w:hAnsi="Arial" w:cs="Arial"/>
                <w:b/>
                <w:bCs/>
                <w:kern w:val="0"/>
                <w:sz w:val="22"/>
                <w:szCs w:val="22"/>
                <w:lang w:eastAsia="en-GB"/>
                <w14:ligatures w14:val="none"/>
              </w:rPr>
              <w:t>Key characteristic</w:t>
            </w:r>
          </w:p>
        </w:tc>
        <w:tc>
          <w:tcPr>
            <w:tcW w:w="3677" w:type="dxa"/>
            <w:tcBorders>
              <w:top w:val="single" w:sz="4" w:space="0" w:color="auto"/>
              <w:left w:val="nil"/>
              <w:bottom w:val="single" w:sz="4" w:space="0" w:color="auto"/>
              <w:right w:val="single" w:sz="4" w:space="0" w:color="auto"/>
            </w:tcBorders>
            <w:vAlign w:val="center"/>
            <w:hideMark/>
          </w:tcPr>
          <w:p w14:paraId="13720BBE" w14:textId="77777777" w:rsidR="00CE3236" w:rsidRPr="00FB3CCF" w:rsidRDefault="00CE3236" w:rsidP="0045121F">
            <w:pPr>
              <w:spacing w:after="0" w:line="360" w:lineRule="auto"/>
              <w:rPr>
                <w:rFonts w:ascii="Arial" w:eastAsia="Times New Roman" w:hAnsi="Arial" w:cs="Arial"/>
                <w:b/>
                <w:bCs/>
                <w:kern w:val="0"/>
                <w:sz w:val="22"/>
                <w:szCs w:val="22"/>
                <w:lang w:eastAsia="en-GB"/>
                <w14:ligatures w14:val="none"/>
              </w:rPr>
            </w:pPr>
            <w:r w:rsidRPr="00FB3CCF">
              <w:rPr>
                <w:rFonts w:ascii="Arial" w:eastAsia="Times New Roman" w:hAnsi="Arial" w:cs="Arial"/>
                <w:b/>
                <w:bCs/>
                <w:kern w:val="0"/>
                <w:sz w:val="22"/>
                <w:szCs w:val="22"/>
                <w:lang w:eastAsia="en-GB"/>
                <w14:ligatures w14:val="none"/>
              </w:rPr>
              <w:t>Relevance to the present study</w:t>
            </w:r>
          </w:p>
        </w:tc>
      </w:tr>
      <w:tr w:rsidR="00CE3236" w:rsidRPr="00FB3CCF" w14:paraId="4F9D2D4F" w14:textId="77777777" w:rsidTr="00CE3236">
        <w:trPr>
          <w:trHeight w:val="505"/>
        </w:trPr>
        <w:tc>
          <w:tcPr>
            <w:tcW w:w="2830" w:type="dxa"/>
            <w:tcBorders>
              <w:top w:val="nil"/>
              <w:left w:val="single" w:sz="4" w:space="0" w:color="auto"/>
              <w:bottom w:val="single" w:sz="4" w:space="0" w:color="auto"/>
              <w:right w:val="single" w:sz="4" w:space="0" w:color="auto"/>
            </w:tcBorders>
            <w:vAlign w:val="center"/>
            <w:hideMark/>
          </w:tcPr>
          <w:p w14:paraId="405DC9A6" w14:textId="77777777" w:rsidR="00CE3236" w:rsidRPr="00FB3CCF" w:rsidRDefault="00CE3236"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Descriptive review</w:t>
            </w:r>
          </w:p>
        </w:tc>
        <w:tc>
          <w:tcPr>
            <w:tcW w:w="3119" w:type="dxa"/>
            <w:tcBorders>
              <w:top w:val="nil"/>
              <w:left w:val="nil"/>
              <w:bottom w:val="single" w:sz="4" w:space="0" w:color="auto"/>
              <w:right w:val="single" w:sz="4" w:space="0" w:color="auto"/>
            </w:tcBorders>
            <w:vAlign w:val="center"/>
            <w:hideMark/>
          </w:tcPr>
          <w:p w14:paraId="690DB33A" w14:textId="77777777" w:rsidR="00CE3236" w:rsidRPr="00FB3CCF" w:rsidRDefault="00CE3236"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Lists authors, topics, and findings</w:t>
            </w:r>
          </w:p>
        </w:tc>
        <w:tc>
          <w:tcPr>
            <w:tcW w:w="3677" w:type="dxa"/>
            <w:tcBorders>
              <w:top w:val="nil"/>
              <w:left w:val="nil"/>
              <w:bottom w:val="single" w:sz="4" w:space="0" w:color="auto"/>
              <w:right w:val="single" w:sz="4" w:space="0" w:color="auto"/>
            </w:tcBorders>
            <w:vAlign w:val="center"/>
            <w:hideMark/>
          </w:tcPr>
          <w:p w14:paraId="4DA1B4AD" w14:textId="77777777" w:rsidR="00CE3236" w:rsidRPr="00FB3CCF" w:rsidRDefault="00CE3236"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Useful for orientation but weak for building a DBA research gap</w:t>
            </w:r>
          </w:p>
        </w:tc>
      </w:tr>
      <w:tr w:rsidR="00CE3236" w:rsidRPr="00FB3CCF" w14:paraId="71CE6A4C" w14:textId="77777777" w:rsidTr="00CE3236">
        <w:trPr>
          <w:trHeight w:val="505"/>
        </w:trPr>
        <w:tc>
          <w:tcPr>
            <w:tcW w:w="2830" w:type="dxa"/>
            <w:tcBorders>
              <w:top w:val="nil"/>
              <w:left w:val="single" w:sz="4" w:space="0" w:color="auto"/>
              <w:bottom w:val="single" w:sz="4" w:space="0" w:color="auto"/>
              <w:right w:val="single" w:sz="4" w:space="0" w:color="auto"/>
            </w:tcBorders>
            <w:vAlign w:val="center"/>
            <w:hideMark/>
          </w:tcPr>
          <w:p w14:paraId="5BE00F15" w14:textId="77777777" w:rsidR="00CE3236" w:rsidRPr="00FB3CCF" w:rsidRDefault="00CE3236"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Critical review</w:t>
            </w:r>
          </w:p>
        </w:tc>
        <w:tc>
          <w:tcPr>
            <w:tcW w:w="3119" w:type="dxa"/>
            <w:tcBorders>
              <w:top w:val="nil"/>
              <w:left w:val="nil"/>
              <w:bottom w:val="single" w:sz="4" w:space="0" w:color="auto"/>
              <w:right w:val="single" w:sz="4" w:space="0" w:color="auto"/>
            </w:tcBorders>
            <w:vAlign w:val="center"/>
            <w:hideMark/>
          </w:tcPr>
          <w:p w14:paraId="3DAF7B3C" w14:textId="2685FE2C" w:rsidR="00CE3236" w:rsidRPr="00FB3CCF" w:rsidRDefault="00CE3236"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Compares, evaluates, and synthesises studies</w:t>
            </w:r>
          </w:p>
        </w:tc>
        <w:tc>
          <w:tcPr>
            <w:tcW w:w="3677" w:type="dxa"/>
            <w:tcBorders>
              <w:top w:val="nil"/>
              <w:left w:val="nil"/>
              <w:bottom w:val="single" w:sz="4" w:space="0" w:color="auto"/>
              <w:right w:val="single" w:sz="4" w:space="0" w:color="auto"/>
            </w:tcBorders>
            <w:vAlign w:val="center"/>
            <w:hideMark/>
          </w:tcPr>
          <w:p w14:paraId="10178823" w14:textId="050C4712" w:rsidR="00CE3236" w:rsidRPr="00FB3CCF" w:rsidRDefault="0018244F"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Better suited to identifying gaps in the conceptualisation of bankability</w:t>
            </w:r>
          </w:p>
        </w:tc>
      </w:tr>
      <w:tr w:rsidR="00CE3236" w:rsidRPr="00FB3CCF" w14:paraId="0610F1EE" w14:textId="77777777" w:rsidTr="00CE3236">
        <w:trPr>
          <w:trHeight w:val="505"/>
        </w:trPr>
        <w:tc>
          <w:tcPr>
            <w:tcW w:w="2830" w:type="dxa"/>
            <w:tcBorders>
              <w:top w:val="nil"/>
              <w:left w:val="single" w:sz="4" w:space="0" w:color="auto"/>
              <w:bottom w:val="single" w:sz="4" w:space="0" w:color="auto"/>
              <w:right w:val="single" w:sz="4" w:space="0" w:color="auto"/>
            </w:tcBorders>
            <w:vAlign w:val="center"/>
            <w:hideMark/>
          </w:tcPr>
          <w:p w14:paraId="16D0DFAC" w14:textId="77777777" w:rsidR="00CE3236" w:rsidRPr="00FB3CCF" w:rsidRDefault="00CE3236"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Systematic review</w:t>
            </w:r>
          </w:p>
        </w:tc>
        <w:tc>
          <w:tcPr>
            <w:tcW w:w="3119" w:type="dxa"/>
            <w:tcBorders>
              <w:top w:val="nil"/>
              <w:left w:val="nil"/>
              <w:bottom w:val="single" w:sz="4" w:space="0" w:color="auto"/>
              <w:right w:val="single" w:sz="4" w:space="0" w:color="auto"/>
            </w:tcBorders>
            <w:vAlign w:val="center"/>
            <w:hideMark/>
          </w:tcPr>
          <w:p w14:paraId="662178E9" w14:textId="3A1A3571" w:rsidR="00CE3236" w:rsidRPr="00FB3CCF" w:rsidRDefault="0086040C"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Uses clearly defined, transparent, and repeatable review procedures</w:t>
            </w:r>
          </w:p>
        </w:tc>
        <w:tc>
          <w:tcPr>
            <w:tcW w:w="3677" w:type="dxa"/>
            <w:tcBorders>
              <w:top w:val="nil"/>
              <w:left w:val="nil"/>
              <w:bottom w:val="single" w:sz="4" w:space="0" w:color="auto"/>
              <w:right w:val="single" w:sz="4" w:space="0" w:color="auto"/>
            </w:tcBorders>
            <w:vAlign w:val="center"/>
            <w:hideMark/>
          </w:tcPr>
          <w:p w14:paraId="2D288206" w14:textId="77777777" w:rsidR="00CE3236" w:rsidRPr="00FB3CCF" w:rsidRDefault="00CE3236"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Useful for transparency and a traceable review process</w:t>
            </w:r>
          </w:p>
        </w:tc>
      </w:tr>
      <w:tr w:rsidR="00CE3236" w:rsidRPr="00FB3CCF" w14:paraId="580D93ED" w14:textId="77777777" w:rsidTr="00CE3236">
        <w:trPr>
          <w:trHeight w:val="505"/>
        </w:trPr>
        <w:tc>
          <w:tcPr>
            <w:tcW w:w="2830" w:type="dxa"/>
            <w:tcBorders>
              <w:top w:val="nil"/>
              <w:left w:val="single" w:sz="4" w:space="0" w:color="auto"/>
              <w:bottom w:val="single" w:sz="4" w:space="0" w:color="auto"/>
              <w:right w:val="single" w:sz="4" w:space="0" w:color="auto"/>
            </w:tcBorders>
            <w:vAlign w:val="center"/>
            <w:hideMark/>
          </w:tcPr>
          <w:p w14:paraId="531DF174" w14:textId="77777777" w:rsidR="00CE3236" w:rsidRPr="00FB3CCF" w:rsidRDefault="00CE3236"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Critical review with systematic logic</w:t>
            </w:r>
          </w:p>
        </w:tc>
        <w:tc>
          <w:tcPr>
            <w:tcW w:w="3119" w:type="dxa"/>
            <w:tcBorders>
              <w:top w:val="nil"/>
              <w:left w:val="nil"/>
              <w:bottom w:val="single" w:sz="4" w:space="0" w:color="auto"/>
              <w:right w:val="single" w:sz="4" w:space="0" w:color="auto"/>
            </w:tcBorders>
            <w:vAlign w:val="center"/>
            <w:hideMark/>
          </w:tcPr>
          <w:p w14:paraId="3EC4DF9C" w14:textId="14684E2E" w:rsidR="00CE3236" w:rsidRPr="00FB3CCF" w:rsidRDefault="00CE3236"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Combines transparent search procedures with critical interpretation</w:t>
            </w:r>
          </w:p>
        </w:tc>
        <w:tc>
          <w:tcPr>
            <w:tcW w:w="3677" w:type="dxa"/>
            <w:tcBorders>
              <w:top w:val="nil"/>
              <w:left w:val="nil"/>
              <w:bottom w:val="single" w:sz="4" w:space="0" w:color="auto"/>
              <w:right w:val="single" w:sz="4" w:space="0" w:color="auto"/>
            </w:tcBorders>
            <w:vAlign w:val="center"/>
            <w:hideMark/>
          </w:tcPr>
          <w:p w14:paraId="21C32FCD" w14:textId="77777777" w:rsidR="00CE3236" w:rsidRPr="00FB3CCF" w:rsidRDefault="00CE3236"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Best fit for the present study</w:t>
            </w:r>
          </w:p>
        </w:tc>
      </w:tr>
      <w:tr w:rsidR="00CE3236" w:rsidRPr="00FB3CCF" w14:paraId="0277720E" w14:textId="77777777" w:rsidTr="00CE3236">
        <w:trPr>
          <w:trHeight w:val="55"/>
        </w:trPr>
        <w:tc>
          <w:tcPr>
            <w:tcW w:w="9626" w:type="dxa"/>
            <w:gridSpan w:val="3"/>
            <w:tcBorders>
              <w:top w:val="nil"/>
              <w:left w:val="nil"/>
              <w:bottom w:val="nil"/>
              <w:right w:val="nil"/>
            </w:tcBorders>
            <w:noWrap/>
            <w:vAlign w:val="center"/>
            <w:hideMark/>
          </w:tcPr>
          <w:p w14:paraId="1BF0DDBE" w14:textId="77777777" w:rsidR="00CE3236" w:rsidRPr="00FB3CCF" w:rsidRDefault="00CE3236" w:rsidP="0045121F">
            <w:pPr>
              <w:spacing w:after="0" w:line="360" w:lineRule="auto"/>
              <w:rPr>
                <w:rFonts w:ascii="Arial" w:eastAsia="Times New Roman" w:hAnsi="Arial" w:cs="Arial"/>
                <w:kern w:val="0"/>
                <w:sz w:val="13"/>
                <w:szCs w:val="13"/>
                <w:lang w:eastAsia="en-GB"/>
                <w14:ligatures w14:val="none"/>
              </w:rPr>
            </w:pPr>
            <w:r w:rsidRPr="00FB3CCF">
              <w:rPr>
                <w:rFonts w:ascii="Arial" w:eastAsia="Times New Roman" w:hAnsi="Arial" w:cs="Arial"/>
                <w:kern w:val="0"/>
                <w:sz w:val="13"/>
                <w:szCs w:val="13"/>
                <w:lang w:eastAsia="en-GB"/>
                <w14:ligatures w14:val="none"/>
              </w:rPr>
              <w:t xml:space="preserve">Source: Author’s own synthesis based on Randolph (2009), </w:t>
            </w:r>
            <w:proofErr w:type="spellStart"/>
            <w:r w:rsidRPr="00FB3CCF">
              <w:rPr>
                <w:rFonts w:ascii="Arial" w:eastAsia="Times New Roman" w:hAnsi="Arial" w:cs="Arial"/>
                <w:kern w:val="0"/>
                <w:sz w:val="13"/>
                <w:szCs w:val="13"/>
                <w:lang w:eastAsia="en-GB"/>
                <w14:ligatures w14:val="none"/>
              </w:rPr>
              <w:t>Templier</w:t>
            </w:r>
            <w:proofErr w:type="spellEnd"/>
            <w:r w:rsidRPr="00FB3CCF">
              <w:rPr>
                <w:rFonts w:ascii="Arial" w:eastAsia="Times New Roman" w:hAnsi="Arial" w:cs="Arial"/>
                <w:kern w:val="0"/>
                <w:sz w:val="13"/>
                <w:szCs w:val="13"/>
                <w:lang w:eastAsia="en-GB"/>
                <w14:ligatures w14:val="none"/>
              </w:rPr>
              <w:t xml:space="preserve"> and Paré (2015), Liberati et al. (2009), Page et al. (2021), and Ketchen and Craighead (2023)</w:t>
            </w:r>
          </w:p>
        </w:tc>
      </w:tr>
    </w:tbl>
    <w:p w14:paraId="7C45048F" w14:textId="6AB3CA4A" w:rsidR="009B4D4D" w:rsidRPr="00FB3CCF" w:rsidRDefault="00814A54" w:rsidP="0045121F">
      <w:pPr>
        <w:spacing w:after="0" w:line="360" w:lineRule="auto"/>
        <w:jc w:val="both"/>
        <w:rPr>
          <w:rFonts w:ascii="Arial" w:hAnsi="Arial" w:cs="Arial"/>
          <w:sz w:val="22"/>
          <w:szCs w:val="22"/>
        </w:rPr>
      </w:pPr>
      <w:r w:rsidRPr="00FB3CCF">
        <w:rPr>
          <w:rFonts w:ascii="Arial" w:hAnsi="Arial" w:cs="Arial"/>
          <w:sz w:val="22"/>
          <w:szCs w:val="22"/>
        </w:rPr>
        <w:lastRenderedPageBreak/>
        <w:t xml:space="preserve">For this research topic, a descriptive review would state that wave energy is promising but underfunded, </w:t>
      </w:r>
      <w:r w:rsidR="0086040C" w:rsidRPr="00FB3CCF">
        <w:rPr>
          <w:rFonts w:ascii="Arial" w:hAnsi="Arial" w:cs="Arial"/>
          <w:sz w:val="22"/>
          <w:szCs w:val="22"/>
        </w:rPr>
        <w:t xml:space="preserve">with </w:t>
      </w:r>
      <w:r w:rsidR="00C00EF9" w:rsidRPr="00FB3CCF">
        <w:rPr>
          <w:rFonts w:ascii="Arial" w:hAnsi="Arial" w:cs="Arial"/>
          <w:sz w:val="22"/>
          <w:szCs w:val="22"/>
        </w:rPr>
        <w:t>inconsistent</w:t>
      </w:r>
      <w:r w:rsidRPr="00FB3CCF">
        <w:rPr>
          <w:rFonts w:ascii="Arial" w:hAnsi="Arial" w:cs="Arial"/>
          <w:sz w:val="22"/>
          <w:szCs w:val="22"/>
        </w:rPr>
        <w:t xml:space="preserve"> policy support an</w:t>
      </w:r>
      <w:r w:rsidR="00C00EF9" w:rsidRPr="00FB3CCF">
        <w:rPr>
          <w:rFonts w:ascii="Arial" w:hAnsi="Arial" w:cs="Arial"/>
          <w:sz w:val="22"/>
          <w:szCs w:val="22"/>
        </w:rPr>
        <w:t>d</w:t>
      </w:r>
      <w:r w:rsidRPr="00FB3CCF">
        <w:rPr>
          <w:rFonts w:ascii="Arial" w:hAnsi="Arial" w:cs="Arial"/>
          <w:sz w:val="22"/>
          <w:szCs w:val="22"/>
        </w:rPr>
        <w:t xml:space="preserve"> </w:t>
      </w:r>
      <w:r w:rsidR="00C00EF9" w:rsidRPr="00FB3CCF">
        <w:rPr>
          <w:rFonts w:ascii="Arial" w:hAnsi="Arial" w:cs="Arial"/>
          <w:sz w:val="22"/>
          <w:szCs w:val="22"/>
        </w:rPr>
        <w:t>weak investor confidence</w:t>
      </w:r>
      <w:r w:rsidRPr="00FB3CCF">
        <w:rPr>
          <w:rFonts w:ascii="Arial" w:hAnsi="Arial" w:cs="Arial"/>
          <w:sz w:val="22"/>
          <w:szCs w:val="22"/>
        </w:rPr>
        <w:t xml:space="preserve">. </w:t>
      </w:r>
      <w:r w:rsidR="00C00EF9" w:rsidRPr="00FB3CCF">
        <w:rPr>
          <w:rFonts w:ascii="Arial" w:hAnsi="Arial" w:cs="Arial"/>
          <w:sz w:val="22"/>
          <w:szCs w:val="22"/>
        </w:rPr>
        <w:t xml:space="preserve">However, this statement </w:t>
      </w:r>
      <w:r w:rsidRPr="00FB3CCF">
        <w:rPr>
          <w:rFonts w:ascii="Arial" w:hAnsi="Arial" w:cs="Arial"/>
          <w:sz w:val="22"/>
          <w:szCs w:val="22"/>
        </w:rPr>
        <w:t>would not be enough</w:t>
      </w:r>
      <w:r w:rsidR="00C00EF9" w:rsidRPr="00FB3CCF">
        <w:rPr>
          <w:rFonts w:ascii="Arial" w:hAnsi="Arial" w:cs="Arial"/>
          <w:sz w:val="22"/>
          <w:szCs w:val="22"/>
        </w:rPr>
        <w:t xml:space="preserve"> for a doctoral-level work. </w:t>
      </w:r>
      <w:r w:rsidRPr="00FB3CCF">
        <w:rPr>
          <w:rFonts w:ascii="Arial" w:hAnsi="Arial" w:cs="Arial"/>
          <w:sz w:val="22"/>
          <w:szCs w:val="22"/>
        </w:rPr>
        <w:t xml:space="preserve"> </w:t>
      </w:r>
      <w:r w:rsidR="00C00EF9" w:rsidRPr="00FB3CCF">
        <w:rPr>
          <w:rFonts w:ascii="Arial" w:hAnsi="Arial" w:cs="Arial"/>
          <w:sz w:val="22"/>
          <w:szCs w:val="22"/>
        </w:rPr>
        <w:t>In comparison, a</w:t>
      </w:r>
      <w:r w:rsidRPr="00FB3CCF">
        <w:rPr>
          <w:rFonts w:ascii="Arial" w:hAnsi="Arial" w:cs="Arial"/>
          <w:sz w:val="22"/>
          <w:szCs w:val="22"/>
        </w:rPr>
        <w:t xml:space="preserve"> critical review</w:t>
      </w:r>
      <w:r w:rsidR="00C00EF9" w:rsidRPr="00FB3CCF">
        <w:rPr>
          <w:rFonts w:ascii="Arial" w:hAnsi="Arial" w:cs="Arial"/>
          <w:sz w:val="22"/>
          <w:szCs w:val="22"/>
        </w:rPr>
        <w:t xml:space="preserve"> would</w:t>
      </w:r>
      <w:r w:rsidRPr="00FB3CCF">
        <w:rPr>
          <w:rFonts w:ascii="Arial" w:hAnsi="Arial" w:cs="Arial"/>
          <w:sz w:val="22"/>
          <w:szCs w:val="22"/>
        </w:rPr>
        <w:t xml:space="preserve"> ask </w:t>
      </w:r>
      <w:r w:rsidR="00C00EF9" w:rsidRPr="00FB3CCF">
        <w:rPr>
          <w:rFonts w:ascii="Arial" w:hAnsi="Arial" w:cs="Arial"/>
          <w:sz w:val="22"/>
          <w:szCs w:val="22"/>
        </w:rPr>
        <w:t xml:space="preserve">a more analytically focused </w:t>
      </w:r>
      <w:r w:rsidRPr="00FB3CCF">
        <w:rPr>
          <w:rFonts w:ascii="Arial" w:hAnsi="Arial" w:cs="Arial"/>
          <w:sz w:val="22"/>
          <w:szCs w:val="22"/>
        </w:rPr>
        <w:t>set of questions</w:t>
      </w:r>
      <w:r w:rsidR="00C00EF9" w:rsidRPr="00FB3CCF">
        <w:rPr>
          <w:rFonts w:ascii="Arial" w:hAnsi="Arial" w:cs="Arial"/>
          <w:sz w:val="22"/>
          <w:szCs w:val="22"/>
        </w:rPr>
        <w:t xml:space="preserve">, such as the sources of the problems, which stem </w:t>
      </w:r>
      <w:r w:rsidRPr="00FB3CCF">
        <w:rPr>
          <w:rFonts w:ascii="Arial" w:hAnsi="Arial" w:cs="Arial"/>
          <w:sz w:val="22"/>
          <w:szCs w:val="22"/>
        </w:rPr>
        <w:t xml:space="preserve">mainly </w:t>
      </w:r>
      <w:r w:rsidR="00C00EF9" w:rsidRPr="00FB3CCF">
        <w:rPr>
          <w:rFonts w:ascii="Arial" w:hAnsi="Arial" w:cs="Arial"/>
          <w:sz w:val="22"/>
          <w:szCs w:val="22"/>
        </w:rPr>
        <w:t xml:space="preserve">from </w:t>
      </w:r>
      <w:r w:rsidRPr="00FB3CCF">
        <w:rPr>
          <w:rFonts w:ascii="Arial" w:hAnsi="Arial" w:cs="Arial"/>
          <w:sz w:val="22"/>
          <w:szCs w:val="22"/>
        </w:rPr>
        <w:t>technical immaturity, unstable future revenue, fragmented innovation support, or weak investor confidence</w:t>
      </w:r>
      <w:r w:rsidR="00C00EF9" w:rsidRPr="00FB3CCF">
        <w:rPr>
          <w:rFonts w:ascii="Arial" w:hAnsi="Arial" w:cs="Arial"/>
          <w:sz w:val="22"/>
          <w:szCs w:val="22"/>
        </w:rPr>
        <w:t xml:space="preserve"> and whether </w:t>
      </w:r>
      <w:r w:rsidRPr="00FB3CCF">
        <w:rPr>
          <w:rFonts w:ascii="Arial" w:hAnsi="Arial" w:cs="Arial"/>
          <w:sz w:val="22"/>
          <w:szCs w:val="22"/>
        </w:rPr>
        <w:t xml:space="preserve">these </w:t>
      </w:r>
      <w:r w:rsidR="00C00EF9" w:rsidRPr="00FB3CCF">
        <w:rPr>
          <w:rFonts w:ascii="Arial" w:hAnsi="Arial" w:cs="Arial"/>
          <w:sz w:val="22"/>
          <w:szCs w:val="22"/>
        </w:rPr>
        <w:t xml:space="preserve">factors </w:t>
      </w:r>
      <w:r w:rsidRPr="00FB3CCF">
        <w:rPr>
          <w:rFonts w:ascii="Arial" w:hAnsi="Arial" w:cs="Arial"/>
          <w:sz w:val="22"/>
          <w:szCs w:val="22"/>
        </w:rPr>
        <w:t>operate independently or reinforce one another</w:t>
      </w:r>
      <w:r w:rsidR="00C00EF9" w:rsidRPr="00FB3CCF">
        <w:rPr>
          <w:rFonts w:ascii="Arial" w:hAnsi="Arial" w:cs="Arial"/>
          <w:sz w:val="22"/>
          <w:szCs w:val="22"/>
        </w:rPr>
        <w:t xml:space="preserve">, the reason </w:t>
      </w:r>
      <w:r w:rsidR="0086040C" w:rsidRPr="00FB3CCF">
        <w:rPr>
          <w:rFonts w:ascii="Arial" w:hAnsi="Arial" w:cs="Arial"/>
          <w:sz w:val="22"/>
          <w:szCs w:val="22"/>
        </w:rPr>
        <w:t>for</w:t>
      </w:r>
      <w:r w:rsidR="00C00EF9" w:rsidRPr="00FB3CCF">
        <w:rPr>
          <w:rFonts w:ascii="Arial" w:hAnsi="Arial" w:cs="Arial"/>
          <w:sz w:val="22"/>
          <w:szCs w:val="22"/>
        </w:rPr>
        <w:t xml:space="preserve"> weak investor confidence</w:t>
      </w:r>
      <w:r w:rsidR="0086040C" w:rsidRPr="00FB3CCF">
        <w:rPr>
          <w:rFonts w:ascii="Arial" w:hAnsi="Arial" w:cs="Arial"/>
          <w:sz w:val="22"/>
          <w:szCs w:val="22"/>
        </w:rPr>
        <w:t>,</w:t>
      </w:r>
      <w:r w:rsidR="00C00EF9" w:rsidRPr="00FB3CCF">
        <w:rPr>
          <w:rFonts w:ascii="Arial" w:hAnsi="Arial" w:cs="Arial"/>
          <w:sz w:val="22"/>
          <w:szCs w:val="22"/>
        </w:rPr>
        <w:t xml:space="preserve"> even though there is a</w:t>
      </w:r>
      <w:r w:rsidRPr="00FB3CCF">
        <w:rPr>
          <w:rFonts w:ascii="Arial" w:hAnsi="Arial" w:cs="Arial"/>
          <w:sz w:val="22"/>
          <w:szCs w:val="22"/>
        </w:rPr>
        <w:t xml:space="preserve"> substantial public support</w:t>
      </w:r>
      <w:r w:rsidR="0086040C" w:rsidRPr="00FB3CCF">
        <w:rPr>
          <w:rFonts w:ascii="Arial" w:hAnsi="Arial" w:cs="Arial"/>
          <w:sz w:val="22"/>
          <w:szCs w:val="22"/>
        </w:rPr>
        <w:t>. These</w:t>
      </w:r>
      <w:r w:rsidR="007A7CD1" w:rsidRPr="00FB3CCF">
        <w:rPr>
          <w:rFonts w:ascii="Arial" w:hAnsi="Arial" w:cs="Arial"/>
          <w:sz w:val="22"/>
          <w:szCs w:val="22"/>
        </w:rPr>
        <w:t xml:space="preserve"> kinds of</w:t>
      </w:r>
      <w:r w:rsidR="0086040C" w:rsidRPr="00FB3CCF">
        <w:rPr>
          <w:rFonts w:ascii="Arial" w:hAnsi="Arial" w:cs="Arial"/>
          <w:sz w:val="22"/>
          <w:szCs w:val="22"/>
        </w:rPr>
        <w:t xml:space="preserve"> questions transform the </w:t>
      </w:r>
      <w:r w:rsidR="007A7CD1" w:rsidRPr="00FB3CCF">
        <w:rPr>
          <w:rFonts w:ascii="Arial" w:hAnsi="Arial" w:cs="Arial"/>
          <w:sz w:val="22"/>
          <w:szCs w:val="22"/>
        </w:rPr>
        <w:t xml:space="preserve">literature </w:t>
      </w:r>
      <w:r w:rsidR="0086040C" w:rsidRPr="00FB3CCF">
        <w:rPr>
          <w:rFonts w:ascii="Arial" w:hAnsi="Arial" w:cs="Arial"/>
          <w:sz w:val="22"/>
          <w:szCs w:val="22"/>
        </w:rPr>
        <w:t>review from a descriptive summary into a critical analysis.</w:t>
      </w:r>
    </w:p>
    <w:p w14:paraId="1BE35E83" w14:textId="77777777" w:rsidR="00F528FB" w:rsidRPr="00FB3CCF" w:rsidRDefault="00F528FB" w:rsidP="0045121F">
      <w:pPr>
        <w:spacing w:after="0" w:line="360" w:lineRule="auto"/>
        <w:jc w:val="both"/>
        <w:rPr>
          <w:rFonts w:ascii="Arial" w:hAnsi="Arial" w:cs="Arial"/>
          <w:sz w:val="22"/>
          <w:szCs w:val="22"/>
        </w:rPr>
      </w:pPr>
    </w:p>
    <w:p w14:paraId="3ABA505E" w14:textId="73AB7AC3" w:rsidR="0024547B" w:rsidRPr="00FB3CCF" w:rsidRDefault="0024547B" w:rsidP="0045121F">
      <w:pPr>
        <w:spacing w:after="0" w:line="360" w:lineRule="auto"/>
        <w:jc w:val="both"/>
        <w:rPr>
          <w:rFonts w:ascii="Arial" w:hAnsi="Arial" w:cs="Arial"/>
          <w:b/>
          <w:bCs/>
          <w:sz w:val="22"/>
          <w:szCs w:val="22"/>
        </w:rPr>
      </w:pPr>
      <w:r w:rsidRPr="00FB3CCF">
        <w:rPr>
          <w:rFonts w:ascii="Arial" w:hAnsi="Arial" w:cs="Arial"/>
          <w:b/>
          <w:bCs/>
          <w:sz w:val="22"/>
          <w:szCs w:val="22"/>
        </w:rPr>
        <w:t>Structure of a DBA-level Critical Review</w:t>
      </w:r>
    </w:p>
    <w:p w14:paraId="5E015680" w14:textId="0E64666E" w:rsidR="0024547B" w:rsidRPr="00FB3CCF" w:rsidRDefault="0024547B" w:rsidP="0045121F">
      <w:pPr>
        <w:spacing w:after="0" w:line="360" w:lineRule="auto"/>
        <w:jc w:val="both"/>
        <w:rPr>
          <w:rFonts w:ascii="Arial" w:hAnsi="Arial" w:cs="Arial"/>
          <w:sz w:val="22"/>
          <w:szCs w:val="22"/>
        </w:rPr>
      </w:pPr>
      <w:r w:rsidRPr="00FB3CCF">
        <w:rPr>
          <w:rFonts w:ascii="Arial" w:hAnsi="Arial" w:cs="Arial"/>
          <w:sz w:val="22"/>
          <w:szCs w:val="22"/>
        </w:rPr>
        <w:t xml:space="preserve">A </w:t>
      </w:r>
      <w:r w:rsidR="00E53163" w:rsidRPr="00FB3CCF">
        <w:rPr>
          <w:rFonts w:ascii="Arial" w:hAnsi="Arial" w:cs="Arial"/>
          <w:sz w:val="22"/>
          <w:szCs w:val="22"/>
        </w:rPr>
        <w:t xml:space="preserve">well-developed critical literature review </w:t>
      </w:r>
      <w:r w:rsidR="00E1318E" w:rsidRPr="00FB3CCF">
        <w:rPr>
          <w:rFonts w:ascii="Arial" w:hAnsi="Arial" w:cs="Arial"/>
          <w:sz w:val="22"/>
          <w:szCs w:val="22"/>
        </w:rPr>
        <w:t>usually develops from comprehensive</w:t>
      </w:r>
      <w:r w:rsidR="00E53163" w:rsidRPr="00FB3CCF">
        <w:rPr>
          <w:rFonts w:ascii="Arial" w:hAnsi="Arial" w:cs="Arial"/>
          <w:sz w:val="22"/>
          <w:szCs w:val="22"/>
        </w:rPr>
        <w:t xml:space="preserve"> coverage to a conceptual focus</w:t>
      </w:r>
      <w:r w:rsidRPr="00FB3CCF">
        <w:rPr>
          <w:rFonts w:ascii="Arial" w:hAnsi="Arial" w:cs="Arial"/>
          <w:sz w:val="22"/>
          <w:szCs w:val="22"/>
        </w:rPr>
        <w:t xml:space="preserve">. It </w:t>
      </w:r>
      <w:r w:rsidR="00E53163" w:rsidRPr="00FB3CCF">
        <w:rPr>
          <w:rFonts w:ascii="Arial" w:hAnsi="Arial" w:cs="Arial"/>
          <w:sz w:val="22"/>
          <w:szCs w:val="22"/>
        </w:rPr>
        <w:t>introduces a</w:t>
      </w:r>
      <w:r w:rsidR="00E1318E" w:rsidRPr="00FB3CCF">
        <w:rPr>
          <w:rFonts w:ascii="Arial" w:hAnsi="Arial" w:cs="Arial"/>
          <w:sz w:val="22"/>
          <w:szCs w:val="22"/>
        </w:rPr>
        <w:t xml:space="preserve"> broad research field</w:t>
      </w:r>
      <w:r w:rsidRPr="00FB3CCF">
        <w:rPr>
          <w:rFonts w:ascii="Arial" w:hAnsi="Arial" w:cs="Arial"/>
          <w:sz w:val="22"/>
          <w:szCs w:val="22"/>
        </w:rPr>
        <w:t xml:space="preserve">, then narrows to the key concepts and debates, </w:t>
      </w:r>
      <w:r w:rsidR="00E53163" w:rsidRPr="00FB3CCF">
        <w:rPr>
          <w:rFonts w:ascii="Arial" w:hAnsi="Arial" w:cs="Arial"/>
          <w:sz w:val="22"/>
          <w:szCs w:val="22"/>
        </w:rPr>
        <w:t>afterwards it</w:t>
      </w:r>
      <w:r w:rsidRPr="00FB3CCF">
        <w:rPr>
          <w:rFonts w:ascii="Arial" w:hAnsi="Arial" w:cs="Arial"/>
          <w:sz w:val="22"/>
          <w:szCs w:val="22"/>
        </w:rPr>
        <w:t xml:space="preserve"> evaluates the empirical literature, and finally identifies the specific gap that justifies the study. </w:t>
      </w:r>
      <w:r w:rsidR="00E53163" w:rsidRPr="00FB3CCF">
        <w:rPr>
          <w:rFonts w:ascii="Arial" w:hAnsi="Arial" w:cs="Arial"/>
          <w:sz w:val="22"/>
          <w:szCs w:val="22"/>
        </w:rPr>
        <w:t xml:space="preserve">Poor </w:t>
      </w:r>
      <w:r w:rsidRPr="00FB3CCF">
        <w:rPr>
          <w:rFonts w:ascii="Arial" w:hAnsi="Arial" w:cs="Arial"/>
          <w:sz w:val="22"/>
          <w:szCs w:val="22"/>
        </w:rPr>
        <w:t xml:space="preserve">reviews </w:t>
      </w:r>
      <w:r w:rsidR="00F10B50" w:rsidRPr="00FB3CCF">
        <w:rPr>
          <w:rFonts w:ascii="Arial" w:hAnsi="Arial" w:cs="Arial"/>
          <w:sz w:val="22"/>
          <w:szCs w:val="22"/>
        </w:rPr>
        <w:t>are frequently</w:t>
      </w:r>
      <w:r w:rsidRPr="00FB3CCF">
        <w:rPr>
          <w:rFonts w:ascii="Arial" w:hAnsi="Arial" w:cs="Arial"/>
          <w:sz w:val="22"/>
          <w:szCs w:val="22"/>
        </w:rPr>
        <w:t xml:space="preserve"> </w:t>
      </w:r>
      <w:r w:rsidR="00F10B50" w:rsidRPr="00FB3CCF">
        <w:rPr>
          <w:rFonts w:ascii="Arial" w:hAnsi="Arial" w:cs="Arial"/>
          <w:sz w:val="22"/>
          <w:szCs w:val="22"/>
        </w:rPr>
        <w:t xml:space="preserve">inadequate </w:t>
      </w:r>
      <w:r w:rsidR="00E1318E" w:rsidRPr="00FB3CCF">
        <w:rPr>
          <w:rFonts w:ascii="Arial" w:hAnsi="Arial" w:cs="Arial"/>
          <w:sz w:val="22"/>
          <w:szCs w:val="22"/>
        </w:rPr>
        <w:t>becaus</w:t>
      </w:r>
      <w:r w:rsidR="00F10B50" w:rsidRPr="00FB3CCF">
        <w:rPr>
          <w:rFonts w:ascii="Arial" w:hAnsi="Arial" w:cs="Arial"/>
          <w:sz w:val="22"/>
          <w:szCs w:val="22"/>
        </w:rPr>
        <w:t>e t</w:t>
      </w:r>
      <w:r w:rsidR="00E1318E" w:rsidRPr="00FB3CCF">
        <w:rPr>
          <w:rFonts w:ascii="Arial" w:hAnsi="Arial" w:cs="Arial"/>
          <w:sz w:val="22"/>
          <w:szCs w:val="22"/>
        </w:rPr>
        <w:t>hey</w:t>
      </w:r>
      <w:r w:rsidR="00F10B50" w:rsidRPr="00FB3CCF">
        <w:rPr>
          <w:rFonts w:ascii="Arial" w:hAnsi="Arial" w:cs="Arial"/>
          <w:sz w:val="22"/>
          <w:szCs w:val="22"/>
        </w:rPr>
        <w:t xml:space="preserve"> </w:t>
      </w:r>
      <w:r w:rsidR="00E1318E" w:rsidRPr="00FB3CCF">
        <w:rPr>
          <w:rFonts w:ascii="Arial" w:hAnsi="Arial" w:cs="Arial"/>
          <w:sz w:val="22"/>
          <w:szCs w:val="22"/>
        </w:rPr>
        <w:t>are</w:t>
      </w:r>
      <w:r w:rsidR="00F10B50" w:rsidRPr="00FB3CCF">
        <w:rPr>
          <w:rFonts w:ascii="Arial" w:hAnsi="Arial" w:cs="Arial"/>
          <w:sz w:val="22"/>
          <w:szCs w:val="22"/>
        </w:rPr>
        <w:t xml:space="preserve"> too </w:t>
      </w:r>
      <w:r w:rsidRPr="00FB3CCF">
        <w:rPr>
          <w:rFonts w:ascii="Arial" w:hAnsi="Arial" w:cs="Arial"/>
          <w:sz w:val="22"/>
          <w:szCs w:val="22"/>
        </w:rPr>
        <w:t xml:space="preserve">broad </w:t>
      </w:r>
      <w:r w:rsidR="00F10B50" w:rsidRPr="00FB3CCF">
        <w:rPr>
          <w:rFonts w:ascii="Arial" w:hAnsi="Arial" w:cs="Arial"/>
          <w:sz w:val="22"/>
          <w:szCs w:val="22"/>
        </w:rPr>
        <w:t xml:space="preserve">and </w:t>
      </w:r>
      <w:r w:rsidR="00E1318E" w:rsidRPr="00FB3CCF">
        <w:rPr>
          <w:rFonts w:ascii="Arial" w:hAnsi="Arial" w:cs="Arial"/>
          <w:sz w:val="22"/>
          <w:szCs w:val="22"/>
        </w:rPr>
        <w:t>poor</w:t>
      </w:r>
      <w:r w:rsidRPr="00FB3CCF">
        <w:rPr>
          <w:rFonts w:ascii="Arial" w:hAnsi="Arial" w:cs="Arial"/>
          <w:sz w:val="22"/>
          <w:szCs w:val="22"/>
        </w:rPr>
        <w:t>ly organised</w:t>
      </w:r>
      <w:r w:rsidR="00E53163" w:rsidRPr="00FB3CCF">
        <w:rPr>
          <w:rFonts w:ascii="Arial" w:hAnsi="Arial" w:cs="Arial"/>
          <w:sz w:val="22"/>
          <w:szCs w:val="22"/>
        </w:rPr>
        <w:t xml:space="preserve"> (Randolph, 2009).</w:t>
      </w:r>
      <w:r w:rsidRPr="00FB3CCF">
        <w:rPr>
          <w:rFonts w:ascii="Arial" w:hAnsi="Arial" w:cs="Arial"/>
          <w:sz w:val="22"/>
          <w:szCs w:val="22"/>
        </w:rPr>
        <w:t xml:space="preserve"> </w:t>
      </w:r>
      <w:r w:rsidR="00E53163" w:rsidRPr="00FB3CCF">
        <w:rPr>
          <w:rFonts w:ascii="Arial" w:hAnsi="Arial" w:cs="Arial"/>
          <w:sz w:val="22"/>
          <w:szCs w:val="22"/>
        </w:rPr>
        <w:t>T</w:t>
      </w:r>
      <w:r w:rsidRPr="00FB3CCF">
        <w:rPr>
          <w:rFonts w:ascii="Arial" w:hAnsi="Arial" w:cs="Arial"/>
          <w:sz w:val="22"/>
          <w:szCs w:val="22"/>
        </w:rPr>
        <w:t>herefore</w:t>
      </w:r>
      <w:r w:rsidR="00E53163" w:rsidRPr="00FB3CCF">
        <w:rPr>
          <w:rFonts w:ascii="Arial" w:hAnsi="Arial" w:cs="Arial"/>
          <w:sz w:val="22"/>
          <w:szCs w:val="22"/>
        </w:rPr>
        <w:t>,</w:t>
      </w:r>
      <w:r w:rsidRPr="00FB3CCF">
        <w:rPr>
          <w:rFonts w:ascii="Arial" w:hAnsi="Arial" w:cs="Arial"/>
          <w:sz w:val="22"/>
          <w:szCs w:val="22"/>
        </w:rPr>
        <w:t xml:space="preserve"> a structured process </w:t>
      </w:r>
      <w:r w:rsidR="00F10B50" w:rsidRPr="00FB3CCF">
        <w:rPr>
          <w:rFonts w:ascii="Arial" w:hAnsi="Arial" w:cs="Arial"/>
          <w:sz w:val="22"/>
          <w:szCs w:val="22"/>
        </w:rPr>
        <w:t xml:space="preserve">is recommended </w:t>
      </w:r>
      <w:r w:rsidRPr="00FB3CCF">
        <w:rPr>
          <w:rFonts w:ascii="Arial" w:hAnsi="Arial" w:cs="Arial"/>
          <w:sz w:val="22"/>
          <w:szCs w:val="22"/>
        </w:rPr>
        <w:t>that links review objectives, evidence collection, evaluation, and synthesis</w:t>
      </w:r>
      <w:r w:rsidR="00E53163" w:rsidRPr="00FB3CCF">
        <w:rPr>
          <w:rFonts w:ascii="Arial" w:hAnsi="Arial" w:cs="Arial"/>
          <w:sz w:val="22"/>
          <w:szCs w:val="22"/>
        </w:rPr>
        <w:t xml:space="preserve"> (</w:t>
      </w:r>
      <w:proofErr w:type="spellStart"/>
      <w:r w:rsidR="00E53163" w:rsidRPr="00FB3CCF">
        <w:rPr>
          <w:rFonts w:ascii="Arial" w:hAnsi="Arial" w:cs="Arial"/>
          <w:sz w:val="22"/>
          <w:szCs w:val="22"/>
        </w:rPr>
        <w:t>Templier</w:t>
      </w:r>
      <w:proofErr w:type="spellEnd"/>
      <w:r w:rsidR="00E53163" w:rsidRPr="00FB3CCF">
        <w:rPr>
          <w:rFonts w:ascii="Arial" w:hAnsi="Arial" w:cs="Arial"/>
          <w:sz w:val="22"/>
          <w:szCs w:val="22"/>
        </w:rPr>
        <w:t xml:space="preserve"> and Paré, 2015).</w:t>
      </w:r>
    </w:p>
    <w:p w14:paraId="216F7192" w14:textId="79ADE46F" w:rsidR="0024547B" w:rsidRPr="00FB3CCF" w:rsidRDefault="0024547B" w:rsidP="0045121F">
      <w:pPr>
        <w:spacing w:after="0" w:line="360" w:lineRule="auto"/>
        <w:jc w:val="both"/>
        <w:rPr>
          <w:rFonts w:ascii="Arial" w:hAnsi="Arial" w:cs="Arial"/>
          <w:sz w:val="22"/>
          <w:szCs w:val="22"/>
        </w:rPr>
      </w:pPr>
      <w:r w:rsidRPr="00FB3CCF">
        <w:rPr>
          <w:rFonts w:ascii="Arial" w:hAnsi="Arial" w:cs="Arial"/>
          <w:sz w:val="22"/>
          <w:szCs w:val="22"/>
        </w:rPr>
        <w:t>Table 2. Review stages and their relevance to the present study</w:t>
      </w:r>
    </w:p>
    <w:tbl>
      <w:tblPr>
        <w:tblW w:w="8560" w:type="dxa"/>
        <w:tblLook w:val="04A0" w:firstRow="1" w:lastRow="0" w:firstColumn="1" w:lastColumn="0" w:noHBand="0" w:noVBand="1"/>
      </w:tblPr>
      <w:tblGrid>
        <w:gridCol w:w="1960"/>
        <w:gridCol w:w="3440"/>
        <w:gridCol w:w="3160"/>
      </w:tblGrid>
      <w:tr w:rsidR="0024547B" w:rsidRPr="00FB3CCF" w14:paraId="2C9DDFBF" w14:textId="77777777" w:rsidTr="0024547B">
        <w:trPr>
          <w:trHeight w:val="560"/>
        </w:trPr>
        <w:tc>
          <w:tcPr>
            <w:tcW w:w="1960" w:type="dxa"/>
            <w:tcBorders>
              <w:top w:val="single" w:sz="4" w:space="0" w:color="auto"/>
              <w:left w:val="single" w:sz="4" w:space="0" w:color="auto"/>
              <w:bottom w:val="single" w:sz="4" w:space="0" w:color="auto"/>
              <w:right w:val="single" w:sz="4" w:space="0" w:color="auto"/>
            </w:tcBorders>
            <w:vAlign w:val="center"/>
            <w:hideMark/>
          </w:tcPr>
          <w:p w14:paraId="07057769" w14:textId="77777777" w:rsidR="0024547B" w:rsidRPr="00FB3CCF" w:rsidRDefault="0024547B" w:rsidP="0045121F">
            <w:pPr>
              <w:spacing w:after="0" w:line="360" w:lineRule="auto"/>
              <w:rPr>
                <w:rFonts w:ascii="Arial" w:eastAsia="Times New Roman" w:hAnsi="Arial" w:cs="Arial"/>
                <w:b/>
                <w:bCs/>
                <w:kern w:val="0"/>
                <w:sz w:val="22"/>
                <w:szCs w:val="22"/>
                <w:lang w:eastAsia="en-GB"/>
                <w14:ligatures w14:val="none"/>
              </w:rPr>
            </w:pPr>
            <w:r w:rsidRPr="00FB3CCF">
              <w:rPr>
                <w:rFonts w:ascii="Arial" w:eastAsia="Times New Roman" w:hAnsi="Arial" w:cs="Arial"/>
                <w:b/>
                <w:bCs/>
                <w:kern w:val="0"/>
                <w:sz w:val="22"/>
                <w:szCs w:val="22"/>
                <w:lang w:eastAsia="en-GB"/>
                <w14:ligatures w14:val="none"/>
              </w:rPr>
              <w:t>Stage</w:t>
            </w:r>
          </w:p>
        </w:tc>
        <w:tc>
          <w:tcPr>
            <w:tcW w:w="3440" w:type="dxa"/>
            <w:tcBorders>
              <w:top w:val="single" w:sz="4" w:space="0" w:color="auto"/>
              <w:left w:val="nil"/>
              <w:bottom w:val="single" w:sz="4" w:space="0" w:color="auto"/>
              <w:right w:val="single" w:sz="4" w:space="0" w:color="auto"/>
            </w:tcBorders>
            <w:vAlign w:val="center"/>
            <w:hideMark/>
          </w:tcPr>
          <w:p w14:paraId="77C2A72C" w14:textId="77777777" w:rsidR="0024547B" w:rsidRPr="00FB3CCF" w:rsidRDefault="0024547B" w:rsidP="0045121F">
            <w:pPr>
              <w:spacing w:after="0" w:line="360" w:lineRule="auto"/>
              <w:rPr>
                <w:rFonts w:ascii="Arial" w:eastAsia="Times New Roman" w:hAnsi="Arial" w:cs="Arial"/>
                <w:b/>
                <w:bCs/>
                <w:kern w:val="0"/>
                <w:sz w:val="22"/>
                <w:szCs w:val="22"/>
                <w:lang w:eastAsia="en-GB"/>
                <w14:ligatures w14:val="none"/>
              </w:rPr>
            </w:pPr>
            <w:r w:rsidRPr="00FB3CCF">
              <w:rPr>
                <w:rFonts w:ascii="Arial" w:eastAsia="Times New Roman" w:hAnsi="Arial" w:cs="Arial"/>
                <w:b/>
                <w:bCs/>
                <w:kern w:val="0"/>
                <w:sz w:val="22"/>
                <w:szCs w:val="22"/>
                <w:lang w:eastAsia="en-GB"/>
                <w14:ligatures w14:val="none"/>
              </w:rPr>
              <w:t>Function in the review</w:t>
            </w:r>
          </w:p>
        </w:tc>
        <w:tc>
          <w:tcPr>
            <w:tcW w:w="3160" w:type="dxa"/>
            <w:tcBorders>
              <w:top w:val="single" w:sz="4" w:space="0" w:color="auto"/>
              <w:left w:val="nil"/>
              <w:bottom w:val="single" w:sz="4" w:space="0" w:color="auto"/>
              <w:right w:val="single" w:sz="4" w:space="0" w:color="auto"/>
            </w:tcBorders>
            <w:vAlign w:val="center"/>
            <w:hideMark/>
          </w:tcPr>
          <w:p w14:paraId="01942D63" w14:textId="77777777" w:rsidR="0024547B" w:rsidRPr="00FB3CCF" w:rsidRDefault="0024547B" w:rsidP="0045121F">
            <w:pPr>
              <w:spacing w:after="0" w:line="360" w:lineRule="auto"/>
              <w:rPr>
                <w:rFonts w:ascii="Arial" w:eastAsia="Times New Roman" w:hAnsi="Arial" w:cs="Arial"/>
                <w:b/>
                <w:bCs/>
                <w:kern w:val="0"/>
                <w:sz w:val="22"/>
                <w:szCs w:val="22"/>
                <w:lang w:eastAsia="en-GB"/>
                <w14:ligatures w14:val="none"/>
              </w:rPr>
            </w:pPr>
            <w:r w:rsidRPr="00FB3CCF">
              <w:rPr>
                <w:rFonts w:ascii="Arial" w:eastAsia="Times New Roman" w:hAnsi="Arial" w:cs="Arial"/>
                <w:b/>
                <w:bCs/>
                <w:kern w:val="0"/>
                <w:sz w:val="22"/>
                <w:szCs w:val="22"/>
                <w:lang w:eastAsia="en-GB"/>
                <w14:ligatures w14:val="none"/>
              </w:rPr>
              <w:t>Relevance to the present research</w:t>
            </w:r>
          </w:p>
        </w:tc>
      </w:tr>
      <w:tr w:rsidR="0024547B" w:rsidRPr="00FB3CCF" w14:paraId="629148D1" w14:textId="77777777" w:rsidTr="0024547B">
        <w:trPr>
          <w:trHeight w:val="840"/>
        </w:trPr>
        <w:tc>
          <w:tcPr>
            <w:tcW w:w="1960" w:type="dxa"/>
            <w:tcBorders>
              <w:top w:val="nil"/>
              <w:left w:val="single" w:sz="4" w:space="0" w:color="auto"/>
              <w:bottom w:val="single" w:sz="4" w:space="0" w:color="auto"/>
              <w:right w:val="single" w:sz="4" w:space="0" w:color="auto"/>
            </w:tcBorders>
            <w:vAlign w:val="center"/>
            <w:hideMark/>
          </w:tcPr>
          <w:p w14:paraId="3F9D5F61"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Wider field</w:t>
            </w:r>
          </w:p>
        </w:tc>
        <w:tc>
          <w:tcPr>
            <w:tcW w:w="3440" w:type="dxa"/>
            <w:tcBorders>
              <w:top w:val="nil"/>
              <w:left w:val="nil"/>
              <w:bottom w:val="single" w:sz="4" w:space="0" w:color="auto"/>
              <w:right w:val="single" w:sz="4" w:space="0" w:color="auto"/>
            </w:tcBorders>
            <w:vAlign w:val="center"/>
            <w:hideMark/>
          </w:tcPr>
          <w:p w14:paraId="1360EC0A"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Establish renewable energy finance and emerging technology commercialization</w:t>
            </w:r>
          </w:p>
        </w:tc>
        <w:tc>
          <w:tcPr>
            <w:tcW w:w="3160" w:type="dxa"/>
            <w:tcBorders>
              <w:top w:val="nil"/>
              <w:left w:val="nil"/>
              <w:bottom w:val="single" w:sz="4" w:space="0" w:color="auto"/>
              <w:right w:val="single" w:sz="4" w:space="0" w:color="auto"/>
            </w:tcBorders>
            <w:vAlign w:val="center"/>
            <w:hideMark/>
          </w:tcPr>
          <w:p w14:paraId="084BE4B2"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Shows that financeability depends on risk, return, and institutional context</w:t>
            </w:r>
          </w:p>
        </w:tc>
      </w:tr>
      <w:tr w:rsidR="0024547B" w:rsidRPr="00FB3CCF" w14:paraId="20C56DE1" w14:textId="77777777" w:rsidTr="0024547B">
        <w:trPr>
          <w:trHeight w:val="560"/>
        </w:trPr>
        <w:tc>
          <w:tcPr>
            <w:tcW w:w="1960" w:type="dxa"/>
            <w:tcBorders>
              <w:top w:val="nil"/>
              <w:left w:val="single" w:sz="4" w:space="0" w:color="auto"/>
              <w:bottom w:val="single" w:sz="4" w:space="0" w:color="auto"/>
              <w:right w:val="single" w:sz="4" w:space="0" w:color="auto"/>
            </w:tcBorders>
            <w:vAlign w:val="center"/>
            <w:hideMark/>
          </w:tcPr>
          <w:p w14:paraId="7AA3770E"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Sector field</w:t>
            </w:r>
          </w:p>
        </w:tc>
        <w:tc>
          <w:tcPr>
            <w:tcW w:w="3440" w:type="dxa"/>
            <w:tcBorders>
              <w:top w:val="nil"/>
              <w:left w:val="nil"/>
              <w:bottom w:val="single" w:sz="4" w:space="0" w:color="auto"/>
              <w:right w:val="single" w:sz="4" w:space="0" w:color="auto"/>
            </w:tcBorders>
            <w:vAlign w:val="center"/>
            <w:hideMark/>
          </w:tcPr>
          <w:p w14:paraId="6C1B3AF6"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Narrow to marine and wave energy</w:t>
            </w:r>
          </w:p>
        </w:tc>
        <w:tc>
          <w:tcPr>
            <w:tcW w:w="3160" w:type="dxa"/>
            <w:tcBorders>
              <w:top w:val="nil"/>
              <w:left w:val="nil"/>
              <w:bottom w:val="single" w:sz="4" w:space="0" w:color="auto"/>
              <w:right w:val="single" w:sz="4" w:space="0" w:color="auto"/>
            </w:tcBorders>
            <w:vAlign w:val="center"/>
            <w:hideMark/>
          </w:tcPr>
          <w:p w14:paraId="6BB1D857"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Shows why ocean energy differs from mature renewables</w:t>
            </w:r>
          </w:p>
        </w:tc>
      </w:tr>
      <w:tr w:rsidR="0024547B" w:rsidRPr="00FB3CCF" w14:paraId="025A19BF" w14:textId="77777777" w:rsidTr="0024547B">
        <w:trPr>
          <w:trHeight w:val="560"/>
        </w:trPr>
        <w:tc>
          <w:tcPr>
            <w:tcW w:w="1960" w:type="dxa"/>
            <w:tcBorders>
              <w:top w:val="nil"/>
              <w:left w:val="single" w:sz="4" w:space="0" w:color="auto"/>
              <w:bottom w:val="single" w:sz="4" w:space="0" w:color="auto"/>
              <w:right w:val="single" w:sz="4" w:space="0" w:color="auto"/>
            </w:tcBorders>
            <w:vAlign w:val="center"/>
            <w:hideMark/>
          </w:tcPr>
          <w:p w14:paraId="51151659"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Focal concept</w:t>
            </w:r>
          </w:p>
        </w:tc>
        <w:tc>
          <w:tcPr>
            <w:tcW w:w="3440" w:type="dxa"/>
            <w:tcBorders>
              <w:top w:val="nil"/>
              <w:left w:val="nil"/>
              <w:bottom w:val="single" w:sz="4" w:space="0" w:color="auto"/>
              <w:right w:val="single" w:sz="4" w:space="0" w:color="auto"/>
            </w:tcBorders>
            <w:vAlign w:val="center"/>
            <w:hideMark/>
          </w:tcPr>
          <w:p w14:paraId="3107245B"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Define bankability and related concepts</w:t>
            </w:r>
          </w:p>
        </w:tc>
        <w:tc>
          <w:tcPr>
            <w:tcW w:w="3160" w:type="dxa"/>
            <w:tcBorders>
              <w:top w:val="nil"/>
              <w:left w:val="nil"/>
              <w:bottom w:val="single" w:sz="4" w:space="0" w:color="auto"/>
              <w:right w:val="single" w:sz="4" w:space="0" w:color="auto"/>
            </w:tcBorders>
            <w:vAlign w:val="center"/>
            <w:hideMark/>
          </w:tcPr>
          <w:p w14:paraId="7A0A9098" w14:textId="31791240" w:rsidR="0024547B" w:rsidRPr="00FB3CCF" w:rsidRDefault="00E1318E"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Distinguishes bankability from a simple lack of available finance</w:t>
            </w:r>
          </w:p>
        </w:tc>
      </w:tr>
      <w:tr w:rsidR="0024547B" w:rsidRPr="00FB3CCF" w14:paraId="5FBA6E9B" w14:textId="77777777" w:rsidTr="0024547B">
        <w:trPr>
          <w:trHeight w:val="840"/>
        </w:trPr>
        <w:tc>
          <w:tcPr>
            <w:tcW w:w="1960" w:type="dxa"/>
            <w:tcBorders>
              <w:top w:val="nil"/>
              <w:left w:val="single" w:sz="4" w:space="0" w:color="auto"/>
              <w:bottom w:val="single" w:sz="4" w:space="0" w:color="auto"/>
              <w:right w:val="single" w:sz="4" w:space="0" w:color="auto"/>
            </w:tcBorders>
            <w:vAlign w:val="center"/>
            <w:hideMark/>
          </w:tcPr>
          <w:p w14:paraId="559A77E5"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Critical synthesis</w:t>
            </w:r>
          </w:p>
        </w:tc>
        <w:tc>
          <w:tcPr>
            <w:tcW w:w="3440" w:type="dxa"/>
            <w:tcBorders>
              <w:top w:val="nil"/>
              <w:left w:val="nil"/>
              <w:bottom w:val="single" w:sz="4" w:space="0" w:color="auto"/>
              <w:right w:val="single" w:sz="4" w:space="0" w:color="auto"/>
            </w:tcBorders>
            <w:vAlign w:val="center"/>
            <w:hideMark/>
          </w:tcPr>
          <w:p w14:paraId="21F67F49"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Compare investor, policy, innovation, and governance literatures</w:t>
            </w:r>
          </w:p>
        </w:tc>
        <w:tc>
          <w:tcPr>
            <w:tcW w:w="3160" w:type="dxa"/>
            <w:tcBorders>
              <w:top w:val="nil"/>
              <w:left w:val="nil"/>
              <w:bottom w:val="single" w:sz="4" w:space="0" w:color="auto"/>
              <w:right w:val="single" w:sz="4" w:space="0" w:color="auto"/>
            </w:tcBorders>
            <w:vAlign w:val="center"/>
            <w:hideMark/>
          </w:tcPr>
          <w:p w14:paraId="087DDE01" w14:textId="5F3CDE04" w:rsidR="0024547B" w:rsidRPr="00FB3CCF" w:rsidRDefault="00E1318E"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Shows that current explanations are weakly integrated</w:t>
            </w:r>
          </w:p>
        </w:tc>
      </w:tr>
      <w:tr w:rsidR="0024547B" w:rsidRPr="00FB3CCF" w14:paraId="6AE4AF5B" w14:textId="77777777" w:rsidTr="0024547B">
        <w:trPr>
          <w:trHeight w:val="560"/>
        </w:trPr>
        <w:tc>
          <w:tcPr>
            <w:tcW w:w="1960" w:type="dxa"/>
            <w:tcBorders>
              <w:top w:val="nil"/>
              <w:left w:val="single" w:sz="4" w:space="0" w:color="auto"/>
              <w:bottom w:val="single" w:sz="4" w:space="0" w:color="auto"/>
              <w:right w:val="single" w:sz="4" w:space="0" w:color="auto"/>
            </w:tcBorders>
            <w:vAlign w:val="center"/>
            <w:hideMark/>
          </w:tcPr>
          <w:p w14:paraId="0E320A87"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Gap statement</w:t>
            </w:r>
          </w:p>
        </w:tc>
        <w:tc>
          <w:tcPr>
            <w:tcW w:w="3440" w:type="dxa"/>
            <w:tcBorders>
              <w:top w:val="nil"/>
              <w:left w:val="nil"/>
              <w:bottom w:val="single" w:sz="4" w:space="0" w:color="auto"/>
              <w:right w:val="single" w:sz="4" w:space="0" w:color="auto"/>
            </w:tcBorders>
            <w:vAlign w:val="center"/>
            <w:hideMark/>
          </w:tcPr>
          <w:p w14:paraId="30CA84D5"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Identify what remains unresolved</w:t>
            </w:r>
          </w:p>
        </w:tc>
        <w:tc>
          <w:tcPr>
            <w:tcW w:w="3160" w:type="dxa"/>
            <w:tcBorders>
              <w:top w:val="nil"/>
              <w:left w:val="nil"/>
              <w:bottom w:val="single" w:sz="4" w:space="0" w:color="auto"/>
              <w:right w:val="single" w:sz="4" w:space="0" w:color="auto"/>
            </w:tcBorders>
            <w:vAlign w:val="center"/>
            <w:hideMark/>
          </w:tcPr>
          <w:p w14:paraId="6456A429" w14:textId="77777777" w:rsidR="0024547B" w:rsidRPr="00FB3CCF" w:rsidRDefault="0024547B"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Justifies the DBA focus on UK wave energy startups</w:t>
            </w:r>
          </w:p>
        </w:tc>
      </w:tr>
      <w:tr w:rsidR="0024547B" w:rsidRPr="00FB3CCF" w14:paraId="36F690B8" w14:textId="77777777" w:rsidTr="0024547B">
        <w:trPr>
          <w:trHeight w:val="320"/>
        </w:trPr>
        <w:tc>
          <w:tcPr>
            <w:tcW w:w="8560" w:type="dxa"/>
            <w:gridSpan w:val="3"/>
            <w:tcBorders>
              <w:top w:val="nil"/>
              <w:left w:val="nil"/>
              <w:bottom w:val="nil"/>
              <w:right w:val="nil"/>
            </w:tcBorders>
            <w:noWrap/>
            <w:vAlign w:val="center"/>
            <w:hideMark/>
          </w:tcPr>
          <w:p w14:paraId="62281691" w14:textId="3C3A0D13" w:rsidR="0024547B" w:rsidRPr="00FB3CCF" w:rsidRDefault="0024547B" w:rsidP="0045121F">
            <w:pPr>
              <w:spacing w:after="0" w:line="360" w:lineRule="auto"/>
              <w:rPr>
                <w:rFonts w:ascii="Arial" w:eastAsia="Times New Roman" w:hAnsi="Arial" w:cs="Arial"/>
                <w:kern w:val="0"/>
                <w:sz w:val="16"/>
                <w:szCs w:val="16"/>
                <w:lang w:eastAsia="en-GB"/>
                <w14:ligatures w14:val="none"/>
              </w:rPr>
            </w:pPr>
            <w:r w:rsidRPr="00FB3CCF">
              <w:rPr>
                <w:rFonts w:ascii="Arial" w:eastAsia="Times New Roman" w:hAnsi="Arial" w:cs="Arial"/>
                <w:kern w:val="0"/>
                <w:sz w:val="16"/>
                <w:szCs w:val="16"/>
                <w:lang w:eastAsia="en-GB"/>
                <w14:ligatures w14:val="none"/>
              </w:rPr>
              <w:t xml:space="preserve">Source: </w:t>
            </w:r>
            <w:r w:rsidR="00137F45" w:rsidRPr="00FB3CCF">
              <w:rPr>
                <w:rFonts w:ascii="Arial" w:eastAsia="Times New Roman" w:hAnsi="Arial" w:cs="Arial"/>
                <w:kern w:val="0"/>
                <w:sz w:val="16"/>
                <w:szCs w:val="16"/>
                <w:lang w:eastAsia="en-GB"/>
                <w14:ligatures w14:val="none"/>
              </w:rPr>
              <w:t xml:space="preserve">Author’s own synthesis based on </w:t>
            </w:r>
            <w:r w:rsidRPr="00FB3CCF">
              <w:rPr>
                <w:rFonts w:ascii="Arial" w:eastAsia="Times New Roman" w:hAnsi="Arial" w:cs="Arial"/>
                <w:kern w:val="0"/>
                <w:sz w:val="16"/>
                <w:szCs w:val="16"/>
                <w:lang w:eastAsia="en-GB"/>
                <w14:ligatures w14:val="none"/>
              </w:rPr>
              <w:t xml:space="preserve">Randolph (2009) and </w:t>
            </w:r>
            <w:proofErr w:type="spellStart"/>
            <w:r w:rsidRPr="00FB3CCF">
              <w:rPr>
                <w:rFonts w:ascii="Arial" w:eastAsia="Times New Roman" w:hAnsi="Arial" w:cs="Arial"/>
                <w:kern w:val="0"/>
                <w:sz w:val="16"/>
                <w:szCs w:val="16"/>
                <w:lang w:eastAsia="en-GB"/>
                <w14:ligatures w14:val="none"/>
              </w:rPr>
              <w:t>Templier</w:t>
            </w:r>
            <w:proofErr w:type="spellEnd"/>
            <w:r w:rsidRPr="00FB3CCF">
              <w:rPr>
                <w:rFonts w:ascii="Arial" w:eastAsia="Times New Roman" w:hAnsi="Arial" w:cs="Arial"/>
                <w:kern w:val="0"/>
                <w:sz w:val="16"/>
                <w:szCs w:val="16"/>
                <w:lang w:eastAsia="en-GB"/>
                <w14:ligatures w14:val="none"/>
              </w:rPr>
              <w:t xml:space="preserve"> and Paré (2015)</w:t>
            </w:r>
          </w:p>
        </w:tc>
      </w:tr>
    </w:tbl>
    <w:p w14:paraId="0FAE19C7" w14:textId="3F170FCC" w:rsidR="00712DF7" w:rsidRPr="00FB3CCF" w:rsidRDefault="007D246A" w:rsidP="0045121F">
      <w:pPr>
        <w:spacing w:after="0" w:line="360" w:lineRule="auto"/>
        <w:jc w:val="both"/>
        <w:rPr>
          <w:rFonts w:ascii="Arial" w:hAnsi="Arial" w:cs="Arial"/>
          <w:sz w:val="22"/>
          <w:szCs w:val="22"/>
        </w:rPr>
      </w:pPr>
      <w:r w:rsidRPr="00FB3CCF">
        <w:rPr>
          <w:rFonts w:ascii="Arial" w:hAnsi="Arial" w:cs="Arial"/>
          <w:sz w:val="22"/>
          <w:szCs w:val="22"/>
        </w:rPr>
        <w:lastRenderedPageBreak/>
        <w:t>For the present study</w:t>
      </w:r>
      <w:r w:rsidR="00F10B50" w:rsidRPr="00FB3CCF">
        <w:rPr>
          <w:rFonts w:ascii="Arial" w:hAnsi="Arial" w:cs="Arial"/>
          <w:sz w:val="22"/>
          <w:szCs w:val="22"/>
        </w:rPr>
        <w:t xml:space="preserve">, a thematic structure is more appropriate than a chronological one. This is because the relevant literature is </w:t>
      </w:r>
      <w:r w:rsidRPr="00FB3CCF">
        <w:rPr>
          <w:rFonts w:ascii="Arial" w:hAnsi="Arial" w:cs="Arial"/>
          <w:sz w:val="22"/>
          <w:szCs w:val="22"/>
        </w:rPr>
        <w:t>spread</w:t>
      </w:r>
      <w:r w:rsidR="00F10B50" w:rsidRPr="00FB3CCF">
        <w:rPr>
          <w:rFonts w:ascii="Arial" w:hAnsi="Arial" w:cs="Arial"/>
          <w:sz w:val="22"/>
          <w:szCs w:val="22"/>
        </w:rPr>
        <w:t xml:space="preserve"> across several related but distinct </w:t>
      </w:r>
      <w:r w:rsidRPr="00FB3CCF">
        <w:rPr>
          <w:rFonts w:ascii="Arial" w:hAnsi="Arial" w:cs="Arial"/>
          <w:sz w:val="22"/>
          <w:szCs w:val="22"/>
        </w:rPr>
        <w:t>several related literatures</w:t>
      </w:r>
      <w:r w:rsidR="00F10B50" w:rsidRPr="00FB3CCF">
        <w:rPr>
          <w:rFonts w:ascii="Arial" w:hAnsi="Arial" w:cs="Arial"/>
          <w:sz w:val="22"/>
          <w:szCs w:val="22"/>
        </w:rPr>
        <w:t xml:space="preserve"> rather than located within a single disciplinary </w:t>
      </w:r>
      <w:r w:rsidRPr="00FB3CCF">
        <w:rPr>
          <w:rFonts w:ascii="Arial" w:hAnsi="Arial" w:cs="Arial"/>
          <w:sz w:val="22"/>
          <w:szCs w:val="22"/>
        </w:rPr>
        <w:t>area</w:t>
      </w:r>
      <w:r w:rsidR="00F10B50" w:rsidRPr="00FB3CCF">
        <w:rPr>
          <w:rFonts w:ascii="Arial" w:hAnsi="Arial" w:cs="Arial"/>
          <w:sz w:val="22"/>
          <w:szCs w:val="22"/>
        </w:rPr>
        <w:t>. Organising the chapter thematically, therefore, provides a clearer basis for synthesising the factors that shape the bankability of UK-based wave energy start-ups.</w:t>
      </w:r>
    </w:p>
    <w:p w14:paraId="2A78DD42" w14:textId="77777777" w:rsidR="00F528FB" w:rsidRPr="00FB3CCF" w:rsidRDefault="00F528FB" w:rsidP="0045121F">
      <w:pPr>
        <w:spacing w:after="0" w:line="360" w:lineRule="auto"/>
        <w:jc w:val="both"/>
        <w:rPr>
          <w:rFonts w:ascii="Arial" w:hAnsi="Arial" w:cs="Arial"/>
          <w:sz w:val="22"/>
          <w:szCs w:val="22"/>
        </w:rPr>
      </w:pPr>
    </w:p>
    <w:p w14:paraId="50FB1E30" w14:textId="710F38FB" w:rsidR="00DF42FF" w:rsidRPr="00FB3CCF" w:rsidRDefault="007B77A2" w:rsidP="0045121F">
      <w:pPr>
        <w:spacing w:after="0" w:line="360" w:lineRule="auto"/>
        <w:jc w:val="both"/>
        <w:rPr>
          <w:rFonts w:ascii="Arial" w:hAnsi="Arial" w:cs="Arial"/>
          <w:b/>
          <w:bCs/>
          <w:sz w:val="22"/>
          <w:szCs w:val="22"/>
        </w:rPr>
      </w:pPr>
      <w:r w:rsidRPr="00FB3CCF">
        <w:rPr>
          <w:rFonts w:ascii="Arial" w:hAnsi="Arial" w:cs="Arial"/>
          <w:b/>
          <w:bCs/>
          <w:sz w:val="22"/>
          <w:szCs w:val="22"/>
        </w:rPr>
        <w:t>Research Approach for the Critical Review</w:t>
      </w:r>
    </w:p>
    <w:p w14:paraId="44161554" w14:textId="72C5E085" w:rsidR="009B4D4D" w:rsidRPr="00FB3CCF" w:rsidRDefault="00D96A7B" w:rsidP="0045121F">
      <w:pPr>
        <w:spacing w:after="0" w:line="360" w:lineRule="auto"/>
        <w:jc w:val="both"/>
        <w:rPr>
          <w:rFonts w:ascii="Arial" w:hAnsi="Arial" w:cs="Arial"/>
          <w:sz w:val="22"/>
          <w:szCs w:val="22"/>
        </w:rPr>
      </w:pPr>
      <w:r w:rsidRPr="00FB3CCF">
        <w:rPr>
          <w:rFonts w:ascii="Arial" w:hAnsi="Arial" w:cs="Arial"/>
          <w:sz w:val="22"/>
          <w:szCs w:val="22"/>
        </w:rPr>
        <w:t>Rather than a narrowly defined meta-analysis, this research uses transparency as a guide by clearly defined search methods, transparent source selection and clear reporting. Therefore, the literature review integrates critical interpretation with structured, transparent source identification and selection.</w:t>
      </w:r>
    </w:p>
    <w:p w14:paraId="466C358D" w14:textId="77777777" w:rsidR="00F528FB" w:rsidRPr="00FB3CCF" w:rsidRDefault="00F528FB" w:rsidP="0045121F">
      <w:pPr>
        <w:spacing w:after="0" w:line="360" w:lineRule="auto"/>
        <w:jc w:val="both"/>
        <w:rPr>
          <w:rFonts w:ascii="Arial" w:hAnsi="Arial" w:cs="Arial"/>
          <w:sz w:val="22"/>
          <w:szCs w:val="22"/>
        </w:rPr>
      </w:pPr>
    </w:p>
    <w:p w14:paraId="17E35F7A" w14:textId="1C249F95" w:rsidR="007B77A2" w:rsidRPr="00FB3CCF" w:rsidRDefault="007B77A2" w:rsidP="0045121F">
      <w:pPr>
        <w:spacing w:after="0" w:line="360" w:lineRule="auto"/>
        <w:jc w:val="both"/>
        <w:rPr>
          <w:rFonts w:ascii="Arial" w:hAnsi="Arial" w:cs="Arial"/>
          <w:sz w:val="22"/>
          <w:szCs w:val="22"/>
        </w:rPr>
      </w:pPr>
      <w:r w:rsidRPr="00FB3CCF">
        <w:rPr>
          <w:rFonts w:ascii="Arial" w:hAnsi="Arial" w:cs="Arial"/>
          <w:b/>
          <w:bCs/>
          <w:sz w:val="22"/>
          <w:szCs w:val="22"/>
        </w:rPr>
        <w:t>Search strategy</w:t>
      </w:r>
    </w:p>
    <w:p w14:paraId="257A29A9" w14:textId="2C433F3C" w:rsidR="00137F45" w:rsidRPr="00FB3CCF" w:rsidRDefault="00914281" w:rsidP="0045121F">
      <w:pPr>
        <w:spacing w:after="0" w:line="360" w:lineRule="auto"/>
        <w:jc w:val="both"/>
        <w:rPr>
          <w:rFonts w:ascii="Arial" w:hAnsi="Arial" w:cs="Arial"/>
          <w:sz w:val="22"/>
          <w:szCs w:val="22"/>
        </w:rPr>
      </w:pPr>
      <w:r w:rsidRPr="00FB3CCF">
        <w:rPr>
          <w:rFonts w:ascii="Arial" w:hAnsi="Arial" w:cs="Arial"/>
          <w:sz w:val="22"/>
          <w:szCs w:val="22"/>
        </w:rPr>
        <w:t xml:space="preserve">For this study's literature review, Google Scholar was used with specific keyword combinations related to bankability, wave energy, marine renewables, start-ups, investment, finance, commercialisation, the United Kingdom, and Scotland. The search process was implemented as thematic blocks to represent the financial, commercialisation and regulatory dimensions of the sector rather than as a single set of search terms. </w:t>
      </w:r>
      <w:r w:rsidR="00DF42FF" w:rsidRPr="00FB3CCF">
        <w:rPr>
          <w:rFonts w:ascii="Arial" w:hAnsi="Arial" w:cs="Arial"/>
          <w:sz w:val="22"/>
          <w:szCs w:val="22"/>
        </w:rPr>
        <w:t xml:space="preserve">The main search blocks and illustrative search terms used in Google Scholar are summarised in Table </w:t>
      </w:r>
      <w:r w:rsidR="00137F45" w:rsidRPr="00FB3CCF">
        <w:rPr>
          <w:rFonts w:ascii="Arial" w:hAnsi="Arial" w:cs="Arial"/>
          <w:sz w:val="22"/>
          <w:szCs w:val="22"/>
        </w:rPr>
        <w:t>3.</w:t>
      </w:r>
    </w:p>
    <w:p w14:paraId="60D1B2FA" w14:textId="77777777" w:rsidR="00F528FB" w:rsidRPr="00FB3CCF" w:rsidRDefault="00F528FB" w:rsidP="0045121F">
      <w:pPr>
        <w:spacing w:after="0" w:line="360" w:lineRule="auto"/>
        <w:jc w:val="both"/>
        <w:rPr>
          <w:rFonts w:ascii="Arial" w:hAnsi="Arial" w:cs="Arial"/>
          <w:sz w:val="22"/>
          <w:szCs w:val="22"/>
        </w:rPr>
      </w:pPr>
    </w:p>
    <w:p w14:paraId="546A3525" w14:textId="06E8F441" w:rsidR="00137F45" w:rsidRPr="00FB3CCF" w:rsidRDefault="00137F45" w:rsidP="0045121F">
      <w:pPr>
        <w:spacing w:after="0" w:line="360" w:lineRule="auto"/>
        <w:jc w:val="both"/>
        <w:rPr>
          <w:rFonts w:ascii="Arial" w:hAnsi="Arial" w:cs="Arial"/>
          <w:sz w:val="22"/>
          <w:szCs w:val="22"/>
        </w:rPr>
      </w:pPr>
      <w:r w:rsidRPr="00FB3CCF">
        <w:rPr>
          <w:rFonts w:ascii="Arial" w:hAnsi="Arial" w:cs="Arial"/>
          <w:sz w:val="22"/>
          <w:szCs w:val="22"/>
        </w:rPr>
        <w:t>Table 3. Search blocks and example search terms used in Google Scholar</w:t>
      </w:r>
    </w:p>
    <w:tbl>
      <w:tblPr>
        <w:tblW w:w="9312" w:type="dxa"/>
        <w:tblLook w:val="04A0" w:firstRow="1" w:lastRow="0" w:firstColumn="1" w:lastColumn="0" w:noHBand="0" w:noVBand="1"/>
      </w:tblPr>
      <w:tblGrid>
        <w:gridCol w:w="3639"/>
        <w:gridCol w:w="5673"/>
      </w:tblGrid>
      <w:tr w:rsidR="00137F45" w:rsidRPr="00FB3CCF" w14:paraId="1343DB89" w14:textId="77777777" w:rsidTr="00914281">
        <w:trPr>
          <w:trHeight w:val="282"/>
        </w:trPr>
        <w:tc>
          <w:tcPr>
            <w:tcW w:w="3639" w:type="dxa"/>
            <w:tcBorders>
              <w:top w:val="single" w:sz="4" w:space="0" w:color="auto"/>
              <w:left w:val="single" w:sz="4" w:space="0" w:color="auto"/>
              <w:bottom w:val="single" w:sz="4" w:space="0" w:color="auto"/>
              <w:right w:val="single" w:sz="4" w:space="0" w:color="auto"/>
            </w:tcBorders>
            <w:vAlign w:val="center"/>
            <w:hideMark/>
          </w:tcPr>
          <w:p w14:paraId="40FF6F24" w14:textId="77777777" w:rsidR="00137F45" w:rsidRPr="00FB3CCF" w:rsidRDefault="00137F45" w:rsidP="0045121F">
            <w:pPr>
              <w:spacing w:after="0" w:line="360" w:lineRule="auto"/>
              <w:rPr>
                <w:rFonts w:ascii="Arial" w:eastAsia="Times New Roman" w:hAnsi="Arial" w:cs="Arial"/>
                <w:b/>
                <w:bCs/>
                <w:kern w:val="0"/>
                <w:sz w:val="22"/>
                <w:szCs w:val="22"/>
                <w:lang w:eastAsia="en-GB"/>
                <w14:ligatures w14:val="none"/>
              </w:rPr>
            </w:pPr>
            <w:r w:rsidRPr="00FB3CCF">
              <w:rPr>
                <w:rFonts w:ascii="Arial" w:eastAsia="Times New Roman" w:hAnsi="Arial" w:cs="Arial"/>
                <w:b/>
                <w:bCs/>
                <w:kern w:val="0"/>
                <w:sz w:val="22"/>
                <w:szCs w:val="22"/>
                <w:lang w:eastAsia="en-GB"/>
                <w14:ligatures w14:val="none"/>
              </w:rPr>
              <w:t>Search block</w:t>
            </w:r>
          </w:p>
        </w:tc>
        <w:tc>
          <w:tcPr>
            <w:tcW w:w="5673" w:type="dxa"/>
            <w:tcBorders>
              <w:top w:val="single" w:sz="4" w:space="0" w:color="auto"/>
              <w:left w:val="nil"/>
              <w:bottom w:val="single" w:sz="4" w:space="0" w:color="auto"/>
              <w:right w:val="single" w:sz="4" w:space="0" w:color="auto"/>
            </w:tcBorders>
            <w:vAlign w:val="center"/>
            <w:hideMark/>
          </w:tcPr>
          <w:p w14:paraId="22578988" w14:textId="77777777" w:rsidR="00137F45" w:rsidRPr="00FB3CCF" w:rsidRDefault="00137F45" w:rsidP="0045121F">
            <w:pPr>
              <w:spacing w:after="0" w:line="360" w:lineRule="auto"/>
              <w:rPr>
                <w:rFonts w:ascii="Arial" w:eastAsia="Times New Roman" w:hAnsi="Arial" w:cs="Arial"/>
                <w:b/>
                <w:bCs/>
                <w:kern w:val="0"/>
                <w:sz w:val="22"/>
                <w:szCs w:val="22"/>
                <w:lang w:eastAsia="en-GB"/>
                <w14:ligatures w14:val="none"/>
              </w:rPr>
            </w:pPr>
            <w:r w:rsidRPr="00FB3CCF">
              <w:rPr>
                <w:rFonts w:ascii="Arial" w:eastAsia="Times New Roman" w:hAnsi="Arial" w:cs="Arial"/>
                <w:b/>
                <w:bCs/>
                <w:kern w:val="0"/>
                <w:sz w:val="22"/>
                <w:szCs w:val="22"/>
                <w:lang w:eastAsia="en-GB"/>
                <w14:ligatures w14:val="none"/>
              </w:rPr>
              <w:t>Example search terms</w:t>
            </w:r>
          </w:p>
        </w:tc>
      </w:tr>
      <w:tr w:rsidR="00137F45" w:rsidRPr="00FB3CCF" w14:paraId="2E8DF17A" w14:textId="77777777" w:rsidTr="00914281">
        <w:trPr>
          <w:trHeight w:val="458"/>
        </w:trPr>
        <w:tc>
          <w:tcPr>
            <w:tcW w:w="3639" w:type="dxa"/>
            <w:tcBorders>
              <w:top w:val="nil"/>
              <w:left w:val="single" w:sz="4" w:space="0" w:color="auto"/>
              <w:bottom w:val="single" w:sz="4" w:space="0" w:color="auto"/>
              <w:right w:val="single" w:sz="4" w:space="0" w:color="auto"/>
            </w:tcBorders>
            <w:vAlign w:val="center"/>
            <w:hideMark/>
          </w:tcPr>
          <w:p w14:paraId="2D49C1EE" w14:textId="77777777" w:rsidR="00137F45" w:rsidRPr="00FB3CCF" w:rsidRDefault="00137F45"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Bankability and finance</w:t>
            </w:r>
          </w:p>
        </w:tc>
        <w:tc>
          <w:tcPr>
            <w:tcW w:w="5673" w:type="dxa"/>
            <w:tcBorders>
              <w:top w:val="nil"/>
              <w:left w:val="nil"/>
              <w:bottom w:val="single" w:sz="4" w:space="0" w:color="auto"/>
              <w:right w:val="single" w:sz="4" w:space="0" w:color="auto"/>
            </w:tcBorders>
            <w:vAlign w:val="center"/>
            <w:hideMark/>
          </w:tcPr>
          <w:p w14:paraId="01A192EB" w14:textId="77777777" w:rsidR="00137F45" w:rsidRPr="00FB3CCF" w:rsidRDefault="00137F45"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bankability; financeability; investor confidence; investment barriers; venture finance; project finance</w:t>
            </w:r>
          </w:p>
        </w:tc>
      </w:tr>
      <w:tr w:rsidR="00137F45" w:rsidRPr="00FB3CCF" w14:paraId="0E66AEDE" w14:textId="77777777" w:rsidTr="00914281">
        <w:trPr>
          <w:trHeight w:val="458"/>
        </w:trPr>
        <w:tc>
          <w:tcPr>
            <w:tcW w:w="3639" w:type="dxa"/>
            <w:tcBorders>
              <w:top w:val="nil"/>
              <w:left w:val="single" w:sz="4" w:space="0" w:color="auto"/>
              <w:bottom w:val="single" w:sz="4" w:space="0" w:color="auto"/>
              <w:right w:val="single" w:sz="4" w:space="0" w:color="auto"/>
            </w:tcBorders>
            <w:vAlign w:val="center"/>
            <w:hideMark/>
          </w:tcPr>
          <w:p w14:paraId="1675A054" w14:textId="77777777" w:rsidR="00137F45" w:rsidRPr="00FB3CCF" w:rsidRDefault="00137F45"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Sector, technology and geography</w:t>
            </w:r>
          </w:p>
        </w:tc>
        <w:tc>
          <w:tcPr>
            <w:tcW w:w="5673" w:type="dxa"/>
            <w:tcBorders>
              <w:top w:val="nil"/>
              <w:left w:val="nil"/>
              <w:bottom w:val="single" w:sz="4" w:space="0" w:color="auto"/>
              <w:right w:val="single" w:sz="4" w:space="0" w:color="auto"/>
            </w:tcBorders>
            <w:vAlign w:val="center"/>
            <w:hideMark/>
          </w:tcPr>
          <w:p w14:paraId="39946EAD" w14:textId="77777777" w:rsidR="00137F45" w:rsidRPr="00FB3CCF" w:rsidRDefault="00137F45"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wave energy; marine energy; ocean energy; UK; United Kingdom; Scotland</w:t>
            </w:r>
          </w:p>
        </w:tc>
      </w:tr>
      <w:tr w:rsidR="00137F45" w:rsidRPr="00FB3CCF" w14:paraId="3D4BD293" w14:textId="77777777" w:rsidTr="00914281">
        <w:trPr>
          <w:trHeight w:val="458"/>
        </w:trPr>
        <w:tc>
          <w:tcPr>
            <w:tcW w:w="3639" w:type="dxa"/>
            <w:tcBorders>
              <w:top w:val="nil"/>
              <w:left w:val="single" w:sz="4" w:space="0" w:color="auto"/>
              <w:bottom w:val="single" w:sz="4" w:space="0" w:color="auto"/>
              <w:right w:val="single" w:sz="4" w:space="0" w:color="auto"/>
            </w:tcBorders>
            <w:vAlign w:val="center"/>
            <w:hideMark/>
          </w:tcPr>
          <w:p w14:paraId="144F2583" w14:textId="77777777" w:rsidR="00137F45" w:rsidRPr="00FB3CCF" w:rsidRDefault="00137F45"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Commercialisation and new venture development</w:t>
            </w:r>
          </w:p>
        </w:tc>
        <w:tc>
          <w:tcPr>
            <w:tcW w:w="5673" w:type="dxa"/>
            <w:tcBorders>
              <w:top w:val="nil"/>
              <w:left w:val="nil"/>
              <w:bottom w:val="single" w:sz="4" w:space="0" w:color="auto"/>
              <w:right w:val="single" w:sz="4" w:space="0" w:color="auto"/>
            </w:tcBorders>
            <w:vAlign w:val="center"/>
            <w:hideMark/>
          </w:tcPr>
          <w:p w14:paraId="3B5EC22C" w14:textId="77777777" w:rsidR="00137F45" w:rsidRPr="00FB3CCF" w:rsidRDefault="00137F45"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start-up; early-stage firm; commercialisation; scaling; demonstration; wave energy developers</w:t>
            </w:r>
          </w:p>
        </w:tc>
      </w:tr>
      <w:tr w:rsidR="00137F45" w:rsidRPr="00FB3CCF" w14:paraId="44591A64" w14:textId="77777777" w:rsidTr="00914281">
        <w:trPr>
          <w:trHeight w:val="458"/>
        </w:trPr>
        <w:tc>
          <w:tcPr>
            <w:tcW w:w="3639" w:type="dxa"/>
            <w:tcBorders>
              <w:top w:val="nil"/>
              <w:left w:val="single" w:sz="4" w:space="0" w:color="auto"/>
              <w:bottom w:val="single" w:sz="4" w:space="0" w:color="auto"/>
              <w:right w:val="single" w:sz="4" w:space="0" w:color="auto"/>
            </w:tcBorders>
            <w:vAlign w:val="center"/>
            <w:hideMark/>
          </w:tcPr>
          <w:p w14:paraId="20DA1AE9" w14:textId="77777777" w:rsidR="00137F45" w:rsidRPr="00FB3CCF" w:rsidRDefault="00137F45"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Policy, regulation and enabling conditions</w:t>
            </w:r>
          </w:p>
        </w:tc>
        <w:tc>
          <w:tcPr>
            <w:tcW w:w="5673" w:type="dxa"/>
            <w:tcBorders>
              <w:top w:val="nil"/>
              <w:left w:val="nil"/>
              <w:bottom w:val="single" w:sz="4" w:space="0" w:color="auto"/>
              <w:right w:val="single" w:sz="4" w:space="0" w:color="auto"/>
            </w:tcBorders>
            <w:vAlign w:val="center"/>
            <w:hideMark/>
          </w:tcPr>
          <w:p w14:paraId="6A471763" w14:textId="77777777" w:rsidR="00137F45" w:rsidRPr="00FB3CCF" w:rsidRDefault="00137F45" w:rsidP="0045121F">
            <w:pPr>
              <w:spacing w:after="0" w:line="360" w:lineRule="auto"/>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policy support; risk; uncertainty; regulation; consenting; revenue support; infrastructure</w:t>
            </w:r>
          </w:p>
        </w:tc>
      </w:tr>
    </w:tbl>
    <w:p w14:paraId="0C30070B" w14:textId="08689BB9" w:rsidR="007B77A2" w:rsidRPr="00FB3CCF" w:rsidRDefault="00914281" w:rsidP="0045121F">
      <w:pPr>
        <w:spacing w:after="0" w:line="360" w:lineRule="auto"/>
        <w:jc w:val="both"/>
        <w:rPr>
          <w:rFonts w:ascii="Arial" w:eastAsia="Times New Roman" w:hAnsi="Arial" w:cs="Arial"/>
          <w:kern w:val="0"/>
          <w:sz w:val="15"/>
          <w:szCs w:val="15"/>
          <w:lang w:eastAsia="en-GB"/>
          <w14:ligatures w14:val="none"/>
        </w:rPr>
      </w:pPr>
      <w:r w:rsidRPr="00FB3CCF">
        <w:rPr>
          <w:rFonts w:ascii="Arial" w:eastAsia="Times New Roman" w:hAnsi="Arial" w:cs="Arial"/>
          <w:b/>
          <w:bCs/>
          <w:kern w:val="0"/>
          <w:sz w:val="15"/>
          <w:szCs w:val="15"/>
          <w:lang w:eastAsia="en-GB"/>
          <w14:ligatures w14:val="none"/>
        </w:rPr>
        <w:t>Source:</w:t>
      </w:r>
      <w:r w:rsidRPr="00FB3CCF">
        <w:rPr>
          <w:rFonts w:ascii="Arial" w:eastAsia="Times New Roman" w:hAnsi="Arial" w:cs="Arial"/>
          <w:kern w:val="0"/>
          <w:sz w:val="15"/>
          <w:szCs w:val="15"/>
          <w:lang w:eastAsia="en-GB"/>
          <w14:ligatures w14:val="none"/>
        </w:rPr>
        <w:t xml:space="preserve"> Author’s own synthesis of search strategy blocks for the present study,</w:t>
      </w:r>
      <w:r w:rsidR="00605CD9" w:rsidRPr="00FB3CCF">
        <w:rPr>
          <w:rFonts w:ascii="Arial" w:eastAsia="Times New Roman" w:hAnsi="Arial" w:cs="Arial"/>
          <w:kern w:val="0"/>
          <w:sz w:val="15"/>
          <w:szCs w:val="15"/>
          <w:lang w:eastAsia="en-GB"/>
          <w14:ligatures w14:val="none"/>
        </w:rPr>
        <w:t xml:space="preserve"> based on</w:t>
      </w:r>
      <w:r w:rsidRPr="00FB3CCF">
        <w:rPr>
          <w:rFonts w:ascii="Arial" w:eastAsia="Times New Roman" w:hAnsi="Arial" w:cs="Arial"/>
          <w:kern w:val="0"/>
          <w:sz w:val="15"/>
          <w:szCs w:val="15"/>
          <w:lang w:eastAsia="en-GB"/>
          <w14:ligatures w14:val="none"/>
        </w:rPr>
        <w:t xml:space="preserve"> Randolph (2009), </w:t>
      </w:r>
      <w:proofErr w:type="spellStart"/>
      <w:r w:rsidRPr="00FB3CCF">
        <w:rPr>
          <w:rFonts w:ascii="Arial" w:eastAsia="Times New Roman" w:hAnsi="Arial" w:cs="Arial"/>
          <w:kern w:val="0"/>
          <w:sz w:val="15"/>
          <w:szCs w:val="15"/>
          <w:lang w:eastAsia="en-GB"/>
          <w14:ligatures w14:val="none"/>
        </w:rPr>
        <w:t>Templier</w:t>
      </w:r>
      <w:proofErr w:type="spellEnd"/>
      <w:r w:rsidRPr="00FB3CCF">
        <w:rPr>
          <w:rFonts w:ascii="Arial" w:eastAsia="Times New Roman" w:hAnsi="Arial" w:cs="Arial"/>
          <w:kern w:val="0"/>
          <w:sz w:val="15"/>
          <w:szCs w:val="15"/>
          <w:lang w:eastAsia="en-GB"/>
          <w14:ligatures w14:val="none"/>
        </w:rPr>
        <w:t xml:space="preserve"> and Paré (2015), Liberati et al. (2009), and Page et al. (2021).</w:t>
      </w:r>
    </w:p>
    <w:p w14:paraId="1A921215" w14:textId="77777777" w:rsidR="00F528FB" w:rsidRPr="00FB3CCF" w:rsidRDefault="00F528FB" w:rsidP="0045121F">
      <w:pPr>
        <w:spacing w:after="0" w:line="360" w:lineRule="auto"/>
        <w:jc w:val="both"/>
        <w:rPr>
          <w:rFonts w:ascii="Arial" w:eastAsia="Times New Roman" w:hAnsi="Arial" w:cs="Arial"/>
          <w:b/>
          <w:bCs/>
          <w:kern w:val="0"/>
          <w:sz w:val="15"/>
          <w:szCs w:val="15"/>
          <w:lang w:eastAsia="en-GB"/>
          <w14:ligatures w14:val="none"/>
        </w:rPr>
      </w:pPr>
    </w:p>
    <w:p w14:paraId="452E1881" w14:textId="28E9AAF8" w:rsidR="00F528FB" w:rsidRPr="00FB3CCF" w:rsidRDefault="007B6DFE" w:rsidP="0045121F">
      <w:pPr>
        <w:spacing w:after="0" w:line="360" w:lineRule="auto"/>
        <w:jc w:val="both"/>
        <w:rPr>
          <w:rFonts w:ascii="Arial" w:hAnsi="Arial" w:cs="Arial"/>
          <w:sz w:val="22"/>
          <w:szCs w:val="22"/>
        </w:rPr>
      </w:pPr>
      <w:r w:rsidRPr="00FB3CCF">
        <w:rPr>
          <w:rFonts w:ascii="Arial" w:hAnsi="Arial" w:cs="Arial"/>
          <w:sz w:val="22"/>
          <w:szCs w:val="22"/>
        </w:rPr>
        <w:t xml:space="preserve">Boolean operators </w:t>
      </w:r>
      <w:r w:rsidR="005554C5" w:rsidRPr="00FB3CCF">
        <w:rPr>
          <w:rFonts w:ascii="Arial" w:hAnsi="Arial" w:cs="Arial"/>
          <w:sz w:val="22"/>
          <w:szCs w:val="22"/>
        </w:rPr>
        <w:t>are</w:t>
      </w:r>
      <w:r w:rsidRPr="00FB3CCF">
        <w:rPr>
          <w:rFonts w:ascii="Arial" w:hAnsi="Arial" w:cs="Arial"/>
          <w:sz w:val="22"/>
          <w:szCs w:val="22"/>
        </w:rPr>
        <w:t xml:space="preserve"> utilised in combination with these terms to generate </w:t>
      </w:r>
      <w:r w:rsidR="00E77024" w:rsidRPr="00FB3CCF">
        <w:rPr>
          <w:rFonts w:ascii="Arial" w:hAnsi="Arial" w:cs="Arial"/>
          <w:sz w:val="22"/>
          <w:szCs w:val="22"/>
        </w:rPr>
        <w:t xml:space="preserve">more specific </w:t>
      </w:r>
      <w:r w:rsidRPr="00FB3CCF">
        <w:rPr>
          <w:rFonts w:ascii="Arial" w:hAnsi="Arial" w:cs="Arial"/>
          <w:sz w:val="22"/>
          <w:szCs w:val="22"/>
        </w:rPr>
        <w:t>search results</w:t>
      </w:r>
      <w:r w:rsidR="00E77024" w:rsidRPr="00FB3CCF">
        <w:rPr>
          <w:rFonts w:ascii="Arial" w:hAnsi="Arial" w:cs="Arial"/>
          <w:sz w:val="22"/>
          <w:szCs w:val="22"/>
        </w:rPr>
        <w:t xml:space="preserve"> and to establish a credible, controlled evidence base</w:t>
      </w:r>
      <w:r w:rsidRPr="00FB3CCF">
        <w:rPr>
          <w:rFonts w:ascii="Arial" w:hAnsi="Arial" w:cs="Arial"/>
          <w:sz w:val="22"/>
          <w:szCs w:val="22"/>
        </w:rPr>
        <w:t xml:space="preserve">. For instance, a review might include combinations such as wave energy AND bankability, marine energy AND investor confidence AND UK, or wave energy AND policy support AND commercialisation. </w:t>
      </w:r>
    </w:p>
    <w:p w14:paraId="10B41433" w14:textId="77777777" w:rsidR="009A5766" w:rsidRPr="00FB3CCF" w:rsidRDefault="009A5766" w:rsidP="0045121F">
      <w:pPr>
        <w:spacing w:after="0" w:line="360" w:lineRule="auto"/>
        <w:jc w:val="both"/>
        <w:rPr>
          <w:rFonts w:ascii="Arial" w:hAnsi="Arial" w:cs="Arial"/>
          <w:b/>
          <w:bCs/>
          <w:sz w:val="22"/>
          <w:szCs w:val="22"/>
        </w:rPr>
      </w:pPr>
      <w:r w:rsidRPr="00FB3CCF">
        <w:rPr>
          <w:rFonts w:ascii="Arial" w:hAnsi="Arial" w:cs="Arial"/>
          <w:b/>
          <w:bCs/>
          <w:sz w:val="22"/>
          <w:szCs w:val="22"/>
        </w:rPr>
        <w:lastRenderedPageBreak/>
        <w:t>Inclusion and exclusion criteria</w:t>
      </w:r>
    </w:p>
    <w:p w14:paraId="624379C8" w14:textId="6670D5BF" w:rsidR="009B4D4D" w:rsidRPr="00FB3CCF" w:rsidRDefault="00F27B1D" w:rsidP="0045121F">
      <w:pPr>
        <w:spacing w:after="0" w:line="360" w:lineRule="auto"/>
        <w:jc w:val="both"/>
        <w:rPr>
          <w:rFonts w:ascii="Arial" w:hAnsi="Arial" w:cs="Arial"/>
          <w:sz w:val="22"/>
          <w:szCs w:val="22"/>
        </w:rPr>
      </w:pPr>
      <w:r w:rsidRPr="00FB3CCF">
        <w:rPr>
          <w:rFonts w:ascii="Arial" w:hAnsi="Arial" w:cs="Arial"/>
          <w:sz w:val="22"/>
          <w:szCs w:val="22"/>
        </w:rPr>
        <w:t>Inclusion and exclusion criteria enhance transparency and prevent biased selection; thereby, establishing clear eligibility criteria enables readers to evaluate their validity and scope (Liberati et al., 2009). In this study, the criteria used are directly linked to the research problem.</w:t>
      </w:r>
    </w:p>
    <w:p w14:paraId="48A9876D" w14:textId="77777777" w:rsidR="00712DF7" w:rsidRPr="00FB3CCF" w:rsidRDefault="00712DF7" w:rsidP="0045121F">
      <w:pPr>
        <w:spacing w:after="0" w:line="360" w:lineRule="auto"/>
        <w:jc w:val="both"/>
        <w:rPr>
          <w:rFonts w:ascii="Arial" w:hAnsi="Arial" w:cs="Arial"/>
          <w:sz w:val="22"/>
          <w:szCs w:val="22"/>
        </w:rPr>
      </w:pPr>
    </w:p>
    <w:p w14:paraId="3436E7CD" w14:textId="7ECCD76F" w:rsidR="009B4D4D" w:rsidRPr="00FB3CCF" w:rsidRDefault="009B4D4D" w:rsidP="0045121F">
      <w:pPr>
        <w:spacing w:after="0" w:line="360" w:lineRule="auto"/>
        <w:jc w:val="both"/>
        <w:rPr>
          <w:rFonts w:ascii="Arial" w:hAnsi="Arial" w:cs="Arial"/>
          <w:sz w:val="22"/>
          <w:szCs w:val="22"/>
        </w:rPr>
      </w:pPr>
      <w:r w:rsidRPr="00FB3CCF">
        <w:rPr>
          <w:rFonts w:ascii="Arial" w:hAnsi="Arial" w:cs="Arial"/>
          <w:sz w:val="22"/>
          <w:szCs w:val="22"/>
        </w:rPr>
        <w:t>Table 4. Inclusion and exclusion criteria for the present review</w:t>
      </w:r>
    </w:p>
    <w:tbl>
      <w:tblPr>
        <w:tblW w:w="9120" w:type="dxa"/>
        <w:tblLook w:val="04A0" w:firstRow="1" w:lastRow="0" w:firstColumn="1" w:lastColumn="0" w:noHBand="0" w:noVBand="1"/>
      </w:tblPr>
      <w:tblGrid>
        <w:gridCol w:w="3640"/>
        <w:gridCol w:w="5480"/>
      </w:tblGrid>
      <w:tr w:rsidR="0055606D" w:rsidRPr="00FB3CCF" w14:paraId="046B3135" w14:textId="77777777" w:rsidTr="0055606D">
        <w:trPr>
          <w:trHeight w:val="320"/>
        </w:trPr>
        <w:tc>
          <w:tcPr>
            <w:tcW w:w="3640" w:type="dxa"/>
            <w:tcBorders>
              <w:top w:val="single" w:sz="4" w:space="0" w:color="auto"/>
              <w:left w:val="single" w:sz="4" w:space="0" w:color="auto"/>
              <w:bottom w:val="single" w:sz="4" w:space="0" w:color="auto"/>
              <w:right w:val="single" w:sz="4" w:space="0" w:color="auto"/>
            </w:tcBorders>
            <w:vAlign w:val="center"/>
            <w:hideMark/>
          </w:tcPr>
          <w:p w14:paraId="1A0DB3B5" w14:textId="77777777" w:rsidR="0055606D" w:rsidRPr="00FB3CCF" w:rsidRDefault="0055606D" w:rsidP="0045121F">
            <w:pPr>
              <w:spacing w:after="0" w:line="360" w:lineRule="auto"/>
              <w:jc w:val="both"/>
              <w:rPr>
                <w:rFonts w:ascii="Arial" w:eastAsia="Times New Roman" w:hAnsi="Arial" w:cs="Arial"/>
                <w:b/>
                <w:bCs/>
                <w:kern w:val="0"/>
                <w:sz w:val="22"/>
                <w:szCs w:val="22"/>
                <w:lang w:eastAsia="en-GB"/>
                <w14:ligatures w14:val="none"/>
              </w:rPr>
            </w:pPr>
            <w:r w:rsidRPr="00FB3CCF">
              <w:rPr>
                <w:rFonts w:ascii="Arial" w:eastAsia="Times New Roman" w:hAnsi="Arial" w:cs="Arial"/>
                <w:b/>
                <w:bCs/>
                <w:kern w:val="0"/>
                <w:sz w:val="22"/>
                <w:szCs w:val="22"/>
                <w:lang w:eastAsia="en-GB"/>
                <w14:ligatures w14:val="none"/>
              </w:rPr>
              <w:t>Inclusion criteria</w:t>
            </w:r>
          </w:p>
        </w:tc>
        <w:tc>
          <w:tcPr>
            <w:tcW w:w="5480" w:type="dxa"/>
            <w:tcBorders>
              <w:top w:val="single" w:sz="4" w:space="0" w:color="auto"/>
              <w:left w:val="nil"/>
              <w:bottom w:val="single" w:sz="4" w:space="0" w:color="auto"/>
              <w:right w:val="single" w:sz="4" w:space="0" w:color="auto"/>
            </w:tcBorders>
            <w:vAlign w:val="center"/>
            <w:hideMark/>
          </w:tcPr>
          <w:p w14:paraId="1AB3F282" w14:textId="77777777" w:rsidR="0055606D" w:rsidRPr="00FB3CCF" w:rsidRDefault="0055606D" w:rsidP="0045121F">
            <w:pPr>
              <w:spacing w:after="0" w:line="360" w:lineRule="auto"/>
              <w:jc w:val="both"/>
              <w:rPr>
                <w:rFonts w:ascii="Arial" w:eastAsia="Times New Roman" w:hAnsi="Arial" w:cs="Arial"/>
                <w:b/>
                <w:bCs/>
                <w:kern w:val="0"/>
                <w:sz w:val="22"/>
                <w:szCs w:val="22"/>
                <w:lang w:eastAsia="en-GB"/>
                <w14:ligatures w14:val="none"/>
              </w:rPr>
            </w:pPr>
            <w:r w:rsidRPr="00FB3CCF">
              <w:rPr>
                <w:rFonts w:ascii="Arial" w:eastAsia="Times New Roman" w:hAnsi="Arial" w:cs="Arial"/>
                <w:b/>
                <w:bCs/>
                <w:kern w:val="0"/>
                <w:sz w:val="22"/>
                <w:szCs w:val="22"/>
                <w:lang w:eastAsia="en-GB"/>
                <w14:ligatures w14:val="none"/>
              </w:rPr>
              <w:t>Exclusion criteria</w:t>
            </w:r>
          </w:p>
        </w:tc>
      </w:tr>
      <w:tr w:rsidR="0055606D" w:rsidRPr="00FB3CCF" w14:paraId="1A67C96C" w14:textId="77777777" w:rsidTr="0055606D">
        <w:trPr>
          <w:trHeight w:val="520"/>
        </w:trPr>
        <w:tc>
          <w:tcPr>
            <w:tcW w:w="3640" w:type="dxa"/>
            <w:tcBorders>
              <w:top w:val="nil"/>
              <w:left w:val="single" w:sz="4" w:space="0" w:color="auto"/>
              <w:bottom w:val="single" w:sz="4" w:space="0" w:color="auto"/>
              <w:right w:val="single" w:sz="4" w:space="0" w:color="auto"/>
            </w:tcBorders>
            <w:vAlign w:val="center"/>
            <w:hideMark/>
          </w:tcPr>
          <w:p w14:paraId="1F4B78C6" w14:textId="77777777" w:rsidR="0055606D" w:rsidRPr="00FB3CCF" w:rsidRDefault="0055606D" w:rsidP="0045121F">
            <w:pPr>
              <w:spacing w:after="0" w:line="360" w:lineRule="auto"/>
              <w:jc w:val="both"/>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Peer reviewed journal articles and major scholarly reports</w:t>
            </w:r>
          </w:p>
        </w:tc>
        <w:tc>
          <w:tcPr>
            <w:tcW w:w="5480" w:type="dxa"/>
            <w:tcBorders>
              <w:top w:val="nil"/>
              <w:left w:val="nil"/>
              <w:bottom w:val="single" w:sz="4" w:space="0" w:color="auto"/>
              <w:right w:val="single" w:sz="4" w:space="0" w:color="auto"/>
            </w:tcBorders>
            <w:vAlign w:val="center"/>
            <w:hideMark/>
          </w:tcPr>
          <w:p w14:paraId="2D651873" w14:textId="77777777" w:rsidR="0055606D" w:rsidRPr="00FB3CCF" w:rsidRDefault="0055606D" w:rsidP="0045121F">
            <w:pPr>
              <w:spacing w:after="0" w:line="360" w:lineRule="auto"/>
              <w:jc w:val="both"/>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Purely promotional industry material with no analytical value</w:t>
            </w:r>
          </w:p>
        </w:tc>
      </w:tr>
      <w:tr w:rsidR="0055606D" w:rsidRPr="00FB3CCF" w14:paraId="1B602455" w14:textId="77777777" w:rsidTr="0055606D">
        <w:trPr>
          <w:trHeight w:val="780"/>
        </w:trPr>
        <w:tc>
          <w:tcPr>
            <w:tcW w:w="3640" w:type="dxa"/>
            <w:tcBorders>
              <w:top w:val="nil"/>
              <w:left w:val="single" w:sz="4" w:space="0" w:color="auto"/>
              <w:bottom w:val="single" w:sz="4" w:space="0" w:color="auto"/>
              <w:right w:val="single" w:sz="4" w:space="0" w:color="auto"/>
            </w:tcBorders>
            <w:vAlign w:val="center"/>
            <w:hideMark/>
          </w:tcPr>
          <w:p w14:paraId="1AA6FF51" w14:textId="77777777" w:rsidR="0055606D" w:rsidRPr="00FB3CCF" w:rsidRDefault="0055606D" w:rsidP="0045121F">
            <w:pPr>
              <w:spacing w:after="0" w:line="360" w:lineRule="auto"/>
              <w:jc w:val="both"/>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Studies on wave energy, marine energy, renewable finance, bankability, investor decision making, or commercialization</w:t>
            </w:r>
          </w:p>
        </w:tc>
        <w:tc>
          <w:tcPr>
            <w:tcW w:w="5480" w:type="dxa"/>
            <w:tcBorders>
              <w:top w:val="nil"/>
              <w:left w:val="nil"/>
              <w:bottom w:val="single" w:sz="4" w:space="0" w:color="auto"/>
              <w:right w:val="single" w:sz="4" w:space="0" w:color="auto"/>
            </w:tcBorders>
            <w:vAlign w:val="center"/>
            <w:hideMark/>
          </w:tcPr>
          <w:p w14:paraId="139D7A0E" w14:textId="77777777" w:rsidR="0055606D" w:rsidRPr="00FB3CCF" w:rsidRDefault="0055606D" w:rsidP="0045121F">
            <w:pPr>
              <w:spacing w:after="0" w:line="360" w:lineRule="auto"/>
              <w:jc w:val="both"/>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Studies limited to engineering design with no relevance to financeability or commercialization</w:t>
            </w:r>
          </w:p>
        </w:tc>
      </w:tr>
      <w:tr w:rsidR="0055606D" w:rsidRPr="00FB3CCF" w14:paraId="65927406" w14:textId="77777777" w:rsidTr="0055606D">
        <w:trPr>
          <w:trHeight w:val="780"/>
        </w:trPr>
        <w:tc>
          <w:tcPr>
            <w:tcW w:w="3640" w:type="dxa"/>
            <w:tcBorders>
              <w:top w:val="nil"/>
              <w:left w:val="single" w:sz="4" w:space="0" w:color="auto"/>
              <w:bottom w:val="single" w:sz="4" w:space="0" w:color="auto"/>
              <w:right w:val="single" w:sz="4" w:space="0" w:color="auto"/>
            </w:tcBorders>
            <w:vAlign w:val="center"/>
            <w:hideMark/>
          </w:tcPr>
          <w:p w14:paraId="525EA207" w14:textId="77777777" w:rsidR="0055606D" w:rsidRPr="00FB3CCF" w:rsidRDefault="0055606D" w:rsidP="0045121F">
            <w:pPr>
              <w:spacing w:after="0" w:line="360" w:lineRule="auto"/>
              <w:jc w:val="both"/>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UK focused studies plus closely relevant international work used for conceptual comparison</w:t>
            </w:r>
          </w:p>
        </w:tc>
        <w:tc>
          <w:tcPr>
            <w:tcW w:w="5480" w:type="dxa"/>
            <w:tcBorders>
              <w:top w:val="nil"/>
              <w:left w:val="nil"/>
              <w:bottom w:val="single" w:sz="4" w:space="0" w:color="auto"/>
              <w:right w:val="single" w:sz="4" w:space="0" w:color="auto"/>
            </w:tcBorders>
            <w:vAlign w:val="center"/>
            <w:hideMark/>
          </w:tcPr>
          <w:p w14:paraId="137AB585" w14:textId="77777777" w:rsidR="0055606D" w:rsidRPr="00FB3CCF" w:rsidRDefault="0055606D" w:rsidP="0045121F">
            <w:pPr>
              <w:spacing w:after="0" w:line="360" w:lineRule="auto"/>
              <w:jc w:val="both"/>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Studies with no relevance to wave energy, startup finance, or bankability conditions</w:t>
            </w:r>
          </w:p>
        </w:tc>
      </w:tr>
      <w:tr w:rsidR="0055606D" w:rsidRPr="00FB3CCF" w14:paraId="1718D034" w14:textId="77777777" w:rsidTr="0055606D">
        <w:trPr>
          <w:trHeight w:val="780"/>
        </w:trPr>
        <w:tc>
          <w:tcPr>
            <w:tcW w:w="3640" w:type="dxa"/>
            <w:tcBorders>
              <w:top w:val="nil"/>
              <w:left w:val="single" w:sz="4" w:space="0" w:color="auto"/>
              <w:bottom w:val="single" w:sz="4" w:space="0" w:color="auto"/>
              <w:right w:val="single" w:sz="4" w:space="0" w:color="auto"/>
            </w:tcBorders>
            <w:vAlign w:val="center"/>
            <w:hideMark/>
          </w:tcPr>
          <w:p w14:paraId="3E79F9AC" w14:textId="77777777" w:rsidR="0055606D" w:rsidRPr="00FB3CCF" w:rsidRDefault="0055606D" w:rsidP="0045121F">
            <w:pPr>
              <w:spacing w:after="0" w:line="360" w:lineRule="auto"/>
              <w:jc w:val="both"/>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Studies that address technical, commercial, policy, institutional, or regulatory dimensions of financeability</w:t>
            </w:r>
          </w:p>
        </w:tc>
        <w:tc>
          <w:tcPr>
            <w:tcW w:w="5480" w:type="dxa"/>
            <w:tcBorders>
              <w:top w:val="nil"/>
              <w:left w:val="nil"/>
              <w:bottom w:val="single" w:sz="4" w:space="0" w:color="auto"/>
              <w:right w:val="single" w:sz="4" w:space="0" w:color="auto"/>
            </w:tcBorders>
            <w:vAlign w:val="center"/>
            <w:hideMark/>
          </w:tcPr>
          <w:p w14:paraId="686C201C" w14:textId="77777777" w:rsidR="0055606D" w:rsidRPr="00FB3CCF" w:rsidRDefault="0055606D" w:rsidP="0045121F">
            <w:pPr>
              <w:spacing w:after="0" w:line="360" w:lineRule="auto"/>
              <w:jc w:val="both"/>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Sources that duplicate already included evidence without adding analytical value</w:t>
            </w:r>
          </w:p>
        </w:tc>
      </w:tr>
      <w:tr w:rsidR="0055606D" w:rsidRPr="00FB3CCF" w14:paraId="337F4199" w14:textId="77777777" w:rsidTr="0055606D">
        <w:trPr>
          <w:trHeight w:val="780"/>
        </w:trPr>
        <w:tc>
          <w:tcPr>
            <w:tcW w:w="3640" w:type="dxa"/>
            <w:tcBorders>
              <w:top w:val="nil"/>
              <w:left w:val="single" w:sz="4" w:space="0" w:color="auto"/>
              <w:bottom w:val="single" w:sz="4" w:space="0" w:color="auto"/>
              <w:right w:val="single" w:sz="4" w:space="0" w:color="auto"/>
            </w:tcBorders>
            <w:vAlign w:val="center"/>
            <w:hideMark/>
          </w:tcPr>
          <w:p w14:paraId="2DF8224C" w14:textId="77777777" w:rsidR="0055606D" w:rsidRPr="00FB3CCF" w:rsidRDefault="0055606D" w:rsidP="0045121F">
            <w:pPr>
              <w:spacing w:after="0" w:line="360" w:lineRule="auto"/>
              <w:jc w:val="both"/>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Foundational older papers plus recent papers showing current interpretation of the field</w:t>
            </w:r>
          </w:p>
        </w:tc>
        <w:tc>
          <w:tcPr>
            <w:tcW w:w="5480" w:type="dxa"/>
            <w:tcBorders>
              <w:top w:val="nil"/>
              <w:left w:val="nil"/>
              <w:bottom w:val="single" w:sz="4" w:space="0" w:color="auto"/>
              <w:right w:val="single" w:sz="4" w:space="0" w:color="auto"/>
            </w:tcBorders>
            <w:vAlign w:val="center"/>
            <w:hideMark/>
          </w:tcPr>
          <w:p w14:paraId="23489B6C" w14:textId="77777777" w:rsidR="0055606D" w:rsidRPr="00FB3CCF" w:rsidRDefault="0055606D" w:rsidP="0045121F">
            <w:pPr>
              <w:spacing w:after="0" w:line="360" w:lineRule="auto"/>
              <w:jc w:val="both"/>
              <w:rPr>
                <w:rFonts w:ascii="Arial" w:eastAsia="Times New Roman" w:hAnsi="Arial" w:cs="Arial"/>
                <w:kern w:val="0"/>
                <w:sz w:val="22"/>
                <w:szCs w:val="22"/>
                <w:lang w:eastAsia="en-GB"/>
                <w14:ligatures w14:val="none"/>
              </w:rPr>
            </w:pPr>
            <w:r w:rsidRPr="00FB3CCF">
              <w:rPr>
                <w:rFonts w:ascii="Arial" w:eastAsia="Times New Roman" w:hAnsi="Arial" w:cs="Arial"/>
                <w:kern w:val="0"/>
                <w:sz w:val="22"/>
                <w:szCs w:val="22"/>
                <w:lang w:eastAsia="en-GB"/>
                <w14:ligatures w14:val="none"/>
              </w:rPr>
              <w:t>Sources lacking sufficient methodological or conceptual clarity</w:t>
            </w:r>
          </w:p>
        </w:tc>
      </w:tr>
    </w:tbl>
    <w:p w14:paraId="498A0B6E" w14:textId="397D6C74" w:rsidR="0055606D" w:rsidRPr="00FB3CCF" w:rsidRDefault="0055606D" w:rsidP="0045121F">
      <w:pPr>
        <w:spacing w:after="0" w:line="360" w:lineRule="auto"/>
        <w:jc w:val="both"/>
        <w:rPr>
          <w:rFonts w:ascii="Arial" w:eastAsia="Times New Roman" w:hAnsi="Arial" w:cs="Arial"/>
          <w:kern w:val="0"/>
          <w:sz w:val="15"/>
          <w:szCs w:val="15"/>
          <w:lang w:eastAsia="en-GB"/>
          <w14:ligatures w14:val="none"/>
        </w:rPr>
      </w:pPr>
      <w:r w:rsidRPr="00FB3CCF">
        <w:rPr>
          <w:rFonts w:ascii="Arial" w:eastAsia="Times New Roman" w:hAnsi="Arial" w:cs="Arial"/>
          <w:b/>
          <w:bCs/>
          <w:kern w:val="0"/>
          <w:sz w:val="15"/>
          <w:szCs w:val="15"/>
          <w:lang w:eastAsia="en-GB"/>
          <w14:ligatures w14:val="none"/>
        </w:rPr>
        <w:t>Source:</w:t>
      </w:r>
      <w:r w:rsidRPr="00FB3CCF">
        <w:rPr>
          <w:rFonts w:ascii="Arial" w:eastAsia="Times New Roman" w:hAnsi="Arial" w:cs="Arial"/>
          <w:kern w:val="0"/>
          <w:sz w:val="15"/>
          <w:szCs w:val="15"/>
          <w:lang w:eastAsia="en-GB"/>
          <w14:ligatures w14:val="none"/>
        </w:rPr>
        <w:t xml:space="preserve"> Author’s </w:t>
      </w:r>
      <w:r w:rsidR="009B4D4D" w:rsidRPr="00FB3CCF">
        <w:rPr>
          <w:rFonts w:ascii="Arial" w:eastAsia="Times New Roman" w:hAnsi="Arial" w:cs="Arial"/>
          <w:kern w:val="0"/>
          <w:sz w:val="15"/>
          <w:szCs w:val="15"/>
          <w:lang w:eastAsia="en-GB"/>
          <w14:ligatures w14:val="none"/>
        </w:rPr>
        <w:t xml:space="preserve">own </w:t>
      </w:r>
      <w:r w:rsidRPr="00FB3CCF">
        <w:rPr>
          <w:rFonts w:ascii="Arial" w:eastAsia="Times New Roman" w:hAnsi="Arial" w:cs="Arial"/>
          <w:kern w:val="0"/>
          <w:sz w:val="15"/>
          <w:szCs w:val="15"/>
          <w:lang w:eastAsia="en-GB"/>
          <w14:ligatures w14:val="none"/>
        </w:rPr>
        <w:t xml:space="preserve">synthesis of inclusion and exclusion criteria for the present review, </w:t>
      </w:r>
      <w:r w:rsidR="009B4D4D" w:rsidRPr="00FB3CCF">
        <w:rPr>
          <w:rFonts w:ascii="Arial" w:eastAsia="Times New Roman" w:hAnsi="Arial" w:cs="Arial"/>
          <w:kern w:val="0"/>
          <w:sz w:val="15"/>
          <w:szCs w:val="15"/>
          <w:lang w:eastAsia="en-GB"/>
          <w14:ligatures w14:val="none"/>
        </w:rPr>
        <w:t>based on</w:t>
      </w:r>
      <w:r w:rsidRPr="00FB3CCF">
        <w:rPr>
          <w:rFonts w:ascii="Arial" w:eastAsia="Times New Roman" w:hAnsi="Arial" w:cs="Arial"/>
          <w:kern w:val="0"/>
          <w:sz w:val="15"/>
          <w:szCs w:val="15"/>
          <w:lang w:eastAsia="en-GB"/>
          <w14:ligatures w14:val="none"/>
        </w:rPr>
        <w:t xml:space="preserve"> Randolph (2009), </w:t>
      </w:r>
      <w:proofErr w:type="spellStart"/>
      <w:r w:rsidRPr="00FB3CCF">
        <w:rPr>
          <w:rFonts w:ascii="Arial" w:eastAsia="Times New Roman" w:hAnsi="Arial" w:cs="Arial"/>
          <w:kern w:val="0"/>
          <w:sz w:val="15"/>
          <w:szCs w:val="15"/>
          <w:lang w:eastAsia="en-GB"/>
          <w14:ligatures w14:val="none"/>
        </w:rPr>
        <w:t>Templier</w:t>
      </w:r>
      <w:proofErr w:type="spellEnd"/>
      <w:r w:rsidRPr="00FB3CCF">
        <w:rPr>
          <w:rFonts w:ascii="Arial" w:eastAsia="Times New Roman" w:hAnsi="Arial" w:cs="Arial"/>
          <w:kern w:val="0"/>
          <w:sz w:val="15"/>
          <w:szCs w:val="15"/>
          <w:lang w:eastAsia="en-GB"/>
          <w14:ligatures w14:val="none"/>
        </w:rPr>
        <w:t xml:space="preserve"> and Paré (2015), Liberati et al. (2009) and Page et al. (2021).</w:t>
      </w:r>
    </w:p>
    <w:p w14:paraId="3E83DA12" w14:textId="77777777" w:rsidR="00F528FB" w:rsidRPr="00FB3CCF" w:rsidRDefault="00F528FB" w:rsidP="0045121F">
      <w:pPr>
        <w:spacing w:after="0" w:line="360" w:lineRule="auto"/>
        <w:jc w:val="both"/>
        <w:rPr>
          <w:rFonts w:ascii="Arial" w:eastAsia="Times New Roman" w:hAnsi="Arial" w:cs="Arial"/>
          <w:b/>
          <w:bCs/>
          <w:kern w:val="0"/>
          <w:sz w:val="15"/>
          <w:szCs w:val="15"/>
          <w:lang w:eastAsia="en-GB"/>
          <w14:ligatures w14:val="none"/>
        </w:rPr>
      </w:pPr>
    </w:p>
    <w:p w14:paraId="2E62D215" w14:textId="71332B5B" w:rsidR="0055606D" w:rsidRPr="00FB3CCF" w:rsidRDefault="00267EBC" w:rsidP="0045121F">
      <w:pPr>
        <w:spacing w:after="0" w:line="360" w:lineRule="auto"/>
        <w:jc w:val="both"/>
        <w:rPr>
          <w:rFonts w:ascii="Arial" w:hAnsi="Arial" w:cs="Arial"/>
          <w:sz w:val="22"/>
          <w:szCs w:val="22"/>
        </w:rPr>
      </w:pPr>
      <w:r w:rsidRPr="00FB3CCF">
        <w:rPr>
          <w:rFonts w:ascii="Arial" w:hAnsi="Arial" w:cs="Arial"/>
          <w:sz w:val="22"/>
          <w:szCs w:val="22"/>
        </w:rPr>
        <w:t xml:space="preserve">These criteria are particularly critical in the present topic due to the irregular distribution of the literature. Several studies concentrate on policy development, stakeholder perspectives, or are solely centred on commercialisation. </w:t>
      </w:r>
      <w:r w:rsidRPr="00FB3CCF">
        <w:rPr>
          <w:rFonts w:ascii="Arial" w:hAnsi="Arial" w:cs="Arial"/>
          <w:kern w:val="0"/>
          <w:sz w:val="22"/>
          <w:szCs w:val="22"/>
          <w14:ligatures w14:val="none"/>
        </w:rPr>
        <w:t>To include all bankability topics, a critical review must contain sufficiently diverse material</w:t>
      </w:r>
      <w:r w:rsidRPr="00FB3CCF">
        <w:rPr>
          <w:rFonts w:ascii="Arial" w:hAnsi="Arial" w:cs="Arial"/>
          <w:sz w:val="22"/>
          <w:szCs w:val="22"/>
        </w:rPr>
        <w:t xml:space="preserve"> while excluding publications that do not contribute to understanding access to finance.</w:t>
      </w:r>
    </w:p>
    <w:p w14:paraId="4F37E66B" w14:textId="77777777" w:rsidR="00F528FB" w:rsidRPr="00FB3CCF" w:rsidRDefault="00F528FB" w:rsidP="0045121F">
      <w:pPr>
        <w:spacing w:after="0" w:line="360" w:lineRule="auto"/>
        <w:jc w:val="both"/>
        <w:rPr>
          <w:rFonts w:ascii="Arial" w:hAnsi="Arial" w:cs="Arial"/>
          <w:sz w:val="22"/>
          <w:szCs w:val="22"/>
        </w:rPr>
      </w:pPr>
    </w:p>
    <w:p w14:paraId="59C00964" w14:textId="77777777" w:rsidR="00F528FB" w:rsidRPr="00FB3CCF" w:rsidRDefault="00F528FB" w:rsidP="00F528FB">
      <w:pPr>
        <w:spacing w:after="0" w:line="360" w:lineRule="auto"/>
        <w:jc w:val="both"/>
        <w:rPr>
          <w:rFonts w:ascii="Arial" w:hAnsi="Arial" w:cs="Arial"/>
          <w:b/>
          <w:bCs/>
          <w:sz w:val="22"/>
          <w:szCs w:val="22"/>
        </w:rPr>
      </w:pPr>
      <w:r w:rsidRPr="00FB3CCF">
        <w:rPr>
          <w:rFonts w:ascii="Arial" w:hAnsi="Arial" w:cs="Arial"/>
          <w:b/>
          <w:bCs/>
          <w:sz w:val="22"/>
          <w:szCs w:val="22"/>
        </w:rPr>
        <w:t>Critical thinking in the analysis of literature</w:t>
      </w:r>
    </w:p>
    <w:p w14:paraId="33FB7A98" w14:textId="27CCDEC3" w:rsidR="00F528FB" w:rsidRPr="00FB3CCF" w:rsidRDefault="00F528FB" w:rsidP="00F528FB">
      <w:pPr>
        <w:spacing w:after="0" w:line="360" w:lineRule="auto"/>
        <w:jc w:val="both"/>
        <w:rPr>
          <w:rFonts w:ascii="Arial" w:hAnsi="Arial" w:cs="Arial"/>
          <w:sz w:val="22"/>
          <w:szCs w:val="22"/>
        </w:rPr>
      </w:pPr>
      <w:r w:rsidRPr="00FB3CCF">
        <w:rPr>
          <w:rFonts w:ascii="Arial" w:hAnsi="Arial" w:cs="Arial"/>
          <w:sz w:val="22"/>
          <w:szCs w:val="22"/>
        </w:rPr>
        <w:t xml:space="preserve">The task of a DBA-level literature review should analyse relationships between concepts, methods, findings, and assumptions across the field. Critical reading identifies the strengths and weaknesses of individual studies, but it also examines how studies relate to each other </w:t>
      </w:r>
      <w:r w:rsidRPr="00FB3CCF">
        <w:rPr>
          <w:rFonts w:ascii="Arial" w:hAnsi="Arial" w:cs="Arial"/>
          <w:sz w:val="22"/>
          <w:szCs w:val="22"/>
        </w:rPr>
        <w:lastRenderedPageBreak/>
        <w:t>and where their arguments and findings align or differ, and as a result, critical reading reveals the current knowledge of the field (Randolph, 2009; Ketchen and Craighead, 2023).</w:t>
      </w:r>
    </w:p>
    <w:p w14:paraId="4EA79604" w14:textId="77777777" w:rsidR="00F528FB" w:rsidRPr="00FB3CCF" w:rsidRDefault="00F528FB" w:rsidP="00F528FB">
      <w:pPr>
        <w:spacing w:after="0" w:line="360" w:lineRule="auto"/>
        <w:jc w:val="both"/>
        <w:rPr>
          <w:rFonts w:ascii="Arial" w:hAnsi="Arial" w:cs="Arial"/>
          <w:sz w:val="22"/>
          <w:szCs w:val="22"/>
        </w:rPr>
      </w:pPr>
    </w:p>
    <w:p w14:paraId="0409B185" w14:textId="798AB441" w:rsidR="00712DF7" w:rsidRPr="00FB3CCF" w:rsidRDefault="00F528FB" w:rsidP="0045121F">
      <w:pPr>
        <w:spacing w:after="0" w:line="360" w:lineRule="auto"/>
        <w:jc w:val="both"/>
        <w:rPr>
          <w:rFonts w:ascii="Arial" w:hAnsi="Arial" w:cs="Arial"/>
          <w:b/>
          <w:bCs/>
          <w:sz w:val="22"/>
          <w:szCs w:val="22"/>
        </w:rPr>
      </w:pPr>
      <w:r w:rsidRPr="00FB3CCF">
        <w:rPr>
          <w:rFonts w:ascii="Arial" w:hAnsi="Arial" w:cs="Arial"/>
          <w:b/>
          <w:bCs/>
          <w:sz w:val="22"/>
          <w:szCs w:val="22"/>
        </w:rPr>
        <w:t>Theory, debates, and contradictions</w:t>
      </w:r>
    </w:p>
    <w:p w14:paraId="524028DA" w14:textId="278FE455" w:rsidR="00F528FB" w:rsidRPr="00FB3CCF" w:rsidRDefault="00F528FB" w:rsidP="0045121F">
      <w:pPr>
        <w:spacing w:after="0" w:line="360" w:lineRule="auto"/>
        <w:jc w:val="both"/>
        <w:rPr>
          <w:rFonts w:ascii="Arial" w:hAnsi="Arial" w:cs="Arial"/>
          <w:sz w:val="22"/>
          <w:szCs w:val="22"/>
        </w:rPr>
      </w:pPr>
      <w:r w:rsidRPr="00FB3CCF">
        <w:rPr>
          <w:rFonts w:ascii="Arial" w:hAnsi="Arial" w:cs="Arial"/>
          <w:sz w:val="22"/>
          <w:szCs w:val="22"/>
        </w:rPr>
        <w:t>Table 5. Key Debates and Tensions in the Literature for the present review</w:t>
      </w:r>
    </w:p>
    <w:tbl>
      <w:tblPr>
        <w:tblW w:w="9216" w:type="dxa"/>
        <w:tblLook w:val="04A0" w:firstRow="1" w:lastRow="0" w:firstColumn="1" w:lastColumn="0" w:noHBand="0" w:noVBand="1"/>
      </w:tblPr>
      <w:tblGrid>
        <w:gridCol w:w="2834"/>
        <w:gridCol w:w="2353"/>
        <w:gridCol w:w="1754"/>
        <w:gridCol w:w="2275"/>
      </w:tblGrid>
      <w:tr w:rsidR="00F528FB" w:rsidRPr="00FB3CCF" w14:paraId="20FCF452" w14:textId="77777777" w:rsidTr="00F528FB">
        <w:trPr>
          <w:trHeight w:val="655"/>
        </w:trPr>
        <w:tc>
          <w:tcPr>
            <w:tcW w:w="2834" w:type="dxa"/>
            <w:tcBorders>
              <w:top w:val="single" w:sz="4" w:space="0" w:color="auto"/>
              <w:left w:val="single" w:sz="4" w:space="0" w:color="auto"/>
              <w:bottom w:val="single" w:sz="4" w:space="0" w:color="auto"/>
              <w:right w:val="single" w:sz="4" w:space="0" w:color="auto"/>
            </w:tcBorders>
            <w:vAlign w:val="center"/>
            <w:hideMark/>
          </w:tcPr>
          <w:p w14:paraId="15BDA4FA" w14:textId="77777777" w:rsidR="00F528FB" w:rsidRPr="00FB3CCF" w:rsidRDefault="00F528FB" w:rsidP="00F528FB">
            <w:pPr>
              <w:spacing w:after="0" w:line="240" w:lineRule="auto"/>
              <w:jc w:val="center"/>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Tension</w:t>
            </w:r>
          </w:p>
        </w:tc>
        <w:tc>
          <w:tcPr>
            <w:tcW w:w="2353" w:type="dxa"/>
            <w:tcBorders>
              <w:top w:val="single" w:sz="4" w:space="0" w:color="auto"/>
              <w:left w:val="nil"/>
              <w:bottom w:val="single" w:sz="4" w:space="0" w:color="auto"/>
              <w:right w:val="single" w:sz="4" w:space="0" w:color="auto"/>
            </w:tcBorders>
            <w:vAlign w:val="center"/>
            <w:hideMark/>
          </w:tcPr>
          <w:p w14:paraId="276EC4AB" w14:textId="77777777" w:rsidR="00F528FB" w:rsidRPr="00FB3CCF" w:rsidRDefault="00F528FB" w:rsidP="00F528FB">
            <w:pPr>
              <w:spacing w:after="0" w:line="240" w:lineRule="auto"/>
              <w:jc w:val="center"/>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Key evidence</w:t>
            </w:r>
          </w:p>
        </w:tc>
        <w:tc>
          <w:tcPr>
            <w:tcW w:w="1754" w:type="dxa"/>
            <w:tcBorders>
              <w:top w:val="single" w:sz="4" w:space="0" w:color="auto"/>
              <w:left w:val="nil"/>
              <w:bottom w:val="single" w:sz="4" w:space="0" w:color="auto"/>
              <w:right w:val="single" w:sz="4" w:space="0" w:color="auto"/>
            </w:tcBorders>
            <w:vAlign w:val="center"/>
            <w:hideMark/>
          </w:tcPr>
          <w:p w14:paraId="5F7B9049" w14:textId="77777777" w:rsidR="00F528FB" w:rsidRPr="00FB3CCF" w:rsidRDefault="00F528FB" w:rsidP="00F528FB">
            <w:pPr>
              <w:spacing w:after="0" w:line="240" w:lineRule="auto"/>
              <w:jc w:val="center"/>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What it shows</w:t>
            </w:r>
          </w:p>
        </w:tc>
        <w:tc>
          <w:tcPr>
            <w:tcW w:w="2275" w:type="dxa"/>
            <w:tcBorders>
              <w:top w:val="single" w:sz="4" w:space="0" w:color="auto"/>
              <w:left w:val="nil"/>
              <w:bottom w:val="single" w:sz="4" w:space="0" w:color="auto"/>
              <w:right w:val="single" w:sz="4" w:space="0" w:color="auto"/>
            </w:tcBorders>
            <w:vAlign w:val="center"/>
            <w:hideMark/>
          </w:tcPr>
          <w:p w14:paraId="225B3B41" w14:textId="77777777" w:rsidR="00F528FB" w:rsidRPr="00FB3CCF" w:rsidRDefault="00F528FB" w:rsidP="00F528FB">
            <w:pPr>
              <w:spacing w:after="0" w:line="240" w:lineRule="auto"/>
              <w:jc w:val="center"/>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Why it matters</w:t>
            </w:r>
          </w:p>
        </w:tc>
      </w:tr>
      <w:tr w:rsidR="00F528FB" w:rsidRPr="00FB3CCF" w14:paraId="1E84DF0A" w14:textId="77777777" w:rsidTr="00F528FB">
        <w:trPr>
          <w:trHeight w:val="2458"/>
        </w:trPr>
        <w:tc>
          <w:tcPr>
            <w:tcW w:w="2834" w:type="dxa"/>
            <w:tcBorders>
              <w:top w:val="nil"/>
              <w:left w:val="single" w:sz="4" w:space="0" w:color="auto"/>
              <w:bottom w:val="single" w:sz="4" w:space="0" w:color="auto"/>
              <w:right w:val="single" w:sz="4" w:space="0" w:color="auto"/>
            </w:tcBorders>
            <w:vAlign w:val="center"/>
            <w:hideMark/>
          </w:tcPr>
          <w:p w14:paraId="2335C11D"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Technological promise vs commercial confidence</w:t>
            </w:r>
          </w:p>
        </w:tc>
        <w:tc>
          <w:tcPr>
            <w:tcW w:w="2353" w:type="dxa"/>
            <w:tcBorders>
              <w:top w:val="nil"/>
              <w:left w:val="nil"/>
              <w:bottom w:val="single" w:sz="4" w:space="0" w:color="auto"/>
              <w:right w:val="single" w:sz="4" w:space="0" w:color="auto"/>
            </w:tcBorders>
            <w:vAlign w:val="center"/>
            <w:hideMark/>
          </w:tcPr>
          <w:p w14:paraId="603E2869"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Jin and Greaves (2021): strong UK wave potential, but no mature commercial deployment.</w:t>
            </w:r>
          </w:p>
        </w:tc>
        <w:tc>
          <w:tcPr>
            <w:tcW w:w="1754" w:type="dxa"/>
            <w:tcBorders>
              <w:top w:val="nil"/>
              <w:left w:val="nil"/>
              <w:bottom w:val="single" w:sz="4" w:space="0" w:color="auto"/>
              <w:right w:val="single" w:sz="4" w:space="0" w:color="auto"/>
            </w:tcBorders>
            <w:vAlign w:val="center"/>
            <w:hideMark/>
          </w:tcPr>
          <w:p w14:paraId="4BA12ACC"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Technical promise does not equal bankability.</w:t>
            </w:r>
          </w:p>
        </w:tc>
        <w:tc>
          <w:tcPr>
            <w:tcW w:w="2275" w:type="dxa"/>
            <w:tcBorders>
              <w:top w:val="nil"/>
              <w:left w:val="nil"/>
              <w:bottom w:val="single" w:sz="4" w:space="0" w:color="auto"/>
              <w:right w:val="single" w:sz="4" w:space="0" w:color="auto"/>
            </w:tcBorders>
            <w:vAlign w:val="center"/>
            <w:hideMark/>
          </w:tcPr>
          <w:p w14:paraId="00F3A81C"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Investors need commercial proof, not just technical potential.</w:t>
            </w:r>
          </w:p>
        </w:tc>
      </w:tr>
      <w:tr w:rsidR="00F528FB" w:rsidRPr="00FB3CCF" w14:paraId="354914F2" w14:textId="77777777" w:rsidTr="00F528FB">
        <w:trPr>
          <w:trHeight w:val="2458"/>
        </w:trPr>
        <w:tc>
          <w:tcPr>
            <w:tcW w:w="2834" w:type="dxa"/>
            <w:tcBorders>
              <w:top w:val="nil"/>
              <w:left w:val="single" w:sz="4" w:space="0" w:color="auto"/>
              <w:bottom w:val="single" w:sz="4" w:space="0" w:color="auto"/>
              <w:right w:val="single" w:sz="4" w:space="0" w:color="auto"/>
            </w:tcBorders>
            <w:vAlign w:val="center"/>
            <w:hideMark/>
          </w:tcPr>
          <w:p w14:paraId="6A6D4432"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Public support vs private investment</w:t>
            </w:r>
          </w:p>
        </w:tc>
        <w:tc>
          <w:tcPr>
            <w:tcW w:w="2353" w:type="dxa"/>
            <w:tcBorders>
              <w:top w:val="nil"/>
              <w:left w:val="nil"/>
              <w:bottom w:val="single" w:sz="4" w:space="0" w:color="auto"/>
              <w:right w:val="single" w:sz="4" w:space="0" w:color="auto"/>
            </w:tcBorders>
            <w:vAlign w:val="center"/>
            <w:hideMark/>
          </w:tcPr>
          <w:p w14:paraId="7CDE1507"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Hannon, van Diemen and Skea (2017): long-term support did not create a viable sector because it was fragmented and over-optimistic.</w:t>
            </w:r>
          </w:p>
        </w:tc>
        <w:tc>
          <w:tcPr>
            <w:tcW w:w="1754" w:type="dxa"/>
            <w:tcBorders>
              <w:top w:val="nil"/>
              <w:left w:val="nil"/>
              <w:bottom w:val="single" w:sz="4" w:space="0" w:color="auto"/>
              <w:right w:val="single" w:sz="4" w:space="0" w:color="auto"/>
            </w:tcBorders>
            <w:vAlign w:val="center"/>
            <w:hideMark/>
          </w:tcPr>
          <w:p w14:paraId="6ED9B47C"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Public funding can coexist with weak private confidence.</w:t>
            </w:r>
          </w:p>
        </w:tc>
        <w:tc>
          <w:tcPr>
            <w:tcW w:w="2275" w:type="dxa"/>
            <w:tcBorders>
              <w:top w:val="nil"/>
              <w:left w:val="nil"/>
              <w:bottom w:val="single" w:sz="4" w:space="0" w:color="auto"/>
              <w:right w:val="single" w:sz="4" w:space="0" w:color="auto"/>
            </w:tcBorders>
            <w:vAlign w:val="center"/>
            <w:hideMark/>
          </w:tcPr>
          <w:p w14:paraId="30EDFE7F"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Support must be better designed to attract private capital.</w:t>
            </w:r>
          </w:p>
        </w:tc>
      </w:tr>
      <w:tr w:rsidR="00F528FB" w:rsidRPr="00FB3CCF" w14:paraId="3BE72D4A" w14:textId="77777777" w:rsidTr="00F528FB">
        <w:trPr>
          <w:trHeight w:val="2458"/>
        </w:trPr>
        <w:tc>
          <w:tcPr>
            <w:tcW w:w="2834" w:type="dxa"/>
            <w:tcBorders>
              <w:top w:val="nil"/>
              <w:left w:val="single" w:sz="4" w:space="0" w:color="auto"/>
              <w:bottom w:val="single" w:sz="4" w:space="0" w:color="auto"/>
              <w:right w:val="single" w:sz="4" w:space="0" w:color="auto"/>
            </w:tcBorders>
            <w:vAlign w:val="center"/>
            <w:hideMark/>
          </w:tcPr>
          <w:p w14:paraId="4FB55457"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Investor logic vs sector conditions</w:t>
            </w:r>
          </w:p>
        </w:tc>
        <w:tc>
          <w:tcPr>
            <w:tcW w:w="2353" w:type="dxa"/>
            <w:tcBorders>
              <w:top w:val="nil"/>
              <w:left w:val="nil"/>
              <w:bottom w:val="single" w:sz="4" w:space="0" w:color="auto"/>
              <w:right w:val="single" w:sz="4" w:space="0" w:color="auto"/>
            </w:tcBorders>
            <w:vAlign w:val="center"/>
            <w:hideMark/>
          </w:tcPr>
          <w:p w14:paraId="7A7171EE"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Leete, Xu and Wheeler (2013), Polzin et al. (2019), and Bucher et al. (2016): investors value risk reduction, revenue certainty, and credible maturity signals.</w:t>
            </w:r>
          </w:p>
        </w:tc>
        <w:tc>
          <w:tcPr>
            <w:tcW w:w="1754" w:type="dxa"/>
            <w:tcBorders>
              <w:top w:val="nil"/>
              <w:left w:val="nil"/>
              <w:bottom w:val="single" w:sz="4" w:space="0" w:color="auto"/>
              <w:right w:val="single" w:sz="4" w:space="0" w:color="auto"/>
            </w:tcBorders>
            <w:vAlign w:val="center"/>
            <w:hideMark/>
          </w:tcPr>
          <w:p w14:paraId="6D2CBFFA"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Bankability is shaped by risk, returns, policy, and readiness.</w:t>
            </w:r>
          </w:p>
        </w:tc>
        <w:tc>
          <w:tcPr>
            <w:tcW w:w="2275" w:type="dxa"/>
            <w:tcBorders>
              <w:top w:val="nil"/>
              <w:left w:val="nil"/>
              <w:bottom w:val="single" w:sz="4" w:space="0" w:color="auto"/>
              <w:right w:val="single" w:sz="4" w:space="0" w:color="auto"/>
            </w:tcBorders>
            <w:vAlign w:val="center"/>
            <w:hideMark/>
          </w:tcPr>
          <w:p w14:paraId="68CDD813" w14:textId="77777777" w:rsidR="00F528FB" w:rsidRPr="00FB3CCF" w:rsidRDefault="00F528FB" w:rsidP="00F528FB">
            <w:pPr>
              <w:spacing w:after="0" w:line="240" w:lineRule="auto"/>
              <w:jc w:val="center"/>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Wave ventures may struggle because sector conditions do not match investor expectations.</w:t>
            </w:r>
          </w:p>
        </w:tc>
      </w:tr>
    </w:tbl>
    <w:p w14:paraId="54E3D2C1" w14:textId="623EFDF9" w:rsidR="0045121F" w:rsidRPr="00FB3CCF" w:rsidRDefault="00F528FB" w:rsidP="0045121F">
      <w:pPr>
        <w:spacing w:after="0" w:line="360" w:lineRule="auto"/>
        <w:jc w:val="both"/>
        <w:rPr>
          <w:rFonts w:ascii="Arial" w:hAnsi="Arial" w:cs="Arial"/>
          <w:sz w:val="15"/>
          <w:szCs w:val="15"/>
        </w:rPr>
      </w:pPr>
      <w:r w:rsidRPr="00FB3CCF">
        <w:rPr>
          <w:rFonts w:ascii="Arial" w:hAnsi="Arial" w:cs="Arial"/>
          <w:sz w:val="15"/>
          <w:szCs w:val="15"/>
        </w:rPr>
        <w:t>Source: Author’s synthesis based on the reviewed literature.</w:t>
      </w:r>
    </w:p>
    <w:p w14:paraId="082E8223" w14:textId="77777777" w:rsidR="004C415D" w:rsidRPr="00FB3CCF" w:rsidRDefault="004C415D" w:rsidP="0045121F">
      <w:pPr>
        <w:spacing w:after="0" w:line="360" w:lineRule="auto"/>
        <w:jc w:val="both"/>
        <w:rPr>
          <w:rFonts w:ascii="Arial" w:hAnsi="Arial" w:cs="Arial"/>
          <w:b/>
          <w:bCs/>
          <w:sz w:val="22"/>
          <w:szCs w:val="22"/>
        </w:rPr>
      </w:pPr>
    </w:p>
    <w:p w14:paraId="40ACE8C3" w14:textId="2482037D" w:rsidR="004C415D" w:rsidRPr="00FB3CCF" w:rsidRDefault="004C415D" w:rsidP="004C415D">
      <w:pPr>
        <w:pStyle w:val="NormalWeb"/>
        <w:spacing w:before="0" w:beforeAutospacing="0" w:after="0" w:afterAutospacing="0" w:line="360" w:lineRule="auto"/>
        <w:jc w:val="both"/>
        <w:rPr>
          <w:rFonts w:ascii="Arial" w:hAnsi="Arial" w:cs="Arial"/>
          <w:sz w:val="22"/>
          <w:szCs w:val="22"/>
        </w:rPr>
      </w:pPr>
      <w:r w:rsidRPr="00FB3CCF">
        <w:rPr>
          <w:rFonts w:ascii="Arial" w:hAnsi="Arial" w:cs="Arial"/>
          <w:sz w:val="22"/>
          <w:szCs w:val="22"/>
        </w:rPr>
        <w:t xml:space="preserve">These tensions suggest that bankability in UK wave energy is not determined by the interaction of technological maturity, policy design, revenue visibility, and investor confidence. The literature highlights a broader misalignment between sector conditions and the conditions under which private finance is committed. This supports the need for a more integrated approach </w:t>
      </w:r>
      <w:r w:rsidR="00F528FB" w:rsidRPr="00FB3CCF">
        <w:rPr>
          <w:rFonts w:ascii="Arial" w:hAnsi="Arial" w:cs="Arial"/>
          <w:sz w:val="22"/>
          <w:szCs w:val="22"/>
        </w:rPr>
        <w:t>to</w:t>
      </w:r>
      <w:r w:rsidRPr="00FB3CCF">
        <w:rPr>
          <w:rFonts w:ascii="Arial" w:hAnsi="Arial" w:cs="Arial"/>
          <w:sz w:val="22"/>
          <w:szCs w:val="22"/>
        </w:rPr>
        <w:t xml:space="preserve"> understanding startup bankability in the sector.</w:t>
      </w:r>
    </w:p>
    <w:p w14:paraId="4017F0E0" w14:textId="77777777" w:rsidR="00F528FB" w:rsidRPr="00FB3CCF" w:rsidRDefault="00F528FB" w:rsidP="004C415D">
      <w:pPr>
        <w:pStyle w:val="NormalWeb"/>
        <w:spacing w:before="0" w:beforeAutospacing="0" w:after="0" w:afterAutospacing="0" w:line="360" w:lineRule="auto"/>
        <w:jc w:val="both"/>
        <w:rPr>
          <w:rFonts w:ascii="Arial" w:hAnsi="Arial" w:cs="Arial"/>
          <w:sz w:val="22"/>
          <w:szCs w:val="22"/>
        </w:rPr>
      </w:pPr>
    </w:p>
    <w:p w14:paraId="7547C385" w14:textId="77777777" w:rsidR="00F528FB" w:rsidRPr="00FB3CCF" w:rsidRDefault="00F528FB" w:rsidP="00F528FB">
      <w:pPr>
        <w:pStyle w:val="NormalWeb"/>
        <w:spacing w:after="0" w:line="360" w:lineRule="auto"/>
        <w:jc w:val="both"/>
        <w:rPr>
          <w:rFonts w:ascii="Arial" w:hAnsi="Arial" w:cs="Arial"/>
          <w:sz w:val="22"/>
          <w:szCs w:val="22"/>
        </w:rPr>
      </w:pPr>
    </w:p>
    <w:p w14:paraId="2E3CEBE9" w14:textId="77777777" w:rsidR="007B463B" w:rsidRPr="00FB3CCF" w:rsidRDefault="00F528FB" w:rsidP="007B463B">
      <w:pPr>
        <w:pStyle w:val="NormalWeb"/>
        <w:spacing w:before="0" w:beforeAutospacing="0" w:after="0" w:afterAutospacing="0" w:line="360" w:lineRule="auto"/>
        <w:jc w:val="both"/>
        <w:rPr>
          <w:rFonts w:ascii="Arial" w:hAnsi="Arial" w:cs="Arial"/>
          <w:b/>
          <w:bCs/>
          <w:sz w:val="22"/>
          <w:szCs w:val="22"/>
        </w:rPr>
      </w:pPr>
      <w:r w:rsidRPr="00FB3CCF">
        <w:rPr>
          <w:rFonts w:ascii="Arial" w:hAnsi="Arial" w:cs="Arial"/>
          <w:b/>
          <w:bCs/>
          <w:sz w:val="22"/>
          <w:szCs w:val="22"/>
        </w:rPr>
        <w:lastRenderedPageBreak/>
        <w:t>Part 1 Conclusion</w:t>
      </w:r>
    </w:p>
    <w:p w14:paraId="6AEC9FE3" w14:textId="594E5C6F" w:rsidR="00F528FB" w:rsidRPr="00FB3CCF" w:rsidRDefault="007B463B" w:rsidP="007B463B">
      <w:pPr>
        <w:pStyle w:val="NormalWeb"/>
        <w:spacing w:before="0" w:beforeAutospacing="0" w:after="0" w:afterAutospacing="0" w:line="360" w:lineRule="auto"/>
        <w:jc w:val="both"/>
        <w:rPr>
          <w:rFonts w:ascii="Arial" w:hAnsi="Arial" w:cs="Arial"/>
          <w:b/>
          <w:bCs/>
          <w:sz w:val="22"/>
          <w:szCs w:val="22"/>
        </w:rPr>
      </w:pPr>
      <w:r w:rsidRPr="00FB3CCF">
        <w:rPr>
          <w:rFonts w:ascii="Arial" w:hAnsi="Arial" w:cs="Arial"/>
          <w:sz w:val="22"/>
          <w:szCs w:val="22"/>
        </w:rPr>
        <w:t>A doctoral critical literature review is most effectively seen as an argument about what is currently known and the need for further research.</w:t>
      </w:r>
      <w:r w:rsidR="00F528FB" w:rsidRPr="00FB3CCF">
        <w:rPr>
          <w:rFonts w:ascii="Arial" w:hAnsi="Arial" w:cs="Arial"/>
          <w:sz w:val="22"/>
          <w:szCs w:val="22"/>
        </w:rPr>
        <w:t xml:space="preserve"> Its purpose is to justify the study. Its content should combine field mapping, conceptual analysis, empirical synthesis, and gap identification. Its format should be thematic and cumulative, moving from a broad field to a focused research problem. For the present study, the review should not ask only whether wave energy is promising. It should ask under what conditions UK wave energy startups become bankable, for whom, and why those conditions remain difficult to achieve. That is the kind of narrowing and sharpening that turns a broad topic into a doctoral research problem.</w:t>
      </w:r>
    </w:p>
    <w:p w14:paraId="355D401B" w14:textId="446A54DF" w:rsidR="0045121F" w:rsidRPr="00FB3CCF" w:rsidRDefault="0045121F" w:rsidP="007B463B">
      <w:pPr>
        <w:spacing w:after="0" w:line="360" w:lineRule="auto"/>
        <w:jc w:val="both"/>
        <w:rPr>
          <w:rFonts w:ascii="Arial" w:hAnsi="Arial" w:cs="Arial"/>
          <w:b/>
          <w:bCs/>
          <w:sz w:val="22"/>
          <w:szCs w:val="22"/>
        </w:rPr>
      </w:pPr>
    </w:p>
    <w:p w14:paraId="33C88EAC" w14:textId="77777777" w:rsidR="00FB3CCF" w:rsidRPr="00FB3CCF" w:rsidRDefault="00FB3CCF" w:rsidP="00FB3CCF">
      <w:pPr>
        <w:spacing w:line="360" w:lineRule="auto"/>
        <w:rPr>
          <w:rFonts w:ascii="Arial" w:hAnsi="Arial" w:cs="Arial"/>
          <w:b/>
          <w:bCs/>
        </w:rPr>
      </w:pPr>
      <w:r w:rsidRPr="00FB3CCF">
        <w:rPr>
          <w:rFonts w:ascii="Arial" w:hAnsi="Arial" w:cs="Arial"/>
          <w:b/>
          <w:bCs/>
        </w:rPr>
        <w:t xml:space="preserve">PART 2 ANNOTATED BIBLIOGRAPHY </w:t>
      </w:r>
    </w:p>
    <w:p w14:paraId="30162817"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This annotated bibliography is thematically designed because the literature relevant to the present study is divided across multiple fields, such as finance, innovation and commercialisation. Furthermore, the studies were published at different time periods; therefore, this annotated bibliography combines recent journal articles with older foundational studies that are essential for the analysis (</w:t>
      </w:r>
      <w:proofErr w:type="spellStart"/>
      <w:r w:rsidRPr="00FB3CCF">
        <w:rPr>
          <w:rFonts w:ascii="Arial" w:hAnsi="Arial" w:cs="Arial"/>
          <w:sz w:val="22"/>
          <w:szCs w:val="22"/>
        </w:rPr>
        <w:t>Winskel</w:t>
      </w:r>
      <w:proofErr w:type="spellEnd"/>
      <w:r w:rsidRPr="00FB3CCF">
        <w:rPr>
          <w:rFonts w:ascii="Arial" w:hAnsi="Arial" w:cs="Arial"/>
          <w:sz w:val="22"/>
          <w:szCs w:val="22"/>
        </w:rPr>
        <w:t xml:space="preserve"> et al., 2006; Allan et al., 2011; Hannon, Diemen and Skea, 2017; Jin and Greaves, 2021; Wiegele and Jones, 2024; van der </w:t>
      </w:r>
      <w:proofErr w:type="spellStart"/>
      <w:r w:rsidRPr="00FB3CCF">
        <w:rPr>
          <w:rFonts w:ascii="Arial" w:hAnsi="Arial" w:cs="Arial"/>
          <w:sz w:val="22"/>
          <w:szCs w:val="22"/>
        </w:rPr>
        <w:t>Schans</w:t>
      </w:r>
      <w:proofErr w:type="spellEnd"/>
      <w:r w:rsidRPr="00FB3CCF">
        <w:rPr>
          <w:rFonts w:ascii="Arial" w:hAnsi="Arial" w:cs="Arial"/>
          <w:sz w:val="22"/>
          <w:szCs w:val="22"/>
        </w:rPr>
        <w:t>, Owen and Hussain, 2025).</w:t>
      </w:r>
    </w:p>
    <w:p w14:paraId="5D0CB865"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 xml:space="preserve">The aim of this annotated bibliography is not to list everything written on wave energy but to organise the most useful sources in order to explain not only why UK wave energy startups continue to struggle to attract finance but also to examine where the literature is strongest, limited and divided. </w:t>
      </w:r>
    </w:p>
    <w:p w14:paraId="4C0AE3D1" w14:textId="77777777" w:rsidR="00FB3CCF" w:rsidRPr="00FB3CCF" w:rsidRDefault="00FB3CCF" w:rsidP="00FB3CCF">
      <w:pPr>
        <w:spacing w:line="360" w:lineRule="auto"/>
        <w:jc w:val="both"/>
        <w:rPr>
          <w:rFonts w:ascii="Arial" w:hAnsi="Arial" w:cs="Arial"/>
          <w:b/>
          <w:bCs/>
        </w:rPr>
      </w:pPr>
    </w:p>
    <w:p w14:paraId="58D29CB2"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6. Theme Map</w:t>
      </w:r>
    </w:p>
    <w:tbl>
      <w:tblPr>
        <w:tblW w:w="9363" w:type="dxa"/>
        <w:tblLook w:val="04A0" w:firstRow="1" w:lastRow="0" w:firstColumn="1" w:lastColumn="0" w:noHBand="0" w:noVBand="1"/>
      </w:tblPr>
      <w:tblGrid>
        <w:gridCol w:w="1271"/>
        <w:gridCol w:w="1985"/>
        <w:gridCol w:w="1984"/>
        <w:gridCol w:w="1985"/>
        <w:gridCol w:w="2138"/>
      </w:tblGrid>
      <w:tr w:rsidR="00FB3CCF" w:rsidRPr="00FB3CCF" w14:paraId="3930AAA3" w14:textId="77777777" w:rsidTr="00442932">
        <w:trPr>
          <w:trHeight w:val="610"/>
        </w:trPr>
        <w:tc>
          <w:tcPr>
            <w:tcW w:w="1271" w:type="dxa"/>
            <w:tcBorders>
              <w:top w:val="single" w:sz="4" w:space="0" w:color="auto"/>
              <w:left w:val="single" w:sz="4" w:space="0" w:color="auto"/>
              <w:bottom w:val="single" w:sz="4" w:space="0" w:color="auto"/>
              <w:right w:val="single" w:sz="4" w:space="0" w:color="auto"/>
            </w:tcBorders>
            <w:vAlign w:val="center"/>
            <w:hideMark/>
          </w:tcPr>
          <w:p w14:paraId="22D2355A"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Theme No.</w:t>
            </w:r>
          </w:p>
        </w:tc>
        <w:tc>
          <w:tcPr>
            <w:tcW w:w="1985" w:type="dxa"/>
            <w:tcBorders>
              <w:top w:val="single" w:sz="4" w:space="0" w:color="auto"/>
              <w:left w:val="nil"/>
              <w:bottom w:val="single" w:sz="4" w:space="0" w:color="auto"/>
              <w:right w:val="single" w:sz="4" w:space="0" w:color="auto"/>
            </w:tcBorders>
            <w:vAlign w:val="center"/>
            <w:hideMark/>
          </w:tcPr>
          <w:p w14:paraId="75558B9E"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Theme</w:t>
            </w:r>
          </w:p>
        </w:tc>
        <w:tc>
          <w:tcPr>
            <w:tcW w:w="1984" w:type="dxa"/>
            <w:tcBorders>
              <w:top w:val="single" w:sz="4" w:space="0" w:color="auto"/>
              <w:left w:val="nil"/>
              <w:bottom w:val="single" w:sz="4" w:space="0" w:color="auto"/>
              <w:right w:val="single" w:sz="4" w:space="0" w:color="auto"/>
            </w:tcBorders>
            <w:vAlign w:val="center"/>
            <w:hideMark/>
          </w:tcPr>
          <w:p w14:paraId="6DDA2900"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Key Issue</w:t>
            </w:r>
          </w:p>
        </w:tc>
        <w:tc>
          <w:tcPr>
            <w:tcW w:w="1985" w:type="dxa"/>
            <w:tcBorders>
              <w:top w:val="single" w:sz="4" w:space="0" w:color="auto"/>
              <w:left w:val="nil"/>
              <w:bottom w:val="single" w:sz="4" w:space="0" w:color="auto"/>
              <w:right w:val="single" w:sz="4" w:space="0" w:color="auto"/>
            </w:tcBorders>
            <w:vAlign w:val="center"/>
            <w:hideMark/>
          </w:tcPr>
          <w:p w14:paraId="6563E7E6"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Significance</w:t>
            </w:r>
          </w:p>
        </w:tc>
        <w:tc>
          <w:tcPr>
            <w:tcW w:w="2138" w:type="dxa"/>
            <w:tcBorders>
              <w:top w:val="single" w:sz="4" w:space="0" w:color="auto"/>
              <w:left w:val="nil"/>
              <w:bottom w:val="single" w:sz="4" w:space="0" w:color="auto"/>
              <w:right w:val="single" w:sz="4" w:space="0" w:color="auto"/>
            </w:tcBorders>
            <w:vAlign w:val="center"/>
            <w:hideMark/>
          </w:tcPr>
          <w:p w14:paraId="44C448FB"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Sources</w:t>
            </w:r>
          </w:p>
        </w:tc>
      </w:tr>
      <w:tr w:rsidR="00FB3CCF" w:rsidRPr="00FB3CCF" w14:paraId="2E75C7C6" w14:textId="77777777" w:rsidTr="00442932">
        <w:trPr>
          <w:trHeight w:val="873"/>
        </w:trPr>
        <w:tc>
          <w:tcPr>
            <w:tcW w:w="1271" w:type="dxa"/>
            <w:tcBorders>
              <w:top w:val="nil"/>
              <w:left w:val="single" w:sz="4" w:space="0" w:color="auto"/>
              <w:bottom w:val="single" w:sz="4" w:space="0" w:color="auto"/>
              <w:right w:val="single" w:sz="4" w:space="0" w:color="auto"/>
            </w:tcBorders>
            <w:vAlign w:val="center"/>
            <w:hideMark/>
          </w:tcPr>
          <w:p w14:paraId="1B0F06CF"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Theme 1</w:t>
            </w:r>
          </w:p>
        </w:tc>
        <w:tc>
          <w:tcPr>
            <w:tcW w:w="1985" w:type="dxa"/>
            <w:tcBorders>
              <w:top w:val="nil"/>
              <w:left w:val="nil"/>
              <w:bottom w:val="single" w:sz="4" w:space="0" w:color="auto"/>
              <w:right w:val="single" w:sz="4" w:space="0" w:color="auto"/>
            </w:tcBorders>
            <w:vAlign w:val="center"/>
            <w:hideMark/>
          </w:tcPr>
          <w:p w14:paraId="2A84F3A4" w14:textId="77777777" w:rsidR="00FB3CCF" w:rsidRPr="00FB3CCF" w:rsidRDefault="00FB3CCF" w:rsidP="00442932">
            <w:pPr>
              <w:rPr>
                <w:rFonts w:ascii="Arial" w:hAnsi="Arial" w:cs="Arial"/>
                <w:sz w:val="18"/>
                <w:szCs w:val="18"/>
              </w:rPr>
            </w:pPr>
            <w:r w:rsidRPr="00FB3CCF">
              <w:rPr>
                <w:rFonts w:ascii="Arial" w:hAnsi="Arial" w:cs="Arial"/>
                <w:sz w:val="18"/>
                <w:szCs w:val="18"/>
              </w:rPr>
              <w:t>Bankability, investor confidence, and startup finance</w:t>
            </w:r>
          </w:p>
        </w:tc>
        <w:tc>
          <w:tcPr>
            <w:tcW w:w="1984" w:type="dxa"/>
            <w:tcBorders>
              <w:top w:val="nil"/>
              <w:left w:val="nil"/>
              <w:bottom w:val="single" w:sz="4" w:space="0" w:color="auto"/>
              <w:right w:val="single" w:sz="4" w:space="0" w:color="auto"/>
            </w:tcBorders>
            <w:vAlign w:val="center"/>
            <w:hideMark/>
          </w:tcPr>
          <w:p w14:paraId="49839625" w14:textId="77777777" w:rsidR="00FB3CCF" w:rsidRPr="00FB3CCF" w:rsidRDefault="00FB3CCF" w:rsidP="00442932">
            <w:pPr>
              <w:rPr>
                <w:rFonts w:ascii="Arial" w:hAnsi="Arial" w:cs="Arial"/>
                <w:sz w:val="18"/>
                <w:szCs w:val="18"/>
              </w:rPr>
            </w:pPr>
            <w:r w:rsidRPr="00FB3CCF">
              <w:rPr>
                <w:rFonts w:ascii="Arial" w:hAnsi="Arial" w:cs="Arial"/>
                <w:sz w:val="18"/>
                <w:szCs w:val="18"/>
              </w:rPr>
              <w:t>How capital providers judge emerging ventures</w:t>
            </w:r>
          </w:p>
        </w:tc>
        <w:tc>
          <w:tcPr>
            <w:tcW w:w="1985" w:type="dxa"/>
            <w:tcBorders>
              <w:top w:val="nil"/>
              <w:left w:val="nil"/>
              <w:bottom w:val="single" w:sz="4" w:space="0" w:color="auto"/>
              <w:right w:val="single" w:sz="4" w:space="0" w:color="auto"/>
            </w:tcBorders>
            <w:vAlign w:val="center"/>
            <w:hideMark/>
          </w:tcPr>
          <w:p w14:paraId="5823F2CA" w14:textId="77777777" w:rsidR="00FB3CCF" w:rsidRPr="00FB3CCF" w:rsidRDefault="00FB3CCF" w:rsidP="00442932">
            <w:pPr>
              <w:rPr>
                <w:rFonts w:ascii="Arial" w:hAnsi="Arial" w:cs="Arial"/>
                <w:sz w:val="18"/>
                <w:szCs w:val="18"/>
              </w:rPr>
            </w:pPr>
            <w:r w:rsidRPr="00FB3CCF">
              <w:rPr>
                <w:rFonts w:ascii="Arial" w:hAnsi="Arial" w:cs="Arial"/>
                <w:sz w:val="18"/>
                <w:szCs w:val="18"/>
              </w:rPr>
              <w:t>Gives the direct lens for the study</w:t>
            </w:r>
          </w:p>
        </w:tc>
        <w:tc>
          <w:tcPr>
            <w:tcW w:w="2138" w:type="dxa"/>
            <w:tcBorders>
              <w:top w:val="nil"/>
              <w:left w:val="nil"/>
              <w:bottom w:val="single" w:sz="4" w:space="0" w:color="auto"/>
              <w:right w:val="single" w:sz="4" w:space="0" w:color="auto"/>
            </w:tcBorders>
            <w:vAlign w:val="center"/>
            <w:hideMark/>
          </w:tcPr>
          <w:p w14:paraId="7626180E" w14:textId="77777777" w:rsidR="00FB3CCF" w:rsidRPr="00FB3CCF" w:rsidRDefault="00FB3CCF" w:rsidP="00442932">
            <w:pPr>
              <w:rPr>
                <w:rFonts w:ascii="Arial" w:hAnsi="Arial" w:cs="Arial"/>
                <w:sz w:val="18"/>
                <w:szCs w:val="18"/>
              </w:rPr>
            </w:pPr>
            <w:r w:rsidRPr="00FB3CCF">
              <w:rPr>
                <w:rFonts w:ascii="Arial" w:hAnsi="Arial" w:cs="Arial"/>
                <w:sz w:val="18"/>
                <w:szCs w:val="18"/>
              </w:rPr>
              <w:t>Leete, Xu and Wheeler, 2013; Bucher et al., 2016; Jeffrey et al., 2015; Wiegele and Jones, 2024</w:t>
            </w:r>
          </w:p>
        </w:tc>
      </w:tr>
      <w:tr w:rsidR="00FB3CCF" w:rsidRPr="00FB3CCF" w14:paraId="138744DC" w14:textId="77777777" w:rsidTr="00442932">
        <w:trPr>
          <w:trHeight w:val="873"/>
        </w:trPr>
        <w:tc>
          <w:tcPr>
            <w:tcW w:w="1271" w:type="dxa"/>
            <w:tcBorders>
              <w:top w:val="nil"/>
              <w:left w:val="single" w:sz="4" w:space="0" w:color="auto"/>
              <w:bottom w:val="single" w:sz="4" w:space="0" w:color="auto"/>
              <w:right w:val="single" w:sz="4" w:space="0" w:color="auto"/>
            </w:tcBorders>
            <w:vAlign w:val="center"/>
            <w:hideMark/>
          </w:tcPr>
          <w:p w14:paraId="777DC5FA"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Theme 2</w:t>
            </w:r>
          </w:p>
        </w:tc>
        <w:tc>
          <w:tcPr>
            <w:tcW w:w="1985" w:type="dxa"/>
            <w:tcBorders>
              <w:top w:val="nil"/>
              <w:left w:val="nil"/>
              <w:bottom w:val="single" w:sz="4" w:space="0" w:color="auto"/>
              <w:right w:val="single" w:sz="4" w:space="0" w:color="auto"/>
            </w:tcBorders>
            <w:vAlign w:val="center"/>
            <w:hideMark/>
          </w:tcPr>
          <w:p w14:paraId="2F20F9DD" w14:textId="77777777" w:rsidR="00FB3CCF" w:rsidRPr="00FB3CCF" w:rsidRDefault="00FB3CCF" w:rsidP="00442932">
            <w:pPr>
              <w:rPr>
                <w:rFonts w:ascii="Arial" w:hAnsi="Arial" w:cs="Arial"/>
                <w:sz w:val="18"/>
                <w:szCs w:val="18"/>
              </w:rPr>
            </w:pPr>
            <w:r w:rsidRPr="00FB3CCF">
              <w:rPr>
                <w:rFonts w:ascii="Arial" w:hAnsi="Arial" w:cs="Arial"/>
                <w:sz w:val="18"/>
                <w:szCs w:val="18"/>
              </w:rPr>
              <w:t>Policy support, revenue certainty, and market formation</w:t>
            </w:r>
          </w:p>
        </w:tc>
        <w:tc>
          <w:tcPr>
            <w:tcW w:w="1984" w:type="dxa"/>
            <w:tcBorders>
              <w:top w:val="nil"/>
              <w:left w:val="nil"/>
              <w:bottom w:val="single" w:sz="4" w:space="0" w:color="auto"/>
              <w:right w:val="single" w:sz="4" w:space="0" w:color="auto"/>
            </w:tcBorders>
            <w:vAlign w:val="center"/>
            <w:hideMark/>
          </w:tcPr>
          <w:p w14:paraId="1F1E584C" w14:textId="77777777" w:rsidR="00FB3CCF" w:rsidRPr="00FB3CCF" w:rsidRDefault="00FB3CCF" w:rsidP="00442932">
            <w:pPr>
              <w:rPr>
                <w:rFonts w:ascii="Arial" w:hAnsi="Arial" w:cs="Arial"/>
                <w:sz w:val="18"/>
                <w:szCs w:val="18"/>
              </w:rPr>
            </w:pPr>
            <w:r w:rsidRPr="00FB3CCF">
              <w:rPr>
                <w:rFonts w:ascii="Arial" w:hAnsi="Arial" w:cs="Arial"/>
                <w:sz w:val="18"/>
                <w:szCs w:val="18"/>
              </w:rPr>
              <w:t>How support design affects risk and returns</w:t>
            </w:r>
          </w:p>
        </w:tc>
        <w:tc>
          <w:tcPr>
            <w:tcW w:w="1985" w:type="dxa"/>
            <w:tcBorders>
              <w:top w:val="nil"/>
              <w:left w:val="nil"/>
              <w:bottom w:val="single" w:sz="4" w:space="0" w:color="auto"/>
              <w:right w:val="single" w:sz="4" w:space="0" w:color="auto"/>
            </w:tcBorders>
            <w:vAlign w:val="center"/>
            <w:hideMark/>
          </w:tcPr>
          <w:p w14:paraId="6A2E1A3F" w14:textId="77777777" w:rsidR="00FB3CCF" w:rsidRPr="00FB3CCF" w:rsidRDefault="00FB3CCF" w:rsidP="00442932">
            <w:pPr>
              <w:rPr>
                <w:rFonts w:ascii="Arial" w:hAnsi="Arial" w:cs="Arial"/>
                <w:sz w:val="18"/>
                <w:szCs w:val="18"/>
              </w:rPr>
            </w:pPr>
            <w:r w:rsidRPr="00FB3CCF">
              <w:rPr>
                <w:rFonts w:ascii="Arial" w:hAnsi="Arial" w:cs="Arial"/>
                <w:sz w:val="18"/>
                <w:szCs w:val="18"/>
              </w:rPr>
              <w:t>Explains why financing depends on policy credibility</w:t>
            </w:r>
          </w:p>
        </w:tc>
        <w:tc>
          <w:tcPr>
            <w:tcW w:w="2138" w:type="dxa"/>
            <w:tcBorders>
              <w:top w:val="nil"/>
              <w:left w:val="nil"/>
              <w:bottom w:val="single" w:sz="4" w:space="0" w:color="auto"/>
              <w:right w:val="single" w:sz="4" w:space="0" w:color="auto"/>
            </w:tcBorders>
            <w:vAlign w:val="center"/>
            <w:hideMark/>
          </w:tcPr>
          <w:p w14:paraId="05B1DD66" w14:textId="77777777" w:rsidR="00FB3CCF" w:rsidRPr="00FB3CCF" w:rsidRDefault="00FB3CCF" w:rsidP="00442932">
            <w:pPr>
              <w:rPr>
                <w:rFonts w:ascii="Arial" w:hAnsi="Arial" w:cs="Arial"/>
                <w:sz w:val="18"/>
                <w:szCs w:val="18"/>
              </w:rPr>
            </w:pPr>
            <w:r w:rsidRPr="00FB3CCF">
              <w:rPr>
                <w:rFonts w:ascii="Arial" w:hAnsi="Arial" w:cs="Arial"/>
                <w:sz w:val="18"/>
                <w:szCs w:val="18"/>
              </w:rPr>
              <w:t>Allan et al., 2011; Lockwood, 2016; Polzin et al., 2019</w:t>
            </w:r>
          </w:p>
        </w:tc>
      </w:tr>
      <w:tr w:rsidR="00FB3CCF" w:rsidRPr="00FB3CCF" w14:paraId="28749137" w14:textId="77777777" w:rsidTr="00442932">
        <w:trPr>
          <w:trHeight w:val="873"/>
        </w:trPr>
        <w:tc>
          <w:tcPr>
            <w:tcW w:w="1271" w:type="dxa"/>
            <w:tcBorders>
              <w:top w:val="nil"/>
              <w:left w:val="single" w:sz="4" w:space="0" w:color="auto"/>
              <w:bottom w:val="single" w:sz="4" w:space="0" w:color="auto"/>
              <w:right w:val="single" w:sz="4" w:space="0" w:color="auto"/>
            </w:tcBorders>
            <w:vAlign w:val="center"/>
            <w:hideMark/>
          </w:tcPr>
          <w:p w14:paraId="4769653E"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Theme 3</w:t>
            </w:r>
          </w:p>
        </w:tc>
        <w:tc>
          <w:tcPr>
            <w:tcW w:w="1985" w:type="dxa"/>
            <w:tcBorders>
              <w:top w:val="nil"/>
              <w:left w:val="nil"/>
              <w:bottom w:val="single" w:sz="4" w:space="0" w:color="auto"/>
              <w:right w:val="single" w:sz="4" w:space="0" w:color="auto"/>
            </w:tcBorders>
            <w:vAlign w:val="center"/>
            <w:hideMark/>
          </w:tcPr>
          <w:p w14:paraId="315DD3A4" w14:textId="77777777" w:rsidR="00FB3CCF" w:rsidRPr="00FB3CCF" w:rsidRDefault="00FB3CCF" w:rsidP="00442932">
            <w:pPr>
              <w:rPr>
                <w:rFonts w:ascii="Arial" w:hAnsi="Arial" w:cs="Arial"/>
                <w:sz w:val="18"/>
                <w:szCs w:val="18"/>
              </w:rPr>
            </w:pPr>
            <w:r w:rsidRPr="00FB3CCF">
              <w:rPr>
                <w:rFonts w:ascii="Arial" w:hAnsi="Arial" w:cs="Arial"/>
                <w:sz w:val="18"/>
                <w:szCs w:val="18"/>
              </w:rPr>
              <w:t>Innovation systems and ecosystem coordination</w:t>
            </w:r>
          </w:p>
        </w:tc>
        <w:tc>
          <w:tcPr>
            <w:tcW w:w="1984" w:type="dxa"/>
            <w:tcBorders>
              <w:top w:val="nil"/>
              <w:left w:val="nil"/>
              <w:bottom w:val="single" w:sz="4" w:space="0" w:color="auto"/>
              <w:right w:val="single" w:sz="4" w:space="0" w:color="auto"/>
            </w:tcBorders>
            <w:vAlign w:val="center"/>
            <w:hideMark/>
          </w:tcPr>
          <w:p w14:paraId="778D056E" w14:textId="77777777" w:rsidR="00FB3CCF" w:rsidRPr="00FB3CCF" w:rsidRDefault="00FB3CCF" w:rsidP="00442932">
            <w:pPr>
              <w:rPr>
                <w:rFonts w:ascii="Arial" w:hAnsi="Arial" w:cs="Arial"/>
                <w:sz w:val="18"/>
                <w:szCs w:val="18"/>
              </w:rPr>
            </w:pPr>
            <w:r w:rsidRPr="00FB3CCF">
              <w:rPr>
                <w:rFonts w:ascii="Arial" w:hAnsi="Arial" w:cs="Arial"/>
                <w:sz w:val="18"/>
                <w:szCs w:val="18"/>
              </w:rPr>
              <w:t xml:space="preserve">How institutions, networks, and </w:t>
            </w:r>
            <w:r w:rsidRPr="00FB3CCF">
              <w:rPr>
                <w:rFonts w:ascii="Arial" w:hAnsi="Arial" w:cs="Arial"/>
                <w:sz w:val="18"/>
                <w:szCs w:val="18"/>
              </w:rPr>
              <w:lastRenderedPageBreak/>
              <w:t>learning shape commercialization</w:t>
            </w:r>
          </w:p>
        </w:tc>
        <w:tc>
          <w:tcPr>
            <w:tcW w:w="1985" w:type="dxa"/>
            <w:tcBorders>
              <w:top w:val="nil"/>
              <w:left w:val="nil"/>
              <w:bottom w:val="single" w:sz="4" w:space="0" w:color="auto"/>
              <w:right w:val="single" w:sz="4" w:space="0" w:color="auto"/>
            </w:tcBorders>
            <w:vAlign w:val="center"/>
            <w:hideMark/>
          </w:tcPr>
          <w:p w14:paraId="78163868" w14:textId="77777777" w:rsidR="00FB3CCF" w:rsidRPr="00FB3CCF" w:rsidRDefault="00FB3CCF" w:rsidP="00442932">
            <w:pPr>
              <w:rPr>
                <w:rFonts w:ascii="Arial" w:hAnsi="Arial" w:cs="Arial"/>
                <w:sz w:val="18"/>
                <w:szCs w:val="18"/>
              </w:rPr>
            </w:pPr>
            <w:r w:rsidRPr="00FB3CCF">
              <w:rPr>
                <w:rFonts w:ascii="Arial" w:hAnsi="Arial" w:cs="Arial"/>
                <w:sz w:val="18"/>
                <w:szCs w:val="18"/>
              </w:rPr>
              <w:lastRenderedPageBreak/>
              <w:t>Shows that bankability is not only a firm level issue</w:t>
            </w:r>
          </w:p>
        </w:tc>
        <w:tc>
          <w:tcPr>
            <w:tcW w:w="2138" w:type="dxa"/>
            <w:tcBorders>
              <w:top w:val="nil"/>
              <w:left w:val="nil"/>
              <w:bottom w:val="single" w:sz="4" w:space="0" w:color="auto"/>
              <w:right w:val="single" w:sz="4" w:space="0" w:color="auto"/>
            </w:tcBorders>
            <w:vAlign w:val="center"/>
            <w:hideMark/>
          </w:tcPr>
          <w:p w14:paraId="077ED9C2" w14:textId="77777777" w:rsidR="00FB3CCF" w:rsidRPr="00FB3CCF" w:rsidRDefault="00FB3CCF" w:rsidP="00442932">
            <w:pPr>
              <w:rPr>
                <w:rFonts w:ascii="Arial" w:hAnsi="Arial" w:cs="Arial"/>
                <w:sz w:val="18"/>
                <w:szCs w:val="18"/>
              </w:rPr>
            </w:pPr>
            <w:r w:rsidRPr="00FB3CCF">
              <w:rPr>
                <w:rFonts w:ascii="Arial" w:hAnsi="Arial" w:cs="Arial"/>
                <w:sz w:val="18"/>
                <w:szCs w:val="18"/>
              </w:rPr>
              <w:t xml:space="preserve">Hannon, Diemen and Skea, 2017; </w:t>
            </w:r>
            <w:proofErr w:type="spellStart"/>
            <w:r w:rsidRPr="00FB3CCF">
              <w:rPr>
                <w:rFonts w:ascii="Arial" w:hAnsi="Arial" w:cs="Arial"/>
                <w:sz w:val="18"/>
                <w:szCs w:val="18"/>
              </w:rPr>
              <w:t>Winskel</w:t>
            </w:r>
            <w:proofErr w:type="spellEnd"/>
            <w:r w:rsidRPr="00FB3CCF">
              <w:rPr>
                <w:rFonts w:ascii="Arial" w:hAnsi="Arial" w:cs="Arial"/>
                <w:sz w:val="18"/>
                <w:szCs w:val="18"/>
              </w:rPr>
              <w:t xml:space="preserve"> et </w:t>
            </w:r>
            <w:r w:rsidRPr="00FB3CCF">
              <w:rPr>
                <w:rFonts w:ascii="Arial" w:hAnsi="Arial" w:cs="Arial"/>
                <w:sz w:val="18"/>
                <w:szCs w:val="18"/>
              </w:rPr>
              <w:lastRenderedPageBreak/>
              <w:t xml:space="preserve">al., 2006; </w:t>
            </w:r>
            <w:proofErr w:type="spellStart"/>
            <w:r w:rsidRPr="00FB3CCF">
              <w:rPr>
                <w:rFonts w:ascii="Arial" w:hAnsi="Arial" w:cs="Arial"/>
                <w:sz w:val="18"/>
                <w:szCs w:val="18"/>
              </w:rPr>
              <w:t>Corsatea</w:t>
            </w:r>
            <w:proofErr w:type="spellEnd"/>
            <w:r w:rsidRPr="00FB3CCF">
              <w:rPr>
                <w:rFonts w:ascii="Arial" w:hAnsi="Arial" w:cs="Arial"/>
                <w:sz w:val="18"/>
                <w:szCs w:val="18"/>
              </w:rPr>
              <w:t>, 2014</w:t>
            </w:r>
          </w:p>
        </w:tc>
      </w:tr>
      <w:tr w:rsidR="00FB3CCF" w:rsidRPr="00FB3CCF" w14:paraId="4D56D5FE" w14:textId="77777777" w:rsidTr="00442932">
        <w:trPr>
          <w:trHeight w:val="873"/>
        </w:trPr>
        <w:tc>
          <w:tcPr>
            <w:tcW w:w="1271" w:type="dxa"/>
            <w:tcBorders>
              <w:top w:val="nil"/>
              <w:left w:val="single" w:sz="4" w:space="0" w:color="auto"/>
              <w:bottom w:val="single" w:sz="4" w:space="0" w:color="auto"/>
              <w:right w:val="single" w:sz="4" w:space="0" w:color="auto"/>
            </w:tcBorders>
            <w:vAlign w:val="center"/>
            <w:hideMark/>
          </w:tcPr>
          <w:p w14:paraId="1AF3A521"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lastRenderedPageBreak/>
              <w:t>Theme 4</w:t>
            </w:r>
          </w:p>
        </w:tc>
        <w:tc>
          <w:tcPr>
            <w:tcW w:w="1985" w:type="dxa"/>
            <w:tcBorders>
              <w:top w:val="nil"/>
              <w:left w:val="nil"/>
              <w:bottom w:val="single" w:sz="4" w:space="0" w:color="auto"/>
              <w:right w:val="single" w:sz="4" w:space="0" w:color="auto"/>
            </w:tcBorders>
            <w:vAlign w:val="center"/>
            <w:hideMark/>
          </w:tcPr>
          <w:p w14:paraId="101294AB" w14:textId="77777777" w:rsidR="00FB3CCF" w:rsidRPr="00FB3CCF" w:rsidRDefault="00FB3CCF" w:rsidP="00442932">
            <w:pPr>
              <w:rPr>
                <w:rFonts w:ascii="Arial" w:hAnsi="Arial" w:cs="Arial"/>
                <w:sz w:val="18"/>
                <w:szCs w:val="18"/>
              </w:rPr>
            </w:pPr>
            <w:r w:rsidRPr="00FB3CCF">
              <w:rPr>
                <w:rFonts w:ascii="Arial" w:hAnsi="Arial" w:cs="Arial"/>
                <w:sz w:val="18"/>
                <w:szCs w:val="18"/>
              </w:rPr>
              <w:t>Techno economic readiness and commercialization pathways</w:t>
            </w:r>
          </w:p>
        </w:tc>
        <w:tc>
          <w:tcPr>
            <w:tcW w:w="1984" w:type="dxa"/>
            <w:tcBorders>
              <w:top w:val="nil"/>
              <w:left w:val="nil"/>
              <w:bottom w:val="single" w:sz="4" w:space="0" w:color="auto"/>
              <w:right w:val="single" w:sz="4" w:space="0" w:color="auto"/>
            </w:tcBorders>
            <w:vAlign w:val="center"/>
            <w:hideMark/>
          </w:tcPr>
          <w:p w14:paraId="33DE2802" w14:textId="77777777" w:rsidR="00FB3CCF" w:rsidRPr="00FB3CCF" w:rsidRDefault="00FB3CCF" w:rsidP="00442932">
            <w:pPr>
              <w:rPr>
                <w:rFonts w:ascii="Arial" w:hAnsi="Arial" w:cs="Arial"/>
                <w:sz w:val="18"/>
                <w:szCs w:val="18"/>
              </w:rPr>
            </w:pPr>
            <w:r w:rsidRPr="00FB3CCF">
              <w:rPr>
                <w:rFonts w:ascii="Arial" w:hAnsi="Arial" w:cs="Arial"/>
                <w:sz w:val="18"/>
                <w:szCs w:val="18"/>
              </w:rPr>
              <w:t>How cost, reliability, readiness, and deployment logic interact</w:t>
            </w:r>
          </w:p>
        </w:tc>
        <w:tc>
          <w:tcPr>
            <w:tcW w:w="1985" w:type="dxa"/>
            <w:tcBorders>
              <w:top w:val="nil"/>
              <w:left w:val="nil"/>
              <w:bottom w:val="single" w:sz="4" w:space="0" w:color="auto"/>
              <w:right w:val="single" w:sz="4" w:space="0" w:color="auto"/>
            </w:tcBorders>
            <w:vAlign w:val="center"/>
            <w:hideMark/>
          </w:tcPr>
          <w:p w14:paraId="6CB19DEE" w14:textId="77777777" w:rsidR="00FB3CCF" w:rsidRPr="00FB3CCF" w:rsidRDefault="00FB3CCF" w:rsidP="00442932">
            <w:pPr>
              <w:rPr>
                <w:rFonts w:ascii="Arial" w:hAnsi="Arial" w:cs="Arial"/>
                <w:sz w:val="18"/>
                <w:szCs w:val="18"/>
              </w:rPr>
            </w:pPr>
            <w:r w:rsidRPr="00FB3CCF">
              <w:rPr>
                <w:rFonts w:ascii="Arial" w:hAnsi="Arial" w:cs="Arial"/>
                <w:sz w:val="18"/>
                <w:szCs w:val="18"/>
              </w:rPr>
              <w:t>Explains why technology promise does not automatically become financeability</w:t>
            </w:r>
          </w:p>
        </w:tc>
        <w:tc>
          <w:tcPr>
            <w:tcW w:w="2138" w:type="dxa"/>
            <w:tcBorders>
              <w:top w:val="nil"/>
              <w:left w:val="nil"/>
              <w:bottom w:val="single" w:sz="4" w:space="0" w:color="auto"/>
              <w:right w:val="single" w:sz="4" w:space="0" w:color="auto"/>
            </w:tcBorders>
            <w:vAlign w:val="center"/>
            <w:hideMark/>
          </w:tcPr>
          <w:p w14:paraId="75049F0E" w14:textId="77777777" w:rsidR="00FB3CCF" w:rsidRPr="00FB3CCF" w:rsidRDefault="00FB3CCF" w:rsidP="00442932">
            <w:pPr>
              <w:rPr>
                <w:rFonts w:ascii="Arial" w:hAnsi="Arial" w:cs="Arial"/>
                <w:sz w:val="18"/>
                <w:szCs w:val="18"/>
              </w:rPr>
            </w:pPr>
            <w:r w:rsidRPr="00FB3CCF">
              <w:rPr>
                <w:rFonts w:ascii="Arial" w:hAnsi="Arial" w:cs="Arial"/>
                <w:sz w:val="18"/>
                <w:szCs w:val="18"/>
              </w:rPr>
              <w:t>Guo and Ringwood, 2021; Weber, 2012; Weber, Costello and Ringwood, 2013; Weber et al., 2017; Ruiz-Minguela et al., 2022</w:t>
            </w:r>
          </w:p>
        </w:tc>
      </w:tr>
      <w:tr w:rsidR="00FB3CCF" w:rsidRPr="00FB3CCF" w14:paraId="1C53E168" w14:textId="77777777" w:rsidTr="00442932">
        <w:trPr>
          <w:trHeight w:val="873"/>
        </w:trPr>
        <w:tc>
          <w:tcPr>
            <w:tcW w:w="1271" w:type="dxa"/>
            <w:tcBorders>
              <w:top w:val="nil"/>
              <w:left w:val="single" w:sz="4" w:space="0" w:color="auto"/>
              <w:bottom w:val="single" w:sz="4" w:space="0" w:color="auto"/>
              <w:right w:val="single" w:sz="4" w:space="0" w:color="auto"/>
            </w:tcBorders>
            <w:vAlign w:val="center"/>
            <w:hideMark/>
          </w:tcPr>
          <w:p w14:paraId="175C5F7F"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Theme 5</w:t>
            </w:r>
          </w:p>
        </w:tc>
        <w:tc>
          <w:tcPr>
            <w:tcW w:w="1985" w:type="dxa"/>
            <w:tcBorders>
              <w:top w:val="nil"/>
              <w:left w:val="nil"/>
              <w:bottom w:val="single" w:sz="4" w:space="0" w:color="auto"/>
              <w:right w:val="single" w:sz="4" w:space="0" w:color="auto"/>
            </w:tcBorders>
            <w:vAlign w:val="center"/>
            <w:hideMark/>
          </w:tcPr>
          <w:p w14:paraId="4DC84608" w14:textId="77777777" w:rsidR="00FB3CCF" w:rsidRPr="00FB3CCF" w:rsidRDefault="00FB3CCF" w:rsidP="00442932">
            <w:pPr>
              <w:rPr>
                <w:rFonts w:ascii="Arial" w:hAnsi="Arial" w:cs="Arial"/>
                <w:sz w:val="18"/>
                <w:szCs w:val="18"/>
              </w:rPr>
            </w:pPr>
            <w:r w:rsidRPr="00FB3CCF">
              <w:rPr>
                <w:rFonts w:ascii="Arial" w:hAnsi="Arial" w:cs="Arial"/>
                <w:sz w:val="18"/>
                <w:szCs w:val="18"/>
              </w:rPr>
              <w:t>Risk, due diligence, and staged investment</w:t>
            </w:r>
          </w:p>
        </w:tc>
        <w:tc>
          <w:tcPr>
            <w:tcW w:w="1984" w:type="dxa"/>
            <w:tcBorders>
              <w:top w:val="nil"/>
              <w:left w:val="nil"/>
              <w:bottom w:val="single" w:sz="4" w:space="0" w:color="auto"/>
              <w:right w:val="single" w:sz="4" w:space="0" w:color="auto"/>
            </w:tcBorders>
            <w:vAlign w:val="center"/>
            <w:hideMark/>
          </w:tcPr>
          <w:p w14:paraId="173371E8" w14:textId="77777777" w:rsidR="00FB3CCF" w:rsidRPr="00FB3CCF" w:rsidRDefault="00FB3CCF" w:rsidP="00442932">
            <w:pPr>
              <w:rPr>
                <w:rFonts w:ascii="Arial" w:hAnsi="Arial" w:cs="Arial"/>
                <w:sz w:val="18"/>
                <w:szCs w:val="18"/>
              </w:rPr>
            </w:pPr>
            <w:r w:rsidRPr="00FB3CCF">
              <w:rPr>
                <w:rFonts w:ascii="Arial" w:hAnsi="Arial" w:cs="Arial"/>
                <w:sz w:val="18"/>
                <w:szCs w:val="18"/>
              </w:rPr>
              <w:t>How uncertainty is assessed and managed</w:t>
            </w:r>
          </w:p>
        </w:tc>
        <w:tc>
          <w:tcPr>
            <w:tcW w:w="1985" w:type="dxa"/>
            <w:tcBorders>
              <w:top w:val="nil"/>
              <w:left w:val="nil"/>
              <w:bottom w:val="single" w:sz="4" w:space="0" w:color="auto"/>
              <w:right w:val="single" w:sz="4" w:space="0" w:color="auto"/>
            </w:tcBorders>
            <w:vAlign w:val="center"/>
            <w:hideMark/>
          </w:tcPr>
          <w:p w14:paraId="2BA59252" w14:textId="77777777" w:rsidR="00FB3CCF" w:rsidRPr="00FB3CCF" w:rsidRDefault="00FB3CCF" w:rsidP="00442932">
            <w:pPr>
              <w:rPr>
                <w:rFonts w:ascii="Arial" w:hAnsi="Arial" w:cs="Arial"/>
                <w:sz w:val="18"/>
                <w:szCs w:val="18"/>
              </w:rPr>
            </w:pPr>
            <w:r w:rsidRPr="00FB3CCF">
              <w:rPr>
                <w:rFonts w:ascii="Arial" w:hAnsi="Arial" w:cs="Arial"/>
                <w:sz w:val="18"/>
                <w:szCs w:val="18"/>
              </w:rPr>
              <w:t>Connects bankability to actual investment judgment</w:t>
            </w:r>
          </w:p>
        </w:tc>
        <w:tc>
          <w:tcPr>
            <w:tcW w:w="2138" w:type="dxa"/>
            <w:tcBorders>
              <w:top w:val="nil"/>
              <w:left w:val="nil"/>
              <w:bottom w:val="single" w:sz="4" w:space="0" w:color="auto"/>
              <w:right w:val="single" w:sz="4" w:space="0" w:color="auto"/>
            </w:tcBorders>
            <w:vAlign w:val="center"/>
            <w:hideMark/>
          </w:tcPr>
          <w:p w14:paraId="09EB20BE" w14:textId="77777777" w:rsidR="00FB3CCF" w:rsidRPr="00FB3CCF" w:rsidRDefault="00FB3CCF" w:rsidP="00442932">
            <w:pPr>
              <w:rPr>
                <w:rFonts w:ascii="Arial" w:hAnsi="Arial" w:cs="Arial"/>
                <w:sz w:val="18"/>
                <w:szCs w:val="18"/>
              </w:rPr>
            </w:pPr>
            <w:r w:rsidRPr="00FB3CCF">
              <w:rPr>
                <w:rFonts w:ascii="Arial" w:hAnsi="Arial" w:cs="Arial"/>
                <w:sz w:val="18"/>
                <w:szCs w:val="18"/>
              </w:rPr>
              <w:t>Andres et al., 2017; Hutcheson, Andres and Jeffrey, 2016; Wilson, Rowley and Watson, 2011</w:t>
            </w:r>
          </w:p>
        </w:tc>
      </w:tr>
      <w:tr w:rsidR="00FB3CCF" w:rsidRPr="00FB3CCF" w14:paraId="68477756" w14:textId="77777777" w:rsidTr="00442932">
        <w:trPr>
          <w:trHeight w:val="873"/>
        </w:trPr>
        <w:tc>
          <w:tcPr>
            <w:tcW w:w="1271" w:type="dxa"/>
            <w:tcBorders>
              <w:top w:val="nil"/>
              <w:left w:val="single" w:sz="4" w:space="0" w:color="auto"/>
              <w:bottom w:val="single" w:sz="4" w:space="0" w:color="auto"/>
              <w:right w:val="single" w:sz="4" w:space="0" w:color="auto"/>
            </w:tcBorders>
            <w:vAlign w:val="center"/>
            <w:hideMark/>
          </w:tcPr>
          <w:p w14:paraId="58FB1817"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Theme 6</w:t>
            </w:r>
          </w:p>
        </w:tc>
        <w:tc>
          <w:tcPr>
            <w:tcW w:w="1985" w:type="dxa"/>
            <w:tcBorders>
              <w:top w:val="nil"/>
              <w:left w:val="nil"/>
              <w:bottom w:val="single" w:sz="4" w:space="0" w:color="auto"/>
              <w:right w:val="single" w:sz="4" w:space="0" w:color="auto"/>
            </w:tcBorders>
            <w:vAlign w:val="center"/>
            <w:hideMark/>
          </w:tcPr>
          <w:p w14:paraId="33D804DF" w14:textId="77777777" w:rsidR="00FB3CCF" w:rsidRPr="00FB3CCF" w:rsidRDefault="00FB3CCF" w:rsidP="00442932">
            <w:pPr>
              <w:rPr>
                <w:rFonts w:ascii="Arial" w:hAnsi="Arial" w:cs="Arial"/>
                <w:sz w:val="18"/>
                <w:szCs w:val="18"/>
              </w:rPr>
            </w:pPr>
            <w:r w:rsidRPr="00FB3CCF">
              <w:rPr>
                <w:rFonts w:ascii="Arial" w:hAnsi="Arial" w:cs="Arial"/>
                <w:sz w:val="18"/>
                <w:szCs w:val="18"/>
              </w:rPr>
              <w:t>Governance, consenting, and non-technical barriers</w:t>
            </w:r>
          </w:p>
        </w:tc>
        <w:tc>
          <w:tcPr>
            <w:tcW w:w="1984" w:type="dxa"/>
            <w:tcBorders>
              <w:top w:val="nil"/>
              <w:left w:val="nil"/>
              <w:bottom w:val="single" w:sz="4" w:space="0" w:color="auto"/>
              <w:right w:val="single" w:sz="4" w:space="0" w:color="auto"/>
            </w:tcBorders>
            <w:vAlign w:val="center"/>
            <w:hideMark/>
          </w:tcPr>
          <w:p w14:paraId="013FA2AD" w14:textId="77777777" w:rsidR="00FB3CCF" w:rsidRPr="00FB3CCF" w:rsidRDefault="00FB3CCF" w:rsidP="00442932">
            <w:pPr>
              <w:rPr>
                <w:rFonts w:ascii="Arial" w:hAnsi="Arial" w:cs="Arial"/>
                <w:sz w:val="18"/>
                <w:szCs w:val="18"/>
              </w:rPr>
            </w:pPr>
            <w:r w:rsidRPr="00FB3CCF">
              <w:rPr>
                <w:rFonts w:ascii="Arial" w:hAnsi="Arial" w:cs="Arial"/>
                <w:sz w:val="18"/>
                <w:szCs w:val="18"/>
              </w:rPr>
              <w:t>How regulation, legitimacy, and infrastructure affect financeability</w:t>
            </w:r>
          </w:p>
        </w:tc>
        <w:tc>
          <w:tcPr>
            <w:tcW w:w="1985" w:type="dxa"/>
            <w:tcBorders>
              <w:top w:val="nil"/>
              <w:left w:val="nil"/>
              <w:bottom w:val="single" w:sz="4" w:space="0" w:color="auto"/>
              <w:right w:val="single" w:sz="4" w:space="0" w:color="auto"/>
            </w:tcBorders>
            <w:vAlign w:val="center"/>
            <w:hideMark/>
          </w:tcPr>
          <w:p w14:paraId="01507B27" w14:textId="77777777" w:rsidR="00FB3CCF" w:rsidRPr="00FB3CCF" w:rsidRDefault="00FB3CCF" w:rsidP="00442932">
            <w:pPr>
              <w:rPr>
                <w:rFonts w:ascii="Arial" w:hAnsi="Arial" w:cs="Arial"/>
                <w:sz w:val="18"/>
                <w:szCs w:val="18"/>
              </w:rPr>
            </w:pPr>
            <w:r w:rsidRPr="00FB3CCF">
              <w:rPr>
                <w:rFonts w:ascii="Arial" w:hAnsi="Arial" w:cs="Arial"/>
                <w:sz w:val="18"/>
                <w:szCs w:val="18"/>
              </w:rPr>
              <w:t>Captures hidden costs and delays</w:t>
            </w:r>
          </w:p>
        </w:tc>
        <w:tc>
          <w:tcPr>
            <w:tcW w:w="2138" w:type="dxa"/>
            <w:tcBorders>
              <w:top w:val="nil"/>
              <w:left w:val="nil"/>
              <w:bottom w:val="single" w:sz="4" w:space="0" w:color="auto"/>
              <w:right w:val="single" w:sz="4" w:space="0" w:color="auto"/>
            </w:tcBorders>
            <w:vAlign w:val="center"/>
            <w:hideMark/>
          </w:tcPr>
          <w:p w14:paraId="07913268" w14:textId="77777777" w:rsidR="00FB3CCF" w:rsidRPr="00FB3CCF" w:rsidRDefault="00FB3CCF" w:rsidP="00442932">
            <w:pPr>
              <w:rPr>
                <w:rFonts w:ascii="Arial" w:hAnsi="Arial" w:cs="Arial"/>
                <w:sz w:val="18"/>
                <w:szCs w:val="18"/>
              </w:rPr>
            </w:pPr>
            <w:r w:rsidRPr="00FB3CCF">
              <w:rPr>
                <w:rFonts w:ascii="Arial" w:hAnsi="Arial" w:cs="Arial"/>
                <w:sz w:val="18"/>
                <w:szCs w:val="18"/>
              </w:rPr>
              <w:t xml:space="preserve">Wright, 2016; Greaves et al., 2016; Mackie and </w:t>
            </w:r>
            <w:proofErr w:type="spellStart"/>
            <w:r w:rsidRPr="00FB3CCF">
              <w:rPr>
                <w:rFonts w:ascii="Arial" w:hAnsi="Arial" w:cs="Arial"/>
                <w:sz w:val="18"/>
                <w:szCs w:val="18"/>
              </w:rPr>
              <w:t>Velenturf</w:t>
            </w:r>
            <w:proofErr w:type="spellEnd"/>
            <w:r w:rsidRPr="00FB3CCF">
              <w:rPr>
                <w:rFonts w:ascii="Arial" w:hAnsi="Arial" w:cs="Arial"/>
                <w:sz w:val="18"/>
                <w:szCs w:val="18"/>
              </w:rPr>
              <w:t>, 2021</w:t>
            </w:r>
          </w:p>
        </w:tc>
      </w:tr>
    </w:tbl>
    <w:p w14:paraId="18BA0E9C" w14:textId="77777777" w:rsidR="00FB3CCF" w:rsidRPr="00FB3CCF" w:rsidRDefault="00FB3CCF" w:rsidP="00FB3CCF">
      <w:pPr>
        <w:spacing w:line="360" w:lineRule="auto"/>
        <w:jc w:val="both"/>
        <w:rPr>
          <w:rFonts w:ascii="Arial" w:hAnsi="Arial" w:cs="Arial"/>
        </w:rPr>
      </w:pPr>
      <w:r w:rsidRPr="00FB3CCF">
        <w:rPr>
          <w:rFonts w:ascii="Arial" w:hAnsi="Arial" w:cs="Arial"/>
          <w:sz w:val="18"/>
          <w:szCs w:val="18"/>
        </w:rPr>
        <w:t>Source: Author’s synthesis based on the reviewed literature.</w:t>
      </w:r>
    </w:p>
    <w:p w14:paraId="34CF346A" w14:textId="77777777" w:rsidR="00FB3CCF" w:rsidRPr="00FB3CCF" w:rsidRDefault="00FB3CCF" w:rsidP="00FB3CCF">
      <w:pPr>
        <w:spacing w:line="360" w:lineRule="auto"/>
        <w:jc w:val="both"/>
        <w:rPr>
          <w:rFonts w:ascii="Arial" w:hAnsi="Arial" w:cs="Arial"/>
        </w:rPr>
      </w:pPr>
    </w:p>
    <w:p w14:paraId="0C1A93C3" w14:textId="77777777" w:rsidR="00FB3CCF" w:rsidRPr="00FB3CCF" w:rsidRDefault="00FB3CCF" w:rsidP="00FB3CCF">
      <w:pPr>
        <w:spacing w:line="360" w:lineRule="auto"/>
        <w:jc w:val="both"/>
        <w:rPr>
          <w:rFonts w:ascii="Arial" w:hAnsi="Arial" w:cs="Arial"/>
          <w:b/>
          <w:bCs/>
        </w:rPr>
      </w:pPr>
    </w:p>
    <w:p w14:paraId="72A35DBA" w14:textId="77777777" w:rsidR="00FB3CCF" w:rsidRPr="00FB3CCF" w:rsidRDefault="00FB3CCF" w:rsidP="00FB3CCF">
      <w:pPr>
        <w:spacing w:line="360" w:lineRule="auto"/>
        <w:jc w:val="both"/>
        <w:rPr>
          <w:rFonts w:ascii="Arial" w:hAnsi="Arial" w:cs="Arial"/>
          <w:b/>
          <w:bCs/>
        </w:rPr>
      </w:pPr>
    </w:p>
    <w:p w14:paraId="004FAA20" w14:textId="77777777" w:rsidR="00FB3CCF" w:rsidRPr="00FB3CCF" w:rsidRDefault="00FB3CCF" w:rsidP="00FB3CCF">
      <w:pPr>
        <w:spacing w:line="360" w:lineRule="auto"/>
        <w:jc w:val="both"/>
        <w:rPr>
          <w:rFonts w:ascii="Arial" w:hAnsi="Arial" w:cs="Arial"/>
          <w:b/>
          <w:bCs/>
          <w:sz w:val="22"/>
          <w:szCs w:val="22"/>
        </w:rPr>
      </w:pPr>
      <w:r w:rsidRPr="00FB3CCF">
        <w:rPr>
          <w:rFonts w:ascii="Arial" w:hAnsi="Arial" w:cs="Arial"/>
          <w:b/>
          <w:bCs/>
          <w:sz w:val="22"/>
          <w:szCs w:val="22"/>
        </w:rPr>
        <w:t>Theme 1 Synthesis: “Bankability, investor confidence, and startup finance”</w:t>
      </w:r>
    </w:p>
    <w:p w14:paraId="0B3E435A"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 xml:space="preserve">Theme 1 shows that the financial challenge in wave and marine energy cannot be reduced to simply a shortage of capital; it should be viewed as a matter of bankability and venture credibility (see Table A1 in Appendix A and Table G1 in Appendix G).  Although the literature shows that access to finance is closely associated with investor confidence and perceptions of credibility, it is less effective in explaining the extent to which these financing conditions operate at the start-up level. When the literature explains the reasons why the new ventures become financeable or unfinanceable in practice, this will make an analytically strong literature because now it only identifies the barriers. </w:t>
      </w:r>
    </w:p>
    <w:p w14:paraId="6EAA903C"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 xml:space="preserve">The literature suggests that access to finance depends not only on whether wave energy technologies demonstrate potential, but also on the credible evidence of technical reliability, revenue potential, and reduced uncertainty at different stages of development (Leete, Xu and Wheeler, 2013; Bucher et al., 2016; Jeffrey et al., 2015). This means that the claim that wave energy is underfunded is a simplistic view. At the same time, the existing literature usually presents “credibility” and “confidence” without adequate analytical explanation; moreover, it does not systematically specify which forms of evidence are considered credible by different </w:t>
      </w:r>
      <w:r w:rsidRPr="00FB3CCF">
        <w:rPr>
          <w:rFonts w:ascii="Arial" w:hAnsi="Arial" w:cs="Arial"/>
          <w:sz w:val="22"/>
          <w:szCs w:val="22"/>
        </w:rPr>
        <w:lastRenderedPageBreak/>
        <w:t>categories of financiers at different stages of the development pathway. Although it is possible to achieve public support in the early stage, the literature indicates that the main bottleneck emerges in the development pathway, where the new venture needs support to attract broader commercial investment from the market (Jeffrey et al., 2015; Bucher and Bryden, 2016; Wiegele and Jones, 2024). The literature clearly identifies this bottleneck as a structural gap, but it does not explain well enough what exactly causes it.</w:t>
      </w:r>
    </w:p>
    <w:p w14:paraId="206C5363"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A notable strength of Theme 1 is its focus on the credibility of policy because the literature shows that policy is important for finance not only by improving expected returns, but also by reducing perceptions of risk and increasing confidence in future market conditions (</w:t>
      </w:r>
      <w:proofErr w:type="spellStart"/>
      <w:r w:rsidRPr="00FB3CCF">
        <w:rPr>
          <w:rFonts w:ascii="Arial" w:hAnsi="Arial" w:cs="Arial"/>
          <w:sz w:val="22"/>
          <w:szCs w:val="22"/>
        </w:rPr>
        <w:t>Dinica</w:t>
      </w:r>
      <w:proofErr w:type="spellEnd"/>
      <w:r w:rsidRPr="00FB3CCF">
        <w:rPr>
          <w:rFonts w:ascii="Arial" w:hAnsi="Arial" w:cs="Arial"/>
          <w:sz w:val="22"/>
          <w:szCs w:val="22"/>
        </w:rPr>
        <w:t xml:space="preserve">, 2006; </w:t>
      </w:r>
      <w:proofErr w:type="spellStart"/>
      <w:r w:rsidRPr="00FB3CCF">
        <w:rPr>
          <w:rFonts w:ascii="Arial" w:hAnsi="Arial" w:cs="Arial"/>
          <w:sz w:val="22"/>
          <w:szCs w:val="22"/>
        </w:rPr>
        <w:t>Bürer</w:t>
      </w:r>
      <w:proofErr w:type="spellEnd"/>
      <w:r w:rsidRPr="00FB3CCF">
        <w:rPr>
          <w:rFonts w:ascii="Arial" w:hAnsi="Arial" w:cs="Arial"/>
          <w:sz w:val="22"/>
          <w:szCs w:val="22"/>
        </w:rPr>
        <w:t xml:space="preserve"> and </w:t>
      </w:r>
      <w:proofErr w:type="spellStart"/>
      <w:r w:rsidRPr="00FB3CCF">
        <w:rPr>
          <w:rFonts w:ascii="Arial" w:hAnsi="Arial" w:cs="Arial"/>
          <w:sz w:val="22"/>
          <w:szCs w:val="22"/>
        </w:rPr>
        <w:t>Wüstenhagen</w:t>
      </w:r>
      <w:proofErr w:type="spellEnd"/>
      <w:r w:rsidRPr="00FB3CCF">
        <w:rPr>
          <w:rFonts w:ascii="Arial" w:hAnsi="Arial" w:cs="Arial"/>
          <w:sz w:val="22"/>
          <w:szCs w:val="22"/>
        </w:rPr>
        <w:t xml:space="preserve">, 2009; Polzin et al., 2019). This statement is important for the focus of the present study because the wave energy sector’s commercialisation relies on public support and pre-commercial testing opportunities. However, there is a lack of understanding of the effects of policy on different stages of development.  Moreover, the cleantech finance studies indicate the inadequate alignment of traditional finance </w:t>
      </w:r>
      <w:proofErr w:type="gramStart"/>
      <w:r w:rsidRPr="00FB3CCF">
        <w:rPr>
          <w:rFonts w:ascii="Arial" w:hAnsi="Arial" w:cs="Arial"/>
          <w:sz w:val="22"/>
          <w:szCs w:val="22"/>
        </w:rPr>
        <w:t>models  with</w:t>
      </w:r>
      <w:proofErr w:type="gramEnd"/>
      <w:r w:rsidRPr="00FB3CCF">
        <w:rPr>
          <w:rFonts w:ascii="Arial" w:hAnsi="Arial" w:cs="Arial"/>
          <w:sz w:val="22"/>
          <w:szCs w:val="22"/>
        </w:rPr>
        <w:t xml:space="preserve"> sectors like wave energy that need long-term capital-intensive innovation (Gaddy et al., 2017; Owen et al., 2020; van der </w:t>
      </w:r>
      <w:proofErr w:type="spellStart"/>
      <w:r w:rsidRPr="00FB3CCF">
        <w:rPr>
          <w:rFonts w:ascii="Arial" w:hAnsi="Arial" w:cs="Arial"/>
          <w:sz w:val="22"/>
          <w:szCs w:val="22"/>
        </w:rPr>
        <w:t>Schans</w:t>
      </w:r>
      <w:proofErr w:type="spellEnd"/>
      <w:r w:rsidRPr="00FB3CCF">
        <w:rPr>
          <w:rFonts w:ascii="Arial" w:hAnsi="Arial" w:cs="Arial"/>
          <w:sz w:val="22"/>
          <w:szCs w:val="22"/>
        </w:rPr>
        <w:t xml:space="preserve">, Owen, and Hussain, 2025). </w:t>
      </w:r>
    </w:p>
    <w:p w14:paraId="76C7C26C" w14:textId="77777777" w:rsidR="00FB3CCF" w:rsidRPr="00FB3CCF" w:rsidRDefault="00FB3CCF" w:rsidP="00FB3CCF">
      <w:pPr>
        <w:spacing w:line="360" w:lineRule="auto"/>
        <w:jc w:val="both"/>
        <w:rPr>
          <w:rFonts w:ascii="Arial" w:hAnsi="Arial" w:cs="Arial"/>
          <w:sz w:val="22"/>
          <w:szCs w:val="22"/>
        </w:rPr>
      </w:pPr>
    </w:p>
    <w:p w14:paraId="687A91AF" w14:textId="77777777" w:rsidR="00FB3CCF" w:rsidRPr="00FB3CCF" w:rsidRDefault="00FB3CCF" w:rsidP="00FB3CCF">
      <w:pPr>
        <w:spacing w:line="360" w:lineRule="auto"/>
        <w:jc w:val="both"/>
        <w:rPr>
          <w:rFonts w:ascii="Arial" w:hAnsi="Arial" w:cs="Arial"/>
          <w:sz w:val="22"/>
          <w:szCs w:val="22"/>
        </w:rPr>
      </w:pPr>
    </w:p>
    <w:p w14:paraId="4133C85B" w14:textId="77777777" w:rsidR="00FB3CCF" w:rsidRPr="00FB3CCF" w:rsidRDefault="00FB3CCF" w:rsidP="00FB3CCF">
      <w:pPr>
        <w:spacing w:line="360" w:lineRule="auto"/>
        <w:jc w:val="both"/>
        <w:rPr>
          <w:rFonts w:ascii="Arial" w:hAnsi="Arial" w:cs="Arial"/>
          <w:sz w:val="22"/>
          <w:szCs w:val="22"/>
        </w:rPr>
      </w:pPr>
    </w:p>
    <w:p w14:paraId="7A9A2678" w14:textId="77777777" w:rsidR="00FB3CCF" w:rsidRPr="00FB3CCF" w:rsidRDefault="00FB3CCF" w:rsidP="00FB3CCF">
      <w:pPr>
        <w:spacing w:line="360" w:lineRule="auto"/>
        <w:jc w:val="both"/>
        <w:rPr>
          <w:rFonts w:ascii="Arial" w:hAnsi="Arial" w:cs="Arial"/>
          <w:sz w:val="22"/>
          <w:szCs w:val="22"/>
        </w:rPr>
      </w:pPr>
    </w:p>
    <w:p w14:paraId="06C2BA84" w14:textId="77777777" w:rsidR="00FB3CCF" w:rsidRPr="00FB3CCF" w:rsidRDefault="00FB3CCF" w:rsidP="00FB3CCF">
      <w:pPr>
        <w:spacing w:line="360" w:lineRule="auto"/>
        <w:jc w:val="both"/>
        <w:rPr>
          <w:rFonts w:ascii="Arial" w:hAnsi="Arial" w:cs="Arial"/>
          <w:sz w:val="22"/>
          <w:szCs w:val="22"/>
        </w:rPr>
      </w:pPr>
    </w:p>
    <w:p w14:paraId="777A033C" w14:textId="77777777" w:rsidR="00FB3CCF" w:rsidRPr="00FB3CCF" w:rsidRDefault="00FB3CCF" w:rsidP="00FB3CCF">
      <w:pPr>
        <w:spacing w:line="360" w:lineRule="auto"/>
        <w:jc w:val="both"/>
        <w:rPr>
          <w:rFonts w:ascii="Arial" w:hAnsi="Arial" w:cs="Arial"/>
          <w:b/>
          <w:bCs/>
          <w:sz w:val="22"/>
          <w:szCs w:val="22"/>
        </w:rPr>
      </w:pPr>
      <w:r w:rsidRPr="00FB3CCF">
        <w:rPr>
          <w:rFonts w:ascii="Arial" w:hAnsi="Arial" w:cs="Arial"/>
          <w:b/>
          <w:bCs/>
          <w:sz w:val="22"/>
          <w:szCs w:val="22"/>
        </w:rPr>
        <w:t>Theme 2 Synthesis: “Policy support, revenue certainty, and market formation”</w:t>
      </w:r>
    </w:p>
    <w:p w14:paraId="1EDB1839"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 xml:space="preserve">The literature reviewed in Theme 2 clearly presents the importance of policy measures; it does not explain the effects on bankability across development stages. (see Table B1 in Appendix B and Table H1 in Appendix H). In addition, it doesn’t provide information on whether the UK policy framework addresses the financeability of wave energy ventures. Another pattern across Theme 2 is that the structure of revenue support has an important role in shaping viability. The differentiated Renewables Obligation Certificate (ROC) banding is vital for wave and tidal technologies because they are significantly more expensive than mature renewables (Allan et al., 2011; Allan, McGregor and Swales, 2009). This is a valuable insight because generic support schemes don’t create fair competitive conditions for marine energy. </w:t>
      </w:r>
    </w:p>
    <w:p w14:paraId="563D0D1C"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 xml:space="preserve">A key critical insight from Theme 2 is that policy credibility is crucial for support levels. Investors are sensitive to support levels and risk allocation through the structure of the policy (Mitchell, </w:t>
      </w:r>
      <w:r w:rsidRPr="00FB3CCF">
        <w:rPr>
          <w:rFonts w:ascii="Arial" w:hAnsi="Arial" w:cs="Arial"/>
          <w:sz w:val="22"/>
          <w:szCs w:val="22"/>
        </w:rPr>
        <w:lastRenderedPageBreak/>
        <w:t xml:space="preserve">Bauknecht and Connor, 2006; </w:t>
      </w:r>
      <w:proofErr w:type="spellStart"/>
      <w:r w:rsidRPr="00FB3CCF">
        <w:rPr>
          <w:rFonts w:ascii="Arial" w:hAnsi="Arial" w:cs="Arial"/>
          <w:sz w:val="22"/>
          <w:szCs w:val="22"/>
        </w:rPr>
        <w:t>Kitzing</w:t>
      </w:r>
      <w:proofErr w:type="spellEnd"/>
      <w:r w:rsidRPr="00FB3CCF">
        <w:rPr>
          <w:rFonts w:ascii="Arial" w:hAnsi="Arial" w:cs="Arial"/>
          <w:sz w:val="22"/>
          <w:szCs w:val="22"/>
        </w:rPr>
        <w:t xml:space="preserve"> and Weber, 2014; Polzin et al., 2019). In the case of the UK, reforms often generate new uncertainty instead of improvement, as the risk shifts back to developers and investors rather than reducing it, for example, the move from ROCs to Contract for Difference (</w:t>
      </w:r>
      <w:proofErr w:type="spellStart"/>
      <w:r w:rsidRPr="00FB3CCF">
        <w:rPr>
          <w:rFonts w:ascii="Arial" w:hAnsi="Arial" w:cs="Arial"/>
          <w:sz w:val="22"/>
          <w:szCs w:val="22"/>
        </w:rPr>
        <w:t>CfDs</w:t>
      </w:r>
      <w:proofErr w:type="spellEnd"/>
      <w:r w:rsidRPr="00FB3CCF">
        <w:rPr>
          <w:rFonts w:ascii="Arial" w:hAnsi="Arial" w:cs="Arial"/>
          <w:sz w:val="22"/>
          <w:szCs w:val="22"/>
        </w:rPr>
        <w:t>) and the operation of the Levy Control Framework (Bunn and Yusupov, 2015; Lockwood, 2016; Kozlov, 2014).</w:t>
      </w:r>
    </w:p>
    <w:p w14:paraId="7F2CD32B"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The literature also highlights a persistent misalignment between policy goals and the sector's commercial maturity. UK policy treats the wave energy and marine energy sectors as strategically important, but support mechanisms are not always aligned with the level of commercial and technological maturity (Jeffrey and Winskel, 2009; Watson and Fulcher, 2010; Willis et al., 2010). Similarly, other studies highlight that public support is vital, but they do not demonstrate that it was organised in the right order and at the right stages to generate long-term market development (Jeffrey, Sedgwick and Gerrard,2014; Jeffrey, Jay and Winskel, 2013).</w:t>
      </w:r>
    </w:p>
    <w:p w14:paraId="75AE1D51"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Overall, Theme 2 highlights that policy is a direct component of bankability rather than a background condition. Its strength is that revenue certainty and risk reduction are shaped by the support design; however, its weakness is that the literature is more effective at showing the importance of policy than explaining the reason why repeated policy interventions fail to create a stable bankability pathway for wave energy start-up businesses.</w:t>
      </w:r>
    </w:p>
    <w:p w14:paraId="33A7A0A4" w14:textId="77777777" w:rsidR="00FB3CCF" w:rsidRPr="00FB3CCF" w:rsidRDefault="00FB3CCF" w:rsidP="00FB3CCF">
      <w:pPr>
        <w:spacing w:line="360" w:lineRule="auto"/>
        <w:jc w:val="both"/>
        <w:rPr>
          <w:rFonts w:ascii="Arial" w:hAnsi="Arial" w:cs="Arial"/>
          <w:sz w:val="22"/>
          <w:szCs w:val="22"/>
        </w:rPr>
      </w:pPr>
    </w:p>
    <w:p w14:paraId="40CA82ED" w14:textId="77777777" w:rsidR="00FB3CCF" w:rsidRPr="00FB3CCF" w:rsidRDefault="00FB3CCF" w:rsidP="00FB3CCF">
      <w:pPr>
        <w:spacing w:line="360" w:lineRule="auto"/>
        <w:jc w:val="both"/>
        <w:rPr>
          <w:rFonts w:ascii="Arial" w:hAnsi="Arial" w:cs="Arial"/>
          <w:b/>
          <w:bCs/>
          <w:sz w:val="22"/>
          <w:szCs w:val="22"/>
        </w:rPr>
      </w:pPr>
    </w:p>
    <w:p w14:paraId="340DA5A6" w14:textId="77777777" w:rsidR="00FB3CCF" w:rsidRPr="00FB3CCF" w:rsidRDefault="00FB3CCF" w:rsidP="00FB3CCF">
      <w:pPr>
        <w:spacing w:line="360" w:lineRule="auto"/>
        <w:jc w:val="both"/>
        <w:rPr>
          <w:rFonts w:ascii="Arial" w:hAnsi="Arial" w:cs="Arial"/>
          <w:b/>
          <w:bCs/>
          <w:sz w:val="22"/>
          <w:szCs w:val="22"/>
        </w:rPr>
      </w:pPr>
    </w:p>
    <w:p w14:paraId="0A98AC32" w14:textId="77777777" w:rsidR="00FB3CCF" w:rsidRPr="00FB3CCF" w:rsidRDefault="00FB3CCF" w:rsidP="00FB3CCF">
      <w:pPr>
        <w:spacing w:line="360" w:lineRule="auto"/>
        <w:jc w:val="both"/>
        <w:rPr>
          <w:rFonts w:ascii="Arial" w:hAnsi="Arial" w:cs="Arial"/>
          <w:b/>
          <w:bCs/>
          <w:sz w:val="22"/>
          <w:szCs w:val="22"/>
        </w:rPr>
      </w:pPr>
    </w:p>
    <w:p w14:paraId="1E12BA4E" w14:textId="77777777" w:rsidR="00FB3CCF" w:rsidRPr="00FB3CCF" w:rsidRDefault="00FB3CCF" w:rsidP="00FB3CCF">
      <w:pPr>
        <w:spacing w:line="360" w:lineRule="auto"/>
        <w:jc w:val="both"/>
        <w:rPr>
          <w:rFonts w:ascii="Arial" w:hAnsi="Arial" w:cs="Arial"/>
          <w:b/>
          <w:bCs/>
          <w:sz w:val="22"/>
          <w:szCs w:val="22"/>
        </w:rPr>
      </w:pPr>
    </w:p>
    <w:p w14:paraId="4F820865" w14:textId="77777777" w:rsidR="00FB3CCF" w:rsidRPr="00FB3CCF" w:rsidRDefault="00FB3CCF" w:rsidP="00FB3CCF">
      <w:pPr>
        <w:spacing w:line="360" w:lineRule="auto"/>
        <w:jc w:val="both"/>
        <w:rPr>
          <w:rFonts w:ascii="Arial" w:hAnsi="Arial" w:cs="Arial"/>
          <w:b/>
          <w:bCs/>
          <w:sz w:val="22"/>
          <w:szCs w:val="22"/>
        </w:rPr>
      </w:pPr>
    </w:p>
    <w:p w14:paraId="4A88DE29" w14:textId="77777777" w:rsidR="00FB3CCF" w:rsidRPr="00FB3CCF" w:rsidRDefault="00FB3CCF" w:rsidP="00FB3CCF">
      <w:pPr>
        <w:spacing w:line="360" w:lineRule="auto"/>
        <w:jc w:val="both"/>
        <w:rPr>
          <w:rFonts w:ascii="Arial" w:hAnsi="Arial" w:cs="Arial"/>
          <w:b/>
          <w:bCs/>
          <w:sz w:val="22"/>
          <w:szCs w:val="22"/>
        </w:rPr>
      </w:pPr>
    </w:p>
    <w:p w14:paraId="7FBFB211" w14:textId="77777777" w:rsidR="00FB3CCF" w:rsidRPr="00FB3CCF" w:rsidRDefault="00FB3CCF" w:rsidP="00FB3CCF">
      <w:pPr>
        <w:spacing w:line="360" w:lineRule="auto"/>
        <w:jc w:val="both"/>
        <w:rPr>
          <w:rFonts w:ascii="Arial" w:hAnsi="Arial" w:cs="Arial"/>
          <w:b/>
          <w:bCs/>
          <w:sz w:val="22"/>
          <w:szCs w:val="22"/>
        </w:rPr>
      </w:pPr>
      <w:r w:rsidRPr="00FB3CCF">
        <w:rPr>
          <w:rFonts w:ascii="Arial" w:hAnsi="Arial" w:cs="Arial"/>
          <w:b/>
          <w:bCs/>
          <w:sz w:val="22"/>
          <w:szCs w:val="22"/>
        </w:rPr>
        <w:t>Theme 3 Synthesis: “Innovation systems and ecosystem coordination”</w:t>
      </w:r>
    </w:p>
    <w:p w14:paraId="781F3AF2"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The strongest contribution of the literature reviewed in Theme 3 shows that wave energy bankability is shaped by the broad innovation system, so it is not sufficient to explain it at the firm level alone</w:t>
      </w:r>
      <w:bookmarkStart w:id="0" w:name="OLE_LINK2"/>
      <w:r w:rsidRPr="00FB3CCF">
        <w:rPr>
          <w:rFonts w:ascii="Arial" w:hAnsi="Arial" w:cs="Arial"/>
          <w:sz w:val="22"/>
          <w:szCs w:val="22"/>
        </w:rPr>
        <w:t xml:space="preserve"> (see Table C1 in Appendix C and Table I1 in Appendix I). </w:t>
      </w:r>
      <w:bookmarkEnd w:id="0"/>
      <w:r w:rsidRPr="00FB3CCF">
        <w:rPr>
          <w:rFonts w:ascii="Arial" w:hAnsi="Arial" w:cs="Arial"/>
          <w:sz w:val="22"/>
          <w:szCs w:val="22"/>
        </w:rPr>
        <w:t xml:space="preserve">This theme shows that financial difficulty is not an internal problem of weak ventures or immature devices; bankability is affected by institutions, policy coherence, knowledge transfer and market development dynamics. However, while this perspective is valuable, the literature describes </w:t>
      </w:r>
      <w:r w:rsidRPr="00FB3CCF">
        <w:rPr>
          <w:rFonts w:ascii="Arial" w:hAnsi="Arial" w:cs="Arial"/>
          <w:sz w:val="22"/>
          <w:szCs w:val="22"/>
        </w:rPr>
        <w:lastRenderedPageBreak/>
        <w:t>ecosystem weaknesses in broad terms and does not explain their effects on start-up financing difficulties.</w:t>
      </w:r>
    </w:p>
    <w:p w14:paraId="61255105"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One of the most important studies on this theme argues that the UK wave support did not deliver the intended outcomes, not due to technological difficulties or high costs, but because the support system encouraged commercialisation while learning too little; more specifically, the innovation system was poorly coordinated (Hannon, van Diemen and Skea, 2017). The literature is strong due to explaining the problem as a deep structural weakness in the innovation system not only in terms of cost. However, the argument is primarily based on the wave energy experience in the UK during the 2000s and early 2010s, so it is unclear how far those same weaknesses still shape the current conditions of the sector.</w:t>
      </w:r>
    </w:p>
    <w:p w14:paraId="6FA21770"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A second important pattern from Theme 3 is that marine energy development depends on financial capital, collaborative learning, social capital and institutional coordination (</w:t>
      </w:r>
      <w:proofErr w:type="spellStart"/>
      <w:r w:rsidRPr="00FB3CCF">
        <w:rPr>
          <w:rFonts w:ascii="Arial" w:hAnsi="Arial" w:cs="Arial"/>
          <w:sz w:val="22"/>
          <w:szCs w:val="22"/>
        </w:rPr>
        <w:t>Winskel</w:t>
      </w:r>
      <w:proofErr w:type="spellEnd"/>
      <w:r w:rsidRPr="00FB3CCF">
        <w:rPr>
          <w:rFonts w:ascii="Arial" w:hAnsi="Arial" w:cs="Arial"/>
          <w:sz w:val="22"/>
          <w:szCs w:val="22"/>
        </w:rPr>
        <w:t xml:space="preserve"> et al., 2006; </w:t>
      </w:r>
      <w:proofErr w:type="spellStart"/>
      <w:r w:rsidRPr="00FB3CCF">
        <w:rPr>
          <w:rFonts w:ascii="Arial" w:hAnsi="Arial" w:cs="Arial"/>
          <w:sz w:val="22"/>
          <w:szCs w:val="22"/>
        </w:rPr>
        <w:t>Winskel</w:t>
      </w:r>
      <w:proofErr w:type="spellEnd"/>
      <w:r w:rsidRPr="00FB3CCF">
        <w:rPr>
          <w:rFonts w:ascii="Arial" w:hAnsi="Arial" w:cs="Arial"/>
          <w:sz w:val="22"/>
          <w:szCs w:val="22"/>
        </w:rPr>
        <w:t>, 2007) and more importantly if the emerging technologies are progressing through the commercialisation valley of death, coordination between institutions and developers is critical (</w:t>
      </w:r>
      <w:proofErr w:type="spellStart"/>
      <w:r w:rsidRPr="00FB3CCF">
        <w:rPr>
          <w:rFonts w:ascii="Arial" w:hAnsi="Arial" w:cs="Arial"/>
          <w:sz w:val="22"/>
          <w:szCs w:val="22"/>
        </w:rPr>
        <w:t>Corsatea</w:t>
      </w:r>
      <w:proofErr w:type="spellEnd"/>
      <w:r w:rsidRPr="00FB3CCF">
        <w:rPr>
          <w:rFonts w:ascii="Arial" w:hAnsi="Arial" w:cs="Arial"/>
          <w:sz w:val="22"/>
          <w:szCs w:val="22"/>
        </w:rPr>
        <w:t xml:space="preserve">, 2014). These studies show that ventures do not become bankable in isolation but within the systems that can either help or hold back the development of knowledge and credibility. Although the literature highlights the conditions of the ecosystem, it is less clear which forms of coordination are most important for financeability and across different stages of venture development. The technological innovation systems literature helps explain how sector development can be slowed or blocked by weak market formation, knowledge transfer, and resource mobilisation (Gallagher et al., 2012; Negro, 2007; </w:t>
      </w:r>
      <w:proofErr w:type="spellStart"/>
      <w:r w:rsidRPr="00FB3CCF">
        <w:rPr>
          <w:rFonts w:ascii="Arial" w:hAnsi="Arial" w:cs="Arial"/>
          <w:sz w:val="22"/>
          <w:szCs w:val="22"/>
        </w:rPr>
        <w:t>Suurs</w:t>
      </w:r>
      <w:proofErr w:type="spellEnd"/>
      <w:r w:rsidRPr="00FB3CCF">
        <w:rPr>
          <w:rFonts w:ascii="Arial" w:hAnsi="Arial" w:cs="Arial"/>
          <w:sz w:val="22"/>
          <w:szCs w:val="22"/>
        </w:rPr>
        <w:t xml:space="preserve"> and Hekkert, 2009; Dewald and Truffer, 2017). Although the study is generic, it can help to explain why the wave energy sector has difficulty converting technical promise into commercial progress.</w:t>
      </w:r>
    </w:p>
    <w:p w14:paraId="386A0FBC"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Overall, Theme 3 argues that bankability depends not only on firm-level factors but also on the wider ecosystem. The main limitation of the literature is more effective at identifying innovation system problems than at demonstrating how those problems affect financing decisions, start-up development, and investor behaviour.</w:t>
      </w:r>
    </w:p>
    <w:p w14:paraId="57EA764A" w14:textId="77777777" w:rsidR="00FB3CCF" w:rsidRPr="00FB3CCF" w:rsidRDefault="00FB3CCF" w:rsidP="00FB3CCF">
      <w:pPr>
        <w:spacing w:line="360" w:lineRule="auto"/>
        <w:jc w:val="both"/>
        <w:rPr>
          <w:rFonts w:ascii="Arial" w:hAnsi="Arial" w:cs="Arial"/>
          <w:sz w:val="22"/>
          <w:szCs w:val="22"/>
        </w:rPr>
      </w:pPr>
    </w:p>
    <w:p w14:paraId="58C8CA4D" w14:textId="77777777" w:rsidR="00FB3CCF" w:rsidRPr="00FB3CCF" w:rsidRDefault="00FB3CCF" w:rsidP="00FB3CCF">
      <w:pPr>
        <w:spacing w:line="360" w:lineRule="auto"/>
        <w:jc w:val="both"/>
        <w:rPr>
          <w:rFonts w:ascii="Arial" w:hAnsi="Arial" w:cs="Arial"/>
          <w:sz w:val="22"/>
          <w:szCs w:val="22"/>
        </w:rPr>
      </w:pPr>
    </w:p>
    <w:p w14:paraId="2A05C883" w14:textId="77777777" w:rsidR="00FB3CCF" w:rsidRPr="00FB3CCF" w:rsidRDefault="00FB3CCF" w:rsidP="00FB3CCF">
      <w:pPr>
        <w:spacing w:line="360" w:lineRule="auto"/>
        <w:jc w:val="both"/>
        <w:rPr>
          <w:rFonts w:ascii="Arial" w:hAnsi="Arial" w:cs="Arial"/>
          <w:b/>
          <w:bCs/>
          <w:sz w:val="22"/>
          <w:szCs w:val="22"/>
        </w:rPr>
      </w:pPr>
      <w:r w:rsidRPr="00FB3CCF">
        <w:rPr>
          <w:rFonts w:ascii="Arial" w:hAnsi="Arial" w:cs="Arial"/>
          <w:b/>
          <w:bCs/>
          <w:sz w:val="22"/>
          <w:szCs w:val="22"/>
        </w:rPr>
        <w:t>Theme 4 Synthesis: “Techno-economic readiness and commercialisation pathways”</w:t>
      </w:r>
    </w:p>
    <w:p w14:paraId="3AEA0994"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 xml:space="preserve">The literature reviewed in Theme 4 shows that techno-economic readiness is crucial for bankability, as investors are not convinced by promises alone, but they require credible techno-economic evidence (see Table D1 in Appendix D and Table J1 in Appendix J). This </w:t>
      </w:r>
      <w:r w:rsidRPr="00FB3CCF">
        <w:rPr>
          <w:rFonts w:ascii="Arial" w:hAnsi="Arial" w:cs="Arial"/>
          <w:sz w:val="22"/>
          <w:szCs w:val="22"/>
        </w:rPr>
        <w:lastRenderedPageBreak/>
        <w:t>theme is important for the wave energy sector because, without an optimistic outlook on the sector's potential, it raises the question of whether technical progress is sufficient to enable realistic pathways to commercialisation. At the same time, the literature shows that the techno-economic evidence needed to maintain investor confidence is not adequately developed by the wave energy sector. In this respect, the issue is not about high costs, so that the future performance, reliability and cost reduction remain uncertain.</w:t>
      </w:r>
    </w:p>
    <w:p w14:paraId="3F7E5140"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The literature shows that commercial deployment is not simply the consequence of technological progress but also a precondition for further progress. Early finance is important because repeatedly using and testing the technology in real-world conditions provides operational evidence, reduces costs, and builds technical maturity, and generating the evidence will improve the financeability in the later stages (MacGillivray, Jeffrey and Wallace,2015; MacGillivray et al., 2014). But this creates a circular problem because investors need evidence before funding, yet deployment is only possible when financing is available. And the literature recognises this circularity problem as an accepted condition rather than analysing how to overcome it in practice.</w:t>
      </w:r>
    </w:p>
    <w:p w14:paraId="6BFFDFF6"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 xml:space="preserve">A second important finding is that wave energy technologies remain commercially underdeveloped and insufficiently consolidated because there is no clear route to competitiveness like that of other energy sources, and due to high costs (Guo and Ringwood, 2021; </w:t>
      </w:r>
      <w:proofErr w:type="spellStart"/>
      <w:r w:rsidRPr="00FB3CCF">
        <w:rPr>
          <w:rFonts w:ascii="Arial" w:hAnsi="Arial" w:cs="Arial"/>
          <w:sz w:val="22"/>
          <w:szCs w:val="22"/>
        </w:rPr>
        <w:t>Astariz</w:t>
      </w:r>
      <w:proofErr w:type="spellEnd"/>
      <w:r w:rsidRPr="00FB3CCF">
        <w:rPr>
          <w:rFonts w:ascii="Arial" w:hAnsi="Arial" w:cs="Arial"/>
          <w:sz w:val="22"/>
          <w:szCs w:val="22"/>
        </w:rPr>
        <w:t xml:space="preserve"> and Iglesias, 2015, 2016; Stegman et al., 2017). This literature is important because it challenges the assumption that the financial challenge of the wave energy sector is solely due to inadequate policy support or investor risk aversion. However, the literature focuses on the sector as a whole and lacks an explanation of how these weaknesses shape financing decisions for specific ventures.</w:t>
      </w:r>
    </w:p>
    <w:p w14:paraId="523FC6CB"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The literature of Theme 4 questions how techno-economic readiness should be measured. Technology Readiness Levels alone are insufficient, so technology performance must also be evaluated alongside readiness (Weber, 2012; Weber, Costello, and Ringwood, 2013; Weber et al., 2017). It is the most useful contribution of this theme because</w:t>
      </w:r>
      <w:r w:rsidRPr="00FB3CCF">
        <w:t xml:space="preserve"> </w:t>
      </w:r>
      <w:proofErr w:type="gramStart"/>
      <w:r w:rsidRPr="00FB3CCF">
        <w:rPr>
          <w:rFonts w:ascii="Arial" w:hAnsi="Arial" w:cs="Arial"/>
          <w:sz w:val="22"/>
          <w:szCs w:val="22"/>
        </w:rPr>
        <w:t>It</w:t>
      </w:r>
      <w:proofErr w:type="gramEnd"/>
      <w:r w:rsidRPr="00FB3CCF">
        <w:rPr>
          <w:rFonts w:ascii="Arial" w:hAnsi="Arial" w:cs="Arial"/>
          <w:sz w:val="22"/>
          <w:szCs w:val="22"/>
        </w:rPr>
        <w:t xml:space="preserve"> clarifies evidence quality and signalling. Similarly, inconsistent approaches to economic evaluation limit comparability, and this makes investment decisions more difficult (</w:t>
      </w:r>
      <w:proofErr w:type="spellStart"/>
      <w:r w:rsidRPr="00FB3CCF">
        <w:rPr>
          <w:rFonts w:ascii="Arial" w:hAnsi="Arial" w:cs="Arial"/>
          <w:sz w:val="22"/>
          <w:szCs w:val="22"/>
        </w:rPr>
        <w:t>Têtu</w:t>
      </w:r>
      <w:proofErr w:type="spellEnd"/>
      <w:r w:rsidRPr="00FB3CCF">
        <w:rPr>
          <w:rFonts w:ascii="Arial" w:hAnsi="Arial" w:cs="Arial"/>
          <w:sz w:val="22"/>
          <w:szCs w:val="22"/>
        </w:rPr>
        <w:t xml:space="preserve"> and Fernández Chozas, 2021). However, much of the literature is shaped by analytical frameworks rather than by direct evidence on investor behaviour.</w:t>
      </w:r>
    </w:p>
    <w:p w14:paraId="73BA3F45"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Overall, Theme 4 shows that credible techno-economic evidence influences bankability. Its strength is to explain why progress is slow, and its weakness is that the literature cannot clearly connect technical problems to the real financing challenges faced by start-ups.</w:t>
      </w:r>
    </w:p>
    <w:p w14:paraId="4B1A3EFD" w14:textId="77777777" w:rsidR="00FB3CCF" w:rsidRPr="00FB3CCF" w:rsidRDefault="00FB3CCF" w:rsidP="00FB3CCF">
      <w:pPr>
        <w:spacing w:line="360" w:lineRule="auto"/>
        <w:jc w:val="both"/>
        <w:rPr>
          <w:rFonts w:ascii="Arial" w:hAnsi="Arial" w:cs="Arial"/>
          <w:sz w:val="22"/>
          <w:szCs w:val="22"/>
        </w:rPr>
      </w:pPr>
    </w:p>
    <w:p w14:paraId="48EF5297" w14:textId="77777777" w:rsidR="00FB3CCF" w:rsidRPr="00FB3CCF" w:rsidRDefault="00FB3CCF" w:rsidP="00FB3CCF">
      <w:pPr>
        <w:spacing w:line="360" w:lineRule="auto"/>
        <w:jc w:val="both"/>
        <w:rPr>
          <w:rFonts w:ascii="Arial" w:hAnsi="Arial" w:cs="Arial"/>
          <w:b/>
          <w:bCs/>
          <w:sz w:val="22"/>
          <w:szCs w:val="22"/>
        </w:rPr>
      </w:pPr>
      <w:r w:rsidRPr="00FB3CCF">
        <w:rPr>
          <w:rFonts w:ascii="Arial" w:hAnsi="Arial" w:cs="Arial"/>
          <w:b/>
          <w:bCs/>
          <w:sz w:val="22"/>
          <w:szCs w:val="22"/>
        </w:rPr>
        <w:lastRenderedPageBreak/>
        <w:t>Theme 5 Synthesis: “Risk, due diligence, and staged investment”</w:t>
      </w:r>
    </w:p>
    <w:p w14:paraId="20404D2A"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The literature reviewed in Theme 5 shows that the financeability of wave and marine energy depends not simply on cost expectations, but also on how uncertainty is managed by investors and developers (see Table E1 in Appendix E and Table K1 in Appendix K).   This theme moves beyond Levelized Cost of Energy (LCOE)-based assessments by showing that investment decisions are shaped by a wide range of risks such as technical, operational and institutional. However, the literature demonstrates the importance of uncertainty rather than explaining the effects of risk on the funding decisions of start-up ventures in practice. Much of the literature focuses on models and technology-level case studies rather than on how firms and investors actually make financing decisions in practice.</w:t>
      </w:r>
    </w:p>
    <w:p w14:paraId="5DDD03B8"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A clear pattern is that the literature moves decisively beyond cost-only logic. A consistent finding in the literature is that cost alone is insufficient to judge the attractiveness of ocean energy. Studies show that LCOE alone does not capture the overall bankability profile of the venture because of technical, commercial, or policy high risks; low-cost options may still be unattractive to investors (Andres et al., 2017; Hutcheson, Andres, and Jeffrey, 2016). Even though cost metrics do not capture the full picture, they are often taken as signs of commercial readiness. However, commercial readiness cannot be evaluated by considering only the device; it also requires attention to logistics and developer capabilities, as well as wider system factors (Wilson, Rowley and Watson, 2011). These studies are valuable because they align closely with a broader understanding of bankability, but they are stronger as analytical frameworks than as direct evidence of investor behaviour in practice.</w:t>
      </w:r>
    </w:p>
    <w:p w14:paraId="02E4A448"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A second important pattern in the literature is the criticality of uncertainty analysis. Marine energy projects may appear more or less attractive depending on the assumptions about revenue and financial performance used in the financial evaluation (Guanche et al., 2014; Shah et al., 2017; Shah 2018). This is important because the problem is not only the technology itself, but also how uncertainty is analysed. So, a project may appear less financeable because of weak risk estimation, not just because of weak technical performance. However, the literature sufficiently analyses projects technically but is weaker at showing how different types of funders and investors actually interpret uncertainty when making financing decisions. The literature also highlights the importance of timing and staged investment, suggesting that delaying investment may be economically rational under conditions of persistent uncertainty (MacDougall, 2017; MacDougall, 2018). This is a valuable insight because these studies help explain why finance can remain blocked even when technologies appear strategically attractive; however, because they are based mainly on tidal energy, their relevance to wave energy should be treated with caution.</w:t>
      </w:r>
    </w:p>
    <w:p w14:paraId="187F09FE"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lastRenderedPageBreak/>
        <w:t>Overall, the Theme 5 literature offers valuable insights because it reframes financeability as shaped by risk visibility, risk allocation, and timing rather than by cost alone. Its main limitation, however, is that the literature remains fragmented across modelling, appraisal, and analogy-based studies, and it also offers only limited direct evidence of how wave energy investors actually make staged financing decisions.</w:t>
      </w:r>
    </w:p>
    <w:p w14:paraId="5CAF12B7" w14:textId="77777777" w:rsidR="00FB3CCF" w:rsidRPr="00FB3CCF" w:rsidRDefault="00FB3CCF" w:rsidP="00FB3CCF">
      <w:pPr>
        <w:spacing w:line="360" w:lineRule="auto"/>
        <w:jc w:val="both"/>
        <w:rPr>
          <w:rFonts w:ascii="Arial" w:hAnsi="Arial" w:cs="Arial"/>
          <w:sz w:val="22"/>
          <w:szCs w:val="22"/>
        </w:rPr>
      </w:pPr>
    </w:p>
    <w:p w14:paraId="436DE539"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b/>
          <w:bCs/>
          <w:sz w:val="22"/>
          <w:szCs w:val="22"/>
        </w:rPr>
        <w:t>Theme 6 Synthesis: “Governance, consenting, and non-technical barriers”</w:t>
      </w:r>
    </w:p>
    <w:p w14:paraId="69FFA760"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Non-technical barriers are part of the finance problem in wave energy; in fact, they are one of the factors that actively shape it (see Table F1 in Appendix F and Table L1 in Appendix L).    The major strength of Theme 6 is that it determines that factors such as the wider regulatory and institutional environment can also affect whether the venture is seen as credible and investable by investors. The literature demonstrates that when the regulatory pathway is uncertain and slow, the projects and ventures may remain unattractive to investors.</w:t>
      </w:r>
    </w:p>
    <w:p w14:paraId="0FC50EC1"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A strong pattern in the literature is that regulatory complexity is a significant barrier, even regulatory uncertainty and licensing requirements may significantly delay development (Wright, 2016; Leary and Esteban, 2009; Neumann et al., 2006). This is highlighted by evidence that environmental impact assessment is not a simple procedural step but a documentary and administrative burden (Greaves et al., 2016; Harrington and Andina-</w:t>
      </w:r>
      <w:proofErr w:type="spellStart"/>
      <w:r w:rsidRPr="00FB3CCF">
        <w:rPr>
          <w:rFonts w:ascii="Arial" w:hAnsi="Arial" w:cs="Arial"/>
          <w:sz w:val="22"/>
          <w:szCs w:val="22"/>
        </w:rPr>
        <w:t>Pendás</w:t>
      </w:r>
      <w:proofErr w:type="spellEnd"/>
      <w:r w:rsidRPr="00FB3CCF">
        <w:rPr>
          <w:rFonts w:ascii="Arial" w:hAnsi="Arial" w:cs="Arial"/>
          <w:sz w:val="22"/>
          <w:szCs w:val="22"/>
        </w:rPr>
        <w:t>, 2008). This is important because it suggests that bankability may be weakened by the uncertainty and costs generated by governance processes.</w:t>
      </w:r>
    </w:p>
    <w:p w14:paraId="15D3C5C7"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 xml:space="preserve">The literature also suggests that support infrastructure and learning through practice, such as test centres, the European Marine Energy Centre (EMEC) and Wave Hub, can reduce practical barriers for developers (Norris, 2009; Smith et al., 2009). However, such institutions may reduce operational inefficiencies, but they do not resolve deeper structural problems such as regulatory complexity and stakeholder conflict. </w:t>
      </w:r>
    </w:p>
    <w:p w14:paraId="78571797"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t xml:space="preserve">The literature highlights the importance of stakeholder and environmental credibility; moreover, it suggests that project credibility is shaped by social acceptance, ecological data, and local stakeholder expectations (Simas et al. 2012; West, Bailey and Whitehead 2019; Witt et al.,2012). However, this work focuses on individual cases, and it does not show in a broader and systematic way to deal with legitimacy-related problems that influence financing outcomes. Similarly, decommissioning obligations may create liabilities that are not apparent to investors in the short term; although the literature is effective to identify these decommissioning liabilities, it is limited in explaining how investors assess them (Mackie and </w:t>
      </w:r>
      <w:proofErr w:type="spellStart"/>
      <w:r w:rsidRPr="00FB3CCF">
        <w:rPr>
          <w:rFonts w:ascii="Arial" w:hAnsi="Arial" w:cs="Arial"/>
          <w:sz w:val="22"/>
          <w:szCs w:val="22"/>
        </w:rPr>
        <w:t>Velenturf</w:t>
      </w:r>
      <w:proofErr w:type="spellEnd"/>
      <w:r w:rsidRPr="00FB3CCF">
        <w:rPr>
          <w:rFonts w:ascii="Arial" w:hAnsi="Arial" w:cs="Arial"/>
          <w:sz w:val="22"/>
          <w:szCs w:val="22"/>
        </w:rPr>
        <w:t>, 2021).</w:t>
      </w:r>
    </w:p>
    <w:p w14:paraId="4030F3D1"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sz w:val="22"/>
          <w:szCs w:val="22"/>
        </w:rPr>
        <w:lastRenderedPageBreak/>
        <w:t>Overall, Theme 6 makes clear that non-technical barriers, such as governance and regulation, are part of the finance problem and are part of the mechanism through which wave ventures become harder to finance. However, the literature lists barriers rather than explaining systematically how they affect the bankability of start-up ventures.</w:t>
      </w:r>
    </w:p>
    <w:p w14:paraId="31066B6C" w14:textId="77777777" w:rsidR="00FB3CCF" w:rsidRPr="00FB3CCF" w:rsidRDefault="00FB3CCF" w:rsidP="00FB3CCF">
      <w:pPr>
        <w:spacing w:line="360" w:lineRule="auto"/>
        <w:jc w:val="both"/>
        <w:rPr>
          <w:rFonts w:ascii="Arial" w:hAnsi="Arial" w:cs="Arial"/>
          <w:b/>
          <w:bCs/>
          <w:sz w:val="22"/>
          <w:szCs w:val="22"/>
        </w:rPr>
      </w:pPr>
    </w:p>
    <w:p w14:paraId="5E53E78C" w14:textId="77777777" w:rsidR="00FB3CCF" w:rsidRPr="00FB3CCF" w:rsidRDefault="00FB3CCF" w:rsidP="00FB3CCF">
      <w:pPr>
        <w:autoSpaceDE w:val="0"/>
        <w:autoSpaceDN w:val="0"/>
        <w:adjustRightInd w:val="0"/>
        <w:spacing w:line="360" w:lineRule="auto"/>
        <w:rPr>
          <w:rFonts w:ascii="Arial" w:hAnsi="Arial" w:cs="Arial"/>
          <w:b/>
          <w:bCs/>
          <w:sz w:val="22"/>
          <w:szCs w:val="22"/>
        </w:rPr>
      </w:pPr>
      <w:r w:rsidRPr="00FB3CCF">
        <w:rPr>
          <w:rFonts w:ascii="Arial" w:hAnsi="Arial" w:cs="Arial"/>
          <w:b/>
          <w:bCs/>
          <w:sz w:val="22"/>
          <w:szCs w:val="22"/>
        </w:rPr>
        <w:t>Overall synthesis across themes</w:t>
      </w:r>
    </w:p>
    <w:p w14:paraId="53E6D37B" w14:textId="77777777" w:rsidR="00FB3CCF" w:rsidRPr="00FB3CCF" w:rsidRDefault="00FB3CCF" w:rsidP="00FB3CCF">
      <w:pPr>
        <w:autoSpaceDE w:val="0"/>
        <w:autoSpaceDN w:val="0"/>
        <w:adjustRightInd w:val="0"/>
        <w:spacing w:line="360" w:lineRule="auto"/>
        <w:jc w:val="both"/>
        <w:rPr>
          <w:rFonts w:ascii="Arial" w:hAnsi="Arial" w:cs="Arial"/>
          <w:sz w:val="22"/>
          <w:szCs w:val="22"/>
        </w:rPr>
      </w:pPr>
      <w:r w:rsidRPr="00FB3CCF">
        <w:rPr>
          <w:rFonts w:ascii="Arial" w:hAnsi="Arial" w:cs="Arial"/>
          <w:sz w:val="22"/>
          <w:szCs w:val="22"/>
        </w:rPr>
        <w:t xml:space="preserve">Across all literature, it is indicated that the bankability of UK wave energy start-up businesses is not a simple shortage of finance, but instead it is shaped by the interaction of different factors from wider ecosystem support, such as technical credibility, investor confidence, and policy credibility (McCoy and Schwartz, 2022; Romero, Sulima and </w:t>
      </w:r>
      <w:proofErr w:type="spellStart"/>
      <w:r w:rsidRPr="00FB3CCF">
        <w:rPr>
          <w:rFonts w:ascii="Arial" w:hAnsi="Arial" w:cs="Arial"/>
          <w:sz w:val="22"/>
          <w:szCs w:val="22"/>
        </w:rPr>
        <w:t>Conibeer</w:t>
      </w:r>
      <w:proofErr w:type="spellEnd"/>
      <w:r w:rsidRPr="00FB3CCF">
        <w:rPr>
          <w:rFonts w:ascii="Arial" w:hAnsi="Arial" w:cs="Arial"/>
          <w:sz w:val="22"/>
          <w:szCs w:val="22"/>
        </w:rPr>
        <w:t xml:space="preserve">, 2017; Leete, Xu and Wheeler, 2013; Polzin et al., 2019; Guo and Ringwood, 2021). One of the strengths of literature is that it moves beyond narrow cost-based explanations. However, the literature is more limited in explaining how these factors produce bankability in practice. Although these factors, technical, commercial, policy, and ecosystem factors, are frequently identified together, there is a lack of a coherent framework that explains how ventures become financeable across different stages of development. </w:t>
      </w:r>
    </w:p>
    <w:p w14:paraId="594BE58E" w14:textId="77777777" w:rsidR="00FB3CCF" w:rsidRPr="00FB3CCF" w:rsidRDefault="00FB3CCF" w:rsidP="00FB3CCF">
      <w:pPr>
        <w:autoSpaceDE w:val="0"/>
        <w:autoSpaceDN w:val="0"/>
        <w:adjustRightInd w:val="0"/>
        <w:spacing w:line="360" w:lineRule="auto"/>
        <w:jc w:val="both"/>
        <w:rPr>
          <w:rFonts w:ascii="Arial" w:hAnsi="Arial" w:cs="Arial"/>
          <w:sz w:val="22"/>
          <w:szCs w:val="22"/>
        </w:rPr>
      </w:pPr>
      <w:r w:rsidRPr="00FB3CCF">
        <w:rPr>
          <w:rFonts w:ascii="Arial" w:hAnsi="Arial" w:cs="Arial"/>
          <w:sz w:val="22"/>
          <w:szCs w:val="22"/>
        </w:rPr>
        <w:t xml:space="preserve">There is limited attention to the transition from public support to private capital, even though it is one of the most fragile points in the financing pathway. Studies in wave energy and adjacent cleantech sectors suggest that for private capital, grants, demonstration programmes, and supportive policy conditions won't make ventures sufficiently credible and investment readiness (Jeffrey et al., 2015; Wiegele and Jones, 2024; O’Reilly, Mac an Bhaird and Greene, 2024). Much of the existing research remains underfocused on the venture-level and investor-level processes through which bankability is assessed in practice; instead, it focuses on sector-level conditions and policy design (Hannon, Diemen and Skea, 2017; Jin and Greaves, 2021; Cowling and Liu, 2021). Consequently, a clear gap remains between broad explanations of sector-level barriers and a well-specified explanation of how funding decisions are shaped in practice. The literature still does not clearly explain whether wave energy struggles to attract finance mainly because the technology is not mature enough or because existing finance systems are a poor fit for it. It also does not clearly explain whether bankability should be understood as a feature of the project, the firm, or the wider ecosystem. </w:t>
      </w:r>
    </w:p>
    <w:p w14:paraId="725BBC50"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PART 3</w:t>
      </w:r>
    </w:p>
    <w:p w14:paraId="44543496" w14:textId="77777777" w:rsidR="00FB3CCF" w:rsidRPr="00FB3CCF" w:rsidRDefault="00FB3CCF" w:rsidP="00FB3CCF">
      <w:pPr>
        <w:spacing w:after="0" w:line="276" w:lineRule="auto"/>
        <w:jc w:val="both"/>
        <w:rPr>
          <w:rFonts w:ascii="Arial" w:hAnsi="Arial" w:cs="Arial"/>
          <w:b/>
          <w:bCs/>
          <w:sz w:val="22"/>
          <w:szCs w:val="22"/>
        </w:rPr>
      </w:pPr>
    </w:p>
    <w:p w14:paraId="6D722B24"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PRELIMINARY CRITICAL LITERATURE REVIEW FOR UK WAVE ENERGY BANKABILITY</w:t>
      </w:r>
    </w:p>
    <w:p w14:paraId="4FEDFD50" w14:textId="77777777" w:rsidR="00FB3CCF" w:rsidRPr="00FB3CCF" w:rsidRDefault="00FB3CCF" w:rsidP="00FB3CCF">
      <w:pPr>
        <w:spacing w:after="0" w:line="276" w:lineRule="auto"/>
        <w:jc w:val="both"/>
        <w:rPr>
          <w:rFonts w:ascii="Arial" w:hAnsi="Arial" w:cs="Arial"/>
          <w:b/>
          <w:bCs/>
          <w:sz w:val="22"/>
          <w:szCs w:val="22"/>
        </w:rPr>
      </w:pPr>
    </w:p>
    <w:p w14:paraId="781BBBDA" w14:textId="77777777" w:rsidR="00FB3CCF" w:rsidRPr="00FB3CCF" w:rsidRDefault="00FB3CCF" w:rsidP="00FB3CCF">
      <w:pPr>
        <w:spacing w:after="0" w:line="276" w:lineRule="auto"/>
        <w:jc w:val="both"/>
        <w:rPr>
          <w:rFonts w:ascii="Arial" w:hAnsi="Arial" w:cs="Arial"/>
          <w:b/>
          <w:bCs/>
          <w:sz w:val="22"/>
          <w:szCs w:val="22"/>
        </w:rPr>
      </w:pPr>
    </w:p>
    <w:p w14:paraId="5B029992"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3.1 Introduction</w:t>
      </w:r>
    </w:p>
    <w:p w14:paraId="0DCA6E27" w14:textId="77777777" w:rsidR="00FB3CCF" w:rsidRPr="00FB3CCF" w:rsidRDefault="00FB3CCF" w:rsidP="00FB3CCF">
      <w:pPr>
        <w:spacing w:after="0" w:line="276" w:lineRule="auto"/>
        <w:jc w:val="both"/>
        <w:rPr>
          <w:rFonts w:ascii="Arial" w:hAnsi="Arial" w:cs="Arial"/>
          <w:sz w:val="22"/>
          <w:szCs w:val="22"/>
        </w:rPr>
      </w:pPr>
    </w:p>
    <w:p w14:paraId="29F0882A"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literature on UK wave energy combines insights from multiple fields, such as renewable energy finance, clean technology commercialisation, innovation systems, infrastructure governance, and project risk. Within the UK context, wave energy continues to be presented as strategically important to the United Kingdom due to its resource base, possible contribution to decarbonisation, and relevance to regional industrial development (Jin and Greaves, 2021; Jeffrey, Jay and Winskel, 2013). Furthermore, the literature shows that wave energy has repeatedly struggled to convert technical promise and public support into long-term commercial development (Hannon, van Diemen and Skea, 2017; Guo and Ringwood, 2021; Wiegele and Jones, 2024). The central problem is therefore not simply whether wave energy has potential, but why ventures in this field remain difficult to finance.</w:t>
      </w:r>
    </w:p>
    <w:p w14:paraId="0BA47D5E" w14:textId="77777777" w:rsidR="00FB3CCF" w:rsidRPr="00FB3CCF" w:rsidRDefault="00FB3CCF" w:rsidP="00FB3CCF">
      <w:pPr>
        <w:spacing w:after="0" w:line="276" w:lineRule="auto"/>
        <w:jc w:val="both"/>
        <w:rPr>
          <w:rFonts w:ascii="Arial" w:hAnsi="Arial" w:cs="Arial"/>
          <w:sz w:val="22"/>
          <w:szCs w:val="22"/>
        </w:rPr>
      </w:pPr>
    </w:p>
    <w:p w14:paraId="406A24EA"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This bankability problem is important for three reasons. First, the transition to low-carbon energy has increased pressure to identify technologies that can support net-zero ambitions while strengthening energy security. Second, the UK retains strong wave resources and continued policy interest, whereas commercial outcomes remain weak relative to earlier expectations (Jin and Greaves, 2021). Third, the renewable energy and transition finance literatures demonstrate that emerging technologies do not become financeable solely on the basis of technical potential; they also require credible institutional, policy, and market conditions that enable relevant capital providers to engage (Polzin et al., 2019; Geddes and Schmidt, 2020). This makes UK wave energy a useful case for examining how bankability is constructed, delayed, or undermined in the context of high-risk, long-horizon wave energy ventures.</w:t>
      </w:r>
    </w:p>
    <w:p w14:paraId="4316ED77" w14:textId="77777777" w:rsidR="00FB3CCF" w:rsidRPr="00FB3CCF" w:rsidRDefault="00FB3CCF" w:rsidP="00FB3CCF">
      <w:pPr>
        <w:spacing w:after="0" w:line="276" w:lineRule="auto"/>
        <w:jc w:val="both"/>
        <w:rPr>
          <w:rFonts w:ascii="Arial" w:hAnsi="Arial" w:cs="Arial"/>
          <w:sz w:val="22"/>
          <w:szCs w:val="22"/>
        </w:rPr>
      </w:pPr>
    </w:p>
    <w:p w14:paraId="61A0BA81"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practical problem is evident in the persistent difficulty of moving from prototype development and public support to credible commercial finance. The academic problem is that the literature explains this financing difficulty in fragments. Investor studies emphasise risk, return, and policy credibility (Leete, Xu and Wheeler, 2013; Polzin et al., 2019). Innovation system studies emphasise weak learning, fragmented institutions, and poor coordination (</w:t>
      </w:r>
      <w:proofErr w:type="spellStart"/>
      <w:r w:rsidRPr="00FB3CCF">
        <w:rPr>
          <w:rFonts w:ascii="Arial" w:hAnsi="Arial" w:cs="Arial"/>
          <w:sz w:val="22"/>
          <w:szCs w:val="22"/>
        </w:rPr>
        <w:t>Winskel</w:t>
      </w:r>
      <w:proofErr w:type="spellEnd"/>
      <w:r w:rsidRPr="00FB3CCF">
        <w:rPr>
          <w:rFonts w:ascii="Arial" w:hAnsi="Arial" w:cs="Arial"/>
          <w:sz w:val="22"/>
          <w:szCs w:val="22"/>
        </w:rPr>
        <w:t xml:space="preserve"> et al., 2006; Hannon, van Diemen and Skea, 2017). Techno-economic studies emphasise cost uncertainty, reliability problems, and lack of convergence (Guo and Ringwood, 2021; Gray et al., 2017; Topper et al., 2019). Governance studies emphasise consenting, compliance, and regulatory burdens (Wright, 2016; Greaves et al., 2016). Even though these related studies are individually valuable, they do not yet provide an integrated explanation of startup bankability in the UK wave energy.</w:t>
      </w:r>
    </w:p>
    <w:p w14:paraId="6E1FE39E" w14:textId="77777777" w:rsidR="00FB3CCF" w:rsidRPr="00FB3CCF" w:rsidRDefault="00FB3CCF" w:rsidP="00FB3CCF">
      <w:pPr>
        <w:spacing w:after="0" w:line="276" w:lineRule="auto"/>
        <w:jc w:val="both"/>
        <w:rPr>
          <w:rFonts w:ascii="Arial" w:hAnsi="Arial" w:cs="Arial"/>
          <w:sz w:val="22"/>
          <w:szCs w:val="22"/>
        </w:rPr>
      </w:pPr>
    </w:p>
    <w:p w14:paraId="586C0ECC"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aim of this critical literature review is to develop a clearer explanation of why UK wave energy startups struggle to become financeable. More specifically, it seeks to synthesise the literature through the concept of bankability and identify the conditions, such as technical, commercial, policy, institutional, and regulatory conditions, that shape whether ventures can move from early support to credible commercial finance.</w:t>
      </w:r>
    </w:p>
    <w:p w14:paraId="44807F40" w14:textId="77777777" w:rsidR="00FB3CCF" w:rsidRPr="00FB3CCF" w:rsidRDefault="00FB3CCF" w:rsidP="00FB3CCF">
      <w:pPr>
        <w:spacing w:after="0" w:line="276" w:lineRule="auto"/>
        <w:jc w:val="both"/>
        <w:rPr>
          <w:rFonts w:ascii="Arial" w:hAnsi="Arial" w:cs="Arial"/>
          <w:sz w:val="22"/>
          <w:szCs w:val="22"/>
        </w:rPr>
      </w:pPr>
    </w:p>
    <w:p w14:paraId="109E9D9C"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3.2 Conceptual framing</w:t>
      </w:r>
    </w:p>
    <w:p w14:paraId="3011179B" w14:textId="77777777" w:rsidR="00FB3CCF" w:rsidRPr="00FB3CCF" w:rsidRDefault="00FB3CCF" w:rsidP="00FB3CCF">
      <w:pPr>
        <w:spacing w:after="0" w:line="276" w:lineRule="auto"/>
        <w:jc w:val="both"/>
        <w:rPr>
          <w:rFonts w:ascii="Arial" w:hAnsi="Arial" w:cs="Arial"/>
          <w:sz w:val="22"/>
          <w:szCs w:val="22"/>
        </w:rPr>
      </w:pPr>
    </w:p>
    <w:p w14:paraId="1AC3560D"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A central difficulty in this field is that bankability is not often clearly defined. In much of the marine energy literature, discussion appears in references to investor confidence, financing barriers, commercial readiness, risk reduction, or due diligence thresholds rather than a limited treatment of bankability itself (Leete, Xu and Wheeler, 2013; Bucher et al., 2016; Jeffrey et al., </w:t>
      </w:r>
      <w:r w:rsidRPr="00FB3CCF">
        <w:rPr>
          <w:rFonts w:ascii="Arial" w:hAnsi="Arial" w:cs="Arial"/>
          <w:sz w:val="22"/>
          <w:szCs w:val="22"/>
        </w:rPr>
        <w:lastRenderedPageBreak/>
        <w:t>2015). This creates an analytical problem because it becomes difficult to distinguish bankability from related concepts such as investment attractiveness, access to funding, or commercial viability.</w:t>
      </w:r>
    </w:p>
    <w:p w14:paraId="52C8E1CD" w14:textId="77777777" w:rsidR="00FB3CCF" w:rsidRPr="00FB3CCF" w:rsidRDefault="00FB3CCF" w:rsidP="00FB3CCF">
      <w:pPr>
        <w:spacing w:after="0" w:line="276" w:lineRule="auto"/>
        <w:jc w:val="both"/>
        <w:rPr>
          <w:rFonts w:ascii="Arial" w:hAnsi="Arial" w:cs="Arial"/>
          <w:sz w:val="22"/>
          <w:szCs w:val="22"/>
        </w:rPr>
      </w:pPr>
    </w:p>
    <w:p w14:paraId="7F8B4E56"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An important starting point is provided by McCoy and Schwartz (2022), who argue that bankability should be treated as a context-dependent assessment shaped by stakeholder type, financing structure, project phase, asset characteristics, and institutional context. Similarly, Romero, Sulima and </w:t>
      </w:r>
      <w:proofErr w:type="spellStart"/>
      <w:r w:rsidRPr="00FB3CCF">
        <w:rPr>
          <w:rFonts w:ascii="Arial" w:hAnsi="Arial" w:cs="Arial"/>
          <w:sz w:val="22"/>
          <w:szCs w:val="22"/>
        </w:rPr>
        <w:t>Conibeer</w:t>
      </w:r>
      <w:proofErr w:type="spellEnd"/>
      <w:r w:rsidRPr="00FB3CCF">
        <w:rPr>
          <w:rFonts w:ascii="Arial" w:hAnsi="Arial" w:cs="Arial"/>
          <w:sz w:val="22"/>
          <w:szCs w:val="22"/>
        </w:rPr>
        <w:t xml:space="preserve"> (2017) suggest that new energy technologies become bankable only when financiers judge technology risk to be sufficiently manageable. In renewable finance research, Polzin et al. (2019) show that investors engage where policy and market conditions together improve expected return and lower perceived risk. As a whole, these studies suggest that bankability is not a static quality of a technology or venture. </w:t>
      </w:r>
    </w:p>
    <w:p w14:paraId="1E49236B" w14:textId="77777777" w:rsidR="00FB3CCF" w:rsidRPr="00FB3CCF" w:rsidRDefault="00FB3CCF" w:rsidP="00FB3CCF">
      <w:pPr>
        <w:spacing w:after="0" w:line="276" w:lineRule="auto"/>
        <w:jc w:val="both"/>
        <w:rPr>
          <w:rFonts w:ascii="Arial" w:hAnsi="Arial" w:cs="Arial"/>
          <w:sz w:val="22"/>
          <w:szCs w:val="22"/>
        </w:rPr>
      </w:pPr>
    </w:p>
    <w:p w14:paraId="76E0822E"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For this study, bankability can therefore be defined as the degree to which a wave energy startup, its technology, and its route to market are judged financeable by relevant capital providers at a given stage of development. This definition highlights three important points. First, bankability is stage-sensitive because the criteria that matter at concept, prototype, demonstration, and pre-commercial stages are not identical (Nightingale et al., 2016; Murphy and Edwards, 2003). Second, bankability is relational, because the same venture may appear attractive to one capital provider and unacceptable to another. Third, bankability is ecosystem-bound because it depends not only on venture quality but also on policy credibility, support infrastructure, institutional coordination, and regulatory conditions (Hannon, van Diemen and Skea, 2017; </w:t>
      </w:r>
      <w:proofErr w:type="spellStart"/>
      <w:r w:rsidRPr="00FB3CCF">
        <w:rPr>
          <w:rFonts w:ascii="Arial" w:hAnsi="Arial" w:cs="Arial"/>
          <w:sz w:val="22"/>
          <w:szCs w:val="22"/>
        </w:rPr>
        <w:t>Winskel</w:t>
      </w:r>
      <w:proofErr w:type="spellEnd"/>
      <w:r w:rsidRPr="00FB3CCF">
        <w:rPr>
          <w:rFonts w:ascii="Arial" w:hAnsi="Arial" w:cs="Arial"/>
          <w:sz w:val="22"/>
          <w:szCs w:val="22"/>
        </w:rPr>
        <w:t xml:space="preserve"> et al., 2006; Wright, 2016).</w:t>
      </w:r>
    </w:p>
    <w:p w14:paraId="1DEF1566" w14:textId="77777777" w:rsidR="00FB3CCF" w:rsidRPr="00FB3CCF" w:rsidRDefault="00FB3CCF" w:rsidP="00FB3CCF">
      <w:pPr>
        <w:spacing w:after="0" w:line="276" w:lineRule="auto"/>
        <w:jc w:val="both"/>
        <w:rPr>
          <w:rFonts w:ascii="Arial" w:hAnsi="Arial" w:cs="Arial"/>
          <w:sz w:val="22"/>
          <w:szCs w:val="22"/>
        </w:rPr>
      </w:pPr>
    </w:p>
    <w:p w14:paraId="7814B91A"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3.2.1 Theoretical background</w:t>
      </w:r>
    </w:p>
    <w:p w14:paraId="4E0E0C7C" w14:textId="77777777" w:rsidR="00FB3CCF" w:rsidRPr="00FB3CCF" w:rsidRDefault="00FB3CCF" w:rsidP="00FB3CCF">
      <w:pPr>
        <w:spacing w:after="0" w:line="276" w:lineRule="auto"/>
        <w:jc w:val="both"/>
        <w:rPr>
          <w:rFonts w:ascii="Arial" w:hAnsi="Arial" w:cs="Arial"/>
          <w:sz w:val="22"/>
          <w:szCs w:val="22"/>
        </w:rPr>
      </w:pPr>
    </w:p>
    <w:p w14:paraId="0C01DC6C"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This study draws on several interconnected theoretical perspectives. The bankability problem is the interaction of financial, technological, institutional, and regulatory factors, so that no single theory is sufficient on its own to study bankability. Therefore, the theoretical background for this study combines ideas from multiple dimensions, such as bankability research, renewable energy finance, innovation systems, commercialisation theory, and policy risk.</w:t>
      </w:r>
    </w:p>
    <w:p w14:paraId="3E71D9E0" w14:textId="77777777" w:rsidR="00FB3CCF" w:rsidRPr="00FB3CCF" w:rsidRDefault="00FB3CCF" w:rsidP="00FB3CCF">
      <w:pPr>
        <w:spacing w:after="0" w:line="276" w:lineRule="auto"/>
        <w:jc w:val="both"/>
        <w:rPr>
          <w:rFonts w:ascii="Arial" w:hAnsi="Arial" w:cs="Arial"/>
          <w:sz w:val="22"/>
          <w:szCs w:val="22"/>
        </w:rPr>
      </w:pPr>
    </w:p>
    <w:p w14:paraId="30C03A85"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The first perspective is bankability as a relational and stage-sensitive construct. McCoy and Schwartz (2022) argue that bankability is not a fixed attribute, but a judgment shaped by actor type, financing structure, project phase, and institutional setting. Romero, Sulima and </w:t>
      </w:r>
      <w:proofErr w:type="spellStart"/>
      <w:r w:rsidRPr="00FB3CCF">
        <w:rPr>
          <w:rFonts w:ascii="Arial" w:hAnsi="Arial" w:cs="Arial"/>
          <w:sz w:val="22"/>
          <w:szCs w:val="22"/>
        </w:rPr>
        <w:t>Conibeer</w:t>
      </w:r>
      <w:proofErr w:type="spellEnd"/>
      <w:r w:rsidRPr="00FB3CCF">
        <w:rPr>
          <w:rFonts w:ascii="Arial" w:hAnsi="Arial" w:cs="Arial"/>
          <w:sz w:val="22"/>
          <w:szCs w:val="22"/>
        </w:rPr>
        <w:t xml:space="preserve"> (2017) support this by showing that bankability in new energy technologies depends on how financiers interpret and allocate technology risk. This perspective is important because it shifts the analysis away from the simplistic question of whether finance exists and towards the more precise question of under what conditions a venture is judged financeable.</w:t>
      </w:r>
    </w:p>
    <w:p w14:paraId="5991D97B" w14:textId="77777777" w:rsidR="00FB3CCF" w:rsidRPr="00FB3CCF" w:rsidRDefault="00FB3CCF" w:rsidP="00FB3CCF">
      <w:pPr>
        <w:spacing w:after="0" w:line="276" w:lineRule="auto"/>
        <w:jc w:val="both"/>
        <w:rPr>
          <w:rFonts w:ascii="Arial" w:hAnsi="Arial" w:cs="Arial"/>
          <w:sz w:val="22"/>
          <w:szCs w:val="22"/>
        </w:rPr>
      </w:pPr>
    </w:p>
    <w:p w14:paraId="4B51235E"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second perspective comes from investor logic and renewable energy finance. Polzin et al. (2019) show that private finance is mobilised when policy and market conditions improve expected return while reducing perceived risk. Nightingale et al. (2016) add that finance is not neutral because different types of financiers support different technologies, stages, and risk levels. Together, these studies help explain why access to finance in wave energy cannot be treated as a generic capital shortage.</w:t>
      </w:r>
    </w:p>
    <w:p w14:paraId="02C6A545" w14:textId="77777777" w:rsidR="00FB3CCF" w:rsidRPr="00FB3CCF" w:rsidRDefault="00FB3CCF" w:rsidP="00FB3CCF">
      <w:pPr>
        <w:spacing w:after="0" w:line="276" w:lineRule="auto"/>
        <w:jc w:val="both"/>
        <w:rPr>
          <w:rFonts w:ascii="Arial" w:hAnsi="Arial" w:cs="Arial"/>
          <w:sz w:val="22"/>
          <w:szCs w:val="22"/>
        </w:rPr>
      </w:pPr>
    </w:p>
    <w:p w14:paraId="19BEEC8F"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lastRenderedPageBreak/>
        <w:t xml:space="preserve">The third perspective is provided by innovation systems theory, particularly technological innovation systems. </w:t>
      </w:r>
      <w:proofErr w:type="spellStart"/>
      <w:r w:rsidRPr="00FB3CCF">
        <w:rPr>
          <w:rFonts w:ascii="Arial" w:hAnsi="Arial" w:cs="Arial"/>
          <w:sz w:val="22"/>
          <w:szCs w:val="22"/>
        </w:rPr>
        <w:t>Winskel</w:t>
      </w:r>
      <w:proofErr w:type="spellEnd"/>
      <w:r w:rsidRPr="00FB3CCF">
        <w:rPr>
          <w:rFonts w:ascii="Arial" w:hAnsi="Arial" w:cs="Arial"/>
          <w:sz w:val="22"/>
          <w:szCs w:val="22"/>
        </w:rPr>
        <w:t xml:space="preserve"> et al. (2006) show that marine energy development is shaped by institutional context, policy structure, and the tension between financial capital and social capital. Gallagher et al. (2012) and Negro (2007) further suggest that emerging energy technologies depend on the interaction of system functions such as knowledge development, market formation, resource mobilisation, and legitimacy. This perspective is highly relevant because it shows that startup bankability is not determined by firm-level quality alone, but by the wider ecosystem in which the venture is embedded.</w:t>
      </w:r>
    </w:p>
    <w:p w14:paraId="4C85EF09" w14:textId="77777777" w:rsidR="00FB3CCF" w:rsidRPr="00FB3CCF" w:rsidRDefault="00FB3CCF" w:rsidP="00FB3CCF">
      <w:pPr>
        <w:spacing w:after="0" w:line="276" w:lineRule="auto"/>
        <w:jc w:val="both"/>
        <w:rPr>
          <w:rFonts w:ascii="Arial" w:hAnsi="Arial" w:cs="Arial"/>
          <w:sz w:val="22"/>
          <w:szCs w:val="22"/>
        </w:rPr>
      </w:pPr>
    </w:p>
    <w:p w14:paraId="493008E1"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fourth perspective comes from commercialisation and the valley-of-death theory. Murphy and Edwards (2003) identify a structurally fragile stage for emerging technologies during the transition from public to private funding. Jeffrey et al. (2015) reinforce this in marine energy by showing that weak proof and uncertain returns may block the path from demonstration to market acceptance. The significance of this perspective is that framing the financeability as a staged process rather than a one-off event.</w:t>
      </w:r>
    </w:p>
    <w:p w14:paraId="52D18D0F" w14:textId="77777777" w:rsidR="00FB3CCF" w:rsidRPr="00FB3CCF" w:rsidRDefault="00FB3CCF" w:rsidP="00FB3CCF">
      <w:pPr>
        <w:spacing w:after="0" w:line="276" w:lineRule="auto"/>
        <w:jc w:val="both"/>
        <w:rPr>
          <w:rFonts w:ascii="Arial" w:hAnsi="Arial" w:cs="Arial"/>
          <w:sz w:val="22"/>
          <w:szCs w:val="22"/>
        </w:rPr>
      </w:pPr>
    </w:p>
    <w:p w14:paraId="4C1D52D0"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The fifth perspective emphasises the influence of regulatory risk, market formation, and policy credibility on bankability. Mitchell, Bauknecht, and Connor (2006) and </w:t>
      </w:r>
      <w:proofErr w:type="spellStart"/>
      <w:r w:rsidRPr="00FB3CCF">
        <w:rPr>
          <w:rFonts w:ascii="Arial" w:hAnsi="Arial" w:cs="Arial"/>
          <w:sz w:val="22"/>
          <w:szCs w:val="22"/>
        </w:rPr>
        <w:t>Kitzing</w:t>
      </w:r>
      <w:proofErr w:type="spellEnd"/>
      <w:r w:rsidRPr="00FB3CCF">
        <w:rPr>
          <w:rFonts w:ascii="Arial" w:hAnsi="Arial" w:cs="Arial"/>
          <w:sz w:val="22"/>
          <w:szCs w:val="22"/>
        </w:rPr>
        <w:t xml:space="preserve"> and Weber (2014) have shown that policy instruments transform the risk that investors experience, thereby influencing their investment decisions. This reasoning is further developed by Wright (2016), who demonstrates that regulatory and governance burdens can significantly undermine confidence in projects. Together, these theories suggest that bankability is shaped not only by technical and commercial factors but also by the credibility of the policy and regulatory environment.</w:t>
      </w:r>
    </w:p>
    <w:p w14:paraId="1BFED1A7" w14:textId="77777777" w:rsidR="00FB3CCF" w:rsidRPr="00FB3CCF" w:rsidRDefault="00FB3CCF" w:rsidP="00FB3CCF">
      <w:pPr>
        <w:spacing w:after="0" w:line="276" w:lineRule="auto"/>
        <w:jc w:val="both"/>
        <w:rPr>
          <w:rFonts w:ascii="Arial" w:hAnsi="Arial" w:cs="Arial"/>
          <w:sz w:val="22"/>
          <w:szCs w:val="22"/>
        </w:rPr>
      </w:pPr>
    </w:p>
    <w:p w14:paraId="19BDB036"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Taken together, these perspectives provide the foundation for analysing bankability in UK wave energy startups as a staged, relational, and ecosystem-bound condition.</w:t>
      </w:r>
    </w:p>
    <w:p w14:paraId="1D1DD878" w14:textId="77777777" w:rsidR="00FB3CCF" w:rsidRPr="00FB3CCF" w:rsidRDefault="00FB3CCF" w:rsidP="00FB3CCF">
      <w:pPr>
        <w:spacing w:after="0" w:line="276" w:lineRule="auto"/>
        <w:jc w:val="both"/>
        <w:rPr>
          <w:rFonts w:ascii="Arial" w:hAnsi="Arial" w:cs="Arial"/>
          <w:sz w:val="22"/>
          <w:szCs w:val="22"/>
        </w:rPr>
      </w:pPr>
    </w:p>
    <w:p w14:paraId="1D0626B3"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3.2.2 Scope of the review</w:t>
      </w:r>
    </w:p>
    <w:p w14:paraId="10074FDC" w14:textId="77777777" w:rsidR="00FB3CCF" w:rsidRPr="00FB3CCF" w:rsidRDefault="00FB3CCF" w:rsidP="00FB3CCF">
      <w:pPr>
        <w:spacing w:after="0" w:line="276" w:lineRule="auto"/>
        <w:jc w:val="both"/>
        <w:rPr>
          <w:rFonts w:ascii="Arial" w:hAnsi="Arial" w:cs="Arial"/>
          <w:sz w:val="22"/>
          <w:szCs w:val="22"/>
        </w:rPr>
      </w:pPr>
    </w:p>
    <w:p w14:paraId="038F728F"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focus of this review is not renewable energy finance in general, nor wave technology performance in isolation. It is specifically the problem of startup bankability in the UK wave energy. The unit of analysis is therefore the startup venture moving through a financing pathway, rather than the sector as a whole or a single utility-scale project. This matters because much of the existing literature is organised around technologies, projects, or policy instruments rather than startup ventures as such.</w:t>
      </w:r>
    </w:p>
    <w:p w14:paraId="312A7DF0" w14:textId="77777777" w:rsidR="00FB3CCF" w:rsidRPr="00FB3CCF" w:rsidRDefault="00FB3CCF" w:rsidP="00FB3CCF">
      <w:pPr>
        <w:spacing w:after="0" w:line="276" w:lineRule="auto"/>
        <w:jc w:val="both"/>
        <w:rPr>
          <w:rFonts w:ascii="Arial" w:hAnsi="Arial" w:cs="Arial"/>
          <w:b/>
          <w:bCs/>
          <w:sz w:val="22"/>
          <w:szCs w:val="22"/>
        </w:rPr>
      </w:pPr>
    </w:p>
    <w:p w14:paraId="462E3D8C"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3.3 Thematic literature review</w:t>
      </w:r>
    </w:p>
    <w:p w14:paraId="76FC0A22" w14:textId="77777777" w:rsidR="00FB3CCF" w:rsidRPr="00FB3CCF" w:rsidRDefault="00FB3CCF" w:rsidP="00FB3CCF">
      <w:pPr>
        <w:spacing w:after="0" w:line="276" w:lineRule="auto"/>
        <w:jc w:val="both"/>
        <w:rPr>
          <w:rFonts w:ascii="Arial" w:hAnsi="Arial" w:cs="Arial"/>
          <w:b/>
          <w:bCs/>
          <w:sz w:val="22"/>
          <w:szCs w:val="22"/>
        </w:rPr>
      </w:pPr>
    </w:p>
    <w:p w14:paraId="3E1DB83B"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3.3.1 Bankability, investor confidence, and startup finance</w:t>
      </w:r>
    </w:p>
    <w:p w14:paraId="15318F45" w14:textId="77777777" w:rsidR="00FB3CCF" w:rsidRPr="00FB3CCF" w:rsidRDefault="00FB3CCF" w:rsidP="00FB3CCF">
      <w:pPr>
        <w:spacing w:after="0" w:line="276" w:lineRule="auto"/>
        <w:jc w:val="both"/>
        <w:rPr>
          <w:rFonts w:ascii="Arial" w:hAnsi="Arial" w:cs="Arial"/>
          <w:sz w:val="22"/>
          <w:szCs w:val="22"/>
        </w:rPr>
      </w:pPr>
    </w:p>
    <w:p w14:paraId="295209C2"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The most direct literature indicates that the financing problem in wave and marine energy is better understood as a bankability issue than as a simple capital shortage. Leete, Xu and Wheeler (2013) show that investors in UK marine renewables are highly sensitive to revenue certainty, policy credibility, and risk reduction. Bucher et al. (2016) and Jeffrey et al. (2015) deepen this by showing that marine energy is trapped in a circular dependence between finance and proof: funding is needed to improve performance, yet credible evidence of </w:t>
      </w:r>
      <w:r w:rsidRPr="00FB3CCF">
        <w:rPr>
          <w:rFonts w:ascii="Arial" w:hAnsi="Arial" w:cs="Arial"/>
          <w:sz w:val="22"/>
          <w:szCs w:val="22"/>
        </w:rPr>
        <w:lastRenderedPageBreak/>
        <w:t>performance is needed to attract funding. This is one of the strongest insights in the field because it explains why strategically supported technologies can remain commercially stalled.</w:t>
      </w:r>
    </w:p>
    <w:p w14:paraId="4B4D1A16" w14:textId="77777777" w:rsidR="00FB3CCF" w:rsidRPr="00FB3CCF" w:rsidRDefault="00FB3CCF" w:rsidP="00FB3CCF">
      <w:pPr>
        <w:spacing w:after="0" w:line="276" w:lineRule="auto"/>
        <w:jc w:val="both"/>
        <w:rPr>
          <w:rFonts w:ascii="Arial" w:hAnsi="Arial" w:cs="Arial"/>
          <w:sz w:val="22"/>
          <w:szCs w:val="22"/>
        </w:rPr>
      </w:pPr>
    </w:p>
    <w:p w14:paraId="67EEAA30"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However, this literature is less convincing in showing exactly how confidence and credibility operate at the startup level. The importance of maturity signals is repeatedly asserted, but less often unpacked in terms of what counts as persuasive evidence for different funders at different stages. More recent adjacent cleantech finance work strengthens this critique by showing that conventional venture capital is often poorly aligned with long-horizon, capital-intensive energy innovation (Gaddy et al., 2017; Owen et al., 2020; O’Reilly, Mac an Bhaird and Greene, 2024). This suggests that wave energy finance problems may reflect not only technology risk, but also a mismatch between available finance models and venture development pathways.</w:t>
      </w:r>
    </w:p>
    <w:p w14:paraId="4A03D85E" w14:textId="77777777" w:rsidR="00FB3CCF" w:rsidRPr="00FB3CCF" w:rsidRDefault="00FB3CCF" w:rsidP="00FB3CCF">
      <w:pPr>
        <w:spacing w:after="0" w:line="276" w:lineRule="auto"/>
        <w:jc w:val="both"/>
        <w:rPr>
          <w:rFonts w:ascii="Arial" w:hAnsi="Arial" w:cs="Arial"/>
          <w:sz w:val="22"/>
          <w:szCs w:val="22"/>
        </w:rPr>
      </w:pPr>
    </w:p>
    <w:p w14:paraId="10905B54"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A key contradiction in this theme is whether the main problem lies in investor caution or in the design of the finance system itself. Some studies suggest that investors respond rationally to high uncertainty and weak maturity signals (Leete, Xu, and Wheeler, 2013; Bucher et al., 2016). Others suggest that existing funding structures are not designed for technologies that take long periods to generate commercially acceptable evidence (Gaddy et al., 2017; Geddes and Schmidt, 2020). The literature supports both views to some extent but has not yet integrated them into a single startup-focused explanation.</w:t>
      </w:r>
    </w:p>
    <w:p w14:paraId="0D0C5C71" w14:textId="77777777" w:rsidR="00FB3CCF" w:rsidRPr="00FB3CCF" w:rsidRDefault="00FB3CCF" w:rsidP="00FB3CCF">
      <w:pPr>
        <w:spacing w:after="0" w:line="276" w:lineRule="auto"/>
        <w:jc w:val="both"/>
        <w:rPr>
          <w:rFonts w:ascii="Arial" w:hAnsi="Arial" w:cs="Arial"/>
          <w:sz w:val="22"/>
          <w:szCs w:val="22"/>
        </w:rPr>
      </w:pPr>
    </w:p>
    <w:p w14:paraId="2E4313FF"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3.3.2 Policy support, revenue certainty, and market formation</w:t>
      </w:r>
    </w:p>
    <w:p w14:paraId="5E62F946" w14:textId="77777777" w:rsidR="00FB3CCF" w:rsidRPr="00FB3CCF" w:rsidRDefault="00FB3CCF" w:rsidP="00FB3CCF">
      <w:pPr>
        <w:spacing w:after="0" w:line="276" w:lineRule="auto"/>
        <w:jc w:val="both"/>
        <w:rPr>
          <w:rFonts w:ascii="Arial" w:hAnsi="Arial" w:cs="Arial"/>
          <w:sz w:val="22"/>
          <w:szCs w:val="22"/>
        </w:rPr>
      </w:pPr>
    </w:p>
    <w:p w14:paraId="1601D1E4"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The policy literature demonstrates that support mechanisms are significant because they affect revenue levels and the credibility of future revenue. Wave and tidal technologies were unable to compete with mature renewables under generic regulations, as shown by Allan et al. (2011) and Allan, McGregor, and Swales (2009). Consequently, specialised assistance was necessary. Mitchell, Bauknecht, and Connor (2006) and </w:t>
      </w:r>
      <w:proofErr w:type="spellStart"/>
      <w:r w:rsidRPr="00FB3CCF">
        <w:rPr>
          <w:rFonts w:ascii="Arial" w:hAnsi="Arial" w:cs="Arial"/>
          <w:sz w:val="22"/>
          <w:szCs w:val="22"/>
        </w:rPr>
        <w:t>Kitzing</w:t>
      </w:r>
      <w:proofErr w:type="spellEnd"/>
      <w:r w:rsidRPr="00FB3CCF">
        <w:rPr>
          <w:rFonts w:ascii="Arial" w:hAnsi="Arial" w:cs="Arial"/>
          <w:sz w:val="22"/>
          <w:szCs w:val="22"/>
        </w:rPr>
        <w:t xml:space="preserve"> and Weber (2014) further demonstrate that support instruments differ in their approaches to risk allocation, suggesting that policy design has a direct impact on investment behaviour.</w:t>
      </w:r>
    </w:p>
    <w:p w14:paraId="5EDDDB0A" w14:textId="77777777" w:rsidR="00FB3CCF" w:rsidRPr="00FB3CCF" w:rsidRDefault="00FB3CCF" w:rsidP="00FB3CCF">
      <w:pPr>
        <w:spacing w:after="0" w:line="276" w:lineRule="auto"/>
        <w:jc w:val="both"/>
        <w:rPr>
          <w:rFonts w:ascii="Arial" w:hAnsi="Arial" w:cs="Arial"/>
          <w:sz w:val="22"/>
          <w:szCs w:val="22"/>
        </w:rPr>
      </w:pPr>
    </w:p>
    <w:p w14:paraId="0028E5DB"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However, the UK case indicates that policy support has frequently facilitated activity without establishing a sustainable path to bankability. New forms of uncertainty for emerging technologies were introduced by reforms such as the transition from ROCs to </w:t>
      </w:r>
      <w:proofErr w:type="spellStart"/>
      <w:r w:rsidRPr="00FB3CCF">
        <w:rPr>
          <w:rFonts w:ascii="Arial" w:hAnsi="Arial" w:cs="Arial"/>
          <w:sz w:val="22"/>
          <w:szCs w:val="22"/>
        </w:rPr>
        <w:t>CfDs</w:t>
      </w:r>
      <w:proofErr w:type="spellEnd"/>
      <w:r w:rsidRPr="00FB3CCF">
        <w:rPr>
          <w:rFonts w:ascii="Arial" w:hAnsi="Arial" w:cs="Arial"/>
          <w:sz w:val="22"/>
          <w:szCs w:val="22"/>
        </w:rPr>
        <w:t xml:space="preserve"> and the operation of the Levy Control Framework, as indicated by Bunn and Yusupov (2015), Lockwood (2016), and Kozlov (2014). The critical aspect of this situation is that policy may appear to be supportive, but it may not generate revenue credibility for early-stage ventures. The literature is therefore strong in its demonstration that policy is significant; however, it is less effective in clarifying the reason why a stable market formation pathway for wave energy startups has not yet been established through repeated intervention.</w:t>
      </w:r>
    </w:p>
    <w:p w14:paraId="3C06A028" w14:textId="77777777" w:rsidR="00FB3CCF" w:rsidRPr="00FB3CCF" w:rsidRDefault="00FB3CCF" w:rsidP="00FB3CCF">
      <w:pPr>
        <w:spacing w:after="0" w:line="276" w:lineRule="auto"/>
        <w:jc w:val="both"/>
        <w:rPr>
          <w:rFonts w:ascii="Arial" w:hAnsi="Arial" w:cs="Arial"/>
          <w:sz w:val="22"/>
          <w:szCs w:val="22"/>
        </w:rPr>
      </w:pPr>
    </w:p>
    <w:p w14:paraId="653AEEB4" w14:textId="77777777" w:rsidR="00FB3CCF" w:rsidRPr="00FB3CCF" w:rsidRDefault="00FB3CCF" w:rsidP="00FB3CCF">
      <w:pPr>
        <w:spacing w:after="0" w:line="276" w:lineRule="auto"/>
        <w:jc w:val="both"/>
        <w:rPr>
          <w:rFonts w:ascii="Arial" w:hAnsi="Arial" w:cs="Arial"/>
          <w:sz w:val="22"/>
          <w:szCs w:val="22"/>
        </w:rPr>
      </w:pPr>
    </w:p>
    <w:p w14:paraId="20E46541" w14:textId="77777777" w:rsidR="00FB3CCF" w:rsidRPr="00FB3CCF" w:rsidRDefault="00FB3CCF" w:rsidP="00FB3CCF">
      <w:pPr>
        <w:spacing w:after="0" w:line="276" w:lineRule="auto"/>
        <w:jc w:val="both"/>
        <w:rPr>
          <w:rFonts w:ascii="Arial" w:hAnsi="Arial" w:cs="Arial"/>
          <w:sz w:val="22"/>
          <w:szCs w:val="22"/>
        </w:rPr>
      </w:pPr>
    </w:p>
    <w:p w14:paraId="750D3DBC" w14:textId="77777777" w:rsidR="00FB3CCF" w:rsidRPr="00FB3CCF" w:rsidRDefault="00FB3CCF" w:rsidP="00FB3CCF">
      <w:pPr>
        <w:spacing w:after="0" w:line="276" w:lineRule="auto"/>
        <w:jc w:val="both"/>
        <w:rPr>
          <w:rFonts w:ascii="Arial" w:hAnsi="Arial" w:cs="Arial"/>
          <w:sz w:val="22"/>
          <w:szCs w:val="22"/>
        </w:rPr>
      </w:pPr>
    </w:p>
    <w:p w14:paraId="18064E4F"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3.3.3 Innovation systems and ecosystem coordination</w:t>
      </w:r>
    </w:p>
    <w:p w14:paraId="44F6EDA9" w14:textId="77777777" w:rsidR="00FB3CCF" w:rsidRPr="00FB3CCF" w:rsidRDefault="00FB3CCF" w:rsidP="00FB3CCF">
      <w:pPr>
        <w:spacing w:after="0" w:line="276" w:lineRule="auto"/>
        <w:jc w:val="both"/>
        <w:rPr>
          <w:rFonts w:ascii="Arial" w:hAnsi="Arial" w:cs="Arial"/>
          <w:sz w:val="22"/>
          <w:szCs w:val="22"/>
        </w:rPr>
      </w:pPr>
    </w:p>
    <w:p w14:paraId="500858BD"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The innovation systems literature offers one of the strongest explanations for persistent financeability problems. </w:t>
      </w:r>
      <w:proofErr w:type="spellStart"/>
      <w:r w:rsidRPr="00FB3CCF">
        <w:rPr>
          <w:rFonts w:ascii="Arial" w:hAnsi="Arial" w:cs="Arial"/>
          <w:sz w:val="22"/>
          <w:szCs w:val="22"/>
        </w:rPr>
        <w:t>Winskel</w:t>
      </w:r>
      <w:proofErr w:type="spellEnd"/>
      <w:r w:rsidRPr="00FB3CCF">
        <w:rPr>
          <w:rFonts w:ascii="Arial" w:hAnsi="Arial" w:cs="Arial"/>
          <w:sz w:val="22"/>
          <w:szCs w:val="22"/>
        </w:rPr>
        <w:t xml:space="preserve"> et al. (2006) and </w:t>
      </w:r>
      <w:proofErr w:type="spellStart"/>
      <w:r w:rsidRPr="00FB3CCF">
        <w:rPr>
          <w:rFonts w:ascii="Arial" w:hAnsi="Arial" w:cs="Arial"/>
          <w:sz w:val="22"/>
          <w:szCs w:val="22"/>
        </w:rPr>
        <w:t>Winskel</w:t>
      </w:r>
      <w:proofErr w:type="spellEnd"/>
      <w:r w:rsidRPr="00FB3CCF">
        <w:rPr>
          <w:rFonts w:ascii="Arial" w:hAnsi="Arial" w:cs="Arial"/>
          <w:sz w:val="22"/>
          <w:szCs w:val="22"/>
        </w:rPr>
        <w:t xml:space="preserve"> (2007) show that marine energy </w:t>
      </w:r>
      <w:r w:rsidRPr="00FB3CCF">
        <w:rPr>
          <w:rFonts w:ascii="Arial" w:hAnsi="Arial" w:cs="Arial"/>
          <w:sz w:val="22"/>
          <w:szCs w:val="22"/>
        </w:rPr>
        <w:lastRenderedPageBreak/>
        <w:t>depends not only on financial capital, but also on social capital, collaborative learning, and institutional alignment. This is important because it shifts analysis beyond the firm and shows that ventures do not become bankable in isolation.</w:t>
      </w:r>
    </w:p>
    <w:p w14:paraId="6B413D86" w14:textId="77777777" w:rsidR="00FB3CCF" w:rsidRPr="00FB3CCF" w:rsidRDefault="00FB3CCF" w:rsidP="00FB3CCF">
      <w:pPr>
        <w:spacing w:after="0" w:line="276" w:lineRule="auto"/>
        <w:jc w:val="both"/>
        <w:rPr>
          <w:rFonts w:ascii="Arial" w:hAnsi="Arial" w:cs="Arial"/>
          <w:sz w:val="22"/>
          <w:szCs w:val="22"/>
        </w:rPr>
      </w:pPr>
    </w:p>
    <w:p w14:paraId="40E228FA"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most influential study here is Hannon, van Diemen and Skea (2017), which argues that UK wave support failed because it pushed commercialisation too quickly while learning too little. Their diagnosis of fragmentation, unrealistic expectations, insufficient knowledge retention, and poor scheduling is of great importance, as it further clarifies why public support did not translate into commercial credibility. This interpretation is further supported by conceptual technological innovation systems research, which demonstrates that market formation, knowledge diffusion, entrepreneurial experimentation, and resource mobilisation must interact positively in order for emerging sectors to advance (Gallagher et al., 2012; Negro, 2007). Nevertheless, the literature is more effective at identifying ecosystem weaknesses than at demonstrating the precise manner in which these system weaknesses result in financing outcomes for specific ventures.</w:t>
      </w:r>
    </w:p>
    <w:p w14:paraId="3F4ADCDB" w14:textId="77777777" w:rsidR="00FB3CCF" w:rsidRPr="00FB3CCF" w:rsidRDefault="00FB3CCF" w:rsidP="00FB3CCF">
      <w:pPr>
        <w:spacing w:after="0" w:line="276" w:lineRule="auto"/>
        <w:jc w:val="both"/>
        <w:rPr>
          <w:rFonts w:ascii="Arial" w:hAnsi="Arial" w:cs="Arial"/>
          <w:sz w:val="22"/>
          <w:szCs w:val="22"/>
        </w:rPr>
      </w:pPr>
    </w:p>
    <w:p w14:paraId="360795D3"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3.3.4 Techno-economic readiness and commercialisation pathways</w:t>
      </w:r>
    </w:p>
    <w:p w14:paraId="5C0B9871" w14:textId="77777777" w:rsidR="00FB3CCF" w:rsidRPr="00FB3CCF" w:rsidRDefault="00FB3CCF" w:rsidP="00FB3CCF">
      <w:pPr>
        <w:spacing w:after="0" w:line="276" w:lineRule="auto"/>
        <w:jc w:val="both"/>
        <w:rPr>
          <w:rFonts w:ascii="Arial" w:hAnsi="Arial" w:cs="Arial"/>
          <w:sz w:val="22"/>
          <w:szCs w:val="22"/>
        </w:rPr>
      </w:pPr>
    </w:p>
    <w:p w14:paraId="43E40A42"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The techno-economic literature demonstrates that the credibility of technical and commercial evidence is a significant factor in the viability of financing. Wave energy is still constrained by high costs, weak convergence, operational uncertainty, and the absence of a clear path to competitiveness, as indicated by Guo and Ringwood (2021), </w:t>
      </w:r>
      <w:proofErr w:type="spellStart"/>
      <w:r w:rsidRPr="00FB3CCF">
        <w:rPr>
          <w:rFonts w:ascii="Arial" w:hAnsi="Arial" w:cs="Arial"/>
          <w:sz w:val="22"/>
          <w:szCs w:val="22"/>
        </w:rPr>
        <w:t>Astariz</w:t>
      </w:r>
      <w:proofErr w:type="spellEnd"/>
      <w:r w:rsidRPr="00FB3CCF">
        <w:rPr>
          <w:rFonts w:ascii="Arial" w:hAnsi="Arial" w:cs="Arial"/>
          <w:sz w:val="22"/>
          <w:szCs w:val="22"/>
        </w:rPr>
        <w:t xml:space="preserve"> and Iglesias (2015), O'Connor, Lewis and Dalton (2013), Grey et al. (2017), Topper et al. (2019), and Ruiz-Minguela et al. (2022). This is significant because it demonstrates that investor caution is not solely perception; there are genuine techno-economic reasons for hesitancy.</w:t>
      </w:r>
    </w:p>
    <w:p w14:paraId="1E6A4C56" w14:textId="77777777" w:rsidR="00FB3CCF" w:rsidRPr="00FB3CCF" w:rsidRDefault="00FB3CCF" w:rsidP="00FB3CCF">
      <w:pPr>
        <w:spacing w:after="0" w:line="276" w:lineRule="auto"/>
        <w:jc w:val="both"/>
        <w:rPr>
          <w:rFonts w:ascii="Arial" w:hAnsi="Arial" w:cs="Arial"/>
          <w:sz w:val="22"/>
          <w:szCs w:val="22"/>
        </w:rPr>
      </w:pPr>
    </w:p>
    <w:p w14:paraId="6EFF4838"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Simultaneously, this literature demonstrates a circular issue. Learning and cost reduction necessitate repeated deployment; however, this requires financing that is challenging to obtain without more robust evidence. Technology Readiness Levels alone are insufficient; performance and economic relevance must also be demonstrated, as shown by Weber (2012), Weber, Costello and Ringwood (2013), and Weber et al. (2017). A critical contradiction in this context is whether incremental deployment-led learning is sufficient or whether more radical innovation and alternative pathways are required to establish credible commercial progression.</w:t>
      </w:r>
    </w:p>
    <w:p w14:paraId="52828966" w14:textId="77777777" w:rsidR="00FB3CCF" w:rsidRPr="00FB3CCF" w:rsidRDefault="00FB3CCF" w:rsidP="00FB3CCF">
      <w:pPr>
        <w:spacing w:after="0" w:line="276" w:lineRule="auto"/>
        <w:jc w:val="both"/>
        <w:rPr>
          <w:rFonts w:ascii="Arial" w:hAnsi="Arial" w:cs="Arial"/>
          <w:sz w:val="22"/>
          <w:szCs w:val="22"/>
        </w:rPr>
      </w:pPr>
    </w:p>
    <w:p w14:paraId="74DDEE09"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3.3.5 Risk, due diligence, and staged investment</w:t>
      </w:r>
    </w:p>
    <w:p w14:paraId="0101C343" w14:textId="77777777" w:rsidR="00FB3CCF" w:rsidRPr="00FB3CCF" w:rsidRDefault="00FB3CCF" w:rsidP="00FB3CCF">
      <w:pPr>
        <w:spacing w:after="0" w:line="276" w:lineRule="auto"/>
        <w:jc w:val="both"/>
        <w:rPr>
          <w:rFonts w:ascii="Arial" w:hAnsi="Arial" w:cs="Arial"/>
          <w:sz w:val="22"/>
          <w:szCs w:val="22"/>
        </w:rPr>
      </w:pPr>
    </w:p>
    <w:p w14:paraId="3BAC9BB6"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risk and due diligence literature challenges narrow cost-based assessments of marine energy investment. Andres et al. (2017) and Hutcheson, Andres and Jeffrey (2016) show that attractiveness cannot be judged by LCOE alone because low-cost pathways may still be unattractive if associated risks are too high. Wilson, Rowley and Watson (2011) argue that due diligence should assess the whole system, including logistics, grid access, permits, and lifecycle factors.</w:t>
      </w:r>
    </w:p>
    <w:p w14:paraId="67DE5BB3" w14:textId="77777777" w:rsidR="00FB3CCF" w:rsidRPr="00FB3CCF" w:rsidRDefault="00FB3CCF" w:rsidP="00FB3CCF">
      <w:pPr>
        <w:spacing w:after="0" w:line="276" w:lineRule="auto"/>
        <w:jc w:val="both"/>
        <w:rPr>
          <w:rFonts w:ascii="Arial" w:hAnsi="Arial" w:cs="Arial"/>
          <w:sz w:val="22"/>
          <w:szCs w:val="22"/>
        </w:rPr>
      </w:pPr>
    </w:p>
    <w:p w14:paraId="5870CB60"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This literature is valuable because it shows that financeability is a whole-system judgement. Guanche et al. (2014) and related uncertainty work show that assumptions around yield, cost, and return can materially alter investment conclusions. More broadly, this theme suggests that finance may stall not because investors are irrationally conservative, but because uncertainty </w:t>
      </w:r>
      <w:r w:rsidRPr="00FB3CCF">
        <w:rPr>
          <w:rFonts w:ascii="Arial" w:hAnsi="Arial" w:cs="Arial"/>
          <w:sz w:val="22"/>
          <w:szCs w:val="22"/>
        </w:rPr>
        <w:lastRenderedPageBreak/>
        <w:t>is layered, difficult to price, and often unresolved. The limitation is that much of this literature remains project-based and technical rather than directly focused on startup finance decisions.</w:t>
      </w:r>
    </w:p>
    <w:p w14:paraId="7A370A8C" w14:textId="77777777" w:rsidR="00FB3CCF" w:rsidRPr="00FB3CCF" w:rsidRDefault="00FB3CCF" w:rsidP="00FB3CCF">
      <w:pPr>
        <w:spacing w:after="0" w:line="276" w:lineRule="auto"/>
        <w:jc w:val="both"/>
        <w:rPr>
          <w:rFonts w:ascii="Arial" w:hAnsi="Arial" w:cs="Arial"/>
          <w:sz w:val="22"/>
          <w:szCs w:val="22"/>
        </w:rPr>
      </w:pPr>
    </w:p>
    <w:p w14:paraId="2C9C938C"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3.3.6 Governance, consenting, and non-technical burdens</w:t>
      </w:r>
    </w:p>
    <w:p w14:paraId="0DD530EA" w14:textId="77777777" w:rsidR="00FB3CCF" w:rsidRPr="00FB3CCF" w:rsidRDefault="00FB3CCF" w:rsidP="00FB3CCF">
      <w:pPr>
        <w:spacing w:after="0" w:line="276" w:lineRule="auto"/>
        <w:jc w:val="both"/>
        <w:rPr>
          <w:rFonts w:ascii="Arial" w:hAnsi="Arial" w:cs="Arial"/>
          <w:sz w:val="22"/>
          <w:szCs w:val="22"/>
        </w:rPr>
      </w:pPr>
    </w:p>
    <w:p w14:paraId="46C22652"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The non-technical barriers literature shows that governance, consenting, environmental monitoring, and decommissioning obligations are not peripheral to the finance problem; they are part of it. Wright (2016), Iskandarova and </w:t>
      </w:r>
      <w:proofErr w:type="spellStart"/>
      <w:r w:rsidRPr="00FB3CCF">
        <w:rPr>
          <w:rFonts w:ascii="Arial" w:hAnsi="Arial" w:cs="Arial"/>
          <w:sz w:val="22"/>
          <w:szCs w:val="22"/>
        </w:rPr>
        <w:t>Simakova</w:t>
      </w:r>
      <w:proofErr w:type="spellEnd"/>
      <w:r w:rsidRPr="00FB3CCF">
        <w:rPr>
          <w:rFonts w:ascii="Arial" w:hAnsi="Arial" w:cs="Arial"/>
          <w:sz w:val="22"/>
          <w:szCs w:val="22"/>
        </w:rPr>
        <w:t xml:space="preserve"> (2012), West, Bailey and Whitehead (2019), and related governance work show that regulatory complexity, stakeholder expectations, and permitting burdens create real uncertainty for marine energy development. This matters because ventures may appear less financeable due to delay, evidential burden, compliance cost, and long-tail liability rather than technology weakness alone.</w:t>
      </w:r>
    </w:p>
    <w:p w14:paraId="2145032A" w14:textId="77777777" w:rsidR="00FB3CCF" w:rsidRPr="00FB3CCF" w:rsidRDefault="00FB3CCF" w:rsidP="00FB3CCF">
      <w:pPr>
        <w:spacing w:after="0" w:line="276" w:lineRule="auto"/>
        <w:jc w:val="both"/>
        <w:rPr>
          <w:rFonts w:ascii="Arial" w:hAnsi="Arial" w:cs="Arial"/>
          <w:sz w:val="22"/>
          <w:szCs w:val="22"/>
        </w:rPr>
      </w:pPr>
    </w:p>
    <w:p w14:paraId="6F9720E5"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weakness of this theme is that it is better at cataloguing governance burdens than at linking them directly to startup bankability. The financial consequences are clear by implication, but less often analysed directly.</w:t>
      </w:r>
    </w:p>
    <w:p w14:paraId="13D5EBB4" w14:textId="77777777" w:rsidR="00FB3CCF" w:rsidRPr="00FB3CCF" w:rsidRDefault="00FB3CCF" w:rsidP="00FB3CCF">
      <w:pPr>
        <w:spacing w:after="0" w:line="276" w:lineRule="auto"/>
        <w:jc w:val="both"/>
        <w:rPr>
          <w:rFonts w:ascii="Arial" w:hAnsi="Arial" w:cs="Arial"/>
          <w:sz w:val="22"/>
          <w:szCs w:val="22"/>
        </w:rPr>
      </w:pPr>
    </w:p>
    <w:p w14:paraId="10C00B45"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3.4 Synthesis of findings</w:t>
      </w:r>
    </w:p>
    <w:p w14:paraId="327D165B" w14:textId="77777777" w:rsidR="00FB3CCF" w:rsidRPr="00FB3CCF" w:rsidRDefault="00FB3CCF" w:rsidP="00FB3CCF">
      <w:pPr>
        <w:spacing w:after="0" w:line="276" w:lineRule="auto"/>
        <w:jc w:val="both"/>
        <w:rPr>
          <w:rFonts w:ascii="Arial" w:hAnsi="Arial" w:cs="Arial"/>
          <w:sz w:val="22"/>
          <w:szCs w:val="22"/>
        </w:rPr>
      </w:pPr>
    </w:p>
    <w:p w14:paraId="03CF750F"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Three major patterns emerge across the literature. First, the finance problem is clearly multi-dimensional. The literature no longer supports the view that capital shortage is the reason for the slow progress in wave energy. Instead, the evidence points to interacting weaknesses in technical feasibility, revenue confidence, ecosystem and stakeholder support, regulatory clarity, and compatibility with finance models (Leete, Xu and Wheeler, 2013; Hannon, van Diemen and Skea, 2017; Guo and Ringwood, 2021; Geddes and Schmidt, 2020).</w:t>
      </w:r>
    </w:p>
    <w:p w14:paraId="48CA6550" w14:textId="77777777" w:rsidR="00FB3CCF" w:rsidRPr="00FB3CCF" w:rsidRDefault="00FB3CCF" w:rsidP="00FB3CCF">
      <w:pPr>
        <w:spacing w:after="0" w:line="276" w:lineRule="auto"/>
        <w:jc w:val="both"/>
        <w:rPr>
          <w:rFonts w:ascii="Arial" w:hAnsi="Arial" w:cs="Arial"/>
          <w:sz w:val="22"/>
          <w:szCs w:val="22"/>
        </w:rPr>
      </w:pPr>
    </w:p>
    <w:p w14:paraId="179D95FE"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Second, the transition from early-stage support to private commercial finance is the most fragile stage in the development pathway, and this pattern is identified across commercialisation and investor-focused studies (Bucher et al., 2016; Jeffrey et al., 2015; Wiegele and Jones, 2024; O’Reilly, Mac an Bhaird and Greene, 2024).</w:t>
      </w:r>
    </w:p>
    <w:p w14:paraId="138FE248" w14:textId="77777777" w:rsidR="00FB3CCF" w:rsidRPr="00FB3CCF" w:rsidRDefault="00FB3CCF" w:rsidP="00FB3CCF">
      <w:pPr>
        <w:spacing w:after="0" w:line="276" w:lineRule="auto"/>
        <w:jc w:val="both"/>
        <w:rPr>
          <w:rFonts w:ascii="Arial" w:hAnsi="Arial" w:cs="Arial"/>
          <w:sz w:val="22"/>
          <w:szCs w:val="22"/>
        </w:rPr>
      </w:pPr>
    </w:p>
    <w:p w14:paraId="11E88FB1"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Third, the literature emphasises that the credibility of evidence is more important than the attractiveness of claims. Technical maturity, strategic positioning or policy ambition are not sufficient. The critical issue is whether ventures can generate credible, stage-appropriate evidence that investors recognise as indicative of commercial viability and investment readiness. (Weber, 2012; Weber, Costello and Ringwood, 2013; Weber et al., 2017).</w:t>
      </w:r>
    </w:p>
    <w:p w14:paraId="21DD413C" w14:textId="77777777" w:rsidR="00FB3CCF" w:rsidRPr="00FB3CCF" w:rsidRDefault="00FB3CCF" w:rsidP="00FB3CCF">
      <w:pPr>
        <w:spacing w:after="0" w:line="276" w:lineRule="auto"/>
        <w:jc w:val="both"/>
        <w:rPr>
          <w:rFonts w:ascii="Arial" w:hAnsi="Arial" w:cs="Arial"/>
          <w:sz w:val="22"/>
          <w:szCs w:val="22"/>
        </w:rPr>
      </w:pPr>
    </w:p>
    <w:p w14:paraId="401C5CA9"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3.5 Conceptual framework</w:t>
      </w:r>
    </w:p>
    <w:p w14:paraId="1B1B8C46" w14:textId="77777777" w:rsidR="00FB3CCF" w:rsidRPr="00FB3CCF" w:rsidRDefault="00FB3CCF" w:rsidP="00FB3CCF">
      <w:pPr>
        <w:spacing w:after="0" w:line="276" w:lineRule="auto"/>
        <w:jc w:val="both"/>
        <w:rPr>
          <w:rFonts w:ascii="Arial" w:hAnsi="Arial" w:cs="Arial"/>
          <w:sz w:val="22"/>
          <w:szCs w:val="22"/>
        </w:rPr>
      </w:pPr>
    </w:p>
    <w:p w14:paraId="0AE11AD8"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Table 7 Conceptual framework for the bankability of UK wave energy startups</w:t>
      </w:r>
    </w:p>
    <w:p w14:paraId="78CF99E5" w14:textId="77777777" w:rsidR="00FB3CCF" w:rsidRPr="00FB3CCF" w:rsidRDefault="00FB3CCF" w:rsidP="00FB3CCF">
      <w:pPr>
        <w:spacing w:after="0" w:line="276" w:lineRule="auto"/>
        <w:jc w:val="both"/>
        <w:rPr>
          <w:rFonts w:ascii="Arial" w:hAnsi="Arial" w:cs="Arial"/>
          <w:sz w:val="22"/>
          <w:szCs w:val="22"/>
        </w:rPr>
      </w:pPr>
    </w:p>
    <w:tbl>
      <w:tblPr>
        <w:tblW w:w="8964" w:type="dxa"/>
        <w:tblLook w:val="04A0" w:firstRow="1" w:lastRow="0" w:firstColumn="1" w:lastColumn="0" w:noHBand="0" w:noVBand="1"/>
      </w:tblPr>
      <w:tblGrid>
        <w:gridCol w:w="2355"/>
        <w:gridCol w:w="2830"/>
        <w:gridCol w:w="3779"/>
      </w:tblGrid>
      <w:tr w:rsidR="00FB3CCF" w:rsidRPr="00FB3CCF" w14:paraId="6B724E46" w14:textId="77777777" w:rsidTr="00442932">
        <w:trPr>
          <w:trHeight w:val="1143"/>
        </w:trPr>
        <w:tc>
          <w:tcPr>
            <w:tcW w:w="2355" w:type="dxa"/>
            <w:tcBorders>
              <w:top w:val="single" w:sz="4" w:space="0" w:color="auto"/>
              <w:left w:val="single" w:sz="4" w:space="0" w:color="auto"/>
              <w:bottom w:val="single" w:sz="4" w:space="0" w:color="auto"/>
              <w:right w:val="single" w:sz="4" w:space="0" w:color="auto"/>
            </w:tcBorders>
            <w:vAlign w:val="center"/>
            <w:hideMark/>
          </w:tcPr>
          <w:p w14:paraId="4F4FE6B1"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Condition</w:t>
            </w:r>
          </w:p>
        </w:tc>
        <w:tc>
          <w:tcPr>
            <w:tcW w:w="2830" w:type="dxa"/>
            <w:tcBorders>
              <w:top w:val="single" w:sz="4" w:space="0" w:color="auto"/>
              <w:left w:val="nil"/>
              <w:bottom w:val="single" w:sz="4" w:space="0" w:color="auto"/>
              <w:right w:val="single" w:sz="4" w:space="0" w:color="auto"/>
            </w:tcBorders>
            <w:vAlign w:val="center"/>
            <w:hideMark/>
          </w:tcPr>
          <w:p w14:paraId="475201EC"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Core content</w:t>
            </w:r>
          </w:p>
        </w:tc>
        <w:tc>
          <w:tcPr>
            <w:tcW w:w="3779" w:type="dxa"/>
            <w:tcBorders>
              <w:top w:val="single" w:sz="4" w:space="0" w:color="auto"/>
              <w:left w:val="nil"/>
              <w:bottom w:val="single" w:sz="4" w:space="0" w:color="auto"/>
              <w:right w:val="single" w:sz="4" w:space="0" w:color="auto"/>
            </w:tcBorders>
            <w:vAlign w:val="center"/>
            <w:hideMark/>
          </w:tcPr>
          <w:p w14:paraId="30208A9C"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Role in bankability</w:t>
            </w:r>
          </w:p>
        </w:tc>
      </w:tr>
      <w:tr w:rsidR="00FB3CCF" w:rsidRPr="00FB3CCF" w14:paraId="0A6AB28B" w14:textId="77777777" w:rsidTr="00442932">
        <w:trPr>
          <w:trHeight w:val="1143"/>
        </w:trPr>
        <w:tc>
          <w:tcPr>
            <w:tcW w:w="2355" w:type="dxa"/>
            <w:tcBorders>
              <w:top w:val="nil"/>
              <w:left w:val="single" w:sz="4" w:space="0" w:color="auto"/>
              <w:bottom w:val="single" w:sz="4" w:space="0" w:color="auto"/>
              <w:right w:val="single" w:sz="4" w:space="0" w:color="auto"/>
            </w:tcBorders>
            <w:vAlign w:val="center"/>
            <w:hideMark/>
          </w:tcPr>
          <w:p w14:paraId="1B31B7D6"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lastRenderedPageBreak/>
              <w:t>Technical credibility</w:t>
            </w:r>
          </w:p>
        </w:tc>
        <w:tc>
          <w:tcPr>
            <w:tcW w:w="2830" w:type="dxa"/>
            <w:tcBorders>
              <w:top w:val="nil"/>
              <w:left w:val="nil"/>
              <w:bottom w:val="single" w:sz="4" w:space="0" w:color="auto"/>
              <w:right w:val="single" w:sz="4" w:space="0" w:color="auto"/>
            </w:tcBorders>
            <w:vAlign w:val="center"/>
            <w:hideMark/>
          </w:tcPr>
          <w:p w14:paraId="5D664F80"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Reliability, performance proof, engineering robustness, demonstrable progress</w:t>
            </w:r>
          </w:p>
        </w:tc>
        <w:tc>
          <w:tcPr>
            <w:tcW w:w="3779" w:type="dxa"/>
            <w:tcBorders>
              <w:top w:val="nil"/>
              <w:left w:val="nil"/>
              <w:bottom w:val="single" w:sz="4" w:space="0" w:color="auto"/>
              <w:right w:val="single" w:sz="4" w:space="0" w:color="auto"/>
            </w:tcBorders>
            <w:vAlign w:val="center"/>
            <w:hideMark/>
          </w:tcPr>
          <w:p w14:paraId="3904DBA2"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Directly affects whether ventures appear commercially believable</w:t>
            </w:r>
          </w:p>
        </w:tc>
      </w:tr>
      <w:tr w:rsidR="00FB3CCF" w:rsidRPr="00FB3CCF" w14:paraId="709DED39" w14:textId="77777777" w:rsidTr="00442932">
        <w:trPr>
          <w:trHeight w:val="1143"/>
        </w:trPr>
        <w:tc>
          <w:tcPr>
            <w:tcW w:w="2355" w:type="dxa"/>
            <w:tcBorders>
              <w:top w:val="nil"/>
              <w:left w:val="single" w:sz="4" w:space="0" w:color="auto"/>
              <w:bottom w:val="single" w:sz="4" w:space="0" w:color="auto"/>
              <w:right w:val="single" w:sz="4" w:space="0" w:color="auto"/>
            </w:tcBorders>
            <w:vAlign w:val="center"/>
            <w:hideMark/>
          </w:tcPr>
          <w:p w14:paraId="3A50260F"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Revenue credibility</w:t>
            </w:r>
          </w:p>
        </w:tc>
        <w:tc>
          <w:tcPr>
            <w:tcW w:w="2830" w:type="dxa"/>
            <w:tcBorders>
              <w:top w:val="nil"/>
              <w:left w:val="nil"/>
              <w:bottom w:val="single" w:sz="4" w:space="0" w:color="auto"/>
              <w:right w:val="single" w:sz="4" w:space="0" w:color="auto"/>
            </w:tcBorders>
            <w:vAlign w:val="center"/>
            <w:hideMark/>
          </w:tcPr>
          <w:p w14:paraId="2FD0E3B1"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Believable route to income, market access, support-backed cash-flow visibility</w:t>
            </w:r>
          </w:p>
        </w:tc>
        <w:tc>
          <w:tcPr>
            <w:tcW w:w="3779" w:type="dxa"/>
            <w:tcBorders>
              <w:top w:val="nil"/>
              <w:left w:val="nil"/>
              <w:bottom w:val="single" w:sz="4" w:space="0" w:color="auto"/>
              <w:right w:val="single" w:sz="4" w:space="0" w:color="auto"/>
            </w:tcBorders>
            <w:vAlign w:val="center"/>
            <w:hideMark/>
          </w:tcPr>
          <w:p w14:paraId="7BBBD9C2"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Shapes whether future returns appear financeable</w:t>
            </w:r>
          </w:p>
        </w:tc>
      </w:tr>
      <w:tr w:rsidR="00FB3CCF" w:rsidRPr="00FB3CCF" w14:paraId="1249511A" w14:textId="77777777" w:rsidTr="00442932">
        <w:trPr>
          <w:trHeight w:val="1143"/>
        </w:trPr>
        <w:tc>
          <w:tcPr>
            <w:tcW w:w="2355" w:type="dxa"/>
            <w:tcBorders>
              <w:top w:val="nil"/>
              <w:left w:val="single" w:sz="4" w:space="0" w:color="auto"/>
              <w:bottom w:val="single" w:sz="4" w:space="0" w:color="auto"/>
              <w:right w:val="single" w:sz="4" w:space="0" w:color="auto"/>
            </w:tcBorders>
            <w:vAlign w:val="center"/>
            <w:hideMark/>
          </w:tcPr>
          <w:p w14:paraId="75A28662"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Policy credibility</w:t>
            </w:r>
          </w:p>
        </w:tc>
        <w:tc>
          <w:tcPr>
            <w:tcW w:w="2830" w:type="dxa"/>
            <w:tcBorders>
              <w:top w:val="nil"/>
              <w:left w:val="nil"/>
              <w:bottom w:val="single" w:sz="4" w:space="0" w:color="auto"/>
              <w:right w:val="single" w:sz="4" w:space="0" w:color="auto"/>
            </w:tcBorders>
            <w:vAlign w:val="center"/>
            <w:hideMark/>
          </w:tcPr>
          <w:p w14:paraId="770A6658"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Stability, predictability, and appropriateness of support design</w:t>
            </w:r>
          </w:p>
        </w:tc>
        <w:tc>
          <w:tcPr>
            <w:tcW w:w="3779" w:type="dxa"/>
            <w:tcBorders>
              <w:top w:val="nil"/>
              <w:left w:val="nil"/>
              <w:bottom w:val="single" w:sz="4" w:space="0" w:color="auto"/>
              <w:right w:val="single" w:sz="4" w:space="0" w:color="auto"/>
            </w:tcBorders>
            <w:vAlign w:val="center"/>
            <w:hideMark/>
          </w:tcPr>
          <w:p w14:paraId="65052AD6"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Moderates perceived risk and revenue confidence</w:t>
            </w:r>
          </w:p>
        </w:tc>
      </w:tr>
      <w:tr w:rsidR="00FB3CCF" w:rsidRPr="00FB3CCF" w14:paraId="3A583D3F" w14:textId="77777777" w:rsidTr="00442932">
        <w:trPr>
          <w:trHeight w:val="1143"/>
        </w:trPr>
        <w:tc>
          <w:tcPr>
            <w:tcW w:w="2355" w:type="dxa"/>
            <w:tcBorders>
              <w:top w:val="nil"/>
              <w:left w:val="single" w:sz="4" w:space="0" w:color="auto"/>
              <w:bottom w:val="single" w:sz="4" w:space="0" w:color="auto"/>
              <w:right w:val="single" w:sz="4" w:space="0" w:color="auto"/>
            </w:tcBorders>
            <w:vAlign w:val="center"/>
            <w:hideMark/>
          </w:tcPr>
          <w:p w14:paraId="21B90181"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Ecosystem credibility</w:t>
            </w:r>
          </w:p>
        </w:tc>
        <w:tc>
          <w:tcPr>
            <w:tcW w:w="2830" w:type="dxa"/>
            <w:tcBorders>
              <w:top w:val="nil"/>
              <w:left w:val="nil"/>
              <w:bottom w:val="single" w:sz="4" w:space="0" w:color="auto"/>
              <w:right w:val="single" w:sz="4" w:space="0" w:color="auto"/>
            </w:tcBorders>
            <w:vAlign w:val="center"/>
            <w:hideMark/>
          </w:tcPr>
          <w:p w14:paraId="517B6809"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Test infrastructure, intermediaries, learning, supply chain, institutional coordination</w:t>
            </w:r>
          </w:p>
        </w:tc>
        <w:tc>
          <w:tcPr>
            <w:tcW w:w="3779" w:type="dxa"/>
            <w:tcBorders>
              <w:top w:val="nil"/>
              <w:left w:val="nil"/>
              <w:bottom w:val="single" w:sz="4" w:space="0" w:color="auto"/>
              <w:right w:val="single" w:sz="4" w:space="0" w:color="auto"/>
            </w:tcBorders>
            <w:vAlign w:val="center"/>
            <w:hideMark/>
          </w:tcPr>
          <w:p w14:paraId="065307A0"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Mediates whether technical progress becomes trusted commercial evidence</w:t>
            </w:r>
          </w:p>
        </w:tc>
      </w:tr>
      <w:tr w:rsidR="00FB3CCF" w:rsidRPr="00FB3CCF" w14:paraId="2C54A34E" w14:textId="77777777" w:rsidTr="00442932">
        <w:trPr>
          <w:trHeight w:val="1143"/>
        </w:trPr>
        <w:tc>
          <w:tcPr>
            <w:tcW w:w="2355" w:type="dxa"/>
            <w:tcBorders>
              <w:top w:val="nil"/>
              <w:left w:val="single" w:sz="4" w:space="0" w:color="auto"/>
              <w:bottom w:val="single" w:sz="4" w:space="0" w:color="auto"/>
              <w:right w:val="single" w:sz="4" w:space="0" w:color="auto"/>
            </w:tcBorders>
            <w:vAlign w:val="center"/>
            <w:hideMark/>
          </w:tcPr>
          <w:p w14:paraId="66327599"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Regulatory credibility</w:t>
            </w:r>
          </w:p>
        </w:tc>
        <w:tc>
          <w:tcPr>
            <w:tcW w:w="2830" w:type="dxa"/>
            <w:tcBorders>
              <w:top w:val="nil"/>
              <w:left w:val="nil"/>
              <w:bottom w:val="single" w:sz="4" w:space="0" w:color="auto"/>
              <w:right w:val="single" w:sz="4" w:space="0" w:color="auto"/>
            </w:tcBorders>
            <w:vAlign w:val="center"/>
            <w:hideMark/>
          </w:tcPr>
          <w:p w14:paraId="38D65503"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Consenting clarity, compliance burden, decommissioning obligations</w:t>
            </w:r>
          </w:p>
        </w:tc>
        <w:tc>
          <w:tcPr>
            <w:tcW w:w="3779" w:type="dxa"/>
            <w:tcBorders>
              <w:top w:val="nil"/>
              <w:left w:val="nil"/>
              <w:bottom w:val="single" w:sz="4" w:space="0" w:color="auto"/>
              <w:right w:val="single" w:sz="4" w:space="0" w:color="auto"/>
            </w:tcBorders>
            <w:vAlign w:val="center"/>
            <w:hideMark/>
          </w:tcPr>
          <w:p w14:paraId="1188132F"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Moderates cost, delay, and liability expectations</w:t>
            </w:r>
          </w:p>
        </w:tc>
      </w:tr>
      <w:tr w:rsidR="00FB3CCF" w:rsidRPr="00FB3CCF" w14:paraId="4951F4BE" w14:textId="77777777" w:rsidTr="00442932">
        <w:trPr>
          <w:trHeight w:val="1143"/>
        </w:trPr>
        <w:tc>
          <w:tcPr>
            <w:tcW w:w="2355" w:type="dxa"/>
            <w:tcBorders>
              <w:top w:val="nil"/>
              <w:left w:val="single" w:sz="4" w:space="0" w:color="auto"/>
              <w:bottom w:val="single" w:sz="4" w:space="0" w:color="auto"/>
              <w:right w:val="single" w:sz="4" w:space="0" w:color="auto"/>
            </w:tcBorders>
            <w:vAlign w:val="center"/>
            <w:hideMark/>
          </w:tcPr>
          <w:p w14:paraId="4609A7C6"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Staged finance fit</w:t>
            </w:r>
          </w:p>
        </w:tc>
        <w:tc>
          <w:tcPr>
            <w:tcW w:w="2830" w:type="dxa"/>
            <w:tcBorders>
              <w:top w:val="nil"/>
              <w:left w:val="nil"/>
              <w:bottom w:val="single" w:sz="4" w:space="0" w:color="auto"/>
              <w:right w:val="single" w:sz="4" w:space="0" w:color="auto"/>
            </w:tcBorders>
            <w:vAlign w:val="center"/>
            <w:hideMark/>
          </w:tcPr>
          <w:p w14:paraId="7B7638DC"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Match between venture stage and available capital type</w:t>
            </w:r>
          </w:p>
        </w:tc>
        <w:tc>
          <w:tcPr>
            <w:tcW w:w="3779" w:type="dxa"/>
            <w:tcBorders>
              <w:top w:val="nil"/>
              <w:left w:val="nil"/>
              <w:bottom w:val="single" w:sz="4" w:space="0" w:color="auto"/>
              <w:right w:val="single" w:sz="4" w:space="0" w:color="auto"/>
            </w:tcBorders>
            <w:vAlign w:val="center"/>
            <w:hideMark/>
          </w:tcPr>
          <w:p w14:paraId="01703946"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Mediates whether credible ventures can actually access suitable finance</w:t>
            </w:r>
          </w:p>
        </w:tc>
      </w:tr>
    </w:tbl>
    <w:p w14:paraId="6826ED58" w14:textId="77777777" w:rsidR="00FB3CCF" w:rsidRPr="00FB3CCF" w:rsidRDefault="00FB3CCF" w:rsidP="00FB3CCF">
      <w:pPr>
        <w:spacing w:after="0" w:line="276" w:lineRule="auto"/>
        <w:jc w:val="both"/>
        <w:rPr>
          <w:rFonts w:ascii="Arial" w:hAnsi="Arial" w:cs="Arial"/>
          <w:sz w:val="13"/>
          <w:szCs w:val="13"/>
        </w:rPr>
      </w:pPr>
      <w:r w:rsidRPr="00FB3CCF">
        <w:rPr>
          <w:rFonts w:ascii="Arial" w:hAnsi="Arial" w:cs="Arial"/>
          <w:sz w:val="13"/>
          <w:szCs w:val="13"/>
        </w:rPr>
        <w:t xml:space="preserve">Source: </w:t>
      </w:r>
      <w:r w:rsidRPr="00FB3CCF">
        <w:rPr>
          <w:rFonts w:ascii="Arial" w:eastAsia="Times New Roman" w:hAnsi="Arial" w:cs="Arial"/>
          <w:kern w:val="0"/>
          <w:sz w:val="13"/>
          <w:szCs w:val="13"/>
          <w:lang w:eastAsia="en-GB"/>
          <w14:ligatures w14:val="none"/>
        </w:rPr>
        <w:t xml:space="preserve">Author’s own synthesis based on </w:t>
      </w:r>
      <w:r w:rsidRPr="00FB3CCF">
        <w:rPr>
          <w:rFonts w:ascii="Arial" w:hAnsi="Arial" w:cs="Arial"/>
          <w:sz w:val="13"/>
          <w:szCs w:val="13"/>
        </w:rPr>
        <w:t xml:space="preserve">McCoy and Schwartz (2022), Polzin et al. (2019), Hannon, van Diemen and Skea (2017), </w:t>
      </w:r>
      <w:proofErr w:type="spellStart"/>
      <w:r w:rsidRPr="00FB3CCF">
        <w:rPr>
          <w:rFonts w:ascii="Arial" w:hAnsi="Arial" w:cs="Arial"/>
          <w:sz w:val="13"/>
          <w:szCs w:val="13"/>
        </w:rPr>
        <w:t>Winskel</w:t>
      </w:r>
      <w:proofErr w:type="spellEnd"/>
      <w:r w:rsidRPr="00FB3CCF">
        <w:rPr>
          <w:rFonts w:ascii="Arial" w:hAnsi="Arial" w:cs="Arial"/>
          <w:sz w:val="13"/>
          <w:szCs w:val="13"/>
        </w:rPr>
        <w:t xml:space="preserve"> et al. (2006), Nightingale et al. (2016) and Wright (2016).</w:t>
      </w:r>
    </w:p>
    <w:p w14:paraId="386C49D9" w14:textId="77777777" w:rsidR="00FB3CCF" w:rsidRPr="00FB3CCF" w:rsidRDefault="00FB3CCF" w:rsidP="00FB3CCF">
      <w:pPr>
        <w:spacing w:after="0" w:line="276" w:lineRule="auto"/>
        <w:jc w:val="both"/>
        <w:rPr>
          <w:rFonts w:ascii="Arial" w:hAnsi="Arial" w:cs="Arial"/>
          <w:sz w:val="22"/>
          <w:szCs w:val="22"/>
        </w:rPr>
      </w:pPr>
    </w:p>
    <w:p w14:paraId="2D59CD7E"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Table X shows that startup bankability in the UK wave energy industry depends on six interrelated conditions that shape the progress of the ventures towards credible commercial finance.</w:t>
      </w:r>
    </w:p>
    <w:p w14:paraId="692D356F" w14:textId="77777777" w:rsidR="00FB3CCF" w:rsidRPr="00FB3CCF" w:rsidRDefault="00FB3CCF" w:rsidP="00FB3CCF">
      <w:pPr>
        <w:spacing w:after="0" w:line="276" w:lineRule="auto"/>
        <w:jc w:val="both"/>
        <w:rPr>
          <w:rFonts w:ascii="Arial" w:hAnsi="Arial" w:cs="Arial"/>
          <w:sz w:val="22"/>
          <w:szCs w:val="22"/>
        </w:rPr>
      </w:pPr>
    </w:p>
    <w:p w14:paraId="0667DB4A"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3.6 Research gaps</w:t>
      </w:r>
    </w:p>
    <w:p w14:paraId="595451F0" w14:textId="77777777" w:rsidR="00FB3CCF" w:rsidRPr="00FB3CCF" w:rsidRDefault="00FB3CCF" w:rsidP="00FB3CCF">
      <w:pPr>
        <w:spacing w:after="0" w:line="276" w:lineRule="auto"/>
        <w:jc w:val="both"/>
        <w:rPr>
          <w:rFonts w:ascii="Arial" w:hAnsi="Arial" w:cs="Arial"/>
          <w:sz w:val="22"/>
          <w:szCs w:val="22"/>
        </w:rPr>
      </w:pPr>
    </w:p>
    <w:p w14:paraId="12D85CE6"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b/>
          <w:bCs/>
          <w:sz w:val="22"/>
          <w:szCs w:val="22"/>
        </w:rPr>
        <w:t>Table 3.2.</w:t>
      </w:r>
      <w:r w:rsidRPr="00FB3CCF">
        <w:rPr>
          <w:rFonts w:ascii="Arial" w:hAnsi="Arial" w:cs="Arial"/>
          <w:sz w:val="22"/>
          <w:szCs w:val="22"/>
        </w:rPr>
        <w:t xml:space="preserve"> Gap matrix for the literature on UK wave energy startup bankability</w:t>
      </w:r>
    </w:p>
    <w:tbl>
      <w:tblPr>
        <w:tblW w:w="8880" w:type="dxa"/>
        <w:tblLook w:val="04A0" w:firstRow="1" w:lastRow="0" w:firstColumn="1" w:lastColumn="0" w:noHBand="0" w:noVBand="1"/>
      </w:tblPr>
      <w:tblGrid>
        <w:gridCol w:w="1740"/>
        <w:gridCol w:w="2220"/>
        <w:gridCol w:w="2440"/>
        <w:gridCol w:w="2480"/>
      </w:tblGrid>
      <w:tr w:rsidR="00FB3CCF" w:rsidRPr="00FB3CCF" w14:paraId="117032F1" w14:textId="77777777" w:rsidTr="00442932">
        <w:trPr>
          <w:trHeight w:val="560"/>
        </w:trPr>
        <w:tc>
          <w:tcPr>
            <w:tcW w:w="1740" w:type="dxa"/>
            <w:tcBorders>
              <w:top w:val="single" w:sz="4" w:space="0" w:color="auto"/>
              <w:left w:val="single" w:sz="4" w:space="0" w:color="auto"/>
              <w:bottom w:val="single" w:sz="4" w:space="0" w:color="auto"/>
              <w:right w:val="single" w:sz="4" w:space="0" w:color="auto"/>
            </w:tcBorders>
            <w:vAlign w:val="center"/>
            <w:hideMark/>
          </w:tcPr>
          <w:p w14:paraId="1170AEF0"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Gap type</w:t>
            </w:r>
          </w:p>
        </w:tc>
        <w:tc>
          <w:tcPr>
            <w:tcW w:w="2220" w:type="dxa"/>
            <w:tcBorders>
              <w:top w:val="single" w:sz="4" w:space="0" w:color="auto"/>
              <w:left w:val="nil"/>
              <w:bottom w:val="single" w:sz="4" w:space="0" w:color="auto"/>
              <w:right w:val="single" w:sz="4" w:space="0" w:color="auto"/>
            </w:tcBorders>
            <w:vAlign w:val="center"/>
            <w:hideMark/>
          </w:tcPr>
          <w:p w14:paraId="2AF3D653"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Established Insights in the Literature</w:t>
            </w:r>
          </w:p>
        </w:tc>
        <w:tc>
          <w:tcPr>
            <w:tcW w:w="2440" w:type="dxa"/>
            <w:tcBorders>
              <w:top w:val="single" w:sz="4" w:space="0" w:color="auto"/>
              <w:left w:val="nil"/>
              <w:bottom w:val="single" w:sz="4" w:space="0" w:color="auto"/>
              <w:right w:val="single" w:sz="4" w:space="0" w:color="auto"/>
            </w:tcBorders>
            <w:vAlign w:val="center"/>
            <w:hideMark/>
          </w:tcPr>
          <w:p w14:paraId="6771FD46"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Key Limitations</w:t>
            </w:r>
          </w:p>
        </w:tc>
        <w:tc>
          <w:tcPr>
            <w:tcW w:w="2480" w:type="dxa"/>
            <w:tcBorders>
              <w:top w:val="single" w:sz="4" w:space="0" w:color="auto"/>
              <w:left w:val="nil"/>
              <w:bottom w:val="single" w:sz="4" w:space="0" w:color="auto"/>
              <w:right w:val="single" w:sz="4" w:space="0" w:color="auto"/>
            </w:tcBorders>
            <w:vAlign w:val="center"/>
            <w:hideMark/>
          </w:tcPr>
          <w:p w14:paraId="1B0E5F71"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Relevance to the Study</w:t>
            </w:r>
          </w:p>
        </w:tc>
      </w:tr>
      <w:tr w:rsidR="00FB3CCF" w:rsidRPr="00FB3CCF" w14:paraId="46009F3D" w14:textId="77777777" w:rsidTr="00442932">
        <w:trPr>
          <w:trHeight w:val="1700"/>
        </w:trPr>
        <w:tc>
          <w:tcPr>
            <w:tcW w:w="1740" w:type="dxa"/>
            <w:tcBorders>
              <w:top w:val="nil"/>
              <w:left w:val="single" w:sz="4" w:space="0" w:color="auto"/>
              <w:bottom w:val="single" w:sz="4" w:space="0" w:color="auto"/>
              <w:right w:val="single" w:sz="4" w:space="0" w:color="auto"/>
            </w:tcBorders>
            <w:vAlign w:val="center"/>
            <w:hideMark/>
          </w:tcPr>
          <w:p w14:paraId="185F0691"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Theoretical</w:t>
            </w:r>
          </w:p>
        </w:tc>
        <w:tc>
          <w:tcPr>
            <w:tcW w:w="2220" w:type="dxa"/>
            <w:tcBorders>
              <w:top w:val="nil"/>
              <w:left w:val="nil"/>
              <w:bottom w:val="single" w:sz="4" w:space="0" w:color="auto"/>
              <w:right w:val="single" w:sz="4" w:space="0" w:color="auto"/>
            </w:tcBorders>
            <w:vAlign w:val="center"/>
            <w:hideMark/>
          </w:tcPr>
          <w:p w14:paraId="108BB94D"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Investor preference, innovation systems, policy risk, valley of death, transition finance</w:t>
            </w:r>
          </w:p>
        </w:tc>
        <w:tc>
          <w:tcPr>
            <w:tcW w:w="2440" w:type="dxa"/>
            <w:tcBorders>
              <w:top w:val="nil"/>
              <w:left w:val="nil"/>
              <w:bottom w:val="single" w:sz="4" w:space="0" w:color="auto"/>
              <w:right w:val="single" w:sz="4" w:space="0" w:color="auto"/>
            </w:tcBorders>
            <w:vAlign w:val="center"/>
            <w:hideMark/>
          </w:tcPr>
          <w:p w14:paraId="5B508388"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A joined theory of startup bankability in UK wave energy</w:t>
            </w:r>
          </w:p>
        </w:tc>
        <w:tc>
          <w:tcPr>
            <w:tcW w:w="2480" w:type="dxa"/>
            <w:tcBorders>
              <w:top w:val="nil"/>
              <w:left w:val="nil"/>
              <w:bottom w:val="single" w:sz="4" w:space="0" w:color="auto"/>
              <w:right w:val="single" w:sz="4" w:space="0" w:color="auto"/>
            </w:tcBorders>
            <w:vAlign w:val="center"/>
            <w:hideMark/>
          </w:tcPr>
          <w:p w14:paraId="3AD2D9F7"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The study needs a clearer explanatory framework rather than another list of barriers</w:t>
            </w:r>
          </w:p>
        </w:tc>
      </w:tr>
      <w:tr w:rsidR="00FB3CCF" w:rsidRPr="00FB3CCF" w14:paraId="29511062" w14:textId="77777777" w:rsidTr="00442932">
        <w:trPr>
          <w:trHeight w:val="1700"/>
        </w:trPr>
        <w:tc>
          <w:tcPr>
            <w:tcW w:w="1740" w:type="dxa"/>
            <w:tcBorders>
              <w:top w:val="nil"/>
              <w:left w:val="single" w:sz="4" w:space="0" w:color="auto"/>
              <w:bottom w:val="single" w:sz="4" w:space="0" w:color="auto"/>
              <w:right w:val="single" w:sz="4" w:space="0" w:color="auto"/>
            </w:tcBorders>
            <w:vAlign w:val="center"/>
            <w:hideMark/>
          </w:tcPr>
          <w:p w14:paraId="20E9BE14"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Empirical</w:t>
            </w:r>
          </w:p>
        </w:tc>
        <w:tc>
          <w:tcPr>
            <w:tcW w:w="2220" w:type="dxa"/>
            <w:tcBorders>
              <w:top w:val="nil"/>
              <w:left w:val="nil"/>
              <w:bottom w:val="single" w:sz="4" w:space="0" w:color="auto"/>
              <w:right w:val="single" w:sz="4" w:space="0" w:color="auto"/>
            </w:tcBorders>
            <w:vAlign w:val="center"/>
            <w:hideMark/>
          </w:tcPr>
          <w:p w14:paraId="422DD3B7"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Sector-level barriers, investor views, policy history, techno-economic uncertainty</w:t>
            </w:r>
          </w:p>
        </w:tc>
        <w:tc>
          <w:tcPr>
            <w:tcW w:w="2440" w:type="dxa"/>
            <w:tcBorders>
              <w:top w:val="nil"/>
              <w:left w:val="nil"/>
              <w:bottom w:val="single" w:sz="4" w:space="0" w:color="auto"/>
              <w:right w:val="single" w:sz="4" w:space="0" w:color="auto"/>
            </w:tcBorders>
            <w:vAlign w:val="center"/>
            <w:hideMark/>
          </w:tcPr>
          <w:p w14:paraId="731FF423"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Firm-level and deal-level evidence on how financing decisions are made</w:t>
            </w:r>
          </w:p>
        </w:tc>
        <w:tc>
          <w:tcPr>
            <w:tcW w:w="2480" w:type="dxa"/>
            <w:tcBorders>
              <w:top w:val="nil"/>
              <w:left w:val="nil"/>
              <w:bottom w:val="single" w:sz="4" w:space="0" w:color="auto"/>
              <w:right w:val="single" w:sz="4" w:space="0" w:color="auto"/>
            </w:tcBorders>
            <w:vAlign w:val="center"/>
            <w:hideMark/>
          </w:tcPr>
          <w:p w14:paraId="2BE5C8B2"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Bankability is judged in practice at venture and transaction level</w:t>
            </w:r>
          </w:p>
        </w:tc>
      </w:tr>
      <w:tr w:rsidR="00FB3CCF" w:rsidRPr="00FB3CCF" w14:paraId="67C3AE0A" w14:textId="77777777" w:rsidTr="00442932">
        <w:trPr>
          <w:trHeight w:val="1700"/>
        </w:trPr>
        <w:tc>
          <w:tcPr>
            <w:tcW w:w="1740" w:type="dxa"/>
            <w:tcBorders>
              <w:top w:val="nil"/>
              <w:left w:val="single" w:sz="4" w:space="0" w:color="auto"/>
              <w:bottom w:val="single" w:sz="4" w:space="0" w:color="auto"/>
              <w:right w:val="single" w:sz="4" w:space="0" w:color="auto"/>
            </w:tcBorders>
            <w:vAlign w:val="center"/>
            <w:hideMark/>
          </w:tcPr>
          <w:p w14:paraId="25EE5087"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lastRenderedPageBreak/>
              <w:t>Contextual</w:t>
            </w:r>
          </w:p>
        </w:tc>
        <w:tc>
          <w:tcPr>
            <w:tcW w:w="2220" w:type="dxa"/>
            <w:tcBorders>
              <w:top w:val="nil"/>
              <w:left w:val="nil"/>
              <w:bottom w:val="single" w:sz="4" w:space="0" w:color="auto"/>
              <w:right w:val="single" w:sz="4" w:space="0" w:color="auto"/>
            </w:tcBorders>
            <w:vAlign w:val="center"/>
            <w:hideMark/>
          </w:tcPr>
          <w:p w14:paraId="4294051D"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UK wave policy history and marine energy ecosystem</w:t>
            </w:r>
          </w:p>
        </w:tc>
        <w:tc>
          <w:tcPr>
            <w:tcW w:w="2440" w:type="dxa"/>
            <w:tcBorders>
              <w:top w:val="nil"/>
              <w:left w:val="nil"/>
              <w:bottom w:val="single" w:sz="4" w:space="0" w:color="auto"/>
              <w:right w:val="single" w:sz="4" w:space="0" w:color="auto"/>
            </w:tcBorders>
            <w:vAlign w:val="center"/>
            <w:hideMark/>
          </w:tcPr>
          <w:p w14:paraId="4394FA9C"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Comparative evidence across UK regions, financing stages, and post-2021 market conditions</w:t>
            </w:r>
          </w:p>
        </w:tc>
        <w:tc>
          <w:tcPr>
            <w:tcW w:w="2480" w:type="dxa"/>
            <w:tcBorders>
              <w:top w:val="nil"/>
              <w:left w:val="nil"/>
              <w:bottom w:val="single" w:sz="4" w:space="0" w:color="auto"/>
              <w:right w:val="single" w:sz="4" w:space="0" w:color="auto"/>
            </w:tcBorders>
            <w:vAlign w:val="center"/>
            <w:hideMark/>
          </w:tcPr>
          <w:p w14:paraId="455EFAAE"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The field may overgeneralise from a narrow historical window</w:t>
            </w:r>
          </w:p>
        </w:tc>
      </w:tr>
      <w:tr w:rsidR="00FB3CCF" w:rsidRPr="00FB3CCF" w14:paraId="230A0C48" w14:textId="77777777" w:rsidTr="00442932">
        <w:trPr>
          <w:trHeight w:val="1700"/>
        </w:trPr>
        <w:tc>
          <w:tcPr>
            <w:tcW w:w="1740" w:type="dxa"/>
            <w:tcBorders>
              <w:top w:val="nil"/>
              <w:left w:val="single" w:sz="4" w:space="0" w:color="auto"/>
              <w:bottom w:val="single" w:sz="4" w:space="0" w:color="auto"/>
              <w:right w:val="single" w:sz="4" w:space="0" w:color="auto"/>
            </w:tcBorders>
            <w:vAlign w:val="center"/>
            <w:hideMark/>
          </w:tcPr>
          <w:p w14:paraId="58F8A4C0" w14:textId="77777777" w:rsidR="00FB3CCF" w:rsidRPr="00FB3CCF" w:rsidRDefault="00FB3CCF" w:rsidP="00442932">
            <w:pPr>
              <w:spacing w:after="0" w:line="240" w:lineRule="auto"/>
              <w:rPr>
                <w:rFonts w:ascii="Arial" w:eastAsia="Times New Roman" w:hAnsi="Arial" w:cs="Arial"/>
                <w:b/>
                <w:bCs/>
                <w:kern w:val="0"/>
                <w:sz w:val="20"/>
                <w:szCs w:val="20"/>
                <w:lang w:eastAsia="en-GB"/>
                <w14:ligatures w14:val="none"/>
              </w:rPr>
            </w:pPr>
            <w:r w:rsidRPr="00FB3CCF">
              <w:rPr>
                <w:rFonts w:ascii="Arial" w:eastAsia="Times New Roman" w:hAnsi="Arial" w:cs="Arial"/>
                <w:b/>
                <w:bCs/>
                <w:kern w:val="0"/>
                <w:sz w:val="20"/>
                <w:szCs w:val="20"/>
                <w:lang w:eastAsia="en-GB"/>
                <w14:ligatures w14:val="none"/>
              </w:rPr>
              <w:t>Methodological</w:t>
            </w:r>
          </w:p>
        </w:tc>
        <w:tc>
          <w:tcPr>
            <w:tcW w:w="2220" w:type="dxa"/>
            <w:tcBorders>
              <w:top w:val="nil"/>
              <w:left w:val="nil"/>
              <w:bottom w:val="single" w:sz="4" w:space="0" w:color="auto"/>
              <w:right w:val="single" w:sz="4" w:space="0" w:color="auto"/>
            </w:tcBorders>
            <w:vAlign w:val="center"/>
            <w:hideMark/>
          </w:tcPr>
          <w:p w14:paraId="55D541E6"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Reviews, expert interviews, stakeholder studies, modelling</w:t>
            </w:r>
          </w:p>
        </w:tc>
        <w:tc>
          <w:tcPr>
            <w:tcW w:w="2440" w:type="dxa"/>
            <w:tcBorders>
              <w:top w:val="nil"/>
              <w:left w:val="nil"/>
              <w:bottom w:val="single" w:sz="4" w:space="0" w:color="auto"/>
              <w:right w:val="single" w:sz="4" w:space="0" w:color="auto"/>
            </w:tcBorders>
            <w:vAlign w:val="center"/>
            <w:hideMark/>
          </w:tcPr>
          <w:p w14:paraId="714E00D3"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Longitudinal, mixed-method, and cross-level designs that connect policy, firm, and finance decisions</w:t>
            </w:r>
          </w:p>
        </w:tc>
        <w:tc>
          <w:tcPr>
            <w:tcW w:w="2480" w:type="dxa"/>
            <w:tcBorders>
              <w:top w:val="nil"/>
              <w:left w:val="nil"/>
              <w:bottom w:val="single" w:sz="4" w:space="0" w:color="auto"/>
              <w:right w:val="single" w:sz="4" w:space="0" w:color="auto"/>
            </w:tcBorders>
            <w:vAlign w:val="center"/>
            <w:hideMark/>
          </w:tcPr>
          <w:p w14:paraId="58828A8C" w14:textId="77777777" w:rsidR="00FB3CCF" w:rsidRPr="00FB3CCF" w:rsidRDefault="00FB3CCF" w:rsidP="00442932">
            <w:pPr>
              <w:spacing w:after="0" w:line="240" w:lineRule="auto"/>
              <w:rPr>
                <w:rFonts w:ascii="Arial" w:eastAsia="Times New Roman" w:hAnsi="Arial" w:cs="Arial"/>
                <w:kern w:val="0"/>
                <w:sz w:val="20"/>
                <w:szCs w:val="20"/>
                <w:lang w:eastAsia="en-GB"/>
                <w14:ligatures w14:val="none"/>
              </w:rPr>
            </w:pPr>
            <w:r w:rsidRPr="00FB3CCF">
              <w:rPr>
                <w:rFonts w:ascii="Arial" w:eastAsia="Times New Roman" w:hAnsi="Arial" w:cs="Arial"/>
                <w:kern w:val="0"/>
                <w:sz w:val="20"/>
                <w:szCs w:val="20"/>
                <w:lang w:eastAsia="en-GB"/>
                <w14:ligatures w14:val="none"/>
              </w:rPr>
              <w:t>Existing methods often capture only one layer of the problem at a time</w:t>
            </w:r>
          </w:p>
        </w:tc>
      </w:tr>
    </w:tbl>
    <w:p w14:paraId="5385DD74" w14:textId="77777777" w:rsidR="00FB3CCF" w:rsidRPr="00FB3CCF" w:rsidRDefault="00FB3CCF" w:rsidP="00FB3CCF">
      <w:pPr>
        <w:spacing w:after="0" w:line="276" w:lineRule="auto"/>
        <w:jc w:val="both"/>
        <w:rPr>
          <w:rFonts w:ascii="Arial" w:hAnsi="Arial" w:cs="Arial"/>
          <w:sz w:val="15"/>
          <w:szCs w:val="15"/>
        </w:rPr>
      </w:pPr>
      <w:r w:rsidRPr="00FB3CCF">
        <w:rPr>
          <w:rFonts w:ascii="Arial" w:hAnsi="Arial" w:cs="Arial"/>
          <w:sz w:val="15"/>
          <w:szCs w:val="15"/>
        </w:rPr>
        <w:t>Source: Author’s synthesis based on the reviewed literature.</w:t>
      </w:r>
    </w:p>
    <w:p w14:paraId="518D86ED" w14:textId="77777777" w:rsidR="00FB3CCF" w:rsidRPr="00FB3CCF" w:rsidRDefault="00FB3CCF" w:rsidP="00FB3CCF">
      <w:pPr>
        <w:spacing w:after="0" w:line="276" w:lineRule="auto"/>
        <w:jc w:val="both"/>
        <w:rPr>
          <w:rFonts w:ascii="Arial" w:hAnsi="Arial" w:cs="Arial"/>
          <w:sz w:val="22"/>
          <w:szCs w:val="22"/>
        </w:rPr>
      </w:pPr>
    </w:p>
    <w:p w14:paraId="3D7E1F7E"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3.6.1 Theoretical gaps</w:t>
      </w:r>
    </w:p>
    <w:p w14:paraId="2A8B061B"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Bankability is assumed rather than clearly defined. Although studies address investor confidence, financial barriers, investment readiness thresholds, policy stability, and due diligence, the literature rarely analyses bankability as an analytical concept with well-specified dimensions (Leete, Xu and Wheeler, 2013; Bucher et al., 2016; Jeffrey et al., 2015).</w:t>
      </w:r>
    </w:p>
    <w:p w14:paraId="327611C7" w14:textId="77777777" w:rsidR="00FB3CCF" w:rsidRPr="00FB3CCF" w:rsidRDefault="00FB3CCF" w:rsidP="00FB3CCF">
      <w:pPr>
        <w:spacing w:after="0" w:line="276" w:lineRule="auto"/>
        <w:jc w:val="both"/>
        <w:rPr>
          <w:rFonts w:ascii="Arial" w:hAnsi="Arial" w:cs="Arial"/>
          <w:sz w:val="22"/>
          <w:szCs w:val="22"/>
        </w:rPr>
      </w:pPr>
    </w:p>
    <w:p w14:paraId="7694BC35"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A second weakness is the limited integration of startup finance theory and socio-technical transition theory. Cleantech and valley-of-death studies demonstrate that capital-intensive ventures requiring long development periods misalign with traditional venture capital models (Gaddy et al., 2017; Owen et al., 2020; O’Reilly, Mac an Bhaird and Greene, 2024; van der </w:t>
      </w:r>
      <w:proofErr w:type="spellStart"/>
      <w:r w:rsidRPr="00FB3CCF">
        <w:rPr>
          <w:rFonts w:ascii="Arial" w:hAnsi="Arial" w:cs="Arial"/>
          <w:sz w:val="22"/>
          <w:szCs w:val="22"/>
        </w:rPr>
        <w:t>Schans</w:t>
      </w:r>
      <w:proofErr w:type="spellEnd"/>
      <w:r w:rsidRPr="00FB3CCF">
        <w:rPr>
          <w:rFonts w:ascii="Arial" w:hAnsi="Arial" w:cs="Arial"/>
          <w:sz w:val="22"/>
          <w:szCs w:val="22"/>
        </w:rPr>
        <w:t>, Owen and Hussain, 2025), while transition research shows that niche technologies should align or reshape the expectations of established financial regimes (Geddes and Schmidt, 2020).</w:t>
      </w:r>
    </w:p>
    <w:p w14:paraId="430530F1" w14:textId="77777777" w:rsidR="00FB3CCF" w:rsidRPr="00FB3CCF" w:rsidRDefault="00FB3CCF" w:rsidP="00FB3CCF">
      <w:pPr>
        <w:spacing w:after="0" w:line="276" w:lineRule="auto"/>
        <w:jc w:val="both"/>
        <w:rPr>
          <w:rFonts w:ascii="Arial" w:hAnsi="Arial" w:cs="Arial"/>
          <w:sz w:val="22"/>
          <w:szCs w:val="22"/>
        </w:rPr>
      </w:pPr>
    </w:p>
    <w:p w14:paraId="393378C6"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third gap relates to the evidence. The literature indicates that investor confidence depends on both technological maturity and Technology Readiness Level (TRL), with the evidence of techno-economic performance (Weber, 2012; Weber, Costello and Ringwood, 2013; Weber et al., 2017). Even so, it remains unclear which kind of techno-economic evidence shapes bankability across different stages of development.</w:t>
      </w:r>
    </w:p>
    <w:p w14:paraId="06AD1B00" w14:textId="77777777" w:rsidR="00FB3CCF" w:rsidRPr="00FB3CCF" w:rsidRDefault="00FB3CCF" w:rsidP="00FB3CCF">
      <w:pPr>
        <w:spacing w:after="0" w:line="276" w:lineRule="auto"/>
        <w:jc w:val="both"/>
        <w:rPr>
          <w:rFonts w:ascii="Arial" w:hAnsi="Arial" w:cs="Arial"/>
          <w:sz w:val="22"/>
          <w:szCs w:val="22"/>
        </w:rPr>
      </w:pPr>
    </w:p>
    <w:p w14:paraId="39F18506"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3.6.2 Empirical gaps</w:t>
      </w:r>
    </w:p>
    <w:p w14:paraId="01890F99"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The most robust evidence is mainly concentrated at the sectoral level rather than </w:t>
      </w:r>
      <w:proofErr w:type="gramStart"/>
      <w:r w:rsidRPr="00FB3CCF">
        <w:rPr>
          <w:rFonts w:ascii="Arial" w:hAnsi="Arial" w:cs="Arial"/>
          <w:sz w:val="22"/>
          <w:szCs w:val="22"/>
        </w:rPr>
        <w:t>venture-specific</w:t>
      </w:r>
      <w:proofErr w:type="gramEnd"/>
      <w:r w:rsidRPr="00FB3CCF">
        <w:rPr>
          <w:rFonts w:ascii="Arial" w:hAnsi="Arial" w:cs="Arial"/>
          <w:sz w:val="22"/>
          <w:szCs w:val="22"/>
        </w:rPr>
        <w:t>. Hannon, van Diemen and Skea (2017) highlight how poor support and early-scale-up weakened the UK wave energy development; Jin and Greaves (2021) review the sector’s present condition and future potential; and Leete, Xu and Wheeler (2013) identify investor criteria. However, firm-level and investment-transaction evidence remains limited, and this important gap shows that startup bankability cannot be understood fully from sector-level patterns alone; it requires closer attention to how financing decisions are organised in practice.</w:t>
      </w:r>
    </w:p>
    <w:p w14:paraId="022820F3"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b/>
          <w:bCs/>
          <w:sz w:val="22"/>
          <w:szCs w:val="22"/>
        </w:rPr>
        <w:t>3.6.3 Contextual gaps</w:t>
      </w:r>
    </w:p>
    <w:p w14:paraId="5884BEE1"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 xml:space="preserve">The literature analyses the UK market extensively across numerous studies, but it tends to treat the UK as a single market with a homogeneous policy framework. More locally grounded analysis is needed to study the roles of regional institutions, infrastructure, and regulatory authorities and how they shape bankability across the UK. Furthermore, international comparison is also limited, and this makes it difficult to distinguish the unique factors of the </w:t>
      </w:r>
      <w:r w:rsidRPr="00FB3CCF">
        <w:rPr>
          <w:rFonts w:ascii="Arial" w:hAnsi="Arial" w:cs="Arial"/>
          <w:sz w:val="22"/>
          <w:szCs w:val="22"/>
        </w:rPr>
        <w:lastRenderedPageBreak/>
        <w:t xml:space="preserve">UK from those across marine energy ecosystems (Jeffrey, Sedgwick and Gerrard, 2014; Hannon, van Diemen and Skea, 2017). A further weakness is that startup bankability analyses are often drawn from the broader renewable energy sector. However, this creates transferability problems because mature renewable energy technologies, such as solar power, differ significantly from wave energy in industrial structure (Steffen, 2020; Mitchell, Bauknecht and Connor, 2006; </w:t>
      </w:r>
      <w:proofErr w:type="spellStart"/>
      <w:r w:rsidRPr="00FB3CCF">
        <w:rPr>
          <w:rFonts w:ascii="Arial" w:hAnsi="Arial" w:cs="Arial"/>
          <w:sz w:val="22"/>
          <w:szCs w:val="22"/>
        </w:rPr>
        <w:t>Kitzing</w:t>
      </w:r>
      <w:proofErr w:type="spellEnd"/>
      <w:r w:rsidRPr="00FB3CCF">
        <w:rPr>
          <w:rFonts w:ascii="Arial" w:hAnsi="Arial" w:cs="Arial"/>
          <w:sz w:val="22"/>
          <w:szCs w:val="22"/>
        </w:rPr>
        <w:t xml:space="preserve"> and Weber, 2014).</w:t>
      </w:r>
    </w:p>
    <w:p w14:paraId="779B9057" w14:textId="77777777" w:rsidR="00FB3CCF" w:rsidRPr="00FB3CCF" w:rsidRDefault="00FB3CCF" w:rsidP="00FB3CCF">
      <w:pPr>
        <w:spacing w:after="0" w:line="276" w:lineRule="auto"/>
        <w:jc w:val="both"/>
        <w:rPr>
          <w:rFonts w:ascii="Arial" w:hAnsi="Arial" w:cs="Arial"/>
          <w:sz w:val="22"/>
          <w:szCs w:val="22"/>
        </w:rPr>
      </w:pPr>
    </w:p>
    <w:p w14:paraId="25FD5FF4"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3.6.4 Methodological gaps</w:t>
      </w:r>
    </w:p>
    <w:p w14:paraId="0456E158"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literature largely focuses on stakeholder interviews, expert consultation, sector reviews, policy analysis, and cost-performance modelling, and they provide valuable insight, but they tend to examine particular individual parts of the problem rather than explaining the interactions among policy conditions, venture development processes, and financing decisions. (Bucher et al., 2016; Hannon, van Diemen and Skea, 2017; Polzin et al., 2019; Weber et al., 2017).</w:t>
      </w:r>
    </w:p>
    <w:p w14:paraId="140FAE4F" w14:textId="77777777" w:rsidR="00FB3CCF" w:rsidRPr="00FB3CCF" w:rsidRDefault="00FB3CCF" w:rsidP="00FB3CCF">
      <w:pPr>
        <w:spacing w:after="0" w:line="276" w:lineRule="auto"/>
        <w:jc w:val="both"/>
        <w:rPr>
          <w:rFonts w:ascii="Arial" w:hAnsi="Arial" w:cs="Arial"/>
          <w:sz w:val="22"/>
          <w:szCs w:val="22"/>
        </w:rPr>
      </w:pPr>
    </w:p>
    <w:p w14:paraId="389ECF29"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Although bankability changes fundamentally over time, longitudinal and mixed-methods research remains limited in this field. The literature seldom examines rejection through investor non-response, unsuccessful funding attempts, early-stage financing failures, and companies that stop operating at the early stages, even though these cases are crucial for understanding the dynamics of bankability.</w:t>
      </w:r>
    </w:p>
    <w:p w14:paraId="3F7E3628" w14:textId="77777777" w:rsidR="00FB3CCF" w:rsidRPr="00FB3CCF" w:rsidRDefault="00FB3CCF" w:rsidP="00FB3CCF">
      <w:pPr>
        <w:spacing w:after="0" w:line="276" w:lineRule="auto"/>
        <w:jc w:val="both"/>
        <w:rPr>
          <w:rFonts w:ascii="Arial" w:hAnsi="Arial" w:cs="Arial"/>
          <w:sz w:val="22"/>
          <w:szCs w:val="22"/>
        </w:rPr>
      </w:pPr>
    </w:p>
    <w:p w14:paraId="67F06356"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3.7 Draft research questions</w:t>
      </w:r>
    </w:p>
    <w:p w14:paraId="0C1FCD09" w14:textId="77777777" w:rsidR="00FB3CCF" w:rsidRPr="00FB3CCF" w:rsidRDefault="00FB3CCF" w:rsidP="00FB3CCF">
      <w:pPr>
        <w:spacing w:after="0" w:line="276" w:lineRule="auto"/>
        <w:jc w:val="both"/>
        <w:rPr>
          <w:rFonts w:ascii="Arial" w:hAnsi="Arial" w:cs="Arial"/>
          <w:b/>
          <w:bCs/>
          <w:sz w:val="22"/>
          <w:szCs w:val="22"/>
        </w:rPr>
      </w:pPr>
    </w:p>
    <w:p w14:paraId="3B09903C"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-research question</w:t>
      </w:r>
    </w:p>
    <w:p w14:paraId="78EF2FF3"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To what extent do key nuances of bankability for start-up businesses in the UK wave energy sector shape their access to finance?</w:t>
      </w:r>
    </w:p>
    <w:p w14:paraId="0B0F7B89" w14:textId="77777777" w:rsidR="00FB3CCF" w:rsidRPr="00FB3CCF" w:rsidRDefault="00FB3CCF" w:rsidP="00FB3CCF">
      <w:pPr>
        <w:spacing w:after="0" w:line="276" w:lineRule="auto"/>
        <w:jc w:val="both"/>
        <w:rPr>
          <w:rFonts w:ascii="Arial" w:hAnsi="Arial" w:cs="Arial"/>
          <w:sz w:val="22"/>
          <w:szCs w:val="22"/>
        </w:rPr>
      </w:pPr>
    </w:p>
    <w:p w14:paraId="6C02ECCA"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-research sub-questions</w:t>
      </w:r>
    </w:p>
    <w:p w14:paraId="47430029" w14:textId="77777777" w:rsidR="00FB3CCF" w:rsidRPr="00FB3CCF" w:rsidRDefault="00FB3CCF" w:rsidP="00FB3CCF">
      <w:pPr>
        <w:pStyle w:val="ListParagraph"/>
        <w:numPr>
          <w:ilvl w:val="0"/>
          <w:numId w:val="4"/>
        </w:numPr>
        <w:spacing w:after="0" w:line="276" w:lineRule="auto"/>
        <w:jc w:val="both"/>
        <w:rPr>
          <w:rFonts w:ascii="Arial" w:hAnsi="Arial" w:cs="Arial"/>
          <w:sz w:val="22"/>
          <w:szCs w:val="22"/>
        </w:rPr>
      </w:pPr>
      <w:r w:rsidRPr="00FB3CCF">
        <w:rPr>
          <w:rFonts w:ascii="Arial" w:hAnsi="Arial" w:cs="Arial"/>
          <w:sz w:val="22"/>
          <w:szCs w:val="22"/>
        </w:rPr>
        <w:t>How does the evaluation of bankability change at different stages of start-up growth?</w:t>
      </w:r>
    </w:p>
    <w:p w14:paraId="706A0B9E" w14:textId="77777777" w:rsidR="00FB3CCF" w:rsidRPr="00FB3CCF" w:rsidRDefault="00FB3CCF" w:rsidP="00FB3CCF">
      <w:pPr>
        <w:pStyle w:val="ListParagraph"/>
        <w:numPr>
          <w:ilvl w:val="0"/>
          <w:numId w:val="4"/>
        </w:numPr>
        <w:spacing w:after="0" w:line="276" w:lineRule="auto"/>
        <w:jc w:val="both"/>
        <w:rPr>
          <w:rFonts w:ascii="Arial" w:hAnsi="Arial" w:cs="Arial"/>
          <w:sz w:val="22"/>
          <w:szCs w:val="22"/>
        </w:rPr>
      </w:pPr>
      <w:r w:rsidRPr="00FB3CCF">
        <w:rPr>
          <w:rFonts w:ascii="Arial" w:hAnsi="Arial" w:cs="Arial"/>
          <w:sz w:val="22"/>
          <w:szCs w:val="22"/>
        </w:rPr>
        <w:t xml:space="preserve">Which risks affect investors’ willingness to fund UK wave energy start-ups? </w:t>
      </w:r>
    </w:p>
    <w:p w14:paraId="2F4CADBA" w14:textId="77777777" w:rsidR="00FB3CCF" w:rsidRPr="00FB3CCF" w:rsidRDefault="00FB3CCF" w:rsidP="00FB3CCF">
      <w:pPr>
        <w:pStyle w:val="ListParagraph"/>
        <w:numPr>
          <w:ilvl w:val="0"/>
          <w:numId w:val="4"/>
        </w:numPr>
        <w:spacing w:after="0" w:line="276" w:lineRule="auto"/>
        <w:jc w:val="both"/>
        <w:rPr>
          <w:rFonts w:ascii="Arial" w:hAnsi="Arial" w:cs="Arial"/>
          <w:sz w:val="22"/>
          <w:szCs w:val="22"/>
        </w:rPr>
      </w:pPr>
      <w:r w:rsidRPr="00FB3CCF">
        <w:rPr>
          <w:rFonts w:ascii="Arial" w:hAnsi="Arial" w:cs="Arial"/>
          <w:sz w:val="22"/>
          <w:szCs w:val="22"/>
        </w:rPr>
        <w:t>Which market instruments can improve early-stage bankability and preserve innovation incentives?</w:t>
      </w:r>
    </w:p>
    <w:p w14:paraId="2BB17FAE" w14:textId="77777777" w:rsidR="00FB3CCF" w:rsidRPr="00FB3CCF" w:rsidRDefault="00FB3CCF" w:rsidP="00FB3CCF">
      <w:pPr>
        <w:pStyle w:val="ListParagraph"/>
        <w:numPr>
          <w:ilvl w:val="0"/>
          <w:numId w:val="4"/>
        </w:numPr>
        <w:spacing w:after="0" w:line="276" w:lineRule="auto"/>
        <w:jc w:val="both"/>
        <w:rPr>
          <w:rFonts w:ascii="Arial" w:hAnsi="Arial" w:cs="Arial"/>
          <w:sz w:val="22"/>
          <w:szCs w:val="22"/>
        </w:rPr>
      </w:pPr>
      <w:r w:rsidRPr="00FB3CCF">
        <w:rPr>
          <w:rFonts w:ascii="Arial" w:hAnsi="Arial" w:cs="Arial"/>
          <w:sz w:val="22"/>
          <w:szCs w:val="22"/>
        </w:rPr>
        <w:t xml:space="preserve">How do the business models of wave energy start-ups influence market perceptions of bankability? </w:t>
      </w:r>
    </w:p>
    <w:p w14:paraId="537BF826" w14:textId="77777777" w:rsidR="00FB3CCF" w:rsidRPr="00FB3CCF" w:rsidRDefault="00FB3CCF" w:rsidP="00FB3CCF">
      <w:pPr>
        <w:pStyle w:val="ListParagraph"/>
        <w:numPr>
          <w:ilvl w:val="0"/>
          <w:numId w:val="4"/>
        </w:numPr>
        <w:spacing w:after="0" w:line="276" w:lineRule="auto"/>
        <w:jc w:val="both"/>
        <w:rPr>
          <w:rFonts w:ascii="Arial" w:hAnsi="Arial" w:cs="Arial"/>
          <w:sz w:val="22"/>
          <w:szCs w:val="22"/>
        </w:rPr>
      </w:pPr>
      <w:r w:rsidRPr="00FB3CCF">
        <w:rPr>
          <w:rFonts w:ascii="Arial" w:hAnsi="Arial" w:cs="Arial"/>
          <w:sz w:val="22"/>
          <w:szCs w:val="22"/>
        </w:rPr>
        <w:t>Which strategic measures could enhance the bankability of start-up businesses in the UK wave energy industry?</w:t>
      </w:r>
    </w:p>
    <w:p w14:paraId="55EB9DA6" w14:textId="77777777" w:rsidR="00FB3CCF" w:rsidRPr="00FB3CCF" w:rsidRDefault="00FB3CCF" w:rsidP="00FB3CCF">
      <w:pPr>
        <w:pStyle w:val="ListParagraph"/>
        <w:spacing w:after="0" w:line="276" w:lineRule="auto"/>
        <w:ind w:left="397"/>
        <w:jc w:val="both"/>
        <w:rPr>
          <w:rFonts w:ascii="Arial" w:hAnsi="Arial" w:cs="Arial"/>
          <w:sz w:val="22"/>
          <w:szCs w:val="22"/>
        </w:rPr>
      </w:pPr>
    </w:p>
    <w:p w14:paraId="4B0BCCF5"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3.8 Theoretical contribution and managerial implications</w:t>
      </w:r>
    </w:p>
    <w:p w14:paraId="1EC2C32D"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likely DBA contribution of this study lies in integration. The literature already offers important but separate explanations grounded in investor logic, policy credibility, innovation systems, techno economic uncertainty, and governance. The contribution of the present study would be to bring these strands together through a stage sensitive concept of bankability focused on the startup venture.</w:t>
      </w:r>
    </w:p>
    <w:p w14:paraId="30C6459A"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This study offers three forms of contribution.</w:t>
      </w:r>
    </w:p>
    <w:p w14:paraId="4168FDE3"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Conceptual contribution through a clearer definition of bankability for emerging wave energy ventures.</w:t>
      </w:r>
    </w:p>
    <w:p w14:paraId="73E0B83E"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Analytical contribution through linking startup finance, investor confidence, innovation systems, and techno economic readiness in one explanatory framework.</w:t>
      </w:r>
    </w:p>
    <w:p w14:paraId="0F090701"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lastRenderedPageBreak/>
        <w:t>Applied contribution through identifying which conditions most need to change if startups are to become more financeable in the UK wave ecosystem.</w:t>
      </w:r>
    </w:p>
    <w:p w14:paraId="685E7B2A" w14:textId="77777777" w:rsidR="00FB3CCF" w:rsidRPr="00FB3CCF" w:rsidRDefault="00FB3CCF" w:rsidP="00FB3CCF">
      <w:pPr>
        <w:spacing w:after="0" w:line="276" w:lineRule="auto"/>
        <w:jc w:val="both"/>
        <w:rPr>
          <w:rFonts w:ascii="Arial" w:hAnsi="Arial" w:cs="Arial"/>
          <w:sz w:val="22"/>
          <w:szCs w:val="22"/>
        </w:rPr>
      </w:pPr>
      <w:r w:rsidRPr="00FB3CCF">
        <w:rPr>
          <w:rFonts w:ascii="Arial" w:hAnsi="Arial" w:cs="Arial"/>
          <w:sz w:val="22"/>
          <w:szCs w:val="22"/>
        </w:rPr>
        <w:t>The managerial implications follow from the literature even before primary data are collected. For startup firms, the evidence suggests that financing strategy cannot be separated from evidence strategy. Ventures need to think not only about technical progress but about what type of evidence different capital providers regard as credible at different stages. For investors and public funders, the literature suggests that judging wave ventures by inappropriate maturity templates may systematically underfund potentially valuable innovation. For policy and support bodies, the implication is that support should not merely increase expenditure, but improve sequencing, reduce avoidable uncertainty, and strengthen the mechanisms through which technical learning becomes bankable.</w:t>
      </w:r>
    </w:p>
    <w:p w14:paraId="0BA7F73E" w14:textId="77777777" w:rsidR="00FB3CCF" w:rsidRPr="00FB3CCF" w:rsidRDefault="00FB3CCF" w:rsidP="00FB3CCF">
      <w:pPr>
        <w:spacing w:after="0" w:line="276" w:lineRule="auto"/>
        <w:jc w:val="both"/>
        <w:rPr>
          <w:rFonts w:ascii="Arial" w:hAnsi="Arial" w:cs="Arial"/>
          <w:sz w:val="22"/>
          <w:szCs w:val="22"/>
        </w:rPr>
      </w:pPr>
    </w:p>
    <w:p w14:paraId="45C4B81A" w14:textId="77777777" w:rsidR="00FB3CCF" w:rsidRPr="00FB3CCF" w:rsidRDefault="00FB3CCF" w:rsidP="00FB3CCF">
      <w:pPr>
        <w:spacing w:after="0" w:line="276" w:lineRule="auto"/>
        <w:jc w:val="both"/>
        <w:rPr>
          <w:rFonts w:ascii="Arial" w:hAnsi="Arial" w:cs="Arial"/>
          <w:b/>
          <w:bCs/>
          <w:sz w:val="22"/>
          <w:szCs w:val="22"/>
        </w:rPr>
      </w:pPr>
      <w:r w:rsidRPr="00FB3CCF">
        <w:rPr>
          <w:rFonts w:ascii="Arial" w:hAnsi="Arial" w:cs="Arial"/>
          <w:b/>
          <w:bCs/>
          <w:sz w:val="22"/>
          <w:szCs w:val="22"/>
        </w:rPr>
        <w:t>3.9 Conclusion</w:t>
      </w:r>
    </w:p>
    <w:p w14:paraId="26D7883A" w14:textId="77777777" w:rsidR="00FB3CCF" w:rsidRPr="00FB3CCF" w:rsidRDefault="00FB3CCF" w:rsidP="00FB3CCF">
      <w:pPr>
        <w:jc w:val="both"/>
      </w:pPr>
      <w:r w:rsidRPr="00FB3CCF">
        <w:t>This review demonstrates that the financing challenges experienced by wave energy start-up businesses in the United Kingdom cannot be solely attributed to capital scarcity. The literature strongly suggests that ventures continue to struggle to secure financing because the conditions required for bankability are not sufficiently aligned. For example, establishing technical credibility is time-consuming and costly; policy support has often facilitated activity without ensuring long-term market development; ecosystem coordination has often been fragmented; and governance burdens have created additional costs and less-visible liabilities. Consequently, the available finance for start-ups has frequently been inadequately matched to the sector's risk profile and stage of development.</w:t>
      </w:r>
    </w:p>
    <w:p w14:paraId="3591D730" w14:textId="77777777" w:rsidR="00FB3CCF" w:rsidRPr="00FB3CCF" w:rsidRDefault="00FB3CCF" w:rsidP="00FB3CCF">
      <w:pPr>
        <w:jc w:val="both"/>
      </w:pPr>
      <w:r w:rsidRPr="00FB3CCF">
        <w:t xml:space="preserve">Consequently, the literature is </w:t>
      </w:r>
      <w:proofErr w:type="gramStart"/>
      <w:r w:rsidRPr="00FB3CCF">
        <w:t>effective  to</w:t>
      </w:r>
      <w:proofErr w:type="gramEnd"/>
      <w:r w:rsidRPr="00FB3CCF">
        <w:t xml:space="preserve"> make as a set of partial explanations of a wider bankability problem, but it lacks a collection of distinct debates regarding finance, policy, technology, or regulation. The research opportunity is not simply to reaffirm that wave energy is underfunded; rather, it is to explain how technical, financial, institutional, and regulatory factors interact to determine whether UK wave energy enterprises are viable. This, in turn, shows the necessity of a detailed and stage-sensitive understanding of bankability within the sector.</w:t>
      </w:r>
    </w:p>
    <w:p w14:paraId="36F9162B" w14:textId="77777777" w:rsidR="00FB3CCF" w:rsidRPr="00FB3CCF" w:rsidRDefault="00FB3CCF" w:rsidP="00FB3CCF">
      <w:pPr>
        <w:autoSpaceDE w:val="0"/>
        <w:autoSpaceDN w:val="0"/>
        <w:adjustRightInd w:val="0"/>
        <w:spacing w:after="230" w:line="240" w:lineRule="auto"/>
      </w:pPr>
    </w:p>
    <w:p w14:paraId="0B25B447" w14:textId="77777777" w:rsidR="00FB3CCF" w:rsidRPr="00FB3CCF" w:rsidRDefault="00FB3CCF" w:rsidP="00FB3CCF">
      <w:pPr>
        <w:autoSpaceDE w:val="0"/>
        <w:autoSpaceDN w:val="0"/>
        <w:adjustRightInd w:val="0"/>
        <w:spacing w:after="230" w:line="240" w:lineRule="auto"/>
      </w:pPr>
    </w:p>
    <w:p w14:paraId="49B851BC" w14:textId="77777777" w:rsidR="00FB3CCF" w:rsidRPr="00FB3CCF" w:rsidRDefault="00FB3CCF" w:rsidP="00FB3CCF">
      <w:pPr>
        <w:autoSpaceDE w:val="0"/>
        <w:autoSpaceDN w:val="0"/>
        <w:adjustRightInd w:val="0"/>
        <w:spacing w:after="230" w:line="240" w:lineRule="auto"/>
      </w:pPr>
    </w:p>
    <w:p w14:paraId="71F7D330" w14:textId="77777777" w:rsidR="00FB3CCF" w:rsidRPr="00FB3CCF" w:rsidRDefault="00FB3CCF" w:rsidP="00FB3CCF">
      <w:pPr>
        <w:autoSpaceDE w:val="0"/>
        <w:autoSpaceDN w:val="0"/>
        <w:adjustRightInd w:val="0"/>
        <w:spacing w:after="230" w:line="240" w:lineRule="auto"/>
      </w:pPr>
    </w:p>
    <w:p w14:paraId="509877B0" w14:textId="77777777" w:rsidR="00FB3CCF" w:rsidRPr="00FB3CCF" w:rsidRDefault="00FB3CCF" w:rsidP="00FB3CCF">
      <w:pPr>
        <w:autoSpaceDE w:val="0"/>
        <w:autoSpaceDN w:val="0"/>
        <w:adjustRightInd w:val="0"/>
        <w:spacing w:after="230" w:line="240" w:lineRule="auto"/>
      </w:pPr>
    </w:p>
    <w:p w14:paraId="6D900F85" w14:textId="77777777" w:rsidR="00FB3CCF" w:rsidRPr="00FB3CCF" w:rsidRDefault="00FB3CCF" w:rsidP="00FB3CCF">
      <w:pPr>
        <w:autoSpaceDE w:val="0"/>
        <w:autoSpaceDN w:val="0"/>
        <w:adjustRightInd w:val="0"/>
        <w:spacing w:after="230" w:line="240" w:lineRule="auto"/>
      </w:pPr>
    </w:p>
    <w:p w14:paraId="69CB31CF" w14:textId="77777777" w:rsidR="00FB3CCF" w:rsidRPr="00FB3CCF" w:rsidRDefault="00FB3CCF" w:rsidP="00FB3CCF">
      <w:pPr>
        <w:autoSpaceDE w:val="0"/>
        <w:autoSpaceDN w:val="0"/>
        <w:adjustRightInd w:val="0"/>
        <w:spacing w:after="230" w:line="240" w:lineRule="auto"/>
      </w:pPr>
    </w:p>
    <w:p w14:paraId="0F59D533" w14:textId="77777777" w:rsidR="00FB3CCF" w:rsidRPr="00FB3CCF" w:rsidRDefault="00FB3CCF" w:rsidP="00FB3CCF">
      <w:pPr>
        <w:autoSpaceDE w:val="0"/>
        <w:autoSpaceDN w:val="0"/>
        <w:adjustRightInd w:val="0"/>
        <w:spacing w:after="230" w:line="240" w:lineRule="auto"/>
      </w:pPr>
    </w:p>
    <w:p w14:paraId="6910CB9E" w14:textId="77777777" w:rsidR="00FB3CCF" w:rsidRPr="00FB3CCF" w:rsidRDefault="00FB3CCF" w:rsidP="00FB3CCF">
      <w:pPr>
        <w:rPr>
          <w:rFonts w:ascii="Arial" w:hAnsi="Arial" w:cs="Arial"/>
          <w:b/>
          <w:bCs/>
          <w:sz w:val="22"/>
          <w:szCs w:val="22"/>
        </w:rPr>
      </w:pPr>
      <w:r w:rsidRPr="00FB3CCF">
        <w:rPr>
          <w:rFonts w:ascii="Arial" w:hAnsi="Arial" w:cs="Arial"/>
          <w:b/>
          <w:bCs/>
          <w:sz w:val="22"/>
          <w:szCs w:val="22"/>
        </w:rPr>
        <w:lastRenderedPageBreak/>
        <w:t>REFERENCE LIST</w:t>
      </w:r>
    </w:p>
    <w:p w14:paraId="44605214" w14:textId="77777777" w:rsidR="00FB3CCF" w:rsidRPr="00FB3CCF" w:rsidRDefault="00FB3CCF" w:rsidP="00FB3CCF">
      <w:pPr>
        <w:rPr>
          <w:rFonts w:ascii="Arial" w:hAnsi="Arial" w:cs="Arial"/>
          <w:sz w:val="22"/>
          <w:szCs w:val="22"/>
        </w:rPr>
      </w:pPr>
      <w:r w:rsidRPr="00FB3CCF">
        <w:rPr>
          <w:rFonts w:ascii="Arial" w:hAnsi="Arial" w:cs="Arial"/>
          <w:sz w:val="22"/>
          <w:szCs w:val="22"/>
        </w:rPr>
        <w:t>Al-Saleh, Y. (2010) ‘Systems of innovations as a conceptual framework for studying the emergence of national renewable energy industries’, World Journal of Science, Technology and Sustainable Development, pp. 309–334.</w:t>
      </w:r>
    </w:p>
    <w:p w14:paraId="3E398F66" w14:textId="77777777" w:rsidR="00FB3CCF" w:rsidRPr="00FB3CCF" w:rsidRDefault="00FB3CCF" w:rsidP="00FB3CCF">
      <w:pPr>
        <w:rPr>
          <w:rFonts w:ascii="Arial" w:hAnsi="Arial" w:cs="Arial"/>
          <w:sz w:val="22"/>
          <w:szCs w:val="22"/>
        </w:rPr>
      </w:pPr>
      <w:r w:rsidRPr="00FB3CCF">
        <w:rPr>
          <w:rFonts w:ascii="Arial" w:hAnsi="Arial" w:cs="Arial"/>
          <w:sz w:val="22"/>
          <w:szCs w:val="22"/>
        </w:rPr>
        <w:t>Allan, G. et al. (2011) ‘</w:t>
      </w:r>
      <w:proofErr w:type="spellStart"/>
      <w:r w:rsidRPr="00FB3CCF">
        <w:rPr>
          <w:rFonts w:ascii="Arial" w:hAnsi="Arial" w:cs="Arial"/>
          <w:sz w:val="22"/>
          <w:szCs w:val="22"/>
        </w:rPr>
        <w:t>Levelised</w:t>
      </w:r>
      <w:proofErr w:type="spellEnd"/>
      <w:r w:rsidRPr="00FB3CCF">
        <w:rPr>
          <w:rFonts w:ascii="Arial" w:hAnsi="Arial" w:cs="Arial"/>
          <w:sz w:val="22"/>
          <w:szCs w:val="22"/>
        </w:rPr>
        <w:t xml:space="preserve"> costs of wave and tidal energy in the UK: Cost competitiveness and the importance of “banded” Renewables Obligation Certificates’, Energy Policy, 39(1), pp. 23–39.</w:t>
      </w:r>
    </w:p>
    <w:p w14:paraId="413F167E"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Allan, G., McGregor, P. and Swales, J. (2009) ‘The impact of banded ROCs on the </w:t>
      </w:r>
      <w:proofErr w:type="spellStart"/>
      <w:r w:rsidRPr="00FB3CCF">
        <w:rPr>
          <w:rFonts w:ascii="Arial" w:hAnsi="Arial" w:cs="Arial"/>
          <w:sz w:val="22"/>
          <w:szCs w:val="22"/>
        </w:rPr>
        <w:t>levelised</w:t>
      </w:r>
      <w:proofErr w:type="spellEnd"/>
      <w:r w:rsidRPr="00FB3CCF">
        <w:rPr>
          <w:rFonts w:ascii="Arial" w:hAnsi="Arial" w:cs="Arial"/>
          <w:sz w:val="22"/>
          <w:szCs w:val="22"/>
        </w:rPr>
        <w:t xml:space="preserve"> costs of wave and tidal energy’.</w:t>
      </w:r>
    </w:p>
    <w:p w14:paraId="2C4EC2D5" w14:textId="77777777" w:rsidR="00FB3CCF" w:rsidRPr="00FB3CCF" w:rsidRDefault="00FB3CCF" w:rsidP="00FB3CCF">
      <w:pPr>
        <w:rPr>
          <w:rFonts w:ascii="Arial" w:hAnsi="Arial" w:cs="Arial"/>
          <w:sz w:val="22"/>
          <w:szCs w:val="22"/>
        </w:rPr>
      </w:pPr>
      <w:r w:rsidRPr="00FB3CCF">
        <w:rPr>
          <w:rFonts w:ascii="Arial" w:hAnsi="Arial" w:cs="Arial"/>
          <w:sz w:val="22"/>
          <w:szCs w:val="22"/>
        </w:rPr>
        <w:t>Andres, A.D. et al. (2017) ‘Beyond LCOE: A study of ocean energy technology development and deployment attractiveness’, Sustainable Energy Technologies and Assessments, pp. 1–16.</w:t>
      </w:r>
    </w:p>
    <w:p w14:paraId="64951DCC" w14:textId="77777777" w:rsidR="00FB3CCF" w:rsidRPr="00FB3CCF" w:rsidRDefault="00FB3CCF" w:rsidP="00FB3CCF">
      <w:pPr>
        <w:rPr>
          <w:rFonts w:ascii="Arial" w:hAnsi="Arial" w:cs="Arial"/>
          <w:sz w:val="22"/>
          <w:szCs w:val="22"/>
        </w:rPr>
      </w:pPr>
      <w:r w:rsidRPr="00FB3CCF">
        <w:rPr>
          <w:rFonts w:ascii="Arial" w:hAnsi="Arial" w:cs="Arial"/>
          <w:sz w:val="22"/>
          <w:szCs w:val="22"/>
        </w:rPr>
        <w:t>Andres, A.D. et al. (2017) ‘On the reversed LCOE calculation: Design constraints for wave energy commercialization’, International Journal of Marine Energy, pp. 88–108.</w:t>
      </w:r>
    </w:p>
    <w:p w14:paraId="47A512B2"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Astariz</w:t>
      </w:r>
      <w:proofErr w:type="spellEnd"/>
      <w:r w:rsidRPr="00FB3CCF">
        <w:rPr>
          <w:rFonts w:ascii="Arial" w:hAnsi="Arial" w:cs="Arial"/>
          <w:sz w:val="22"/>
          <w:szCs w:val="22"/>
        </w:rPr>
        <w:t>, S. and Iglesias, G. (2015) ‘The economics of wave energy: A review’, Renewable &amp; Sustainable Energy Reviews, pp. 397–408.</w:t>
      </w:r>
    </w:p>
    <w:p w14:paraId="22CB0C9C"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Astariz</w:t>
      </w:r>
      <w:proofErr w:type="spellEnd"/>
      <w:r w:rsidRPr="00FB3CCF">
        <w:rPr>
          <w:rFonts w:ascii="Arial" w:hAnsi="Arial" w:cs="Arial"/>
          <w:sz w:val="22"/>
          <w:szCs w:val="22"/>
        </w:rPr>
        <w:t>, S. and Iglesias, G. (2016) ‘Wave energy vs. other energy sources: A reassessment of the economics’, International Journal of Green Energy, pp. 747–755.</w:t>
      </w:r>
    </w:p>
    <w:p w14:paraId="62AF7D42" w14:textId="77777777" w:rsidR="00FB3CCF" w:rsidRPr="00FB3CCF" w:rsidRDefault="00FB3CCF" w:rsidP="00FB3CCF">
      <w:pPr>
        <w:rPr>
          <w:rFonts w:ascii="Arial" w:hAnsi="Arial" w:cs="Arial"/>
          <w:sz w:val="22"/>
          <w:szCs w:val="22"/>
        </w:rPr>
      </w:pPr>
      <w:r w:rsidRPr="00FB3CCF">
        <w:rPr>
          <w:rFonts w:ascii="Arial" w:hAnsi="Arial" w:cs="Arial"/>
          <w:sz w:val="22"/>
          <w:szCs w:val="22"/>
        </w:rPr>
        <w:t>Bertram, D. et al. (2020) ‘A systematic approach for selecting suitable wave energy converters for potential wave energy farm sites’, Renewable &amp; Sustainable Energy Reviews, p. 110011.</w:t>
      </w:r>
    </w:p>
    <w:p w14:paraId="01653CD9" w14:textId="77777777" w:rsidR="00FB3CCF" w:rsidRPr="00FB3CCF" w:rsidRDefault="00FB3CCF" w:rsidP="00FB3CCF">
      <w:pPr>
        <w:rPr>
          <w:rFonts w:ascii="Arial" w:hAnsi="Arial" w:cs="Arial"/>
          <w:sz w:val="22"/>
          <w:szCs w:val="22"/>
        </w:rPr>
      </w:pPr>
      <w:r w:rsidRPr="00FB3CCF">
        <w:rPr>
          <w:rFonts w:ascii="Arial" w:hAnsi="Arial" w:cs="Arial"/>
          <w:sz w:val="22"/>
          <w:szCs w:val="22"/>
        </w:rPr>
        <w:t>Boote, D.N. and Beile, P. (2005) ‘Scholars before researchers: On the centrality of the dissertation literature review in research preparation’, Educational Researcher, 34(6), pp. 3–15.</w:t>
      </w:r>
    </w:p>
    <w:p w14:paraId="23DC0B94" w14:textId="77777777" w:rsidR="00FB3CCF" w:rsidRPr="00FB3CCF" w:rsidRDefault="00FB3CCF" w:rsidP="00FB3CCF">
      <w:pPr>
        <w:rPr>
          <w:rFonts w:ascii="Arial" w:hAnsi="Arial" w:cs="Arial"/>
          <w:sz w:val="22"/>
          <w:szCs w:val="22"/>
        </w:rPr>
      </w:pPr>
      <w:r w:rsidRPr="00FB3CCF">
        <w:rPr>
          <w:rFonts w:ascii="Arial" w:hAnsi="Arial" w:cs="Arial"/>
          <w:sz w:val="22"/>
          <w:szCs w:val="22"/>
        </w:rPr>
        <w:t>Bucher, R. and Bryden, I. (2016) ‘Overcoming the marine energy pre-profit phase: What classifies the game-changing “array-scale success”?’, International Journal of Marine Energy, 14, pp. 180–192.</w:t>
      </w:r>
    </w:p>
    <w:p w14:paraId="4BB4EFD4" w14:textId="77777777" w:rsidR="00FB3CCF" w:rsidRPr="00FB3CCF" w:rsidRDefault="00FB3CCF" w:rsidP="00FB3CCF">
      <w:pPr>
        <w:rPr>
          <w:rFonts w:ascii="Arial" w:hAnsi="Arial" w:cs="Arial"/>
          <w:sz w:val="22"/>
          <w:szCs w:val="22"/>
        </w:rPr>
      </w:pPr>
      <w:r w:rsidRPr="00FB3CCF">
        <w:rPr>
          <w:rFonts w:ascii="Arial" w:hAnsi="Arial" w:cs="Arial"/>
          <w:sz w:val="22"/>
          <w:szCs w:val="22"/>
        </w:rPr>
        <w:t>Bucher, R., Jeffrey, H., Bryden, I. and Harrison, G. (2016) ‘Creation of investor confidence: The top-level drivers for reaching maturity in marine energy’, Renewable Energy, 88, pp. 120–129.</w:t>
      </w:r>
    </w:p>
    <w:p w14:paraId="77616CCB" w14:textId="77777777" w:rsidR="00FB3CCF" w:rsidRPr="00FB3CCF" w:rsidRDefault="00FB3CCF" w:rsidP="00FB3CCF">
      <w:pPr>
        <w:rPr>
          <w:rFonts w:ascii="Arial" w:hAnsi="Arial" w:cs="Arial"/>
          <w:sz w:val="22"/>
          <w:szCs w:val="22"/>
        </w:rPr>
      </w:pPr>
      <w:r w:rsidRPr="00FB3CCF">
        <w:rPr>
          <w:rFonts w:ascii="Arial" w:hAnsi="Arial" w:cs="Arial"/>
          <w:sz w:val="22"/>
          <w:szCs w:val="22"/>
        </w:rPr>
        <w:t>Bunn, D. and Yusupov, T. (2015) ‘The progressive inefficiency of replacing renewable obligation certificates with contracts-for-differences in the UK electricity market’, Energy Policy, 82, pp. 298–309.</w:t>
      </w:r>
    </w:p>
    <w:p w14:paraId="6F97A8FF"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Bürer</w:t>
      </w:r>
      <w:proofErr w:type="spellEnd"/>
      <w:r w:rsidRPr="00FB3CCF">
        <w:rPr>
          <w:rFonts w:ascii="Arial" w:hAnsi="Arial" w:cs="Arial"/>
          <w:sz w:val="22"/>
          <w:szCs w:val="22"/>
        </w:rPr>
        <w:t xml:space="preserve">, M.J. and </w:t>
      </w:r>
      <w:proofErr w:type="spellStart"/>
      <w:r w:rsidRPr="00FB3CCF">
        <w:rPr>
          <w:rFonts w:ascii="Arial" w:hAnsi="Arial" w:cs="Arial"/>
          <w:sz w:val="22"/>
          <w:szCs w:val="22"/>
        </w:rPr>
        <w:t>Wüstenhagen</w:t>
      </w:r>
      <w:proofErr w:type="spellEnd"/>
      <w:r w:rsidRPr="00FB3CCF">
        <w:rPr>
          <w:rFonts w:ascii="Arial" w:hAnsi="Arial" w:cs="Arial"/>
          <w:sz w:val="22"/>
          <w:szCs w:val="22"/>
        </w:rPr>
        <w:t xml:space="preserve">, R. (2008) ‘Cleantech venture investors and energy policy risk: An exploratory analysis of regulatory risk management </w:t>
      </w:r>
      <w:proofErr w:type="gramStart"/>
      <w:r w:rsidRPr="00FB3CCF">
        <w:rPr>
          <w:rFonts w:ascii="Arial" w:hAnsi="Arial" w:cs="Arial"/>
          <w:sz w:val="22"/>
          <w:szCs w:val="22"/>
        </w:rPr>
        <w:t>strategies’</w:t>
      </w:r>
      <w:proofErr w:type="gramEnd"/>
      <w:r w:rsidRPr="00FB3CCF">
        <w:rPr>
          <w:rFonts w:ascii="Arial" w:hAnsi="Arial" w:cs="Arial"/>
          <w:sz w:val="22"/>
          <w:szCs w:val="22"/>
        </w:rPr>
        <w:t>.</w:t>
      </w:r>
    </w:p>
    <w:p w14:paraId="283B2537"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Bürer</w:t>
      </w:r>
      <w:proofErr w:type="spellEnd"/>
      <w:r w:rsidRPr="00FB3CCF">
        <w:rPr>
          <w:rFonts w:ascii="Arial" w:hAnsi="Arial" w:cs="Arial"/>
          <w:sz w:val="22"/>
          <w:szCs w:val="22"/>
        </w:rPr>
        <w:t xml:space="preserve">, M.J. and </w:t>
      </w:r>
      <w:proofErr w:type="spellStart"/>
      <w:r w:rsidRPr="00FB3CCF">
        <w:rPr>
          <w:rFonts w:ascii="Arial" w:hAnsi="Arial" w:cs="Arial"/>
          <w:sz w:val="22"/>
          <w:szCs w:val="22"/>
        </w:rPr>
        <w:t>Wüstenhagen</w:t>
      </w:r>
      <w:proofErr w:type="spellEnd"/>
      <w:r w:rsidRPr="00FB3CCF">
        <w:rPr>
          <w:rFonts w:ascii="Arial" w:hAnsi="Arial" w:cs="Arial"/>
          <w:sz w:val="22"/>
          <w:szCs w:val="22"/>
        </w:rPr>
        <w:t>, R. (2009) ‘Which renewable energy policy is a venture capitalist’s best friend? Empirical evidence from a survey of international cleantech investors’, Energy Policy, 37, pp. 4997–5006.</w:t>
      </w:r>
    </w:p>
    <w:p w14:paraId="000F7C16" w14:textId="77777777" w:rsidR="00FB3CCF" w:rsidRPr="00FB3CCF" w:rsidRDefault="00FB3CCF" w:rsidP="00FB3CCF">
      <w:pPr>
        <w:rPr>
          <w:rFonts w:ascii="Arial" w:hAnsi="Arial" w:cs="Arial"/>
          <w:sz w:val="22"/>
          <w:szCs w:val="22"/>
        </w:rPr>
      </w:pPr>
      <w:r w:rsidRPr="00FB3CCF">
        <w:rPr>
          <w:rFonts w:ascii="Arial" w:hAnsi="Arial" w:cs="Arial"/>
          <w:sz w:val="22"/>
          <w:szCs w:val="22"/>
        </w:rPr>
        <w:lastRenderedPageBreak/>
        <w:t>Caine, C. (2019) ‘The race to the water for offshore renewable energy: Assessing cumulative and in-combination impacts for offshore renewable energy developments’, Journal of Environmental Law.</w:t>
      </w:r>
    </w:p>
    <w:p w14:paraId="6D1807F2" w14:textId="77777777" w:rsidR="00FB3CCF" w:rsidRPr="00FB3CCF" w:rsidRDefault="00FB3CCF" w:rsidP="00FB3CCF">
      <w:pPr>
        <w:rPr>
          <w:rFonts w:ascii="Arial" w:hAnsi="Arial" w:cs="Arial"/>
          <w:sz w:val="22"/>
          <w:szCs w:val="22"/>
        </w:rPr>
      </w:pPr>
      <w:r w:rsidRPr="00FB3CCF">
        <w:rPr>
          <w:rFonts w:ascii="Arial" w:hAnsi="Arial" w:cs="Arial"/>
          <w:sz w:val="22"/>
          <w:szCs w:val="22"/>
        </w:rPr>
        <w:t>Connor, P. (2012) ‘The UK Renewables Obligation’, pp. 176–203.</w:t>
      </w:r>
    </w:p>
    <w:p w14:paraId="4DF5B258"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Corsatea</w:t>
      </w:r>
      <w:proofErr w:type="spellEnd"/>
      <w:r w:rsidRPr="00FB3CCF">
        <w:rPr>
          <w:rFonts w:ascii="Arial" w:hAnsi="Arial" w:cs="Arial"/>
          <w:sz w:val="22"/>
          <w:szCs w:val="22"/>
        </w:rPr>
        <w:t>, T. (2014) ‘Increasing synergies between institutions and technology developers: Lessons from marine energy’, Energy Policy, 70, pp. 682–696.</w:t>
      </w:r>
    </w:p>
    <w:p w14:paraId="65C7C2F1" w14:textId="77777777" w:rsidR="00FB3CCF" w:rsidRPr="00FB3CCF" w:rsidRDefault="00FB3CCF" w:rsidP="00FB3CCF">
      <w:pPr>
        <w:rPr>
          <w:rFonts w:ascii="Arial" w:hAnsi="Arial" w:cs="Arial"/>
          <w:sz w:val="22"/>
          <w:szCs w:val="22"/>
        </w:rPr>
      </w:pPr>
      <w:r w:rsidRPr="00FB3CCF">
        <w:rPr>
          <w:rFonts w:ascii="Arial" w:hAnsi="Arial" w:cs="Arial"/>
          <w:sz w:val="22"/>
          <w:szCs w:val="22"/>
        </w:rPr>
        <w:t>Cowling, M. and Liu, W. (2021) ‘Access to finance for cleantech innovation and investment: Evidence from U.K. small- and medium-sized enterprises’, IEEE Transactions on Engineering Management, pp. 1–16.</w:t>
      </w:r>
    </w:p>
    <w:p w14:paraId="3B8E83BF" w14:textId="77777777" w:rsidR="00FB3CCF" w:rsidRPr="00FB3CCF" w:rsidRDefault="00FB3CCF" w:rsidP="00FB3CCF">
      <w:pPr>
        <w:rPr>
          <w:rFonts w:ascii="Arial" w:hAnsi="Arial" w:cs="Arial"/>
          <w:sz w:val="22"/>
          <w:szCs w:val="22"/>
        </w:rPr>
      </w:pPr>
      <w:r w:rsidRPr="00FB3CCF">
        <w:rPr>
          <w:rFonts w:ascii="Arial" w:hAnsi="Arial" w:cs="Arial"/>
          <w:sz w:val="22"/>
          <w:szCs w:val="22"/>
        </w:rPr>
        <w:t>Dewald, U. and Truffer, B. (2017) ‘Market formation and innovation systems’, pp. 610–624.</w:t>
      </w:r>
    </w:p>
    <w:p w14:paraId="65611B50"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Dinica</w:t>
      </w:r>
      <w:proofErr w:type="spellEnd"/>
      <w:r w:rsidRPr="00FB3CCF">
        <w:rPr>
          <w:rFonts w:ascii="Arial" w:hAnsi="Arial" w:cs="Arial"/>
          <w:sz w:val="22"/>
          <w:szCs w:val="22"/>
        </w:rPr>
        <w:t>, V. (2006) ‘Support systems for the diffusion of renewable energy technologies—an investor perspective’, Energy Policy, 34, pp. 461–480.</w:t>
      </w:r>
    </w:p>
    <w:p w14:paraId="5961BF9A" w14:textId="77777777" w:rsidR="00FB3CCF" w:rsidRPr="00FB3CCF" w:rsidRDefault="00FB3CCF" w:rsidP="00FB3CCF">
      <w:pPr>
        <w:rPr>
          <w:rFonts w:ascii="Arial" w:hAnsi="Arial" w:cs="Arial"/>
          <w:sz w:val="22"/>
          <w:szCs w:val="22"/>
        </w:rPr>
      </w:pPr>
      <w:r w:rsidRPr="00FB3CCF">
        <w:rPr>
          <w:rFonts w:ascii="Arial" w:hAnsi="Arial" w:cs="Arial"/>
          <w:sz w:val="22"/>
          <w:szCs w:val="22"/>
        </w:rPr>
        <w:t>Egli, F. (2020) ‘Renewable energy investment risk: An investigation of changes over time and the underlying drivers’, Energy Policy, 140, 111428. (scribd.com)</w:t>
      </w:r>
    </w:p>
    <w:p w14:paraId="1600543C"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Ericsson, E. and </w:t>
      </w:r>
      <w:proofErr w:type="spellStart"/>
      <w:r w:rsidRPr="00FB3CCF">
        <w:rPr>
          <w:rFonts w:ascii="Arial" w:hAnsi="Arial" w:cs="Arial"/>
          <w:sz w:val="22"/>
          <w:szCs w:val="22"/>
        </w:rPr>
        <w:t>Gregorson</w:t>
      </w:r>
      <w:proofErr w:type="spellEnd"/>
      <w:r w:rsidRPr="00FB3CCF">
        <w:rPr>
          <w:rFonts w:ascii="Arial" w:hAnsi="Arial" w:cs="Arial"/>
          <w:sz w:val="22"/>
          <w:szCs w:val="22"/>
        </w:rPr>
        <w:t>, E. (2018) ‘Quantitative Risk Assessment of Wave Energy Technology’.</w:t>
      </w:r>
    </w:p>
    <w:p w14:paraId="25AC3ABF" w14:textId="77777777" w:rsidR="00FB3CCF" w:rsidRPr="00FB3CCF" w:rsidRDefault="00FB3CCF" w:rsidP="00FB3CCF">
      <w:pPr>
        <w:rPr>
          <w:rFonts w:ascii="Arial" w:hAnsi="Arial" w:cs="Arial"/>
          <w:sz w:val="22"/>
          <w:szCs w:val="22"/>
        </w:rPr>
      </w:pPr>
      <w:r w:rsidRPr="00FB3CCF">
        <w:rPr>
          <w:rFonts w:ascii="Arial" w:hAnsi="Arial" w:cs="Arial"/>
          <w:sz w:val="22"/>
          <w:szCs w:val="22"/>
        </w:rPr>
        <w:t>Foxon, T. et al. (2005) ‘UK innovation systems for new and renewable energy technologies: drivers, barriers and systems failures’, Energy Policy, pp. 2123–2137.</w:t>
      </w:r>
    </w:p>
    <w:p w14:paraId="5B5666A9"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Future Marine Energy Challenge (c.2000) Cost competitiveness and growth of wave and tidal </w:t>
      </w:r>
      <w:proofErr w:type="gramStart"/>
      <w:r w:rsidRPr="00FB3CCF">
        <w:rPr>
          <w:rFonts w:ascii="Arial" w:hAnsi="Arial" w:cs="Arial"/>
          <w:sz w:val="22"/>
          <w:szCs w:val="22"/>
        </w:rPr>
        <w:t>stream energy</w:t>
      </w:r>
      <w:proofErr w:type="gramEnd"/>
      <w:r w:rsidRPr="00FB3CCF">
        <w:rPr>
          <w:rFonts w:ascii="Arial" w:hAnsi="Arial" w:cs="Arial"/>
          <w:sz w:val="22"/>
          <w:szCs w:val="22"/>
        </w:rPr>
        <w:t>.</w:t>
      </w:r>
    </w:p>
    <w:p w14:paraId="1CAD40DB" w14:textId="77777777" w:rsidR="00FB3CCF" w:rsidRPr="00FB3CCF" w:rsidRDefault="00FB3CCF" w:rsidP="00FB3CCF">
      <w:pPr>
        <w:rPr>
          <w:rFonts w:ascii="Arial" w:hAnsi="Arial" w:cs="Arial"/>
          <w:sz w:val="22"/>
          <w:szCs w:val="22"/>
        </w:rPr>
      </w:pPr>
      <w:r w:rsidRPr="00FB3CCF">
        <w:rPr>
          <w:rFonts w:ascii="Arial" w:hAnsi="Arial" w:cs="Arial"/>
          <w:sz w:val="22"/>
          <w:szCs w:val="22"/>
        </w:rPr>
        <w:t>Gaddy, B.E. et al. (2017) ‘Venture capital and cleantech: The wrong model for energy innovation’, Energy Policy, 102, pp. 385–395.</w:t>
      </w:r>
    </w:p>
    <w:p w14:paraId="3D9DD4C5"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Gallagher, K.S., </w:t>
      </w:r>
      <w:proofErr w:type="spellStart"/>
      <w:r w:rsidRPr="00FB3CCF">
        <w:rPr>
          <w:rFonts w:ascii="Arial" w:hAnsi="Arial" w:cs="Arial"/>
          <w:sz w:val="22"/>
          <w:szCs w:val="22"/>
        </w:rPr>
        <w:t>Grübler</w:t>
      </w:r>
      <w:proofErr w:type="spellEnd"/>
      <w:r w:rsidRPr="00FB3CCF">
        <w:rPr>
          <w:rFonts w:ascii="Arial" w:hAnsi="Arial" w:cs="Arial"/>
          <w:sz w:val="22"/>
          <w:szCs w:val="22"/>
        </w:rPr>
        <w:t>, A., Kuhl, L., Nemet, G. and Wilson, C. (2012) ‘The energy technology innovation system’, Annual Review of Environment and Resources, 37, pp. 137–162.</w:t>
      </w:r>
    </w:p>
    <w:p w14:paraId="6AF860C8" w14:textId="77777777" w:rsidR="00FB3CCF" w:rsidRPr="00FB3CCF" w:rsidRDefault="00FB3CCF" w:rsidP="00FB3CCF">
      <w:pPr>
        <w:rPr>
          <w:rFonts w:ascii="Arial" w:hAnsi="Arial" w:cs="Arial"/>
          <w:sz w:val="22"/>
          <w:szCs w:val="22"/>
        </w:rPr>
      </w:pPr>
      <w:r w:rsidRPr="00FB3CCF">
        <w:rPr>
          <w:rFonts w:ascii="Arial" w:hAnsi="Arial" w:cs="Arial"/>
          <w:sz w:val="22"/>
          <w:szCs w:val="22"/>
        </w:rPr>
        <w:t>Garrod, B. (2023) ‘What makes a good critical literature review paper?’, Tourism and Hospitality, 4(1), pp. 141–147. (law-journals-books.vlex.com)</w:t>
      </w:r>
    </w:p>
    <w:p w14:paraId="55A5C2FA" w14:textId="77777777" w:rsidR="00FB3CCF" w:rsidRPr="00FB3CCF" w:rsidRDefault="00FB3CCF" w:rsidP="00FB3CCF">
      <w:pPr>
        <w:rPr>
          <w:rFonts w:ascii="Arial" w:hAnsi="Arial" w:cs="Arial"/>
          <w:sz w:val="22"/>
          <w:szCs w:val="22"/>
        </w:rPr>
      </w:pPr>
      <w:r w:rsidRPr="00FB3CCF">
        <w:rPr>
          <w:rFonts w:ascii="Arial" w:hAnsi="Arial" w:cs="Arial"/>
          <w:sz w:val="22"/>
          <w:szCs w:val="22"/>
        </w:rPr>
        <w:t>Geddes, A. and Schmidt, T. (2020) ‘Integrating finance into the multi-level perspective: Technology niche-finance regime interactions and financial policy interventions’, Research Policy, 49, p. 103985.</w:t>
      </w:r>
    </w:p>
    <w:p w14:paraId="5335E76E" w14:textId="77777777" w:rsidR="00FB3CCF" w:rsidRPr="00FB3CCF" w:rsidRDefault="00FB3CCF" w:rsidP="00FB3CCF">
      <w:pPr>
        <w:rPr>
          <w:rFonts w:ascii="Arial" w:hAnsi="Arial" w:cs="Arial"/>
          <w:sz w:val="22"/>
          <w:szCs w:val="22"/>
        </w:rPr>
      </w:pPr>
      <w:r w:rsidRPr="00FB3CCF">
        <w:rPr>
          <w:rFonts w:ascii="Arial" w:hAnsi="Arial" w:cs="Arial"/>
          <w:sz w:val="22"/>
          <w:szCs w:val="22"/>
        </w:rPr>
        <w:t>Geddes, A., Schmidt, T. and Steffen, B. (2018) ‘The multiple roles of state investment banks in low-carbon energy finance: An analysis of Australia, the UK and Germany’, Energy Policy, 115, pp. 158–170.</w:t>
      </w:r>
    </w:p>
    <w:p w14:paraId="55FC5567"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Gray, A. et al. (2017) ‘Reliability and O&amp;M sensitivity analysis as a consequence of </w:t>
      </w:r>
      <w:proofErr w:type="gramStart"/>
      <w:r w:rsidRPr="00FB3CCF">
        <w:rPr>
          <w:rFonts w:ascii="Arial" w:hAnsi="Arial" w:cs="Arial"/>
          <w:sz w:val="22"/>
          <w:szCs w:val="22"/>
        </w:rPr>
        <w:t>site specific</w:t>
      </w:r>
      <w:proofErr w:type="gramEnd"/>
      <w:r w:rsidRPr="00FB3CCF">
        <w:rPr>
          <w:rFonts w:ascii="Arial" w:hAnsi="Arial" w:cs="Arial"/>
          <w:sz w:val="22"/>
          <w:szCs w:val="22"/>
        </w:rPr>
        <w:t xml:space="preserve"> characteristics for wave energy converters’, Ocean Engineering, 141, pp. 493–511.</w:t>
      </w:r>
    </w:p>
    <w:p w14:paraId="4C654694" w14:textId="77777777" w:rsidR="00FB3CCF" w:rsidRPr="00FB3CCF" w:rsidRDefault="00FB3CCF" w:rsidP="00FB3CCF">
      <w:pPr>
        <w:rPr>
          <w:rFonts w:ascii="Arial" w:hAnsi="Arial" w:cs="Arial"/>
          <w:sz w:val="22"/>
          <w:szCs w:val="22"/>
        </w:rPr>
      </w:pPr>
      <w:r w:rsidRPr="00FB3CCF">
        <w:rPr>
          <w:rFonts w:ascii="Arial" w:hAnsi="Arial" w:cs="Arial"/>
          <w:sz w:val="22"/>
          <w:szCs w:val="22"/>
        </w:rPr>
        <w:t>Greaves, D. et al. (2013) ‘Enabling wave power: Streamlining processes for progress’.</w:t>
      </w:r>
    </w:p>
    <w:p w14:paraId="645186C3" w14:textId="77777777" w:rsidR="00FB3CCF" w:rsidRPr="00FB3CCF" w:rsidRDefault="00FB3CCF" w:rsidP="00FB3CCF">
      <w:pPr>
        <w:rPr>
          <w:rFonts w:ascii="Arial" w:hAnsi="Arial" w:cs="Arial"/>
          <w:sz w:val="22"/>
          <w:szCs w:val="22"/>
        </w:rPr>
      </w:pPr>
      <w:r w:rsidRPr="00FB3CCF">
        <w:rPr>
          <w:rFonts w:ascii="Arial" w:hAnsi="Arial" w:cs="Arial"/>
          <w:sz w:val="22"/>
          <w:szCs w:val="22"/>
        </w:rPr>
        <w:t>Greaves, D. et al. (2016) ‘Environmental impact assessment: Gathering experiences from wave energy test centres in Europe’, International Journal of Marine Energy, 14, pp. 68–79.</w:t>
      </w:r>
    </w:p>
    <w:p w14:paraId="26ABCF5E" w14:textId="77777777" w:rsidR="00FB3CCF" w:rsidRPr="00FB3CCF" w:rsidRDefault="00FB3CCF" w:rsidP="00FB3CCF">
      <w:pPr>
        <w:rPr>
          <w:rFonts w:ascii="Arial" w:hAnsi="Arial" w:cs="Arial"/>
          <w:sz w:val="22"/>
          <w:szCs w:val="22"/>
        </w:rPr>
      </w:pPr>
      <w:r w:rsidRPr="00FB3CCF">
        <w:rPr>
          <w:rFonts w:ascii="Arial" w:hAnsi="Arial" w:cs="Arial"/>
          <w:sz w:val="22"/>
          <w:szCs w:val="22"/>
        </w:rPr>
        <w:lastRenderedPageBreak/>
        <w:t>Green, R. (2009) American and Australian doctoral literature reviewing practices and pedagogies. PhD thesis. Deakin University. (core.ac.uk)</w:t>
      </w:r>
    </w:p>
    <w:p w14:paraId="283F0B89" w14:textId="77777777" w:rsidR="00FB3CCF" w:rsidRPr="00FB3CCF" w:rsidRDefault="00FB3CCF" w:rsidP="00FB3CCF">
      <w:pPr>
        <w:rPr>
          <w:rFonts w:ascii="Arial" w:hAnsi="Arial" w:cs="Arial"/>
          <w:sz w:val="22"/>
          <w:szCs w:val="22"/>
        </w:rPr>
      </w:pPr>
      <w:r w:rsidRPr="00FB3CCF">
        <w:rPr>
          <w:rFonts w:ascii="Arial" w:hAnsi="Arial" w:cs="Arial"/>
          <w:sz w:val="22"/>
          <w:szCs w:val="22"/>
        </w:rPr>
        <w:t>Gross, R., Blyth, W. and Heptonstall, P. (2010) ‘Risks, revenues and investment in electricity generation: Why policy needs to look beyond costs’, Energy Economics, pp. 796–804.</w:t>
      </w:r>
    </w:p>
    <w:p w14:paraId="15AA5E10" w14:textId="77777777" w:rsidR="00FB3CCF" w:rsidRPr="00FB3CCF" w:rsidRDefault="00FB3CCF" w:rsidP="00FB3CCF">
      <w:pPr>
        <w:rPr>
          <w:rFonts w:ascii="Arial" w:hAnsi="Arial" w:cs="Arial"/>
          <w:sz w:val="22"/>
          <w:szCs w:val="22"/>
        </w:rPr>
      </w:pPr>
      <w:r w:rsidRPr="00FB3CCF">
        <w:rPr>
          <w:rFonts w:ascii="Arial" w:hAnsi="Arial" w:cs="Arial"/>
          <w:sz w:val="22"/>
          <w:szCs w:val="22"/>
        </w:rPr>
        <w:t>Guanche, R. et al. (2014) ‘Uncertainty analysis of wave energy farms financial indicators’, Renewable Energy, pp. 570–580.</w:t>
      </w:r>
    </w:p>
    <w:p w14:paraId="43E756BE"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Gueguen, S. (2016) ‘Risk assessment of marine energy </w:t>
      </w:r>
      <w:proofErr w:type="gramStart"/>
      <w:r w:rsidRPr="00FB3CCF">
        <w:rPr>
          <w:rFonts w:ascii="Arial" w:hAnsi="Arial" w:cs="Arial"/>
          <w:sz w:val="22"/>
          <w:szCs w:val="22"/>
        </w:rPr>
        <w:t>projects’</w:t>
      </w:r>
      <w:proofErr w:type="gramEnd"/>
      <w:r w:rsidRPr="00FB3CCF">
        <w:rPr>
          <w:rFonts w:ascii="Arial" w:hAnsi="Arial" w:cs="Arial"/>
          <w:sz w:val="22"/>
          <w:szCs w:val="22"/>
        </w:rPr>
        <w:t>.</w:t>
      </w:r>
    </w:p>
    <w:p w14:paraId="1CF78314" w14:textId="77777777" w:rsidR="00FB3CCF" w:rsidRPr="00FB3CCF" w:rsidRDefault="00FB3CCF" w:rsidP="00FB3CCF">
      <w:pPr>
        <w:rPr>
          <w:rFonts w:ascii="Arial" w:hAnsi="Arial" w:cs="Arial"/>
          <w:sz w:val="22"/>
          <w:szCs w:val="22"/>
        </w:rPr>
      </w:pPr>
      <w:r w:rsidRPr="00FB3CCF">
        <w:rPr>
          <w:rFonts w:ascii="Arial" w:hAnsi="Arial" w:cs="Arial"/>
          <w:sz w:val="22"/>
          <w:szCs w:val="22"/>
        </w:rPr>
        <w:t>Guo, B. and Ringwood, J.V. (2021) ‘A review of wave energy technology from a research and commercial perspective’, IET Renewable Power Generation, 15(10), pp. 2243–2258.</w:t>
      </w:r>
    </w:p>
    <w:p w14:paraId="5E6C57C0"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Gürkan, G. and </w:t>
      </w:r>
      <w:proofErr w:type="spellStart"/>
      <w:r w:rsidRPr="00FB3CCF">
        <w:rPr>
          <w:rFonts w:ascii="Arial" w:hAnsi="Arial" w:cs="Arial"/>
          <w:sz w:val="22"/>
          <w:szCs w:val="22"/>
        </w:rPr>
        <w:t>Langestraat</w:t>
      </w:r>
      <w:proofErr w:type="spellEnd"/>
      <w:r w:rsidRPr="00FB3CCF">
        <w:rPr>
          <w:rFonts w:ascii="Arial" w:hAnsi="Arial" w:cs="Arial"/>
          <w:sz w:val="22"/>
          <w:szCs w:val="22"/>
        </w:rPr>
        <w:t>, R. (2014) ‘</w:t>
      </w:r>
      <w:proofErr w:type="spellStart"/>
      <w:r w:rsidRPr="00FB3CCF">
        <w:rPr>
          <w:rFonts w:ascii="Arial" w:hAnsi="Arial" w:cs="Arial"/>
          <w:sz w:val="22"/>
          <w:szCs w:val="22"/>
        </w:rPr>
        <w:t>Modeling</w:t>
      </w:r>
      <w:proofErr w:type="spellEnd"/>
      <w:r w:rsidRPr="00FB3CCF">
        <w:rPr>
          <w:rFonts w:ascii="Arial" w:hAnsi="Arial" w:cs="Arial"/>
          <w:sz w:val="22"/>
          <w:szCs w:val="22"/>
        </w:rPr>
        <w:t xml:space="preserve"> and analysis of renewable energy obligations and technology bandings in the UK electricity market’, Energy Policy, pp. 85–95.</w:t>
      </w:r>
    </w:p>
    <w:p w14:paraId="7D6F5782" w14:textId="77777777" w:rsidR="00FB3CCF" w:rsidRPr="00FB3CCF" w:rsidRDefault="00FB3CCF" w:rsidP="00FB3CCF">
      <w:pPr>
        <w:rPr>
          <w:rFonts w:ascii="Arial" w:hAnsi="Arial" w:cs="Arial"/>
          <w:sz w:val="22"/>
          <w:szCs w:val="22"/>
        </w:rPr>
      </w:pPr>
      <w:r w:rsidRPr="00FB3CCF">
        <w:rPr>
          <w:rFonts w:ascii="Arial" w:hAnsi="Arial" w:cs="Arial"/>
          <w:sz w:val="22"/>
          <w:szCs w:val="22"/>
        </w:rPr>
        <w:t>Hafner, S. et al. (2020) ‘Closing the green finance gap – A systems perspective’, Environmental Innovation and Societal Transitions, 34, pp. 26–60.</w:t>
      </w:r>
    </w:p>
    <w:p w14:paraId="337D129C" w14:textId="77777777" w:rsidR="00FB3CCF" w:rsidRPr="00FB3CCF" w:rsidRDefault="00FB3CCF" w:rsidP="00FB3CCF">
      <w:pPr>
        <w:rPr>
          <w:rFonts w:ascii="Arial" w:hAnsi="Arial" w:cs="Arial"/>
          <w:sz w:val="22"/>
          <w:szCs w:val="22"/>
        </w:rPr>
      </w:pPr>
      <w:r w:rsidRPr="00FB3CCF">
        <w:rPr>
          <w:rFonts w:ascii="Arial" w:hAnsi="Arial" w:cs="Arial"/>
          <w:sz w:val="22"/>
          <w:szCs w:val="22"/>
        </w:rPr>
        <w:t>Hall, S., Foxon, T. and Bolton, R. (2017) ‘Investing in low-carbon transitions: Energy finance as an adaptive market’, Climate Policy, 17(3), pp. 280–298.</w:t>
      </w:r>
    </w:p>
    <w:p w14:paraId="603FB23A"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Hannon, M., Skea, J. and Rhodes, A. (2014) ‘Facilitating and coordinating UK energy innovation through systemic innovation </w:t>
      </w:r>
      <w:proofErr w:type="gramStart"/>
      <w:r w:rsidRPr="00FB3CCF">
        <w:rPr>
          <w:rFonts w:ascii="Arial" w:hAnsi="Arial" w:cs="Arial"/>
          <w:sz w:val="22"/>
          <w:szCs w:val="22"/>
        </w:rPr>
        <w:t>intermediaries’</w:t>
      </w:r>
      <w:proofErr w:type="gramEnd"/>
      <w:r w:rsidRPr="00FB3CCF">
        <w:rPr>
          <w:rFonts w:ascii="Arial" w:hAnsi="Arial" w:cs="Arial"/>
          <w:sz w:val="22"/>
          <w:szCs w:val="22"/>
        </w:rPr>
        <w:t>.</w:t>
      </w:r>
    </w:p>
    <w:p w14:paraId="06A546D2" w14:textId="77777777" w:rsidR="00FB3CCF" w:rsidRPr="00FB3CCF" w:rsidRDefault="00FB3CCF" w:rsidP="00FB3CCF">
      <w:pPr>
        <w:rPr>
          <w:rFonts w:ascii="Arial" w:hAnsi="Arial" w:cs="Arial"/>
          <w:sz w:val="22"/>
          <w:szCs w:val="22"/>
        </w:rPr>
      </w:pPr>
      <w:r w:rsidRPr="00FB3CCF">
        <w:rPr>
          <w:rFonts w:ascii="Arial" w:hAnsi="Arial" w:cs="Arial"/>
          <w:sz w:val="22"/>
          <w:szCs w:val="22"/>
        </w:rPr>
        <w:t>Hannon, M., van Diemen, R. and Skea, J. (2017) ‘Examining the effectiveness of support for UK wave energy innovation since 2000: Lost at sea or a new wave of innovation?’</w:t>
      </w:r>
    </w:p>
    <w:p w14:paraId="0D9AA169"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Harrer, T. and Owen, R. (2022) ‘Reducing </w:t>
      </w:r>
      <w:proofErr w:type="gramStart"/>
      <w:r w:rsidRPr="00FB3CCF">
        <w:rPr>
          <w:rFonts w:ascii="Arial" w:hAnsi="Arial" w:cs="Arial"/>
          <w:sz w:val="22"/>
          <w:szCs w:val="22"/>
        </w:rPr>
        <w:t>early-stage</w:t>
      </w:r>
      <w:proofErr w:type="gramEnd"/>
      <w:r w:rsidRPr="00FB3CCF">
        <w:rPr>
          <w:rFonts w:ascii="Arial" w:hAnsi="Arial" w:cs="Arial"/>
          <w:sz w:val="22"/>
          <w:szCs w:val="22"/>
        </w:rPr>
        <w:t xml:space="preserve"> cleantech funding gaps: an exploration of the role of Environmental Performance Indicators’, International Journal of Entrepreneurial </w:t>
      </w:r>
      <w:proofErr w:type="spellStart"/>
      <w:r w:rsidRPr="00FB3CCF">
        <w:rPr>
          <w:rFonts w:ascii="Arial" w:hAnsi="Arial" w:cs="Arial"/>
          <w:sz w:val="22"/>
          <w:szCs w:val="22"/>
        </w:rPr>
        <w:t>Behavior</w:t>
      </w:r>
      <w:proofErr w:type="spellEnd"/>
      <w:r w:rsidRPr="00FB3CCF">
        <w:rPr>
          <w:rFonts w:ascii="Arial" w:hAnsi="Arial" w:cs="Arial"/>
          <w:sz w:val="22"/>
          <w:szCs w:val="22"/>
        </w:rPr>
        <w:t xml:space="preserve"> &amp; Research.</w:t>
      </w:r>
    </w:p>
    <w:p w14:paraId="002EF8B0" w14:textId="77777777" w:rsidR="00FB3CCF" w:rsidRPr="00FB3CCF" w:rsidRDefault="00FB3CCF" w:rsidP="00FB3CCF">
      <w:pPr>
        <w:rPr>
          <w:rFonts w:ascii="Arial" w:hAnsi="Arial" w:cs="Arial"/>
          <w:sz w:val="22"/>
          <w:szCs w:val="22"/>
        </w:rPr>
      </w:pPr>
      <w:r w:rsidRPr="00FB3CCF">
        <w:rPr>
          <w:rFonts w:ascii="Arial" w:hAnsi="Arial" w:cs="Arial"/>
          <w:sz w:val="22"/>
          <w:szCs w:val="22"/>
        </w:rPr>
        <w:t>Harrington, N. and Andina-</w:t>
      </w:r>
      <w:proofErr w:type="spellStart"/>
      <w:r w:rsidRPr="00FB3CCF">
        <w:rPr>
          <w:rFonts w:ascii="Arial" w:hAnsi="Arial" w:cs="Arial"/>
          <w:sz w:val="22"/>
          <w:szCs w:val="22"/>
        </w:rPr>
        <w:t>Pendás</w:t>
      </w:r>
      <w:proofErr w:type="spellEnd"/>
      <w:r w:rsidRPr="00FB3CCF">
        <w:rPr>
          <w:rFonts w:ascii="Arial" w:hAnsi="Arial" w:cs="Arial"/>
          <w:sz w:val="22"/>
          <w:szCs w:val="22"/>
        </w:rPr>
        <w:t xml:space="preserve">, I. (2008) ‘Environmental impact and appraisal – planning consent for the </w:t>
      </w:r>
      <w:proofErr w:type="gramStart"/>
      <w:r w:rsidRPr="00FB3CCF">
        <w:rPr>
          <w:rFonts w:ascii="Arial" w:hAnsi="Arial" w:cs="Arial"/>
          <w:sz w:val="22"/>
          <w:szCs w:val="22"/>
        </w:rPr>
        <w:t>South West</w:t>
      </w:r>
      <w:proofErr w:type="gramEnd"/>
      <w:r w:rsidRPr="00FB3CCF">
        <w:rPr>
          <w:rFonts w:ascii="Arial" w:hAnsi="Arial" w:cs="Arial"/>
          <w:sz w:val="22"/>
          <w:szCs w:val="22"/>
        </w:rPr>
        <w:t xml:space="preserve"> of England Wave Hub’, Underwater Technology, pp. 161–173.</w:t>
      </w:r>
    </w:p>
    <w:p w14:paraId="25072C9D" w14:textId="77777777" w:rsidR="00FB3CCF" w:rsidRPr="00FB3CCF" w:rsidRDefault="00FB3CCF" w:rsidP="00FB3CCF">
      <w:pPr>
        <w:rPr>
          <w:rFonts w:ascii="Arial" w:hAnsi="Arial" w:cs="Arial"/>
          <w:sz w:val="22"/>
          <w:szCs w:val="22"/>
        </w:rPr>
      </w:pPr>
      <w:r w:rsidRPr="00FB3CCF">
        <w:rPr>
          <w:rFonts w:ascii="Arial" w:hAnsi="Arial" w:cs="Arial"/>
          <w:sz w:val="22"/>
          <w:szCs w:val="22"/>
        </w:rPr>
        <w:t>Harrison, G. (2008) ‘Support mechanisms for marine energy: a Scottish and UK perspective’.</w:t>
      </w:r>
    </w:p>
    <w:p w14:paraId="1F47511D" w14:textId="77777777" w:rsidR="00FB3CCF" w:rsidRPr="00FB3CCF" w:rsidRDefault="00FB3CCF" w:rsidP="00FB3CCF">
      <w:pPr>
        <w:rPr>
          <w:rFonts w:ascii="Arial" w:hAnsi="Arial" w:cs="Arial"/>
          <w:sz w:val="22"/>
          <w:szCs w:val="22"/>
        </w:rPr>
      </w:pPr>
      <w:r w:rsidRPr="00FB3CCF">
        <w:rPr>
          <w:rFonts w:ascii="Arial" w:hAnsi="Arial" w:cs="Arial"/>
          <w:sz w:val="22"/>
          <w:szCs w:val="22"/>
        </w:rPr>
        <w:t>Holbrook, A. (2008) ‘“Levels” of success in the use of the literature in a doctorate’, South African Journal of Higher Education, 22(5), pp. 1020–1041.</w:t>
      </w:r>
    </w:p>
    <w:p w14:paraId="0DFF91BE" w14:textId="77777777" w:rsidR="00FB3CCF" w:rsidRPr="00FB3CCF" w:rsidRDefault="00FB3CCF" w:rsidP="00FB3CCF">
      <w:pPr>
        <w:rPr>
          <w:rFonts w:ascii="Arial" w:hAnsi="Arial" w:cs="Arial"/>
          <w:sz w:val="22"/>
          <w:szCs w:val="22"/>
        </w:rPr>
      </w:pPr>
      <w:r w:rsidRPr="00FB3CCF">
        <w:rPr>
          <w:rFonts w:ascii="Arial" w:hAnsi="Arial" w:cs="Arial"/>
          <w:sz w:val="22"/>
          <w:szCs w:val="22"/>
        </w:rPr>
        <w:t>Hutcheson, J.D., Andres, A.D. and Jeffrey, H. (2016) ‘Risk vs. reward: A methodology to assess investment in marine energy’, Sustainability, p. 873.</w:t>
      </w:r>
    </w:p>
    <w:p w14:paraId="2086CF16" w14:textId="77777777" w:rsidR="00FB3CCF" w:rsidRPr="00FB3CCF" w:rsidRDefault="00FB3CCF" w:rsidP="00FB3CCF">
      <w:pPr>
        <w:rPr>
          <w:rFonts w:ascii="Arial" w:hAnsi="Arial" w:cs="Arial"/>
          <w:sz w:val="22"/>
          <w:szCs w:val="22"/>
        </w:rPr>
      </w:pPr>
      <w:r w:rsidRPr="00FB3CCF">
        <w:rPr>
          <w:rFonts w:ascii="Arial" w:hAnsi="Arial" w:cs="Arial"/>
          <w:sz w:val="22"/>
          <w:szCs w:val="22"/>
        </w:rPr>
        <w:t>Iglesias, G., Astariz, S. and Vázquez, A. (2018) ‘The economics of wave and tidal energy’, pp. 513–532.</w:t>
      </w:r>
    </w:p>
    <w:p w14:paraId="6EC34725" w14:textId="77777777" w:rsidR="00FB3CCF" w:rsidRPr="00FB3CCF" w:rsidRDefault="00FB3CCF" w:rsidP="00FB3CCF">
      <w:pPr>
        <w:rPr>
          <w:rFonts w:ascii="Arial" w:hAnsi="Arial" w:cs="Arial"/>
          <w:sz w:val="22"/>
          <w:szCs w:val="22"/>
        </w:rPr>
      </w:pPr>
      <w:r w:rsidRPr="00FB3CCF">
        <w:rPr>
          <w:rFonts w:ascii="Arial" w:hAnsi="Arial" w:cs="Arial"/>
          <w:sz w:val="22"/>
          <w:szCs w:val="22"/>
        </w:rPr>
        <w:t>Iskandarova, M. (2016) ‘From the idea of scale to the idea of agency: An actor-network theory perspective on policy development for renewable energy’, Science and Public Policy, pp. 476–485.</w:t>
      </w:r>
    </w:p>
    <w:p w14:paraId="548D5392"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Iskandarova, M. and </w:t>
      </w:r>
      <w:proofErr w:type="spellStart"/>
      <w:r w:rsidRPr="00FB3CCF">
        <w:rPr>
          <w:rFonts w:ascii="Arial" w:hAnsi="Arial" w:cs="Arial"/>
          <w:sz w:val="22"/>
          <w:szCs w:val="22"/>
        </w:rPr>
        <w:t>Simakova</w:t>
      </w:r>
      <w:proofErr w:type="spellEnd"/>
      <w:r w:rsidRPr="00FB3CCF">
        <w:rPr>
          <w:rFonts w:ascii="Arial" w:hAnsi="Arial" w:cs="Arial"/>
          <w:sz w:val="22"/>
          <w:szCs w:val="22"/>
        </w:rPr>
        <w:t>, E. (2012) ‘Energy, expectations, and expertise: the case of Wave Hub’.</w:t>
      </w:r>
    </w:p>
    <w:p w14:paraId="4CCBEEEA" w14:textId="77777777" w:rsidR="00FB3CCF" w:rsidRPr="00FB3CCF" w:rsidRDefault="00FB3CCF" w:rsidP="00FB3CCF">
      <w:pPr>
        <w:rPr>
          <w:rFonts w:ascii="Arial" w:hAnsi="Arial" w:cs="Arial"/>
          <w:sz w:val="22"/>
          <w:szCs w:val="22"/>
        </w:rPr>
      </w:pPr>
      <w:r w:rsidRPr="00FB3CCF">
        <w:rPr>
          <w:rFonts w:ascii="Arial" w:hAnsi="Arial" w:cs="Arial"/>
          <w:sz w:val="22"/>
          <w:szCs w:val="22"/>
        </w:rPr>
        <w:lastRenderedPageBreak/>
        <w:t>Jeffrey, H. (2007) ‘Wave and tidal current energy: Current activities and progress from a UK perspective’.</w:t>
      </w:r>
    </w:p>
    <w:p w14:paraId="46996FE8"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Jeffrey, H. and </w:t>
      </w:r>
      <w:proofErr w:type="spellStart"/>
      <w:r w:rsidRPr="00FB3CCF">
        <w:rPr>
          <w:rFonts w:ascii="Arial" w:hAnsi="Arial" w:cs="Arial"/>
          <w:sz w:val="22"/>
          <w:szCs w:val="22"/>
        </w:rPr>
        <w:t>Winskel</w:t>
      </w:r>
      <w:proofErr w:type="spellEnd"/>
      <w:r w:rsidRPr="00FB3CCF">
        <w:rPr>
          <w:rFonts w:ascii="Arial" w:hAnsi="Arial" w:cs="Arial"/>
          <w:sz w:val="22"/>
          <w:szCs w:val="22"/>
        </w:rPr>
        <w:t>, M. (2009) ‘The opportunity and challenge for ocean energy as part of energy system decarbonisation: The UK scenario’.</w:t>
      </w:r>
    </w:p>
    <w:p w14:paraId="0766FC83" w14:textId="77777777" w:rsidR="00FB3CCF" w:rsidRPr="00FB3CCF" w:rsidRDefault="00FB3CCF" w:rsidP="00FB3CCF">
      <w:pPr>
        <w:rPr>
          <w:rFonts w:ascii="Arial" w:hAnsi="Arial" w:cs="Arial"/>
          <w:sz w:val="22"/>
          <w:szCs w:val="22"/>
        </w:rPr>
      </w:pPr>
      <w:r w:rsidRPr="00FB3CCF">
        <w:rPr>
          <w:rFonts w:ascii="Arial" w:hAnsi="Arial" w:cs="Arial"/>
          <w:sz w:val="22"/>
          <w:szCs w:val="22"/>
        </w:rPr>
        <w:t>Jeffrey, H. et al. (2015) ‘Renewable Energy Marine Investment-Postprint’.</w:t>
      </w:r>
    </w:p>
    <w:p w14:paraId="14F1F047"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Jeffrey, H., Jay, B. and </w:t>
      </w:r>
      <w:proofErr w:type="spellStart"/>
      <w:r w:rsidRPr="00FB3CCF">
        <w:rPr>
          <w:rFonts w:ascii="Arial" w:hAnsi="Arial" w:cs="Arial"/>
          <w:sz w:val="22"/>
          <w:szCs w:val="22"/>
        </w:rPr>
        <w:t>Winskel</w:t>
      </w:r>
      <w:proofErr w:type="spellEnd"/>
      <w:r w:rsidRPr="00FB3CCF">
        <w:rPr>
          <w:rFonts w:ascii="Arial" w:hAnsi="Arial" w:cs="Arial"/>
          <w:sz w:val="22"/>
          <w:szCs w:val="22"/>
        </w:rPr>
        <w:t>, M. (2013) ‘Accelerating the development of marine energy: Exploring the prospects, benefits and challenges’, Technological Forecasting and Social Change, pp. 1306-1316.</w:t>
      </w:r>
    </w:p>
    <w:p w14:paraId="209BA099" w14:textId="77777777" w:rsidR="00FB3CCF" w:rsidRPr="00FB3CCF" w:rsidRDefault="00FB3CCF" w:rsidP="00FB3CCF">
      <w:pPr>
        <w:rPr>
          <w:rFonts w:ascii="Arial" w:hAnsi="Arial" w:cs="Arial"/>
          <w:sz w:val="22"/>
          <w:szCs w:val="22"/>
        </w:rPr>
      </w:pPr>
      <w:r w:rsidRPr="00FB3CCF">
        <w:rPr>
          <w:rFonts w:ascii="Arial" w:hAnsi="Arial" w:cs="Arial"/>
          <w:sz w:val="22"/>
          <w:szCs w:val="22"/>
        </w:rPr>
        <w:t>Jeffrey, H., Sedgwick, J. and Gerrard, G. (2014) ‘Public funding for ocean energy: a comparison of the UK and U.S.’, Technological Forecasting and Social Change, pp. 155-170.</w:t>
      </w:r>
    </w:p>
    <w:p w14:paraId="0D6CC808" w14:textId="77777777" w:rsidR="00FB3CCF" w:rsidRPr="00FB3CCF" w:rsidRDefault="00FB3CCF" w:rsidP="00FB3CCF">
      <w:pPr>
        <w:rPr>
          <w:rFonts w:ascii="Arial" w:hAnsi="Arial" w:cs="Arial"/>
          <w:sz w:val="22"/>
          <w:szCs w:val="22"/>
        </w:rPr>
      </w:pPr>
      <w:r w:rsidRPr="00FB3CCF">
        <w:rPr>
          <w:rFonts w:ascii="Arial" w:hAnsi="Arial" w:cs="Arial"/>
          <w:sz w:val="22"/>
          <w:szCs w:val="22"/>
        </w:rPr>
        <w:t>Jeffrey, R. et al. (2015) ‘Renewable Energy Marine Investment-Postprint’.</w:t>
      </w:r>
    </w:p>
    <w:p w14:paraId="21428219" w14:textId="77777777" w:rsidR="00FB3CCF" w:rsidRPr="00FB3CCF" w:rsidRDefault="00FB3CCF" w:rsidP="00FB3CCF">
      <w:pPr>
        <w:rPr>
          <w:rFonts w:ascii="Arial" w:hAnsi="Arial" w:cs="Arial"/>
          <w:sz w:val="22"/>
          <w:szCs w:val="22"/>
        </w:rPr>
      </w:pPr>
      <w:r w:rsidRPr="00FB3CCF">
        <w:rPr>
          <w:rFonts w:ascii="Arial" w:hAnsi="Arial" w:cs="Arial"/>
          <w:sz w:val="22"/>
          <w:szCs w:val="22"/>
        </w:rPr>
        <w:t>Jin, S. and Greaves, D. (2021) ‘Wave energy in the UK: Status review and future perspectives’, Renewable and Sustainable Energy Reviews, 143, 110932.</w:t>
      </w:r>
    </w:p>
    <w:p w14:paraId="0F85AC7C" w14:textId="77777777" w:rsidR="00FB3CCF" w:rsidRPr="00FB3CCF" w:rsidRDefault="00FB3CCF" w:rsidP="00FB3CCF">
      <w:pPr>
        <w:rPr>
          <w:rFonts w:ascii="Arial" w:hAnsi="Arial" w:cs="Arial"/>
          <w:sz w:val="22"/>
          <w:szCs w:val="22"/>
        </w:rPr>
      </w:pPr>
      <w:r w:rsidRPr="00FB3CCF">
        <w:rPr>
          <w:rFonts w:ascii="Arial" w:hAnsi="Arial" w:cs="Arial"/>
          <w:sz w:val="22"/>
          <w:szCs w:val="22"/>
        </w:rPr>
        <w:t>Jude, S. et al. (2017) ‘Risk and ocean energy’, pp. 13–26.</w:t>
      </w:r>
    </w:p>
    <w:p w14:paraId="1636DBC1" w14:textId="77777777" w:rsidR="00FB3CCF" w:rsidRPr="00FB3CCF" w:rsidRDefault="00FB3CCF" w:rsidP="00FB3CCF">
      <w:pPr>
        <w:rPr>
          <w:rFonts w:ascii="Arial" w:hAnsi="Arial" w:cs="Arial"/>
          <w:sz w:val="22"/>
          <w:szCs w:val="22"/>
        </w:rPr>
      </w:pPr>
      <w:r w:rsidRPr="00FB3CCF">
        <w:rPr>
          <w:rFonts w:ascii="Arial" w:hAnsi="Arial" w:cs="Arial"/>
          <w:sz w:val="22"/>
          <w:szCs w:val="22"/>
        </w:rPr>
        <w:t>Kerr, P. et al. (2021) ‘Implementing radical innovation in renewable energy experience curves’, Energies, p. 2364.</w:t>
      </w:r>
    </w:p>
    <w:p w14:paraId="51993242" w14:textId="77777777" w:rsidR="00FB3CCF" w:rsidRPr="00FB3CCF" w:rsidRDefault="00FB3CCF" w:rsidP="00FB3CCF">
      <w:pPr>
        <w:rPr>
          <w:rFonts w:ascii="Arial" w:hAnsi="Arial" w:cs="Arial"/>
          <w:sz w:val="22"/>
          <w:szCs w:val="22"/>
        </w:rPr>
      </w:pPr>
      <w:r w:rsidRPr="00FB3CCF">
        <w:rPr>
          <w:rFonts w:ascii="Arial" w:hAnsi="Arial" w:cs="Arial"/>
          <w:sz w:val="22"/>
          <w:szCs w:val="22"/>
        </w:rPr>
        <w:t>Ketchen, D.J. and Craighead, C.W. (2023) ‘What constitutes an excellent literature review? Summarize, synthesize, conceptualize, and energize’, Journal of Business Logistics, 44(2), pp. 164–169. (law-journals-books.vlex.com)</w:t>
      </w:r>
    </w:p>
    <w:p w14:paraId="7D2A0230" w14:textId="77777777" w:rsidR="00FB3CCF" w:rsidRPr="00FB3CCF" w:rsidRDefault="00FB3CCF" w:rsidP="00FB3CCF">
      <w:pPr>
        <w:rPr>
          <w:rFonts w:ascii="Arial" w:hAnsi="Arial" w:cs="Arial"/>
          <w:sz w:val="22"/>
          <w:szCs w:val="22"/>
        </w:rPr>
      </w:pPr>
      <w:r w:rsidRPr="00FB3CCF">
        <w:rPr>
          <w:rFonts w:ascii="Arial" w:hAnsi="Arial" w:cs="Arial"/>
          <w:sz w:val="22"/>
          <w:szCs w:val="22"/>
        </w:rPr>
        <w:t>Kingston, W. (2017) ‘Examining the Effectiveness of Support for UK Wave Energy Innovation since 2000. Lost at Sea or a New Wave of Innovation?’, Prometheus, pp. 145–158.</w:t>
      </w:r>
    </w:p>
    <w:p w14:paraId="4FA2E113"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Kitzing</w:t>
      </w:r>
      <w:proofErr w:type="spellEnd"/>
      <w:r w:rsidRPr="00FB3CCF">
        <w:rPr>
          <w:rFonts w:ascii="Arial" w:hAnsi="Arial" w:cs="Arial"/>
          <w:sz w:val="22"/>
          <w:szCs w:val="22"/>
        </w:rPr>
        <w:t>, L. (2014) ‘Risk implications of renewable support instruments: Comparative analysis of feed-in tariffs and premiums using a mean–variance approach’, Energy, pp. 495–505.</w:t>
      </w:r>
    </w:p>
    <w:p w14:paraId="36A1767C"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Kitzing</w:t>
      </w:r>
      <w:proofErr w:type="spellEnd"/>
      <w:r w:rsidRPr="00FB3CCF">
        <w:rPr>
          <w:rFonts w:ascii="Arial" w:hAnsi="Arial" w:cs="Arial"/>
          <w:sz w:val="22"/>
          <w:szCs w:val="22"/>
        </w:rPr>
        <w:t>, L. and Weber, C. (2014) ‘Support mechanisms for renewables: How risk exposure influences investment incentives’, International Journal of Sustainable Energy Planning and Management, pp. 117-134.</w:t>
      </w:r>
    </w:p>
    <w:p w14:paraId="6B4B520E" w14:textId="77777777" w:rsidR="00FB3CCF" w:rsidRPr="00FB3CCF" w:rsidRDefault="00FB3CCF" w:rsidP="00FB3CCF">
      <w:pPr>
        <w:rPr>
          <w:rFonts w:ascii="Arial" w:hAnsi="Arial" w:cs="Arial"/>
          <w:sz w:val="22"/>
          <w:szCs w:val="22"/>
        </w:rPr>
      </w:pPr>
      <w:r w:rsidRPr="00FB3CCF">
        <w:rPr>
          <w:rFonts w:ascii="Arial" w:hAnsi="Arial" w:cs="Arial"/>
          <w:sz w:val="22"/>
          <w:szCs w:val="22"/>
        </w:rPr>
        <w:t>Kozlov, N. (2014) ‘Contracts for difference: risks faced by generators under the new renewables support scheme in the UK’, The Journal of World Energy Law &amp; Business, pp. 282–286.</w:t>
      </w:r>
    </w:p>
    <w:p w14:paraId="4397C937" w14:textId="77777777" w:rsidR="00FB3CCF" w:rsidRPr="00FB3CCF" w:rsidRDefault="00FB3CCF" w:rsidP="00FB3CCF">
      <w:pPr>
        <w:rPr>
          <w:rFonts w:ascii="Arial" w:hAnsi="Arial" w:cs="Arial"/>
          <w:sz w:val="22"/>
          <w:szCs w:val="22"/>
        </w:rPr>
      </w:pPr>
      <w:r w:rsidRPr="00FB3CCF">
        <w:rPr>
          <w:rFonts w:ascii="Arial" w:hAnsi="Arial" w:cs="Arial"/>
          <w:sz w:val="22"/>
          <w:szCs w:val="22"/>
        </w:rPr>
        <w:t>Lawrence, J. et al. (2013) ‘An overview of the U.K. marine energy sector’, Proceedings of the IEEE, pp. 876–890.</w:t>
      </w:r>
    </w:p>
    <w:p w14:paraId="310F0CA3" w14:textId="77777777" w:rsidR="00FB3CCF" w:rsidRPr="00FB3CCF" w:rsidRDefault="00FB3CCF" w:rsidP="00FB3CCF">
      <w:pPr>
        <w:rPr>
          <w:rFonts w:ascii="Arial" w:hAnsi="Arial" w:cs="Arial"/>
          <w:sz w:val="22"/>
          <w:szCs w:val="22"/>
        </w:rPr>
      </w:pPr>
      <w:r w:rsidRPr="00FB3CCF">
        <w:rPr>
          <w:rFonts w:ascii="Arial" w:hAnsi="Arial" w:cs="Arial"/>
          <w:sz w:val="22"/>
          <w:szCs w:val="22"/>
        </w:rPr>
        <w:t>Leary, D. and Esteban, M. (2009) ‘Climate change and renewable energy from the ocean and tides: Calming the sea of regulatory uncertainty’, The International Journal of Marine and Coastal Law, pp. 617–651.</w:t>
      </w:r>
    </w:p>
    <w:p w14:paraId="296491E6" w14:textId="77777777" w:rsidR="00FB3CCF" w:rsidRPr="00FB3CCF" w:rsidRDefault="00FB3CCF" w:rsidP="00FB3CCF">
      <w:pPr>
        <w:rPr>
          <w:rFonts w:ascii="Arial" w:hAnsi="Arial" w:cs="Arial"/>
          <w:sz w:val="22"/>
          <w:szCs w:val="22"/>
        </w:rPr>
      </w:pPr>
      <w:r w:rsidRPr="00FB3CCF">
        <w:rPr>
          <w:rFonts w:ascii="Arial" w:hAnsi="Arial" w:cs="Arial"/>
          <w:sz w:val="22"/>
          <w:szCs w:val="22"/>
        </w:rPr>
        <w:t>Leete, S., Xu, J. and Wheeler, D. (2013) ‘Investment barriers and incentives for marine renewable energy in the UK: An analysis of investor preferences’, Energy Policy, 61, pp. 866–875.</w:t>
      </w:r>
    </w:p>
    <w:p w14:paraId="123DDF60" w14:textId="77777777" w:rsidR="00FB3CCF" w:rsidRPr="00FB3CCF" w:rsidRDefault="00FB3CCF" w:rsidP="00FB3CCF">
      <w:pPr>
        <w:rPr>
          <w:rFonts w:ascii="Arial" w:hAnsi="Arial" w:cs="Arial"/>
          <w:sz w:val="22"/>
          <w:szCs w:val="22"/>
        </w:rPr>
      </w:pPr>
      <w:r w:rsidRPr="00FB3CCF">
        <w:rPr>
          <w:rFonts w:ascii="Arial" w:hAnsi="Arial" w:cs="Arial"/>
          <w:sz w:val="22"/>
          <w:szCs w:val="22"/>
        </w:rPr>
        <w:lastRenderedPageBreak/>
        <w:t>Lockwood, M. (2016) ‘The UK’s Levy Control Framework for renewable electricity support: Effects and significance’, Energy Policy, 97, pp. 193–201.</w:t>
      </w:r>
    </w:p>
    <w:p w14:paraId="6AAF2FE7" w14:textId="77777777" w:rsidR="00FB3CCF" w:rsidRPr="00FB3CCF" w:rsidRDefault="00FB3CCF" w:rsidP="00FB3CCF">
      <w:pPr>
        <w:rPr>
          <w:rFonts w:ascii="Arial" w:hAnsi="Arial" w:cs="Arial"/>
          <w:sz w:val="22"/>
          <w:szCs w:val="22"/>
        </w:rPr>
      </w:pPr>
      <w:r w:rsidRPr="00FB3CCF">
        <w:rPr>
          <w:rFonts w:ascii="Arial" w:hAnsi="Arial" w:cs="Arial"/>
          <w:sz w:val="22"/>
          <w:szCs w:val="22"/>
        </w:rPr>
        <w:t>MacDougall, S. (2017) ‘Confronting the financing impasse: Risk management through internationally staged investments in tidal energy development’, International Journal of Marine Energy, pp. 78–87.</w:t>
      </w:r>
    </w:p>
    <w:p w14:paraId="5DCD9C70" w14:textId="77777777" w:rsidR="00FB3CCF" w:rsidRPr="00FB3CCF" w:rsidRDefault="00FB3CCF" w:rsidP="00FB3CCF">
      <w:pPr>
        <w:rPr>
          <w:rFonts w:ascii="Arial" w:hAnsi="Arial" w:cs="Arial"/>
          <w:sz w:val="22"/>
          <w:szCs w:val="22"/>
        </w:rPr>
      </w:pPr>
      <w:r w:rsidRPr="00FB3CCF">
        <w:rPr>
          <w:rFonts w:ascii="Arial" w:hAnsi="Arial" w:cs="Arial"/>
          <w:sz w:val="22"/>
          <w:szCs w:val="22"/>
        </w:rPr>
        <w:t>MacDougall, S. (2018) ‘Strategic timing of commercial-scale tidal energy investment’, International Marine Energy Journal.</w:t>
      </w:r>
    </w:p>
    <w:p w14:paraId="33F767A1" w14:textId="77777777" w:rsidR="00FB3CCF" w:rsidRPr="00FB3CCF" w:rsidRDefault="00FB3CCF" w:rsidP="00FB3CCF">
      <w:pPr>
        <w:rPr>
          <w:rFonts w:ascii="Arial" w:hAnsi="Arial" w:cs="Arial"/>
          <w:sz w:val="22"/>
          <w:szCs w:val="22"/>
        </w:rPr>
      </w:pPr>
      <w:r w:rsidRPr="00FB3CCF">
        <w:rPr>
          <w:rFonts w:ascii="Arial" w:hAnsi="Arial" w:cs="Arial"/>
          <w:sz w:val="22"/>
          <w:szCs w:val="22"/>
        </w:rPr>
        <w:t>MacGillivray, A. et al. (2014) ‘Innovation and cost reduction for marine renewable energy: A learning investment sensitivity analysis’, Technological Forecasting and Social Change, pp. 108–124.</w:t>
      </w:r>
    </w:p>
    <w:p w14:paraId="354F5764"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MacGillivray, A., Jeffrey, H. and Wallace, R. (2015) ‘The importance of iteration and deployment in technology development: A study of the impact on wave and tidal </w:t>
      </w:r>
      <w:proofErr w:type="gramStart"/>
      <w:r w:rsidRPr="00FB3CCF">
        <w:rPr>
          <w:rFonts w:ascii="Arial" w:hAnsi="Arial" w:cs="Arial"/>
          <w:sz w:val="22"/>
          <w:szCs w:val="22"/>
        </w:rPr>
        <w:t>stream energy</w:t>
      </w:r>
      <w:proofErr w:type="gramEnd"/>
      <w:r w:rsidRPr="00FB3CCF">
        <w:rPr>
          <w:rFonts w:ascii="Arial" w:hAnsi="Arial" w:cs="Arial"/>
          <w:sz w:val="22"/>
          <w:szCs w:val="22"/>
        </w:rPr>
        <w:t xml:space="preserve"> research, development and innovation’, Energy Policy, pp. 542–552.</w:t>
      </w:r>
    </w:p>
    <w:p w14:paraId="3FD8713E"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Mackie, C. and </w:t>
      </w:r>
      <w:proofErr w:type="spellStart"/>
      <w:r w:rsidRPr="00FB3CCF">
        <w:rPr>
          <w:rFonts w:ascii="Arial" w:hAnsi="Arial" w:cs="Arial"/>
          <w:sz w:val="22"/>
          <w:szCs w:val="22"/>
        </w:rPr>
        <w:t>Velenturf</w:t>
      </w:r>
      <w:proofErr w:type="spellEnd"/>
      <w:r w:rsidRPr="00FB3CCF">
        <w:rPr>
          <w:rFonts w:ascii="Arial" w:hAnsi="Arial" w:cs="Arial"/>
          <w:sz w:val="22"/>
          <w:szCs w:val="22"/>
        </w:rPr>
        <w:t>, A.P.M. (2021) ‘Trouble on the horizon: Securing the decommissioning of offshore renewable energy installations in UK waters’, Energy Policy, 160, 112479.</w:t>
      </w:r>
    </w:p>
    <w:p w14:paraId="6D7D3029" w14:textId="77777777" w:rsidR="00FB3CCF" w:rsidRPr="00FB3CCF" w:rsidRDefault="00FB3CCF" w:rsidP="00FB3CCF">
      <w:pPr>
        <w:rPr>
          <w:rFonts w:ascii="Arial" w:hAnsi="Arial" w:cs="Arial"/>
          <w:sz w:val="22"/>
          <w:szCs w:val="22"/>
        </w:rPr>
      </w:pPr>
      <w:r w:rsidRPr="00FB3CCF">
        <w:rPr>
          <w:rFonts w:ascii="Arial" w:hAnsi="Arial" w:cs="Arial"/>
          <w:sz w:val="22"/>
          <w:szCs w:val="22"/>
        </w:rPr>
        <w:t>Magagna, D. and Uihlein, A. (2015) ‘Ocean energy development in Europe: Current status and future perspectives’, International Journal of Marine Energy, pp. 84–104.</w:t>
      </w:r>
    </w:p>
    <w:p w14:paraId="76AD9086" w14:textId="77777777" w:rsidR="00FB3CCF" w:rsidRPr="00FB3CCF" w:rsidRDefault="00FB3CCF" w:rsidP="00FB3CCF">
      <w:pPr>
        <w:rPr>
          <w:rFonts w:ascii="Arial" w:hAnsi="Arial" w:cs="Arial"/>
          <w:sz w:val="22"/>
          <w:szCs w:val="22"/>
        </w:rPr>
      </w:pPr>
      <w:r w:rsidRPr="00FB3CCF">
        <w:rPr>
          <w:rFonts w:ascii="Arial" w:hAnsi="Arial" w:cs="Arial"/>
          <w:sz w:val="22"/>
          <w:szCs w:val="22"/>
        </w:rPr>
        <w:t>Magagna, D. et al. (2014) ‘SI-ocean strategic technology agenda for the ocean energy sector: From development to market’, 11th International Conference on the European Energy Market (EEM14), pp. 1–5.</w:t>
      </w:r>
    </w:p>
    <w:p w14:paraId="7B8E59A4" w14:textId="77777777" w:rsidR="00FB3CCF" w:rsidRPr="00FB3CCF" w:rsidRDefault="00FB3CCF" w:rsidP="00FB3CCF">
      <w:pPr>
        <w:rPr>
          <w:rFonts w:ascii="Arial" w:hAnsi="Arial" w:cs="Arial"/>
          <w:sz w:val="22"/>
          <w:szCs w:val="22"/>
        </w:rPr>
      </w:pPr>
      <w:r w:rsidRPr="00FB3CCF">
        <w:rPr>
          <w:rFonts w:ascii="Arial" w:hAnsi="Arial" w:cs="Arial"/>
          <w:sz w:val="22"/>
          <w:szCs w:val="22"/>
        </w:rPr>
        <w:t>Magagna, D., Monfardini, R. and Uihlein, A. (2018) ‘Ocean energy in Europe’, International Marine Energy Journal.</w:t>
      </w:r>
    </w:p>
    <w:p w14:paraId="1F11D740" w14:textId="77777777" w:rsidR="00FB3CCF" w:rsidRPr="00FB3CCF" w:rsidRDefault="00FB3CCF" w:rsidP="00FB3CCF">
      <w:pPr>
        <w:rPr>
          <w:rFonts w:ascii="Arial" w:hAnsi="Arial" w:cs="Arial"/>
          <w:sz w:val="22"/>
          <w:szCs w:val="22"/>
        </w:rPr>
      </w:pPr>
      <w:r w:rsidRPr="00FB3CCF">
        <w:rPr>
          <w:rFonts w:ascii="Arial" w:hAnsi="Arial" w:cs="Arial"/>
          <w:sz w:val="22"/>
          <w:szCs w:val="22"/>
        </w:rPr>
        <w:t>Martins, E. (2014) ‘Risk Assessment of Ocean Energy Projects’.</w:t>
      </w:r>
    </w:p>
    <w:p w14:paraId="0A7B70AB" w14:textId="77777777" w:rsidR="00FB3CCF" w:rsidRPr="00FB3CCF" w:rsidRDefault="00FB3CCF" w:rsidP="00FB3CCF">
      <w:pPr>
        <w:rPr>
          <w:rFonts w:ascii="Arial" w:hAnsi="Arial" w:cs="Arial"/>
          <w:sz w:val="22"/>
          <w:szCs w:val="22"/>
        </w:rPr>
      </w:pPr>
      <w:r w:rsidRPr="00FB3CCF">
        <w:rPr>
          <w:rFonts w:ascii="Arial" w:hAnsi="Arial" w:cs="Arial"/>
          <w:sz w:val="22"/>
          <w:szCs w:val="22"/>
        </w:rPr>
        <w:t>McCoy, W. and Schwartz, K. (2022) ‘The water finance gap and the multiple interpretations of “bankability”’, Journal of Water, Sanitation and Hygiene for Development, 13(1), pp. 19–29.</w:t>
      </w:r>
    </w:p>
    <w:p w14:paraId="3C9E0F5C" w14:textId="77777777" w:rsidR="00FB3CCF" w:rsidRPr="00FB3CCF" w:rsidRDefault="00FB3CCF" w:rsidP="00FB3CCF">
      <w:pPr>
        <w:rPr>
          <w:rFonts w:ascii="Arial" w:hAnsi="Arial" w:cs="Arial"/>
          <w:sz w:val="22"/>
          <w:szCs w:val="22"/>
        </w:rPr>
      </w:pPr>
      <w:r w:rsidRPr="00FB3CCF">
        <w:rPr>
          <w:rFonts w:ascii="Arial" w:hAnsi="Arial" w:cs="Arial"/>
          <w:sz w:val="22"/>
          <w:szCs w:val="22"/>
        </w:rPr>
        <w:t>Mitchell, C., Bauknecht, D. and Connor, P. (2006) ‘Effectiveness through risk reduction: a comparison of the renewable obligation in England and Wales and the feed-in system in Germany’, Energy Policy, pp. 297-305.</w:t>
      </w:r>
    </w:p>
    <w:p w14:paraId="16C021F4" w14:textId="77777777" w:rsidR="00FB3CCF" w:rsidRPr="00FB3CCF" w:rsidRDefault="00FB3CCF" w:rsidP="00FB3CCF">
      <w:pPr>
        <w:rPr>
          <w:rFonts w:ascii="Arial" w:hAnsi="Arial" w:cs="Arial"/>
          <w:sz w:val="22"/>
          <w:szCs w:val="22"/>
        </w:rPr>
      </w:pPr>
      <w:r w:rsidRPr="00FB3CCF">
        <w:rPr>
          <w:rFonts w:ascii="Arial" w:hAnsi="Arial" w:cs="Arial"/>
          <w:sz w:val="22"/>
          <w:szCs w:val="22"/>
        </w:rPr>
        <w:t>Murphy, L. and Edwards, P. (2003) ‘Bridging the Valley of Death: Transitioning from Public to Private Sector Financing’.</w:t>
      </w:r>
    </w:p>
    <w:p w14:paraId="63E345D6" w14:textId="77777777" w:rsidR="00FB3CCF" w:rsidRPr="00FB3CCF" w:rsidRDefault="00FB3CCF" w:rsidP="00FB3CCF">
      <w:pPr>
        <w:rPr>
          <w:rFonts w:ascii="Arial" w:hAnsi="Arial" w:cs="Arial"/>
          <w:sz w:val="22"/>
          <w:szCs w:val="22"/>
        </w:rPr>
      </w:pPr>
      <w:r w:rsidRPr="00FB3CCF">
        <w:rPr>
          <w:rFonts w:ascii="Arial" w:hAnsi="Arial" w:cs="Arial"/>
          <w:sz w:val="22"/>
          <w:szCs w:val="22"/>
        </w:rPr>
        <w:t>Negro, S. (2007) ‘Dynamics of Technological Innovation Systems: The case of biomass energy’.</w:t>
      </w:r>
    </w:p>
    <w:p w14:paraId="20FB056D"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Neumann, F. et al. (2006) ‘Licensing and environmental issues of wave energy </w:t>
      </w:r>
      <w:proofErr w:type="gramStart"/>
      <w:r w:rsidRPr="00FB3CCF">
        <w:rPr>
          <w:rFonts w:ascii="Arial" w:hAnsi="Arial" w:cs="Arial"/>
          <w:sz w:val="22"/>
          <w:szCs w:val="22"/>
        </w:rPr>
        <w:t>projects’</w:t>
      </w:r>
      <w:proofErr w:type="gramEnd"/>
      <w:r w:rsidRPr="00FB3CCF">
        <w:rPr>
          <w:rFonts w:ascii="Arial" w:hAnsi="Arial" w:cs="Arial"/>
          <w:sz w:val="22"/>
          <w:szCs w:val="22"/>
        </w:rPr>
        <w:t>.</w:t>
      </w:r>
    </w:p>
    <w:p w14:paraId="590BE28A"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Nightingale, P. et al. (2016) ‘Financing renewable energy: who is financing what and why </w:t>
      </w:r>
      <w:proofErr w:type="gramStart"/>
      <w:r w:rsidRPr="00FB3CCF">
        <w:rPr>
          <w:rFonts w:ascii="Arial" w:hAnsi="Arial" w:cs="Arial"/>
          <w:sz w:val="22"/>
          <w:szCs w:val="22"/>
        </w:rPr>
        <w:t>it</w:t>
      </w:r>
      <w:proofErr w:type="gramEnd"/>
      <w:r w:rsidRPr="00FB3CCF">
        <w:rPr>
          <w:rFonts w:ascii="Arial" w:hAnsi="Arial" w:cs="Arial"/>
          <w:sz w:val="22"/>
          <w:szCs w:val="22"/>
        </w:rPr>
        <w:t xml:space="preserve"> matters’.</w:t>
      </w:r>
    </w:p>
    <w:p w14:paraId="37FEADF6" w14:textId="77777777" w:rsidR="00FB3CCF" w:rsidRPr="00FB3CCF" w:rsidRDefault="00FB3CCF" w:rsidP="00FB3CCF">
      <w:pPr>
        <w:rPr>
          <w:rFonts w:ascii="Arial" w:hAnsi="Arial" w:cs="Arial"/>
          <w:sz w:val="22"/>
          <w:szCs w:val="22"/>
        </w:rPr>
      </w:pPr>
      <w:r w:rsidRPr="00FB3CCF">
        <w:rPr>
          <w:rFonts w:ascii="Arial" w:hAnsi="Arial" w:cs="Arial"/>
          <w:sz w:val="22"/>
          <w:szCs w:val="22"/>
        </w:rPr>
        <w:lastRenderedPageBreak/>
        <w:t xml:space="preserve">Nightingale, P., Addis, N., Coad, A., Crowley, F., Mina, A., Rhodes-Kropf, M., et al. (2016) ‘Financing renewable energy: Who is financing what and why </w:t>
      </w:r>
      <w:proofErr w:type="gramStart"/>
      <w:r w:rsidRPr="00FB3CCF">
        <w:rPr>
          <w:rFonts w:ascii="Arial" w:hAnsi="Arial" w:cs="Arial"/>
          <w:sz w:val="22"/>
          <w:szCs w:val="22"/>
        </w:rPr>
        <w:t>it</w:t>
      </w:r>
      <w:proofErr w:type="gramEnd"/>
      <w:r w:rsidRPr="00FB3CCF">
        <w:rPr>
          <w:rFonts w:ascii="Arial" w:hAnsi="Arial" w:cs="Arial"/>
          <w:sz w:val="22"/>
          <w:szCs w:val="22"/>
        </w:rPr>
        <w:t xml:space="preserve"> matters’, Technological Forecasting and Social Change, 127, pp. 8–22.</w:t>
      </w:r>
    </w:p>
    <w:p w14:paraId="40648A70" w14:textId="77777777" w:rsidR="00FB3CCF" w:rsidRPr="00FB3CCF" w:rsidRDefault="00FB3CCF" w:rsidP="00FB3CCF">
      <w:pPr>
        <w:rPr>
          <w:rFonts w:ascii="Arial" w:hAnsi="Arial" w:cs="Arial"/>
          <w:sz w:val="22"/>
          <w:szCs w:val="22"/>
        </w:rPr>
      </w:pPr>
      <w:r w:rsidRPr="00FB3CCF">
        <w:rPr>
          <w:rFonts w:ascii="Arial" w:hAnsi="Arial" w:cs="Arial"/>
          <w:sz w:val="22"/>
          <w:szCs w:val="22"/>
        </w:rPr>
        <w:t>Norris, J. (2009) ‘European Marine Energy Centre: the development of a targeted environmental monitoring strategy and the streamlining of marine renewables consents in Scotland’.</w:t>
      </w:r>
    </w:p>
    <w:p w14:paraId="6C1FBCE2"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O’Connor, M., Lewis, T.W. and Dalton, G. (2013a) ‘Techno-economic performance of the Pelamis P1 and </w:t>
      </w:r>
      <w:proofErr w:type="spellStart"/>
      <w:r w:rsidRPr="00FB3CCF">
        <w:rPr>
          <w:rFonts w:ascii="Arial" w:hAnsi="Arial" w:cs="Arial"/>
          <w:sz w:val="22"/>
          <w:szCs w:val="22"/>
        </w:rPr>
        <w:t>Wavestar</w:t>
      </w:r>
      <w:proofErr w:type="spellEnd"/>
      <w:r w:rsidRPr="00FB3CCF">
        <w:rPr>
          <w:rFonts w:ascii="Arial" w:hAnsi="Arial" w:cs="Arial"/>
          <w:sz w:val="22"/>
          <w:szCs w:val="22"/>
        </w:rPr>
        <w:t xml:space="preserve"> at different ratings and various locations in Europe’, Renewable Energy, pp. 889–900.</w:t>
      </w:r>
    </w:p>
    <w:p w14:paraId="189E0DE9" w14:textId="77777777" w:rsidR="00FB3CCF" w:rsidRPr="00FB3CCF" w:rsidRDefault="00FB3CCF" w:rsidP="00FB3CCF">
      <w:pPr>
        <w:rPr>
          <w:rFonts w:ascii="Arial" w:hAnsi="Arial" w:cs="Arial"/>
          <w:sz w:val="22"/>
          <w:szCs w:val="22"/>
        </w:rPr>
      </w:pPr>
      <w:r w:rsidRPr="00FB3CCF">
        <w:rPr>
          <w:rFonts w:ascii="Arial" w:hAnsi="Arial" w:cs="Arial"/>
          <w:sz w:val="22"/>
          <w:szCs w:val="22"/>
        </w:rPr>
        <w:t>O’Connor, M., Lewis, T.W. and Dalton, G. (2013b) ‘Operational expenditure costs for wave energy projects and impacts on financial returns’, Renewable Energy, pp. 1119–1131.</w:t>
      </w:r>
    </w:p>
    <w:p w14:paraId="02885507" w14:textId="77777777" w:rsidR="00FB3CCF" w:rsidRPr="00FB3CCF" w:rsidRDefault="00FB3CCF" w:rsidP="00FB3CCF">
      <w:pPr>
        <w:rPr>
          <w:rFonts w:ascii="Arial" w:hAnsi="Arial" w:cs="Arial"/>
          <w:sz w:val="22"/>
          <w:szCs w:val="22"/>
        </w:rPr>
      </w:pPr>
      <w:r w:rsidRPr="00FB3CCF">
        <w:rPr>
          <w:rFonts w:ascii="Arial" w:hAnsi="Arial" w:cs="Arial"/>
          <w:sz w:val="22"/>
          <w:szCs w:val="22"/>
        </w:rPr>
        <w:t>O’Hagan, A. et al. (2016) ‘Wave energy in Europe: Views on experiences and progress to date’, International Journal of Marine Energy, pp. 180–197.</w:t>
      </w:r>
    </w:p>
    <w:p w14:paraId="4332958E"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O’Reilly, S., Mac an Bhaird, C. and Greene, F. (2024) ‘The role of equity capital in speeding </w:t>
      </w:r>
      <w:proofErr w:type="spellStart"/>
      <w:r w:rsidRPr="00FB3CCF">
        <w:rPr>
          <w:rFonts w:ascii="Arial" w:hAnsi="Arial" w:cs="Arial"/>
          <w:sz w:val="22"/>
          <w:szCs w:val="22"/>
        </w:rPr>
        <w:t>cleantechs</w:t>
      </w:r>
      <w:proofErr w:type="spellEnd"/>
      <w:r w:rsidRPr="00FB3CCF">
        <w:rPr>
          <w:rFonts w:ascii="Arial" w:hAnsi="Arial" w:cs="Arial"/>
          <w:sz w:val="22"/>
          <w:szCs w:val="22"/>
        </w:rPr>
        <w:t xml:space="preserve"> across the “Valley of Death”’, International Small Business Journal, pp. 3-29.</w:t>
      </w:r>
    </w:p>
    <w:p w14:paraId="06A04248" w14:textId="77777777" w:rsidR="00FB3CCF" w:rsidRPr="00FB3CCF" w:rsidRDefault="00FB3CCF" w:rsidP="00FB3CCF">
      <w:pPr>
        <w:rPr>
          <w:rFonts w:ascii="Arial" w:hAnsi="Arial" w:cs="Arial"/>
          <w:sz w:val="22"/>
          <w:szCs w:val="22"/>
        </w:rPr>
      </w:pPr>
      <w:r w:rsidRPr="00FB3CCF">
        <w:rPr>
          <w:rFonts w:ascii="Arial" w:hAnsi="Arial" w:cs="Arial"/>
          <w:sz w:val="22"/>
          <w:szCs w:val="22"/>
        </w:rPr>
        <w:t>Owen, R. (2021) ‘Lessons from government venture capital funds to enable transition to a low-carbon economy: The U.K. case’, IEEE Transactions on Engineering Management, pp. 1–15.</w:t>
      </w:r>
    </w:p>
    <w:p w14:paraId="4D1B7888" w14:textId="77777777" w:rsidR="00FB3CCF" w:rsidRPr="00FB3CCF" w:rsidRDefault="00FB3CCF" w:rsidP="00FB3CCF">
      <w:pPr>
        <w:rPr>
          <w:rFonts w:ascii="Arial" w:hAnsi="Arial" w:cs="Arial"/>
          <w:sz w:val="22"/>
          <w:szCs w:val="22"/>
        </w:rPr>
      </w:pPr>
      <w:r w:rsidRPr="00FB3CCF">
        <w:rPr>
          <w:rFonts w:ascii="Arial" w:hAnsi="Arial" w:cs="Arial"/>
          <w:sz w:val="22"/>
          <w:szCs w:val="22"/>
        </w:rPr>
        <w:t>Owen, R. et al. (2020) ‘Early stage investing in green SMEs: The case of the UK’, ACRN Journal of Finance and Risk Perspectives.</w:t>
      </w:r>
    </w:p>
    <w:p w14:paraId="31EBD1F9" w14:textId="77777777" w:rsidR="00FB3CCF" w:rsidRPr="00FB3CCF" w:rsidRDefault="00FB3CCF" w:rsidP="00FB3CCF">
      <w:pPr>
        <w:rPr>
          <w:rFonts w:ascii="Arial" w:hAnsi="Arial" w:cs="Arial"/>
          <w:sz w:val="22"/>
          <w:szCs w:val="22"/>
        </w:rPr>
      </w:pPr>
      <w:r w:rsidRPr="00FB3CCF">
        <w:rPr>
          <w:rFonts w:ascii="Arial" w:hAnsi="Arial" w:cs="Arial"/>
          <w:sz w:val="22"/>
          <w:szCs w:val="22"/>
        </w:rPr>
        <w:t>Pennock, S. et al. (2022) ‘Deriving current cost requirements from future targets: Case studies for emerging offshore renewable energy technologies’, Energies.</w:t>
      </w:r>
    </w:p>
    <w:p w14:paraId="3EE30BC2" w14:textId="77777777" w:rsidR="00FB3CCF" w:rsidRPr="00FB3CCF" w:rsidRDefault="00FB3CCF" w:rsidP="00FB3CCF">
      <w:pPr>
        <w:rPr>
          <w:rFonts w:ascii="Arial" w:hAnsi="Arial" w:cs="Arial"/>
          <w:sz w:val="22"/>
          <w:szCs w:val="22"/>
        </w:rPr>
      </w:pPr>
      <w:r w:rsidRPr="00FB3CCF">
        <w:rPr>
          <w:rFonts w:ascii="Arial" w:hAnsi="Arial" w:cs="Arial"/>
          <w:sz w:val="22"/>
          <w:szCs w:val="22"/>
        </w:rPr>
        <w:t>Peplinski, W. et al. (2021) ‘Marine energy environmental permitting and compliance costs’, Energies.</w:t>
      </w:r>
    </w:p>
    <w:p w14:paraId="2746E433" w14:textId="77777777" w:rsidR="00FB3CCF" w:rsidRPr="00FB3CCF" w:rsidRDefault="00FB3CCF" w:rsidP="00FB3CCF">
      <w:pPr>
        <w:rPr>
          <w:rFonts w:ascii="Arial" w:hAnsi="Arial" w:cs="Arial"/>
          <w:sz w:val="22"/>
          <w:szCs w:val="22"/>
        </w:rPr>
      </w:pPr>
      <w:r w:rsidRPr="00FB3CCF">
        <w:rPr>
          <w:rFonts w:ascii="Arial" w:hAnsi="Arial" w:cs="Arial"/>
          <w:sz w:val="22"/>
          <w:szCs w:val="22"/>
        </w:rPr>
        <w:t>Polzin, F., Egli, F., Steffen, B. and Schmidt, T.S. (2019) ‘How do policies mobilize private finance for renewable energy? A systematic review with an investor perspective’, Applied Energy, 236, pp. 1249–1268.</w:t>
      </w:r>
    </w:p>
    <w:p w14:paraId="65AD4062" w14:textId="77777777" w:rsidR="00FB3CCF" w:rsidRPr="00FB3CCF" w:rsidRDefault="00FB3CCF" w:rsidP="00FB3CCF">
      <w:pPr>
        <w:rPr>
          <w:rFonts w:ascii="Arial" w:hAnsi="Arial" w:cs="Arial"/>
          <w:sz w:val="22"/>
          <w:szCs w:val="22"/>
        </w:rPr>
      </w:pPr>
      <w:r w:rsidRPr="00FB3CCF">
        <w:rPr>
          <w:rFonts w:ascii="Arial" w:hAnsi="Arial" w:cs="Arial"/>
          <w:sz w:val="22"/>
          <w:szCs w:val="22"/>
        </w:rPr>
        <w:t>Randolph, J. (2009) ‘A guide to writing the dissertation literature review’, Practical Assessment, Research and Evaluation, 14(13), pp. 1–13.</w:t>
      </w:r>
    </w:p>
    <w:p w14:paraId="428BD0DC" w14:textId="77777777" w:rsidR="00FB3CCF" w:rsidRPr="00FB3CCF" w:rsidRDefault="00FB3CCF" w:rsidP="00FB3CCF">
      <w:pPr>
        <w:rPr>
          <w:rFonts w:ascii="Arial" w:hAnsi="Arial" w:cs="Arial"/>
          <w:sz w:val="22"/>
          <w:szCs w:val="22"/>
        </w:rPr>
      </w:pPr>
      <w:r w:rsidRPr="00FB3CCF">
        <w:rPr>
          <w:rFonts w:ascii="Arial" w:hAnsi="Arial" w:cs="Arial"/>
          <w:sz w:val="22"/>
          <w:szCs w:val="22"/>
        </w:rPr>
        <w:t>Renzi, E. et al. (2021) ‘Niche applications and flexible devices for wave energy conversion: A review’, Energies.</w:t>
      </w:r>
    </w:p>
    <w:p w14:paraId="08D858EC"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Romero, R., Sulima, O. and </w:t>
      </w:r>
      <w:proofErr w:type="spellStart"/>
      <w:r w:rsidRPr="00FB3CCF">
        <w:rPr>
          <w:rFonts w:ascii="Arial" w:hAnsi="Arial" w:cs="Arial"/>
          <w:sz w:val="22"/>
          <w:szCs w:val="22"/>
        </w:rPr>
        <w:t>Conibeer</w:t>
      </w:r>
      <w:proofErr w:type="spellEnd"/>
      <w:r w:rsidRPr="00FB3CCF">
        <w:rPr>
          <w:rFonts w:ascii="Arial" w:hAnsi="Arial" w:cs="Arial"/>
          <w:sz w:val="22"/>
          <w:szCs w:val="22"/>
        </w:rPr>
        <w:t xml:space="preserve">, G. (2017) ‘Bankability of novel energy </w:t>
      </w:r>
      <w:proofErr w:type="gramStart"/>
      <w:r w:rsidRPr="00FB3CCF">
        <w:rPr>
          <w:rFonts w:ascii="Arial" w:hAnsi="Arial" w:cs="Arial"/>
          <w:sz w:val="22"/>
          <w:szCs w:val="22"/>
        </w:rPr>
        <w:t>technologies’</w:t>
      </w:r>
      <w:proofErr w:type="gramEnd"/>
      <w:r w:rsidRPr="00FB3CCF">
        <w:rPr>
          <w:rFonts w:ascii="Arial" w:hAnsi="Arial" w:cs="Arial"/>
          <w:sz w:val="22"/>
          <w:szCs w:val="22"/>
        </w:rPr>
        <w:t>. Conference presentation.</w:t>
      </w:r>
    </w:p>
    <w:p w14:paraId="6ED816C5" w14:textId="77777777" w:rsidR="00FB3CCF" w:rsidRPr="00FB3CCF" w:rsidRDefault="00FB3CCF" w:rsidP="00FB3CCF">
      <w:pPr>
        <w:rPr>
          <w:rFonts w:ascii="Arial" w:hAnsi="Arial" w:cs="Arial"/>
          <w:sz w:val="22"/>
          <w:szCs w:val="22"/>
        </w:rPr>
      </w:pPr>
      <w:r w:rsidRPr="00FB3CCF">
        <w:rPr>
          <w:rFonts w:ascii="Arial" w:hAnsi="Arial" w:cs="Arial"/>
          <w:sz w:val="22"/>
          <w:szCs w:val="22"/>
        </w:rPr>
        <w:t>Ruiz-Minguela, P. et al. (2022) ‘Estimating future costs of emerging wave energy technologies’, Sustainability.</w:t>
      </w:r>
    </w:p>
    <w:p w14:paraId="72EE76E1" w14:textId="77777777" w:rsidR="00FB3CCF" w:rsidRPr="00FB3CCF" w:rsidRDefault="00FB3CCF" w:rsidP="00FB3CCF">
      <w:pPr>
        <w:rPr>
          <w:rFonts w:ascii="Arial" w:hAnsi="Arial" w:cs="Arial"/>
          <w:sz w:val="22"/>
          <w:szCs w:val="22"/>
        </w:rPr>
      </w:pPr>
      <w:r w:rsidRPr="00FB3CCF">
        <w:rPr>
          <w:rFonts w:ascii="Arial" w:hAnsi="Arial" w:cs="Arial"/>
          <w:sz w:val="22"/>
          <w:szCs w:val="22"/>
        </w:rPr>
        <w:t>Schmidt, T. (2014) ‘Low-carbon investment risks and de-risking’, Nature Climate Change, 4, pp. 237–239.</w:t>
      </w:r>
    </w:p>
    <w:p w14:paraId="4153848F" w14:textId="77777777" w:rsidR="00FB3CCF" w:rsidRPr="00FB3CCF" w:rsidRDefault="00FB3CCF" w:rsidP="00FB3CCF">
      <w:pPr>
        <w:rPr>
          <w:rFonts w:ascii="Arial" w:hAnsi="Arial" w:cs="Arial"/>
          <w:sz w:val="22"/>
          <w:szCs w:val="22"/>
        </w:rPr>
      </w:pPr>
      <w:r w:rsidRPr="00FB3CCF">
        <w:rPr>
          <w:rFonts w:ascii="Arial" w:hAnsi="Arial" w:cs="Arial"/>
          <w:sz w:val="22"/>
          <w:szCs w:val="22"/>
        </w:rPr>
        <w:t>Shah, S. (2018) ‘Improved uncertainty analysis for tidal energy project development’.</w:t>
      </w:r>
    </w:p>
    <w:p w14:paraId="3C112E4D" w14:textId="77777777" w:rsidR="00FB3CCF" w:rsidRPr="00FB3CCF" w:rsidRDefault="00FB3CCF" w:rsidP="00FB3CCF">
      <w:pPr>
        <w:rPr>
          <w:rFonts w:ascii="Arial" w:hAnsi="Arial" w:cs="Arial"/>
          <w:sz w:val="22"/>
          <w:szCs w:val="22"/>
        </w:rPr>
      </w:pPr>
      <w:r w:rsidRPr="00FB3CCF">
        <w:rPr>
          <w:rFonts w:ascii="Arial" w:hAnsi="Arial" w:cs="Arial"/>
          <w:sz w:val="22"/>
          <w:szCs w:val="22"/>
        </w:rPr>
        <w:lastRenderedPageBreak/>
        <w:t>Shah, S. et al. (2017) ‘De-Risking Marine Energy Project Development Through Improved Financial Uncertainty Analysis’.</w:t>
      </w:r>
    </w:p>
    <w:p w14:paraId="7A2A1D55" w14:textId="77777777" w:rsidR="00FB3CCF" w:rsidRPr="00FB3CCF" w:rsidRDefault="00FB3CCF" w:rsidP="00FB3CCF">
      <w:pPr>
        <w:rPr>
          <w:rFonts w:ascii="Arial" w:hAnsi="Arial" w:cs="Arial"/>
          <w:sz w:val="22"/>
          <w:szCs w:val="22"/>
        </w:rPr>
      </w:pPr>
      <w:r w:rsidRPr="00FB3CCF">
        <w:rPr>
          <w:rFonts w:ascii="Arial" w:hAnsi="Arial" w:cs="Arial"/>
          <w:sz w:val="22"/>
          <w:szCs w:val="22"/>
        </w:rPr>
        <w:t>Simas, T. et al. (2000) ‘Review of consenting processes for ocean energy in selected European Union Member States’.</w:t>
      </w:r>
    </w:p>
    <w:p w14:paraId="3CB42C28"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Simas, T. et al. (2012) ‘Understanding the role of stakeholders in the wave energy consenting process: engagement </w:t>
      </w:r>
      <w:proofErr w:type="gramStart"/>
      <w:r w:rsidRPr="00FB3CCF">
        <w:rPr>
          <w:rFonts w:ascii="Arial" w:hAnsi="Arial" w:cs="Arial"/>
          <w:sz w:val="22"/>
          <w:szCs w:val="22"/>
        </w:rPr>
        <w:t>sensitivities’</w:t>
      </w:r>
      <w:proofErr w:type="gramEnd"/>
      <w:r w:rsidRPr="00FB3CCF">
        <w:rPr>
          <w:rFonts w:ascii="Arial" w:hAnsi="Arial" w:cs="Arial"/>
          <w:sz w:val="22"/>
          <w:szCs w:val="22"/>
        </w:rPr>
        <w:t>.</w:t>
      </w:r>
    </w:p>
    <w:p w14:paraId="670ED21F"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Smith, G.H. et al. (2009) ‘The development of an international WEC test centre in the </w:t>
      </w:r>
      <w:proofErr w:type="gramStart"/>
      <w:r w:rsidRPr="00FB3CCF">
        <w:rPr>
          <w:rFonts w:ascii="Arial" w:hAnsi="Arial" w:cs="Arial"/>
          <w:sz w:val="22"/>
          <w:szCs w:val="22"/>
        </w:rPr>
        <w:t>South West</w:t>
      </w:r>
      <w:proofErr w:type="gramEnd"/>
      <w:r w:rsidRPr="00FB3CCF">
        <w:rPr>
          <w:rFonts w:ascii="Arial" w:hAnsi="Arial" w:cs="Arial"/>
          <w:sz w:val="22"/>
          <w:szCs w:val="22"/>
        </w:rPr>
        <w:t xml:space="preserve"> of England’, pp. 1055–1063.</w:t>
      </w:r>
    </w:p>
    <w:p w14:paraId="3E9FD610" w14:textId="77777777" w:rsidR="00FB3CCF" w:rsidRPr="00FB3CCF" w:rsidRDefault="00FB3CCF" w:rsidP="00FB3CCF">
      <w:pPr>
        <w:rPr>
          <w:rFonts w:ascii="Arial" w:hAnsi="Arial" w:cs="Arial"/>
          <w:sz w:val="22"/>
          <w:szCs w:val="22"/>
        </w:rPr>
      </w:pPr>
      <w:r w:rsidRPr="00FB3CCF">
        <w:rPr>
          <w:rFonts w:ascii="Arial" w:hAnsi="Arial" w:cs="Arial"/>
          <w:sz w:val="22"/>
          <w:szCs w:val="22"/>
        </w:rPr>
        <w:t>Stallard, T., Ricci, P. and Parque Tecnológico (2009) ‘Economic Assessment of Marine Energy Schemes’.</w:t>
      </w:r>
    </w:p>
    <w:p w14:paraId="14E405BF" w14:textId="77777777" w:rsidR="00FB3CCF" w:rsidRPr="00FB3CCF" w:rsidRDefault="00FB3CCF" w:rsidP="00FB3CCF">
      <w:pPr>
        <w:rPr>
          <w:rFonts w:ascii="Arial" w:hAnsi="Arial" w:cs="Arial"/>
          <w:sz w:val="22"/>
          <w:szCs w:val="22"/>
        </w:rPr>
      </w:pPr>
      <w:r w:rsidRPr="00FB3CCF">
        <w:rPr>
          <w:rFonts w:ascii="Arial" w:hAnsi="Arial" w:cs="Arial"/>
          <w:sz w:val="22"/>
          <w:szCs w:val="22"/>
        </w:rPr>
        <w:t>Stallard, T., Rothschild, R. and Aggidis, G. (2008) ‘A comparative approach to the economic modelling of a large-scale wave power scheme’, European Journal of Operational Research, pp. 884–898.</w:t>
      </w:r>
    </w:p>
    <w:p w14:paraId="0ABD3360" w14:textId="77777777" w:rsidR="00FB3CCF" w:rsidRPr="00FB3CCF" w:rsidRDefault="00FB3CCF" w:rsidP="00FB3CCF">
      <w:pPr>
        <w:rPr>
          <w:rFonts w:ascii="Arial" w:hAnsi="Arial" w:cs="Arial"/>
          <w:sz w:val="22"/>
          <w:szCs w:val="22"/>
        </w:rPr>
      </w:pPr>
      <w:r w:rsidRPr="00FB3CCF">
        <w:rPr>
          <w:rFonts w:ascii="Arial" w:hAnsi="Arial" w:cs="Arial"/>
          <w:sz w:val="22"/>
          <w:szCs w:val="22"/>
        </w:rPr>
        <w:t>Steffen, B. (2018) ‘The importance of project finance for renewable energy projects’, Energy Economics, 69, pp. 280–294.</w:t>
      </w:r>
    </w:p>
    <w:p w14:paraId="1768AC30" w14:textId="77777777" w:rsidR="00FB3CCF" w:rsidRPr="00FB3CCF" w:rsidRDefault="00FB3CCF" w:rsidP="00FB3CCF">
      <w:pPr>
        <w:rPr>
          <w:rFonts w:ascii="Arial" w:hAnsi="Arial" w:cs="Arial"/>
          <w:sz w:val="22"/>
          <w:szCs w:val="22"/>
        </w:rPr>
      </w:pPr>
      <w:r w:rsidRPr="00FB3CCF">
        <w:rPr>
          <w:rFonts w:ascii="Arial" w:hAnsi="Arial" w:cs="Arial"/>
          <w:sz w:val="22"/>
          <w:szCs w:val="22"/>
        </w:rPr>
        <w:t>Steffen, B. (2020) ‘Estimating the cost of capital for renewable energy projects’, Energy Economics, 88.</w:t>
      </w:r>
    </w:p>
    <w:p w14:paraId="25A27DC3" w14:textId="77777777" w:rsidR="00FB3CCF" w:rsidRPr="00FB3CCF" w:rsidRDefault="00FB3CCF" w:rsidP="00FB3CCF">
      <w:pPr>
        <w:rPr>
          <w:rFonts w:ascii="Arial" w:hAnsi="Arial" w:cs="Arial"/>
          <w:sz w:val="22"/>
          <w:szCs w:val="22"/>
        </w:rPr>
      </w:pPr>
      <w:r w:rsidRPr="00FB3CCF">
        <w:rPr>
          <w:rFonts w:ascii="Arial" w:hAnsi="Arial" w:cs="Arial"/>
          <w:sz w:val="22"/>
          <w:szCs w:val="22"/>
        </w:rPr>
        <w:t>Stegman, A.V. et al. (2017) ‘Exploring marine energy potential in the UK using a whole systems modelling approach’, Energies, 10(9), 1251.</w:t>
      </w:r>
    </w:p>
    <w:p w14:paraId="65BF70E3"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Suurs</w:t>
      </w:r>
      <w:proofErr w:type="spellEnd"/>
      <w:r w:rsidRPr="00FB3CCF">
        <w:rPr>
          <w:rFonts w:ascii="Arial" w:hAnsi="Arial" w:cs="Arial"/>
          <w:sz w:val="22"/>
          <w:szCs w:val="22"/>
        </w:rPr>
        <w:t>, R. and Hekkert, M. (2009) ‘Motors of sustainable innovation’.</w:t>
      </w:r>
    </w:p>
    <w:p w14:paraId="7C5AA681"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Têtu</w:t>
      </w:r>
      <w:proofErr w:type="spellEnd"/>
      <w:r w:rsidRPr="00FB3CCF">
        <w:rPr>
          <w:rFonts w:ascii="Arial" w:hAnsi="Arial" w:cs="Arial"/>
          <w:sz w:val="22"/>
          <w:szCs w:val="22"/>
        </w:rPr>
        <w:t>, A. and Fernández Chozas, J. (2021) ‘A proposed guidance for the economic assessment of wave energy converters at early development stages’, Energies.</w:t>
      </w:r>
    </w:p>
    <w:p w14:paraId="3CB28E3C" w14:textId="77777777" w:rsidR="00FB3CCF" w:rsidRPr="00FB3CCF" w:rsidRDefault="00FB3CCF" w:rsidP="00FB3CCF">
      <w:pPr>
        <w:rPr>
          <w:rFonts w:ascii="Arial" w:hAnsi="Arial" w:cs="Arial"/>
          <w:sz w:val="22"/>
          <w:szCs w:val="22"/>
        </w:rPr>
      </w:pPr>
      <w:r w:rsidRPr="00FB3CCF">
        <w:rPr>
          <w:rFonts w:ascii="Arial" w:hAnsi="Arial" w:cs="Arial"/>
          <w:sz w:val="22"/>
          <w:szCs w:val="22"/>
        </w:rPr>
        <w:t>Topper, M. et al. (2019) ‘Reducing variability in the cost of energy of ocean energy arrays’, Renewable and Sustainable Energy Reviews.</w:t>
      </w:r>
    </w:p>
    <w:p w14:paraId="290778E0" w14:textId="77777777" w:rsidR="00FB3CCF" w:rsidRPr="00FB3CCF" w:rsidRDefault="00FB3CCF" w:rsidP="00FB3CCF">
      <w:pPr>
        <w:rPr>
          <w:rFonts w:ascii="Arial" w:hAnsi="Arial" w:cs="Arial"/>
          <w:sz w:val="22"/>
          <w:szCs w:val="22"/>
        </w:rPr>
      </w:pPr>
      <w:r w:rsidRPr="00FB3CCF">
        <w:rPr>
          <w:rFonts w:ascii="Arial" w:hAnsi="Arial" w:cs="Arial"/>
          <w:sz w:val="22"/>
          <w:szCs w:val="22"/>
        </w:rPr>
        <w:t>Uihlein, A. and Magagna, D. (2016) ‘Wave and tidal current energy – A review of the current state of research beyond technology’, Renewable &amp; Sustainable Energy Reviews, pp. 1070–1081.</w:t>
      </w:r>
    </w:p>
    <w:p w14:paraId="1EB5047D" w14:textId="77777777" w:rsidR="00FB3CCF" w:rsidRPr="00FB3CCF" w:rsidRDefault="00FB3CCF" w:rsidP="00FB3CCF">
      <w:pPr>
        <w:rPr>
          <w:rFonts w:ascii="Arial" w:hAnsi="Arial" w:cs="Arial"/>
          <w:sz w:val="22"/>
          <w:szCs w:val="22"/>
        </w:rPr>
      </w:pPr>
      <w:r w:rsidRPr="00FB3CCF">
        <w:rPr>
          <w:rFonts w:ascii="Arial" w:hAnsi="Arial" w:cs="Arial"/>
          <w:sz w:val="22"/>
          <w:szCs w:val="22"/>
        </w:rPr>
        <w:t>Vaan, S.D. (2009) ‘Crossing the Energy Valley of Death: Financing of low carbon electricity production technologies in the demonstration phase’.</w:t>
      </w:r>
    </w:p>
    <w:p w14:paraId="217A0475" w14:textId="77777777" w:rsidR="00FB3CCF" w:rsidRPr="00FB3CCF" w:rsidRDefault="00FB3CCF" w:rsidP="00FB3CCF">
      <w:pPr>
        <w:rPr>
          <w:rFonts w:ascii="Arial" w:hAnsi="Arial" w:cs="Arial"/>
          <w:sz w:val="22"/>
          <w:szCs w:val="22"/>
        </w:rPr>
      </w:pPr>
      <w:r w:rsidRPr="00FB3CCF">
        <w:rPr>
          <w:rFonts w:ascii="Arial" w:hAnsi="Arial" w:cs="Arial"/>
          <w:sz w:val="22"/>
          <w:szCs w:val="22"/>
        </w:rPr>
        <w:t>van den Burg, S.V.D. et al. (2017) ‘Mobilizing investors for blue growth’, Frontiers in Marine Science, 4, pp. 1–9.</w:t>
      </w:r>
    </w:p>
    <w:p w14:paraId="6109B632"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van der </w:t>
      </w:r>
      <w:proofErr w:type="spellStart"/>
      <w:r w:rsidRPr="00FB3CCF">
        <w:rPr>
          <w:rFonts w:ascii="Arial" w:hAnsi="Arial" w:cs="Arial"/>
          <w:sz w:val="22"/>
          <w:szCs w:val="22"/>
        </w:rPr>
        <w:t>Schans</w:t>
      </w:r>
      <w:proofErr w:type="spellEnd"/>
      <w:r w:rsidRPr="00FB3CCF">
        <w:rPr>
          <w:rFonts w:ascii="Arial" w:hAnsi="Arial" w:cs="Arial"/>
          <w:sz w:val="22"/>
          <w:szCs w:val="22"/>
        </w:rPr>
        <w:t>, D., Owen, R. and Hussain, J. (2025) ‘Examining the patient capital problem for green technology start-up and scale-up businesses’, Venture Capital.</w:t>
      </w:r>
    </w:p>
    <w:p w14:paraId="4C9F971F"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Vantoch</w:t>
      </w:r>
      <w:proofErr w:type="spellEnd"/>
      <w:r w:rsidRPr="00FB3CCF">
        <w:rPr>
          <w:rFonts w:ascii="Arial" w:hAnsi="Arial" w:cs="Arial"/>
          <w:sz w:val="22"/>
          <w:szCs w:val="22"/>
        </w:rPr>
        <w:t>-Wood, A.R. (2012) ‘Quantifying methods for an innovation systems analysis of the UK wave energy sector’.</w:t>
      </w:r>
    </w:p>
    <w:p w14:paraId="21755CE0"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Vantoch</w:t>
      </w:r>
      <w:proofErr w:type="spellEnd"/>
      <w:r w:rsidRPr="00FB3CCF">
        <w:rPr>
          <w:rFonts w:ascii="Arial" w:hAnsi="Arial" w:cs="Arial"/>
          <w:sz w:val="22"/>
          <w:szCs w:val="22"/>
        </w:rPr>
        <w:t>-Wood, A.R. and Connor, P. (2013) ‘Using network analysis to understand public policy for wave energy’, Energy Policy, pp. 676–685.</w:t>
      </w:r>
    </w:p>
    <w:p w14:paraId="2E78C455"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lastRenderedPageBreak/>
        <w:t>Vantoch</w:t>
      </w:r>
      <w:proofErr w:type="spellEnd"/>
      <w:r w:rsidRPr="00FB3CCF">
        <w:rPr>
          <w:rFonts w:ascii="Arial" w:hAnsi="Arial" w:cs="Arial"/>
          <w:sz w:val="22"/>
          <w:szCs w:val="22"/>
        </w:rPr>
        <w:t>-Wood, A.R. et al. (2012) ‘National Policy Framework for Marine Renewable Energy within the United Kingdom’.</w:t>
      </w:r>
    </w:p>
    <w:p w14:paraId="6A10CB3D"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Wang, Y. et al. (2024) ‘Banding: The </w:t>
      </w:r>
      <w:proofErr w:type="gramStart"/>
      <w:r w:rsidRPr="00FB3CCF">
        <w:rPr>
          <w:rFonts w:ascii="Arial" w:hAnsi="Arial" w:cs="Arial"/>
          <w:sz w:val="22"/>
          <w:szCs w:val="22"/>
        </w:rPr>
        <w:t>game-changer</w:t>
      </w:r>
      <w:proofErr w:type="gramEnd"/>
      <w:r w:rsidRPr="00FB3CCF">
        <w:rPr>
          <w:rFonts w:ascii="Arial" w:hAnsi="Arial" w:cs="Arial"/>
          <w:sz w:val="22"/>
          <w:szCs w:val="22"/>
        </w:rPr>
        <w:t xml:space="preserve"> in the renewables obligation scheme in the UK’, Energy Economics.</w:t>
      </w:r>
    </w:p>
    <w:p w14:paraId="2151E59D" w14:textId="77777777" w:rsidR="00FB3CCF" w:rsidRPr="00FB3CCF" w:rsidRDefault="00FB3CCF" w:rsidP="00FB3CCF">
      <w:pPr>
        <w:rPr>
          <w:rFonts w:ascii="Arial" w:hAnsi="Arial" w:cs="Arial"/>
          <w:sz w:val="22"/>
          <w:szCs w:val="22"/>
        </w:rPr>
      </w:pPr>
      <w:r w:rsidRPr="00FB3CCF">
        <w:rPr>
          <w:rFonts w:ascii="Arial" w:hAnsi="Arial" w:cs="Arial"/>
          <w:sz w:val="22"/>
          <w:szCs w:val="22"/>
        </w:rPr>
        <w:t>Watson, I. and Fulcher, K.H.V. (2010) ‘Supporting wave and tidal energy in the UK – an analysis of UK policy 2000-2009’, International Journal of Renewable Energy Technology, p. 361.</w:t>
      </w:r>
    </w:p>
    <w:p w14:paraId="5DE27493" w14:textId="77777777" w:rsidR="00FB3CCF" w:rsidRPr="00FB3CCF" w:rsidRDefault="00FB3CCF" w:rsidP="00FB3CCF">
      <w:pPr>
        <w:rPr>
          <w:rFonts w:ascii="Arial" w:hAnsi="Arial" w:cs="Arial"/>
          <w:sz w:val="22"/>
          <w:szCs w:val="22"/>
        </w:rPr>
      </w:pPr>
      <w:r w:rsidRPr="00FB3CCF">
        <w:rPr>
          <w:rFonts w:ascii="Arial" w:hAnsi="Arial" w:cs="Arial"/>
          <w:sz w:val="22"/>
          <w:szCs w:val="22"/>
        </w:rPr>
        <w:t>Weber, J. (2012) ‘WEC Technology Readiness and Performance Matrix – finding the best research technology development trajectory’.</w:t>
      </w:r>
    </w:p>
    <w:p w14:paraId="539F229D" w14:textId="77777777" w:rsidR="00FB3CCF" w:rsidRPr="00FB3CCF" w:rsidRDefault="00FB3CCF" w:rsidP="00FB3CCF">
      <w:pPr>
        <w:rPr>
          <w:rFonts w:ascii="Arial" w:hAnsi="Arial" w:cs="Arial"/>
          <w:sz w:val="22"/>
          <w:szCs w:val="22"/>
        </w:rPr>
      </w:pPr>
      <w:r w:rsidRPr="00FB3CCF">
        <w:rPr>
          <w:rFonts w:ascii="Arial" w:hAnsi="Arial" w:cs="Arial"/>
          <w:sz w:val="22"/>
          <w:szCs w:val="22"/>
        </w:rPr>
        <w:t>Weber, J. et al. (2017) ‘Cost, Time, and Risk Assessment of Different Wave Energy Converter Technology Development Trajectories’.</w:t>
      </w:r>
    </w:p>
    <w:p w14:paraId="1AFFBA81" w14:textId="77777777" w:rsidR="00FB3CCF" w:rsidRPr="00FB3CCF" w:rsidRDefault="00FB3CCF" w:rsidP="00FB3CCF">
      <w:pPr>
        <w:rPr>
          <w:rFonts w:ascii="Arial" w:hAnsi="Arial" w:cs="Arial"/>
          <w:sz w:val="22"/>
          <w:szCs w:val="22"/>
        </w:rPr>
      </w:pPr>
      <w:r w:rsidRPr="00FB3CCF">
        <w:rPr>
          <w:rFonts w:ascii="Arial" w:hAnsi="Arial" w:cs="Arial"/>
          <w:sz w:val="22"/>
          <w:szCs w:val="22"/>
        </w:rPr>
        <w:t>Weber, J., Costello, R. and Ringwood, J. (2013) ‘WEC technology performance levels (TPLs): metric for successful development of economic WEC technology’.</w:t>
      </w:r>
    </w:p>
    <w:p w14:paraId="5FA295B1"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Welisch</w:t>
      </w:r>
      <w:proofErr w:type="spellEnd"/>
      <w:r w:rsidRPr="00FB3CCF">
        <w:rPr>
          <w:rFonts w:ascii="Arial" w:hAnsi="Arial" w:cs="Arial"/>
          <w:sz w:val="22"/>
          <w:szCs w:val="22"/>
        </w:rPr>
        <w:t xml:space="preserve">, M. and </w:t>
      </w:r>
      <w:proofErr w:type="spellStart"/>
      <w:r w:rsidRPr="00FB3CCF">
        <w:rPr>
          <w:rFonts w:ascii="Arial" w:hAnsi="Arial" w:cs="Arial"/>
          <w:sz w:val="22"/>
          <w:szCs w:val="22"/>
        </w:rPr>
        <w:t>Poudineh</w:t>
      </w:r>
      <w:proofErr w:type="spellEnd"/>
      <w:r w:rsidRPr="00FB3CCF">
        <w:rPr>
          <w:rFonts w:ascii="Arial" w:hAnsi="Arial" w:cs="Arial"/>
          <w:sz w:val="22"/>
          <w:szCs w:val="22"/>
        </w:rPr>
        <w:t>, R. (2019) ‘Auctions for allocation of offshore wind contracts for difference in the UK’, Renewable Energy.</w:t>
      </w:r>
    </w:p>
    <w:p w14:paraId="7B55954B" w14:textId="77777777" w:rsidR="00FB3CCF" w:rsidRPr="00FB3CCF" w:rsidRDefault="00FB3CCF" w:rsidP="00FB3CCF">
      <w:pPr>
        <w:rPr>
          <w:rFonts w:ascii="Arial" w:hAnsi="Arial" w:cs="Arial"/>
          <w:sz w:val="22"/>
          <w:szCs w:val="22"/>
        </w:rPr>
      </w:pPr>
      <w:r w:rsidRPr="00FB3CCF">
        <w:rPr>
          <w:rFonts w:ascii="Arial" w:hAnsi="Arial" w:cs="Arial"/>
          <w:sz w:val="22"/>
          <w:szCs w:val="22"/>
        </w:rPr>
        <w:t>West, J., Bailey, I. and Whitehead, I. (2019) ‘Stakeholder perceptions of the Wave Hub development in Cornwall, UK’.</w:t>
      </w:r>
    </w:p>
    <w:p w14:paraId="1D4D50F7" w14:textId="77777777" w:rsidR="00FB3CCF" w:rsidRPr="00FB3CCF" w:rsidRDefault="00FB3CCF" w:rsidP="00FB3CCF">
      <w:pPr>
        <w:rPr>
          <w:rFonts w:ascii="Arial" w:hAnsi="Arial" w:cs="Arial"/>
          <w:sz w:val="22"/>
          <w:szCs w:val="22"/>
        </w:rPr>
      </w:pPr>
      <w:r w:rsidRPr="00FB3CCF">
        <w:rPr>
          <w:rFonts w:ascii="Arial" w:hAnsi="Arial" w:cs="Arial"/>
          <w:sz w:val="22"/>
          <w:szCs w:val="22"/>
        </w:rPr>
        <w:t xml:space="preserve">Wiegele, J. and Jones, C.R. (2024) ‘Marine Energy Commercialization Review: Evaluation of the Transition </w:t>
      </w:r>
      <w:proofErr w:type="gramStart"/>
      <w:r w:rsidRPr="00FB3CCF">
        <w:rPr>
          <w:rFonts w:ascii="Arial" w:hAnsi="Arial" w:cs="Arial"/>
          <w:sz w:val="22"/>
          <w:szCs w:val="22"/>
        </w:rPr>
        <w:t>From</w:t>
      </w:r>
      <w:proofErr w:type="gramEnd"/>
      <w:r w:rsidRPr="00FB3CCF">
        <w:rPr>
          <w:rFonts w:ascii="Arial" w:hAnsi="Arial" w:cs="Arial"/>
          <w:sz w:val="22"/>
          <w:szCs w:val="22"/>
        </w:rPr>
        <w:t xml:space="preserve"> Public to Private Capital’.</w:t>
      </w:r>
    </w:p>
    <w:p w14:paraId="3A27CACE" w14:textId="77777777" w:rsidR="00FB3CCF" w:rsidRPr="00FB3CCF" w:rsidRDefault="00FB3CCF" w:rsidP="00FB3CCF">
      <w:pPr>
        <w:rPr>
          <w:rFonts w:ascii="Arial" w:hAnsi="Arial" w:cs="Arial"/>
          <w:sz w:val="22"/>
          <w:szCs w:val="22"/>
        </w:rPr>
      </w:pPr>
      <w:r w:rsidRPr="00FB3CCF">
        <w:rPr>
          <w:rFonts w:ascii="Arial" w:hAnsi="Arial" w:cs="Arial"/>
          <w:sz w:val="22"/>
          <w:szCs w:val="22"/>
        </w:rPr>
        <w:t>Willis, M.R. et al. (2010) ‘Review of present UK marine energy policy and developments’, Renewable Energy &amp; Power Quality Journal, pp. 1555–1559.</w:t>
      </w:r>
    </w:p>
    <w:p w14:paraId="239C07B8" w14:textId="77777777" w:rsidR="00FB3CCF" w:rsidRPr="00FB3CCF" w:rsidRDefault="00FB3CCF" w:rsidP="00FB3CCF">
      <w:pPr>
        <w:rPr>
          <w:rFonts w:ascii="Arial" w:hAnsi="Arial" w:cs="Arial"/>
          <w:sz w:val="22"/>
          <w:szCs w:val="22"/>
        </w:rPr>
      </w:pPr>
      <w:r w:rsidRPr="00FB3CCF">
        <w:rPr>
          <w:rFonts w:ascii="Arial" w:hAnsi="Arial" w:cs="Arial"/>
          <w:sz w:val="22"/>
          <w:szCs w:val="22"/>
        </w:rPr>
        <w:t>Wilson, D.M., Rowley, P. and Watson, S. (2011) ‘Utilizing a risk-based systems approach in the due diligence process for renewable energy generation’, IEEE Systems Journal, pp. 223–232.</w:t>
      </w:r>
    </w:p>
    <w:p w14:paraId="33E0F13D"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Winskel</w:t>
      </w:r>
      <w:proofErr w:type="spellEnd"/>
      <w:r w:rsidRPr="00FB3CCF">
        <w:rPr>
          <w:rFonts w:ascii="Arial" w:hAnsi="Arial" w:cs="Arial"/>
          <w:sz w:val="22"/>
          <w:szCs w:val="22"/>
        </w:rPr>
        <w:t>, M. (2007) ‘Marine energy innovation in the UK energy system: financial capital, social capital and interactive learning’, International Journal of Global Energy Issues, pp. 472-491.</w:t>
      </w:r>
    </w:p>
    <w:p w14:paraId="5793915E"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Winskel</w:t>
      </w:r>
      <w:proofErr w:type="spellEnd"/>
      <w:r w:rsidRPr="00FB3CCF">
        <w:rPr>
          <w:rFonts w:ascii="Arial" w:hAnsi="Arial" w:cs="Arial"/>
          <w:sz w:val="22"/>
          <w:szCs w:val="22"/>
        </w:rPr>
        <w:t>, M. et al. (2006) ‘Energy policy and institutional context: Marine energy innovation systems’, Science and Public Policy, 33(5), pp. 365–376.</w:t>
      </w:r>
    </w:p>
    <w:p w14:paraId="533CA5AE" w14:textId="77777777" w:rsidR="00FB3CCF" w:rsidRPr="00FB3CCF" w:rsidRDefault="00FB3CCF" w:rsidP="00FB3CCF">
      <w:pPr>
        <w:rPr>
          <w:rFonts w:ascii="Arial" w:hAnsi="Arial" w:cs="Arial"/>
          <w:sz w:val="22"/>
          <w:szCs w:val="22"/>
        </w:rPr>
      </w:pPr>
      <w:proofErr w:type="spellStart"/>
      <w:r w:rsidRPr="00FB3CCF">
        <w:rPr>
          <w:rFonts w:ascii="Arial" w:hAnsi="Arial" w:cs="Arial"/>
          <w:sz w:val="22"/>
          <w:szCs w:val="22"/>
        </w:rPr>
        <w:t>Winskel</w:t>
      </w:r>
      <w:proofErr w:type="spellEnd"/>
      <w:r w:rsidRPr="00FB3CCF">
        <w:rPr>
          <w:rFonts w:ascii="Arial" w:hAnsi="Arial" w:cs="Arial"/>
          <w:sz w:val="22"/>
          <w:szCs w:val="22"/>
        </w:rPr>
        <w:t>, M. et al. (2014) ‘Remaking the UK’s energy technology innovation system: From the margins to the mainstream’, Energy Policy, pp. 591–602.</w:t>
      </w:r>
    </w:p>
    <w:p w14:paraId="58ACD894" w14:textId="77777777" w:rsidR="00FB3CCF" w:rsidRPr="00FB3CCF" w:rsidRDefault="00FB3CCF" w:rsidP="00FB3CCF">
      <w:pPr>
        <w:rPr>
          <w:rFonts w:ascii="Arial" w:hAnsi="Arial" w:cs="Arial"/>
          <w:sz w:val="22"/>
          <w:szCs w:val="22"/>
        </w:rPr>
      </w:pPr>
      <w:r w:rsidRPr="00FB3CCF">
        <w:rPr>
          <w:rFonts w:ascii="Arial" w:hAnsi="Arial" w:cs="Arial"/>
          <w:sz w:val="22"/>
          <w:szCs w:val="22"/>
        </w:rPr>
        <w:t>Witt, M. et al. (2012) ‘Assessing wave energy effects on biodiversity: the Wave Hub experience’, Philosophical Transactions of the Royal Society A: Mathematical, Physical and Engineering Sciences, pp. 502–529.</w:t>
      </w:r>
    </w:p>
    <w:p w14:paraId="79FD93D5" w14:textId="77777777" w:rsidR="00FB3CCF" w:rsidRPr="00FB3CCF" w:rsidRDefault="00FB3CCF" w:rsidP="00FB3CCF">
      <w:pPr>
        <w:rPr>
          <w:rFonts w:ascii="Arial" w:hAnsi="Arial" w:cs="Arial"/>
          <w:sz w:val="22"/>
          <w:szCs w:val="22"/>
        </w:rPr>
      </w:pPr>
      <w:r w:rsidRPr="00FB3CCF">
        <w:rPr>
          <w:rFonts w:ascii="Arial" w:hAnsi="Arial" w:cs="Arial"/>
          <w:sz w:val="22"/>
          <w:szCs w:val="22"/>
        </w:rPr>
        <w:t>Wright, G. (2016) ‘Regulating wave and tidal energy: An industry perspective on the Scottish marine governance framework’, Marine Policy, 65, pp. 115–126.</w:t>
      </w:r>
    </w:p>
    <w:p w14:paraId="14E638D9" w14:textId="77777777" w:rsidR="00FB3CCF" w:rsidRPr="00FB3CCF" w:rsidRDefault="00FB3CCF" w:rsidP="00FB3CCF">
      <w:pPr>
        <w:rPr>
          <w:rFonts w:ascii="Arial" w:hAnsi="Arial" w:cs="Arial"/>
          <w:sz w:val="22"/>
          <w:szCs w:val="22"/>
        </w:rPr>
      </w:pPr>
      <w:r w:rsidRPr="00FB3CCF">
        <w:rPr>
          <w:rFonts w:ascii="Arial" w:hAnsi="Arial" w:cs="Arial"/>
          <w:sz w:val="22"/>
          <w:szCs w:val="22"/>
        </w:rPr>
        <w:t>Zeuschner, R.C.F. (2011) ‘United Kingdom: the development of the consenting regime for offshore renewable energy projects in Scotland’, pp. 150–159.</w:t>
      </w:r>
    </w:p>
    <w:p w14:paraId="2954BE9D" w14:textId="0B59F3AF" w:rsidR="00FB3CCF" w:rsidRPr="00FB3CCF" w:rsidRDefault="00FB3CCF" w:rsidP="00FB3CCF">
      <w:pPr>
        <w:rPr>
          <w:rFonts w:ascii="Arial" w:hAnsi="Arial" w:cs="Arial"/>
          <w:sz w:val="22"/>
          <w:szCs w:val="22"/>
        </w:rPr>
      </w:pPr>
      <w:r w:rsidRPr="00FB3CCF">
        <w:rPr>
          <w:rFonts w:ascii="Arial" w:hAnsi="Arial" w:cs="Arial"/>
          <w:b/>
          <w:bCs/>
        </w:rPr>
        <w:lastRenderedPageBreak/>
        <w:t>Appendix A</w:t>
      </w:r>
    </w:p>
    <w:p w14:paraId="3321502C"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A1. Theme 1 Bankability, investor confidence, and startup finance</w:t>
      </w:r>
    </w:p>
    <w:tbl>
      <w:tblPr>
        <w:tblW w:w="9524" w:type="dxa"/>
        <w:jc w:val="center"/>
        <w:tblLook w:val="04A0" w:firstRow="1" w:lastRow="0" w:firstColumn="1" w:lastColumn="0" w:noHBand="0" w:noVBand="1"/>
      </w:tblPr>
      <w:tblGrid>
        <w:gridCol w:w="1723"/>
        <w:gridCol w:w="1768"/>
        <w:gridCol w:w="2340"/>
        <w:gridCol w:w="1710"/>
        <w:gridCol w:w="1983"/>
      </w:tblGrid>
      <w:tr w:rsidR="00FB3CCF" w:rsidRPr="00FB3CCF" w14:paraId="127CA553" w14:textId="77777777" w:rsidTr="00442932">
        <w:trPr>
          <w:trHeight w:val="1610"/>
          <w:jc w:val="center"/>
        </w:trPr>
        <w:tc>
          <w:tcPr>
            <w:tcW w:w="1723" w:type="dxa"/>
            <w:tcBorders>
              <w:top w:val="single" w:sz="4" w:space="0" w:color="auto"/>
              <w:left w:val="single" w:sz="4" w:space="0" w:color="auto"/>
              <w:bottom w:val="single" w:sz="4" w:space="0" w:color="auto"/>
              <w:right w:val="single" w:sz="4" w:space="0" w:color="auto"/>
            </w:tcBorders>
            <w:vAlign w:val="center"/>
            <w:hideMark/>
          </w:tcPr>
          <w:p w14:paraId="200D783C"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Source</w:t>
            </w:r>
          </w:p>
        </w:tc>
        <w:tc>
          <w:tcPr>
            <w:tcW w:w="1768" w:type="dxa"/>
            <w:tcBorders>
              <w:top w:val="single" w:sz="4" w:space="0" w:color="auto"/>
              <w:left w:val="nil"/>
              <w:bottom w:val="single" w:sz="4" w:space="0" w:color="auto"/>
              <w:right w:val="single" w:sz="4" w:space="0" w:color="auto"/>
            </w:tcBorders>
            <w:vAlign w:val="center"/>
            <w:hideMark/>
          </w:tcPr>
          <w:p w14:paraId="3FCA5DE1"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Core argument</w:t>
            </w:r>
          </w:p>
        </w:tc>
        <w:tc>
          <w:tcPr>
            <w:tcW w:w="2340" w:type="dxa"/>
            <w:tcBorders>
              <w:top w:val="single" w:sz="4" w:space="0" w:color="auto"/>
              <w:left w:val="nil"/>
              <w:bottom w:val="single" w:sz="4" w:space="0" w:color="auto"/>
              <w:right w:val="single" w:sz="4" w:space="0" w:color="auto"/>
            </w:tcBorders>
            <w:vAlign w:val="center"/>
            <w:hideMark/>
          </w:tcPr>
          <w:p w14:paraId="51805089"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Method / Findings</w:t>
            </w:r>
          </w:p>
        </w:tc>
        <w:tc>
          <w:tcPr>
            <w:tcW w:w="1710" w:type="dxa"/>
            <w:tcBorders>
              <w:top w:val="single" w:sz="4" w:space="0" w:color="auto"/>
              <w:left w:val="nil"/>
              <w:bottom w:val="single" w:sz="4" w:space="0" w:color="auto"/>
              <w:right w:val="single" w:sz="4" w:space="0" w:color="auto"/>
            </w:tcBorders>
            <w:vAlign w:val="center"/>
            <w:hideMark/>
          </w:tcPr>
          <w:p w14:paraId="429E82C4"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Critical Evaluation</w:t>
            </w:r>
          </w:p>
        </w:tc>
        <w:tc>
          <w:tcPr>
            <w:tcW w:w="1983" w:type="dxa"/>
            <w:tcBorders>
              <w:top w:val="single" w:sz="4" w:space="0" w:color="auto"/>
              <w:left w:val="nil"/>
              <w:bottom w:val="single" w:sz="4" w:space="0" w:color="auto"/>
              <w:right w:val="single" w:sz="4" w:space="0" w:color="auto"/>
            </w:tcBorders>
            <w:vAlign w:val="center"/>
            <w:hideMark/>
          </w:tcPr>
          <w:p w14:paraId="560B81BA"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Relevance to the study</w:t>
            </w:r>
          </w:p>
        </w:tc>
      </w:tr>
      <w:tr w:rsidR="00FB3CCF" w:rsidRPr="00FB3CCF" w14:paraId="31E1673D"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52DF121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Leete, Xu and Wheeler (2013)</w:t>
            </w:r>
          </w:p>
        </w:tc>
        <w:tc>
          <w:tcPr>
            <w:tcW w:w="1768" w:type="dxa"/>
            <w:tcBorders>
              <w:top w:val="nil"/>
              <w:left w:val="nil"/>
              <w:bottom w:val="single" w:sz="4" w:space="0" w:color="auto"/>
              <w:right w:val="single" w:sz="4" w:space="0" w:color="auto"/>
            </w:tcBorders>
            <w:vAlign w:val="center"/>
            <w:hideMark/>
          </w:tcPr>
          <w:p w14:paraId="52C57A8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UK marine investors focus on barriers and incentives rather than technical promise alone.</w:t>
            </w:r>
          </w:p>
        </w:tc>
        <w:tc>
          <w:tcPr>
            <w:tcW w:w="2340" w:type="dxa"/>
            <w:tcBorders>
              <w:top w:val="nil"/>
              <w:left w:val="nil"/>
              <w:bottom w:val="single" w:sz="4" w:space="0" w:color="auto"/>
              <w:right w:val="single" w:sz="4" w:space="0" w:color="auto"/>
            </w:tcBorders>
            <w:vAlign w:val="center"/>
            <w:hideMark/>
          </w:tcPr>
          <w:p w14:paraId="7CFB8BF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Investor survey; revenue certainty, policy credibility and risk reduction matter strongly.</w:t>
            </w:r>
          </w:p>
        </w:tc>
        <w:tc>
          <w:tcPr>
            <w:tcW w:w="1710" w:type="dxa"/>
            <w:tcBorders>
              <w:top w:val="nil"/>
              <w:left w:val="nil"/>
              <w:bottom w:val="single" w:sz="4" w:space="0" w:color="auto"/>
              <w:right w:val="single" w:sz="4" w:space="0" w:color="auto"/>
            </w:tcBorders>
            <w:vAlign w:val="center"/>
            <w:hideMark/>
          </w:tcPr>
          <w:p w14:paraId="5936C3D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Direct and valuable, but marine-wide rather than startup-specific.</w:t>
            </w:r>
          </w:p>
        </w:tc>
        <w:tc>
          <w:tcPr>
            <w:tcW w:w="1983" w:type="dxa"/>
            <w:tcBorders>
              <w:top w:val="nil"/>
              <w:left w:val="nil"/>
              <w:bottom w:val="single" w:sz="4" w:space="0" w:color="auto"/>
              <w:right w:val="single" w:sz="4" w:space="0" w:color="auto"/>
            </w:tcBorders>
            <w:vAlign w:val="center"/>
            <w:hideMark/>
          </w:tcPr>
          <w:p w14:paraId="2504529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Core anchor for bankability conditions.</w:t>
            </w:r>
          </w:p>
        </w:tc>
      </w:tr>
      <w:tr w:rsidR="00FB3CCF" w:rsidRPr="00FB3CCF" w14:paraId="3F7B64D5"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2F4256B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Bucher et al. (2016)</w:t>
            </w:r>
          </w:p>
        </w:tc>
        <w:tc>
          <w:tcPr>
            <w:tcW w:w="1768" w:type="dxa"/>
            <w:tcBorders>
              <w:top w:val="nil"/>
              <w:left w:val="nil"/>
              <w:bottom w:val="single" w:sz="4" w:space="0" w:color="auto"/>
              <w:right w:val="single" w:sz="4" w:space="0" w:color="auto"/>
            </w:tcBorders>
            <w:vAlign w:val="center"/>
            <w:hideMark/>
          </w:tcPr>
          <w:p w14:paraId="1F05963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Investor confidence depends on top-level drivers of maturity in marine energy.</w:t>
            </w:r>
          </w:p>
        </w:tc>
        <w:tc>
          <w:tcPr>
            <w:tcW w:w="2340" w:type="dxa"/>
            <w:tcBorders>
              <w:top w:val="nil"/>
              <w:left w:val="nil"/>
              <w:bottom w:val="single" w:sz="4" w:space="0" w:color="auto"/>
              <w:right w:val="single" w:sz="4" w:space="0" w:color="auto"/>
            </w:tcBorders>
            <w:vAlign w:val="center"/>
            <w:hideMark/>
          </w:tcPr>
          <w:p w14:paraId="3461108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Expert and systems-based analysis; funding and device performance are mutually dependent.</w:t>
            </w:r>
          </w:p>
        </w:tc>
        <w:tc>
          <w:tcPr>
            <w:tcW w:w="1710" w:type="dxa"/>
            <w:tcBorders>
              <w:top w:val="nil"/>
              <w:left w:val="nil"/>
              <w:bottom w:val="single" w:sz="4" w:space="0" w:color="auto"/>
              <w:right w:val="single" w:sz="4" w:space="0" w:color="auto"/>
            </w:tcBorders>
            <w:vAlign w:val="center"/>
            <w:hideMark/>
          </w:tcPr>
          <w:p w14:paraId="0AC4D72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conceptual bridge, but not UK wave only.</w:t>
            </w:r>
          </w:p>
        </w:tc>
        <w:tc>
          <w:tcPr>
            <w:tcW w:w="1983" w:type="dxa"/>
            <w:tcBorders>
              <w:top w:val="nil"/>
              <w:left w:val="nil"/>
              <w:bottom w:val="single" w:sz="4" w:space="0" w:color="auto"/>
              <w:right w:val="single" w:sz="4" w:space="0" w:color="auto"/>
            </w:tcBorders>
            <w:vAlign w:val="center"/>
            <w:hideMark/>
          </w:tcPr>
          <w:p w14:paraId="3C7DC1A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Central to the confidence trap in bankability.</w:t>
            </w:r>
          </w:p>
        </w:tc>
      </w:tr>
      <w:tr w:rsidR="00FB3CCF" w:rsidRPr="00FB3CCF" w14:paraId="1A207EF1"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7BD8238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Jeffrey et al. (2015)</w:t>
            </w:r>
          </w:p>
        </w:tc>
        <w:tc>
          <w:tcPr>
            <w:tcW w:w="1768" w:type="dxa"/>
            <w:tcBorders>
              <w:top w:val="nil"/>
              <w:left w:val="nil"/>
              <w:bottom w:val="single" w:sz="4" w:space="0" w:color="auto"/>
              <w:right w:val="single" w:sz="4" w:space="0" w:color="auto"/>
            </w:tcBorders>
            <w:vAlign w:val="center"/>
            <w:hideMark/>
          </w:tcPr>
          <w:p w14:paraId="2DD8F92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Marine energy is blocked at the transition from demonstration to market acceptance.</w:t>
            </w:r>
          </w:p>
        </w:tc>
        <w:tc>
          <w:tcPr>
            <w:tcW w:w="2340" w:type="dxa"/>
            <w:tcBorders>
              <w:top w:val="nil"/>
              <w:left w:val="nil"/>
              <w:bottom w:val="single" w:sz="4" w:space="0" w:color="auto"/>
              <w:right w:val="single" w:sz="4" w:space="0" w:color="auto"/>
            </w:tcBorders>
            <w:vAlign w:val="center"/>
            <w:hideMark/>
          </w:tcPr>
          <w:p w14:paraId="77DBC6C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Sector analysis with systems modelling; array-scale success is the key missing milestone.</w:t>
            </w:r>
          </w:p>
        </w:tc>
        <w:tc>
          <w:tcPr>
            <w:tcW w:w="1710" w:type="dxa"/>
            <w:tcBorders>
              <w:top w:val="nil"/>
              <w:left w:val="nil"/>
              <w:bottom w:val="single" w:sz="4" w:space="0" w:color="auto"/>
              <w:right w:val="single" w:sz="4" w:space="0" w:color="auto"/>
            </w:tcBorders>
            <w:vAlign w:val="center"/>
            <w:hideMark/>
          </w:tcPr>
          <w:p w14:paraId="4564B5A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on transition logic, thinner on firm-level variation.</w:t>
            </w:r>
          </w:p>
        </w:tc>
        <w:tc>
          <w:tcPr>
            <w:tcW w:w="1983" w:type="dxa"/>
            <w:tcBorders>
              <w:top w:val="nil"/>
              <w:left w:val="nil"/>
              <w:bottom w:val="single" w:sz="4" w:space="0" w:color="auto"/>
              <w:right w:val="single" w:sz="4" w:space="0" w:color="auto"/>
            </w:tcBorders>
            <w:vAlign w:val="center"/>
            <w:hideMark/>
          </w:tcPr>
          <w:p w14:paraId="439A865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Explains the pre-commercial financing gap.</w:t>
            </w:r>
          </w:p>
        </w:tc>
      </w:tr>
      <w:tr w:rsidR="00FB3CCF" w:rsidRPr="00FB3CCF" w14:paraId="5662763A"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6BB2940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Bucher and Bryden (2016)</w:t>
            </w:r>
          </w:p>
        </w:tc>
        <w:tc>
          <w:tcPr>
            <w:tcW w:w="1768" w:type="dxa"/>
            <w:tcBorders>
              <w:top w:val="nil"/>
              <w:left w:val="nil"/>
              <w:bottom w:val="single" w:sz="4" w:space="0" w:color="auto"/>
              <w:right w:val="single" w:sz="4" w:space="0" w:color="auto"/>
            </w:tcBorders>
            <w:vAlign w:val="center"/>
            <w:hideMark/>
          </w:tcPr>
          <w:p w14:paraId="3CE5BE6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The pre-profit phase is the critical bottleneck in marine energy.</w:t>
            </w:r>
          </w:p>
        </w:tc>
        <w:tc>
          <w:tcPr>
            <w:tcW w:w="2340" w:type="dxa"/>
            <w:tcBorders>
              <w:top w:val="nil"/>
              <w:left w:val="nil"/>
              <w:bottom w:val="single" w:sz="4" w:space="0" w:color="auto"/>
              <w:right w:val="single" w:sz="4" w:space="0" w:color="auto"/>
            </w:tcBorders>
            <w:vAlign w:val="center"/>
            <w:hideMark/>
          </w:tcPr>
          <w:p w14:paraId="54C5C0B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and empirical sector analysis; array-scale success is treated as a game-changing event.</w:t>
            </w:r>
          </w:p>
        </w:tc>
        <w:tc>
          <w:tcPr>
            <w:tcW w:w="1710" w:type="dxa"/>
            <w:tcBorders>
              <w:top w:val="nil"/>
              <w:left w:val="nil"/>
              <w:bottom w:val="single" w:sz="4" w:space="0" w:color="auto"/>
              <w:right w:val="single" w:sz="4" w:space="0" w:color="auto"/>
            </w:tcBorders>
            <w:vAlign w:val="center"/>
            <w:hideMark/>
          </w:tcPr>
          <w:p w14:paraId="41801EA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staging logic, but broad.</w:t>
            </w:r>
          </w:p>
        </w:tc>
        <w:tc>
          <w:tcPr>
            <w:tcW w:w="1983" w:type="dxa"/>
            <w:tcBorders>
              <w:top w:val="nil"/>
              <w:left w:val="nil"/>
              <w:bottom w:val="single" w:sz="4" w:space="0" w:color="auto"/>
              <w:right w:val="single" w:sz="4" w:space="0" w:color="auto"/>
            </w:tcBorders>
            <w:vAlign w:val="center"/>
            <w:hideMark/>
          </w:tcPr>
          <w:p w14:paraId="6B23C5A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Helps frame bankability as </w:t>
            </w:r>
            <w:proofErr w:type="gramStart"/>
            <w:r w:rsidRPr="00FB3CCF">
              <w:rPr>
                <w:rFonts w:ascii="Arial" w:hAnsi="Arial" w:cs="Arial"/>
                <w:sz w:val="20"/>
                <w:szCs w:val="20"/>
              </w:rPr>
              <w:t>phase-specific</w:t>
            </w:r>
            <w:proofErr w:type="gramEnd"/>
            <w:r w:rsidRPr="00FB3CCF">
              <w:rPr>
                <w:rFonts w:ascii="Arial" w:hAnsi="Arial" w:cs="Arial"/>
                <w:sz w:val="20"/>
                <w:szCs w:val="20"/>
              </w:rPr>
              <w:t>.</w:t>
            </w:r>
          </w:p>
        </w:tc>
      </w:tr>
      <w:tr w:rsidR="00FB3CCF" w:rsidRPr="00FB3CCF" w14:paraId="724F07AB"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1A5E71C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Wiegele and Jones (2024)</w:t>
            </w:r>
          </w:p>
        </w:tc>
        <w:tc>
          <w:tcPr>
            <w:tcW w:w="1768" w:type="dxa"/>
            <w:tcBorders>
              <w:top w:val="nil"/>
              <w:left w:val="nil"/>
              <w:bottom w:val="single" w:sz="4" w:space="0" w:color="auto"/>
              <w:right w:val="single" w:sz="4" w:space="0" w:color="auto"/>
            </w:tcBorders>
            <w:vAlign w:val="center"/>
            <w:hideMark/>
          </w:tcPr>
          <w:p w14:paraId="343EB50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Marine energy still struggles to move from public to private capital.</w:t>
            </w:r>
          </w:p>
        </w:tc>
        <w:tc>
          <w:tcPr>
            <w:tcW w:w="2340" w:type="dxa"/>
            <w:tcBorders>
              <w:top w:val="nil"/>
              <w:left w:val="nil"/>
              <w:bottom w:val="single" w:sz="4" w:space="0" w:color="auto"/>
              <w:right w:val="single" w:sz="4" w:space="0" w:color="auto"/>
            </w:tcBorders>
            <w:vAlign w:val="center"/>
            <w:hideMark/>
          </w:tcPr>
          <w:p w14:paraId="64B4BFE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Review of transition evidence; the capital handoff remains weak and under-explained.</w:t>
            </w:r>
          </w:p>
        </w:tc>
        <w:tc>
          <w:tcPr>
            <w:tcW w:w="1710" w:type="dxa"/>
            <w:tcBorders>
              <w:top w:val="nil"/>
              <w:left w:val="nil"/>
              <w:bottom w:val="single" w:sz="4" w:space="0" w:color="auto"/>
              <w:right w:val="single" w:sz="4" w:space="0" w:color="auto"/>
            </w:tcBorders>
            <w:vAlign w:val="center"/>
            <w:hideMark/>
          </w:tcPr>
          <w:p w14:paraId="0533481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Recent and highly relevant, though still </w:t>
            </w:r>
            <w:proofErr w:type="gramStart"/>
            <w:r w:rsidRPr="00FB3CCF">
              <w:rPr>
                <w:rFonts w:ascii="Arial" w:hAnsi="Arial" w:cs="Arial"/>
                <w:sz w:val="20"/>
                <w:szCs w:val="20"/>
              </w:rPr>
              <w:t>sector-wide</w:t>
            </w:r>
            <w:proofErr w:type="gramEnd"/>
            <w:r w:rsidRPr="00FB3CCF">
              <w:rPr>
                <w:rFonts w:ascii="Arial" w:hAnsi="Arial" w:cs="Arial"/>
                <w:sz w:val="20"/>
                <w:szCs w:val="20"/>
              </w:rPr>
              <w:t>.</w:t>
            </w:r>
          </w:p>
        </w:tc>
        <w:tc>
          <w:tcPr>
            <w:tcW w:w="1983" w:type="dxa"/>
            <w:tcBorders>
              <w:top w:val="nil"/>
              <w:left w:val="nil"/>
              <w:bottom w:val="single" w:sz="4" w:space="0" w:color="auto"/>
              <w:right w:val="single" w:sz="4" w:space="0" w:color="auto"/>
            </w:tcBorders>
            <w:vAlign w:val="center"/>
            <w:hideMark/>
          </w:tcPr>
          <w:p w14:paraId="1B60F97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Important contemporary bridge to Part 3.</w:t>
            </w:r>
          </w:p>
        </w:tc>
      </w:tr>
      <w:tr w:rsidR="00FB3CCF" w:rsidRPr="00FB3CCF" w14:paraId="071E8AD6"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5CE6293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Polzin et al. (2019)</w:t>
            </w:r>
          </w:p>
        </w:tc>
        <w:tc>
          <w:tcPr>
            <w:tcW w:w="1768" w:type="dxa"/>
            <w:tcBorders>
              <w:top w:val="nil"/>
              <w:left w:val="nil"/>
              <w:bottom w:val="single" w:sz="4" w:space="0" w:color="auto"/>
              <w:right w:val="single" w:sz="4" w:space="0" w:color="auto"/>
            </w:tcBorders>
            <w:vAlign w:val="center"/>
            <w:hideMark/>
          </w:tcPr>
          <w:p w14:paraId="04C8648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Renewable policies mobilize finance only when they address risk and return together.</w:t>
            </w:r>
          </w:p>
        </w:tc>
        <w:tc>
          <w:tcPr>
            <w:tcW w:w="2340" w:type="dxa"/>
            <w:tcBorders>
              <w:top w:val="nil"/>
              <w:left w:val="nil"/>
              <w:bottom w:val="single" w:sz="4" w:space="0" w:color="auto"/>
              <w:right w:val="single" w:sz="4" w:space="0" w:color="auto"/>
            </w:tcBorders>
            <w:vAlign w:val="center"/>
            <w:hideMark/>
          </w:tcPr>
          <w:p w14:paraId="16C522F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Systematic review; credibility and predictability strongly shape investment.</w:t>
            </w:r>
          </w:p>
        </w:tc>
        <w:tc>
          <w:tcPr>
            <w:tcW w:w="1710" w:type="dxa"/>
            <w:tcBorders>
              <w:top w:val="nil"/>
              <w:left w:val="nil"/>
              <w:bottom w:val="single" w:sz="4" w:space="0" w:color="auto"/>
              <w:right w:val="single" w:sz="4" w:space="0" w:color="auto"/>
            </w:tcBorders>
            <w:vAlign w:val="center"/>
            <w:hideMark/>
          </w:tcPr>
          <w:p w14:paraId="23DB907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Not wave-specific, but analytically strong.</w:t>
            </w:r>
          </w:p>
        </w:tc>
        <w:tc>
          <w:tcPr>
            <w:tcW w:w="1983" w:type="dxa"/>
            <w:tcBorders>
              <w:top w:val="nil"/>
              <w:left w:val="nil"/>
              <w:bottom w:val="single" w:sz="4" w:space="0" w:color="auto"/>
              <w:right w:val="single" w:sz="4" w:space="0" w:color="auto"/>
            </w:tcBorders>
            <w:vAlign w:val="center"/>
            <w:hideMark/>
          </w:tcPr>
          <w:p w14:paraId="3940D45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Key support for policy credibility within bankability.</w:t>
            </w:r>
          </w:p>
        </w:tc>
      </w:tr>
      <w:tr w:rsidR="00FB3CCF" w:rsidRPr="00FB3CCF" w14:paraId="4FEE8378"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39C0F1EF"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lastRenderedPageBreak/>
              <w:t>Dinica</w:t>
            </w:r>
            <w:proofErr w:type="spellEnd"/>
            <w:r w:rsidRPr="00FB3CCF">
              <w:rPr>
                <w:rFonts w:ascii="Arial" w:hAnsi="Arial" w:cs="Arial"/>
                <w:sz w:val="20"/>
                <w:szCs w:val="20"/>
              </w:rPr>
              <w:t xml:space="preserve"> (2006)</w:t>
            </w:r>
          </w:p>
        </w:tc>
        <w:tc>
          <w:tcPr>
            <w:tcW w:w="1768" w:type="dxa"/>
            <w:tcBorders>
              <w:top w:val="nil"/>
              <w:left w:val="nil"/>
              <w:bottom w:val="single" w:sz="4" w:space="0" w:color="auto"/>
              <w:right w:val="single" w:sz="4" w:space="0" w:color="auto"/>
            </w:tcBorders>
            <w:vAlign w:val="center"/>
            <w:hideMark/>
          </w:tcPr>
          <w:p w14:paraId="3A0E2E8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Investor perspectives are central to renewable technology diffusion.</w:t>
            </w:r>
          </w:p>
        </w:tc>
        <w:tc>
          <w:tcPr>
            <w:tcW w:w="2340" w:type="dxa"/>
            <w:tcBorders>
              <w:top w:val="nil"/>
              <w:left w:val="nil"/>
              <w:bottom w:val="single" w:sz="4" w:space="0" w:color="auto"/>
              <w:right w:val="single" w:sz="4" w:space="0" w:color="auto"/>
            </w:tcBorders>
            <w:vAlign w:val="center"/>
            <w:hideMark/>
          </w:tcPr>
          <w:p w14:paraId="4D1B963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Comparative policy analysis; support systems work differently depending on risk exposure.</w:t>
            </w:r>
          </w:p>
        </w:tc>
        <w:tc>
          <w:tcPr>
            <w:tcW w:w="1710" w:type="dxa"/>
            <w:tcBorders>
              <w:top w:val="nil"/>
              <w:left w:val="nil"/>
              <w:bottom w:val="single" w:sz="4" w:space="0" w:color="auto"/>
              <w:right w:val="single" w:sz="4" w:space="0" w:color="auto"/>
            </w:tcBorders>
            <w:vAlign w:val="center"/>
            <w:hideMark/>
          </w:tcPr>
          <w:p w14:paraId="365E4CB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Older but still influential.</w:t>
            </w:r>
          </w:p>
        </w:tc>
        <w:tc>
          <w:tcPr>
            <w:tcW w:w="1983" w:type="dxa"/>
            <w:tcBorders>
              <w:top w:val="nil"/>
              <w:left w:val="nil"/>
              <w:bottom w:val="single" w:sz="4" w:space="0" w:color="auto"/>
              <w:right w:val="single" w:sz="4" w:space="0" w:color="auto"/>
            </w:tcBorders>
            <w:vAlign w:val="center"/>
            <w:hideMark/>
          </w:tcPr>
          <w:p w14:paraId="5AB0E92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Early conceptual support for financeability logic.</w:t>
            </w:r>
          </w:p>
        </w:tc>
      </w:tr>
      <w:tr w:rsidR="00FB3CCF" w:rsidRPr="00FB3CCF" w14:paraId="0FC612D1"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0C3672CE"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Bürer</w:t>
            </w:r>
            <w:proofErr w:type="spellEnd"/>
            <w:r w:rsidRPr="00FB3CCF">
              <w:rPr>
                <w:rFonts w:ascii="Arial" w:hAnsi="Arial" w:cs="Arial"/>
                <w:sz w:val="20"/>
                <w:szCs w:val="20"/>
              </w:rPr>
              <w:t xml:space="preserve"> and </w:t>
            </w:r>
            <w:proofErr w:type="spellStart"/>
            <w:r w:rsidRPr="00FB3CCF">
              <w:rPr>
                <w:rFonts w:ascii="Arial" w:hAnsi="Arial" w:cs="Arial"/>
                <w:sz w:val="20"/>
                <w:szCs w:val="20"/>
              </w:rPr>
              <w:t>Wüstenhagen</w:t>
            </w:r>
            <w:proofErr w:type="spellEnd"/>
            <w:r w:rsidRPr="00FB3CCF">
              <w:rPr>
                <w:rFonts w:ascii="Arial" w:hAnsi="Arial" w:cs="Arial"/>
                <w:sz w:val="20"/>
                <w:szCs w:val="20"/>
              </w:rPr>
              <w:t xml:space="preserve"> (2009)</w:t>
            </w:r>
          </w:p>
        </w:tc>
        <w:tc>
          <w:tcPr>
            <w:tcW w:w="1768" w:type="dxa"/>
            <w:tcBorders>
              <w:top w:val="nil"/>
              <w:left w:val="nil"/>
              <w:bottom w:val="single" w:sz="4" w:space="0" w:color="auto"/>
              <w:right w:val="single" w:sz="4" w:space="0" w:color="auto"/>
            </w:tcBorders>
            <w:vAlign w:val="center"/>
            <w:hideMark/>
          </w:tcPr>
          <w:p w14:paraId="1FDF050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Venture investors prefer policy instruments that reduce regulatory risk.</w:t>
            </w:r>
          </w:p>
        </w:tc>
        <w:tc>
          <w:tcPr>
            <w:tcW w:w="2340" w:type="dxa"/>
            <w:tcBorders>
              <w:top w:val="nil"/>
              <w:left w:val="nil"/>
              <w:bottom w:val="single" w:sz="4" w:space="0" w:color="auto"/>
              <w:right w:val="single" w:sz="4" w:space="0" w:color="auto"/>
            </w:tcBorders>
            <w:vAlign w:val="center"/>
            <w:hideMark/>
          </w:tcPr>
          <w:p w14:paraId="49CFCBB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International survey; policy stability matters for early-stage investment.</w:t>
            </w:r>
          </w:p>
        </w:tc>
        <w:tc>
          <w:tcPr>
            <w:tcW w:w="1710" w:type="dxa"/>
            <w:tcBorders>
              <w:top w:val="nil"/>
              <w:left w:val="nil"/>
              <w:bottom w:val="single" w:sz="4" w:space="0" w:color="auto"/>
              <w:right w:val="single" w:sz="4" w:space="0" w:color="auto"/>
            </w:tcBorders>
            <w:vAlign w:val="center"/>
            <w:hideMark/>
          </w:tcPr>
          <w:p w14:paraId="43C7B30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Not wave-specific and VC-focused.</w:t>
            </w:r>
          </w:p>
        </w:tc>
        <w:tc>
          <w:tcPr>
            <w:tcW w:w="1983" w:type="dxa"/>
            <w:tcBorders>
              <w:top w:val="nil"/>
              <w:left w:val="nil"/>
              <w:bottom w:val="single" w:sz="4" w:space="0" w:color="auto"/>
              <w:right w:val="single" w:sz="4" w:space="0" w:color="auto"/>
            </w:tcBorders>
            <w:vAlign w:val="center"/>
            <w:hideMark/>
          </w:tcPr>
          <w:p w14:paraId="5F2B00A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startup finance comparison.</w:t>
            </w:r>
          </w:p>
        </w:tc>
      </w:tr>
      <w:tr w:rsidR="00FB3CCF" w:rsidRPr="00FB3CCF" w14:paraId="5B5D0C5C"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3CCC9C37"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Bürer</w:t>
            </w:r>
            <w:proofErr w:type="spellEnd"/>
            <w:r w:rsidRPr="00FB3CCF">
              <w:rPr>
                <w:rFonts w:ascii="Arial" w:hAnsi="Arial" w:cs="Arial"/>
                <w:sz w:val="20"/>
                <w:szCs w:val="20"/>
              </w:rPr>
              <w:t xml:space="preserve"> and </w:t>
            </w:r>
            <w:proofErr w:type="spellStart"/>
            <w:r w:rsidRPr="00FB3CCF">
              <w:rPr>
                <w:rFonts w:ascii="Arial" w:hAnsi="Arial" w:cs="Arial"/>
                <w:sz w:val="20"/>
                <w:szCs w:val="20"/>
              </w:rPr>
              <w:t>Wüstenhagen</w:t>
            </w:r>
            <w:proofErr w:type="spellEnd"/>
            <w:r w:rsidRPr="00FB3CCF">
              <w:rPr>
                <w:rFonts w:ascii="Arial" w:hAnsi="Arial" w:cs="Arial"/>
                <w:sz w:val="20"/>
                <w:szCs w:val="20"/>
              </w:rPr>
              <w:t xml:space="preserve"> (2008)</w:t>
            </w:r>
          </w:p>
        </w:tc>
        <w:tc>
          <w:tcPr>
            <w:tcW w:w="1768" w:type="dxa"/>
            <w:tcBorders>
              <w:top w:val="nil"/>
              <w:left w:val="nil"/>
              <w:bottom w:val="single" w:sz="4" w:space="0" w:color="auto"/>
              <w:right w:val="single" w:sz="4" w:space="0" w:color="auto"/>
            </w:tcBorders>
            <w:vAlign w:val="center"/>
            <w:hideMark/>
          </w:tcPr>
          <w:p w14:paraId="1091BDF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Cleantech VC actors actively manage regulatory risk.</w:t>
            </w:r>
          </w:p>
        </w:tc>
        <w:tc>
          <w:tcPr>
            <w:tcW w:w="2340" w:type="dxa"/>
            <w:tcBorders>
              <w:top w:val="nil"/>
              <w:left w:val="nil"/>
              <w:bottom w:val="single" w:sz="4" w:space="0" w:color="auto"/>
              <w:right w:val="single" w:sz="4" w:space="0" w:color="auto"/>
            </w:tcBorders>
            <w:vAlign w:val="center"/>
            <w:hideMark/>
          </w:tcPr>
          <w:p w14:paraId="4231EB0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Exploratory empirical analysis; policy risk influences investor behaviour directly.</w:t>
            </w:r>
          </w:p>
        </w:tc>
        <w:tc>
          <w:tcPr>
            <w:tcW w:w="1710" w:type="dxa"/>
            <w:tcBorders>
              <w:top w:val="nil"/>
              <w:left w:val="nil"/>
              <w:bottom w:val="single" w:sz="4" w:space="0" w:color="auto"/>
              <w:right w:val="single" w:sz="4" w:space="0" w:color="auto"/>
            </w:tcBorders>
            <w:vAlign w:val="center"/>
            <w:hideMark/>
          </w:tcPr>
          <w:p w14:paraId="1013134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Exploratory and early.</w:t>
            </w:r>
          </w:p>
        </w:tc>
        <w:tc>
          <w:tcPr>
            <w:tcW w:w="1983" w:type="dxa"/>
            <w:tcBorders>
              <w:top w:val="nil"/>
              <w:left w:val="nil"/>
              <w:bottom w:val="single" w:sz="4" w:space="0" w:color="auto"/>
              <w:right w:val="single" w:sz="4" w:space="0" w:color="auto"/>
            </w:tcBorders>
            <w:vAlign w:val="center"/>
            <w:hideMark/>
          </w:tcPr>
          <w:p w14:paraId="46D7AEE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Helps connect policy risk to startup funding decisions.</w:t>
            </w:r>
          </w:p>
        </w:tc>
      </w:tr>
      <w:tr w:rsidR="00FB3CCF" w:rsidRPr="00FB3CCF" w14:paraId="7657D37D"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1BB013B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Gaddy et al. (2017)</w:t>
            </w:r>
          </w:p>
        </w:tc>
        <w:tc>
          <w:tcPr>
            <w:tcW w:w="1768" w:type="dxa"/>
            <w:tcBorders>
              <w:top w:val="nil"/>
              <w:left w:val="nil"/>
              <w:bottom w:val="single" w:sz="4" w:space="0" w:color="auto"/>
              <w:right w:val="single" w:sz="4" w:space="0" w:color="auto"/>
            </w:tcBorders>
            <w:vAlign w:val="center"/>
            <w:hideMark/>
          </w:tcPr>
          <w:p w14:paraId="4CF13BB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Conventional VC is poorly suited to deep energy hardware ventures.</w:t>
            </w:r>
          </w:p>
        </w:tc>
        <w:tc>
          <w:tcPr>
            <w:tcW w:w="2340" w:type="dxa"/>
            <w:tcBorders>
              <w:top w:val="nil"/>
              <w:left w:val="nil"/>
              <w:bottom w:val="single" w:sz="4" w:space="0" w:color="auto"/>
              <w:right w:val="single" w:sz="4" w:space="0" w:color="auto"/>
            </w:tcBorders>
            <w:vAlign w:val="center"/>
            <w:hideMark/>
          </w:tcPr>
          <w:p w14:paraId="5D8C5BA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Comparative investment outcome analysis; deep hardware cleantech consumed capital and returned poorly.</w:t>
            </w:r>
          </w:p>
        </w:tc>
        <w:tc>
          <w:tcPr>
            <w:tcW w:w="1710" w:type="dxa"/>
            <w:tcBorders>
              <w:top w:val="nil"/>
              <w:left w:val="nil"/>
              <w:bottom w:val="single" w:sz="4" w:space="0" w:color="auto"/>
              <w:right w:val="single" w:sz="4" w:space="0" w:color="auto"/>
            </w:tcBorders>
            <w:vAlign w:val="center"/>
            <w:hideMark/>
          </w:tcPr>
          <w:p w14:paraId="6CA4174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 cleantech rather than wave.</w:t>
            </w:r>
          </w:p>
        </w:tc>
        <w:tc>
          <w:tcPr>
            <w:tcW w:w="1983" w:type="dxa"/>
            <w:tcBorders>
              <w:top w:val="nil"/>
              <w:left w:val="nil"/>
              <w:bottom w:val="single" w:sz="4" w:space="0" w:color="auto"/>
              <w:right w:val="single" w:sz="4" w:space="0" w:color="auto"/>
            </w:tcBorders>
            <w:vAlign w:val="center"/>
            <w:hideMark/>
          </w:tcPr>
          <w:p w14:paraId="6E1D552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Vital for explaining why wave startups fit poorly with standard VC.</w:t>
            </w:r>
          </w:p>
        </w:tc>
      </w:tr>
      <w:tr w:rsidR="00FB3CCF" w:rsidRPr="00FB3CCF" w14:paraId="15CD92ED"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2259500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Owen et al. (2020)</w:t>
            </w:r>
          </w:p>
        </w:tc>
        <w:tc>
          <w:tcPr>
            <w:tcW w:w="1768" w:type="dxa"/>
            <w:tcBorders>
              <w:top w:val="nil"/>
              <w:left w:val="nil"/>
              <w:bottom w:val="single" w:sz="4" w:space="0" w:color="auto"/>
              <w:right w:val="single" w:sz="4" w:space="0" w:color="auto"/>
            </w:tcBorders>
            <w:vAlign w:val="center"/>
            <w:hideMark/>
          </w:tcPr>
          <w:p w14:paraId="576012D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Early-stage green SMEs need more focused policy and co-finance support.</w:t>
            </w:r>
          </w:p>
        </w:tc>
        <w:tc>
          <w:tcPr>
            <w:tcW w:w="2340" w:type="dxa"/>
            <w:tcBorders>
              <w:top w:val="nil"/>
              <w:left w:val="nil"/>
              <w:bottom w:val="single" w:sz="4" w:space="0" w:color="auto"/>
              <w:right w:val="single" w:sz="4" w:space="0" w:color="auto"/>
            </w:tcBorders>
            <w:vAlign w:val="center"/>
            <w:hideMark/>
          </w:tcPr>
          <w:p w14:paraId="1BC02E2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UK case studies; long-horizon green SMEs are poorly served by existing finance markets.</w:t>
            </w:r>
          </w:p>
        </w:tc>
        <w:tc>
          <w:tcPr>
            <w:tcW w:w="1710" w:type="dxa"/>
            <w:tcBorders>
              <w:top w:val="nil"/>
              <w:left w:val="nil"/>
              <w:bottom w:val="single" w:sz="4" w:space="0" w:color="auto"/>
              <w:right w:val="single" w:sz="4" w:space="0" w:color="auto"/>
            </w:tcBorders>
            <w:vAlign w:val="center"/>
            <w:hideMark/>
          </w:tcPr>
          <w:p w14:paraId="36B6884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SME-wide rather than wave-specific.</w:t>
            </w:r>
          </w:p>
        </w:tc>
        <w:tc>
          <w:tcPr>
            <w:tcW w:w="1983" w:type="dxa"/>
            <w:tcBorders>
              <w:top w:val="nil"/>
              <w:left w:val="nil"/>
              <w:bottom w:val="single" w:sz="4" w:space="0" w:color="auto"/>
              <w:right w:val="single" w:sz="4" w:space="0" w:color="auto"/>
            </w:tcBorders>
            <w:vAlign w:val="center"/>
            <w:hideMark/>
          </w:tcPr>
          <w:p w14:paraId="1396A89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adjacent evidence for early-stage finance constraints.</w:t>
            </w:r>
          </w:p>
        </w:tc>
      </w:tr>
      <w:tr w:rsidR="00FB3CCF" w:rsidRPr="00FB3CCF" w14:paraId="52495D3C"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0A8A562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Owen (2021)</w:t>
            </w:r>
          </w:p>
        </w:tc>
        <w:tc>
          <w:tcPr>
            <w:tcW w:w="1768" w:type="dxa"/>
            <w:tcBorders>
              <w:top w:val="nil"/>
              <w:left w:val="nil"/>
              <w:bottom w:val="single" w:sz="4" w:space="0" w:color="auto"/>
              <w:right w:val="single" w:sz="4" w:space="0" w:color="auto"/>
            </w:tcBorders>
            <w:vAlign w:val="center"/>
            <w:hideMark/>
          </w:tcPr>
          <w:p w14:paraId="7818F28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Government-backed venture capital can help address early-stage low-carbon finance gaps.</w:t>
            </w:r>
          </w:p>
        </w:tc>
        <w:tc>
          <w:tcPr>
            <w:tcW w:w="2340" w:type="dxa"/>
            <w:tcBorders>
              <w:top w:val="nil"/>
              <w:left w:val="nil"/>
              <w:bottom w:val="single" w:sz="4" w:space="0" w:color="auto"/>
              <w:right w:val="single" w:sz="4" w:space="0" w:color="auto"/>
            </w:tcBorders>
            <w:vAlign w:val="center"/>
            <w:hideMark/>
          </w:tcPr>
          <w:p w14:paraId="701C503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Longitudinal qualitative study of UK government VC funds; fund design and learning matter for market building.</w:t>
            </w:r>
          </w:p>
        </w:tc>
        <w:tc>
          <w:tcPr>
            <w:tcW w:w="1710" w:type="dxa"/>
            <w:tcBorders>
              <w:top w:val="nil"/>
              <w:left w:val="nil"/>
              <w:bottom w:val="single" w:sz="4" w:space="0" w:color="auto"/>
              <w:right w:val="single" w:sz="4" w:space="0" w:color="auto"/>
            </w:tcBorders>
            <w:vAlign w:val="center"/>
            <w:hideMark/>
          </w:tcPr>
          <w:p w14:paraId="093E833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Supply-side focus, limited wave specificity.</w:t>
            </w:r>
          </w:p>
        </w:tc>
        <w:tc>
          <w:tcPr>
            <w:tcW w:w="1983" w:type="dxa"/>
            <w:tcBorders>
              <w:top w:val="nil"/>
              <w:left w:val="nil"/>
              <w:bottom w:val="single" w:sz="4" w:space="0" w:color="auto"/>
              <w:right w:val="single" w:sz="4" w:space="0" w:color="auto"/>
            </w:tcBorders>
            <w:vAlign w:val="center"/>
            <w:hideMark/>
          </w:tcPr>
          <w:p w14:paraId="3E3D574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public de-risking and patient capital discussion.</w:t>
            </w:r>
          </w:p>
        </w:tc>
      </w:tr>
      <w:tr w:rsidR="00FB3CCF" w:rsidRPr="00FB3CCF" w14:paraId="5B83E4C5"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638AB3F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Cowling and Liu (2021)</w:t>
            </w:r>
          </w:p>
        </w:tc>
        <w:tc>
          <w:tcPr>
            <w:tcW w:w="1768" w:type="dxa"/>
            <w:tcBorders>
              <w:top w:val="nil"/>
              <w:left w:val="nil"/>
              <w:bottom w:val="single" w:sz="4" w:space="0" w:color="auto"/>
              <w:right w:val="single" w:sz="4" w:space="0" w:color="auto"/>
            </w:tcBorders>
            <w:vAlign w:val="center"/>
            <w:hideMark/>
          </w:tcPr>
          <w:p w14:paraId="5B26FD8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UK cleantech SMEs demand more external capital than standard </w:t>
            </w:r>
            <w:proofErr w:type="gramStart"/>
            <w:r w:rsidRPr="00FB3CCF">
              <w:rPr>
                <w:rFonts w:ascii="Arial" w:hAnsi="Arial" w:cs="Arial"/>
                <w:sz w:val="20"/>
                <w:szCs w:val="20"/>
              </w:rPr>
              <w:t>providers</w:t>
            </w:r>
            <w:proofErr w:type="gramEnd"/>
            <w:r w:rsidRPr="00FB3CCF">
              <w:rPr>
                <w:rFonts w:ascii="Arial" w:hAnsi="Arial" w:cs="Arial"/>
                <w:sz w:val="20"/>
                <w:szCs w:val="20"/>
              </w:rPr>
              <w:t xml:space="preserve"> supply.</w:t>
            </w:r>
          </w:p>
        </w:tc>
        <w:tc>
          <w:tcPr>
            <w:tcW w:w="2340" w:type="dxa"/>
            <w:tcBorders>
              <w:top w:val="nil"/>
              <w:left w:val="nil"/>
              <w:bottom w:val="single" w:sz="4" w:space="0" w:color="auto"/>
              <w:right w:val="single" w:sz="4" w:space="0" w:color="auto"/>
            </w:tcBorders>
            <w:vAlign w:val="center"/>
            <w:hideMark/>
          </w:tcPr>
          <w:p w14:paraId="01D8BBA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Large UK firm dataset; traditional finance does not fully meet cleantech demand.</w:t>
            </w:r>
          </w:p>
        </w:tc>
        <w:tc>
          <w:tcPr>
            <w:tcW w:w="1710" w:type="dxa"/>
            <w:tcBorders>
              <w:top w:val="nil"/>
              <w:left w:val="nil"/>
              <w:bottom w:val="single" w:sz="4" w:space="0" w:color="auto"/>
              <w:right w:val="single" w:sz="4" w:space="0" w:color="auto"/>
            </w:tcBorders>
            <w:vAlign w:val="center"/>
            <w:hideMark/>
          </w:tcPr>
          <w:p w14:paraId="72A38B1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 cleantech category.</w:t>
            </w:r>
          </w:p>
        </w:tc>
        <w:tc>
          <w:tcPr>
            <w:tcW w:w="1983" w:type="dxa"/>
            <w:tcBorders>
              <w:top w:val="nil"/>
              <w:left w:val="nil"/>
              <w:bottom w:val="single" w:sz="4" w:space="0" w:color="auto"/>
              <w:right w:val="single" w:sz="4" w:space="0" w:color="auto"/>
            </w:tcBorders>
            <w:vAlign w:val="center"/>
            <w:hideMark/>
          </w:tcPr>
          <w:p w14:paraId="071C15F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Strengthens the startup finance side of the framework.</w:t>
            </w:r>
          </w:p>
        </w:tc>
      </w:tr>
      <w:tr w:rsidR="00FB3CCF" w:rsidRPr="00FB3CCF" w14:paraId="5A372762"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6DEC484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O’Reilly, Mac an Bhaird and Greene (2024)</w:t>
            </w:r>
          </w:p>
        </w:tc>
        <w:tc>
          <w:tcPr>
            <w:tcW w:w="1768" w:type="dxa"/>
            <w:tcBorders>
              <w:top w:val="nil"/>
              <w:left w:val="nil"/>
              <w:bottom w:val="single" w:sz="4" w:space="0" w:color="auto"/>
              <w:right w:val="single" w:sz="4" w:space="0" w:color="auto"/>
            </w:tcBorders>
            <w:vAlign w:val="center"/>
            <w:hideMark/>
          </w:tcPr>
          <w:p w14:paraId="1C9EEA6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Equity-backed cleantech firms may move more slowly across the valley of death than assumed.</w:t>
            </w:r>
          </w:p>
        </w:tc>
        <w:tc>
          <w:tcPr>
            <w:tcW w:w="2340" w:type="dxa"/>
            <w:tcBorders>
              <w:top w:val="nil"/>
              <w:left w:val="nil"/>
              <w:bottom w:val="single" w:sz="4" w:space="0" w:color="auto"/>
              <w:right w:val="single" w:sz="4" w:space="0" w:color="auto"/>
            </w:tcBorders>
            <w:vAlign w:val="center"/>
            <w:hideMark/>
          </w:tcPr>
          <w:p w14:paraId="1792191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Longitudinal analysis of 354 UK cleantech firms; equity capital does not automatically speed financial milestones.</w:t>
            </w:r>
          </w:p>
        </w:tc>
        <w:tc>
          <w:tcPr>
            <w:tcW w:w="1710" w:type="dxa"/>
            <w:tcBorders>
              <w:top w:val="nil"/>
              <w:left w:val="nil"/>
              <w:bottom w:val="single" w:sz="4" w:space="0" w:color="auto"/>
              <w:right w:val="single" w:sz="4" w:space="0" w:color="auto"/>
            </w:tcBorders>
            <w:vAlign w:val="center"/>
            <w:hideMark/>
          </w:tcPr>
          <w:p w14:paraId="5AD9C51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Important corrective to simple equity optimism.</w:t>
            </w:r>
          </w:p>
        </w:tc>
        <w:tc>
          <w:tcPr>
            <w:tcW w:w="1983" w:type="dxa"/>
            <w:tcBorders>
              <w:top w:val="nil"/>
              <w:left w:val="nil"/>
              <w:bottom w:val="single" w:sz="4" w:space="0" w:color="auto"/>
              <w:right w:val="single" w:sz="4" w:space="0" w:color="auto"/>
            </w:tcBorders>
            <w:vAlign w:val="center"/>
            <w:hideMark/>
          </w:tcPr>
          <w:p w14:paraId="6F6A407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recent evidence on early-stage finance.</w:t>
            </w:r>
          </w:p>
        </w:tc>
      </w:tr>
      <w:tr w:rsidR="00FB3CCF" w:rsidRPr="00FB3CCF" w14:paraId="2EDDA560"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10EECFD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lastRenderedPageBreak/>
              <w:t xml:space="preserve">van der </w:t>
            </w:r>
            <w:proofErr w:type="spellStart"/>
            <w:r w:rsidRPr="00FB3CCF">
              <w:rPr>
                <w:rFonts w:ascii="Arial" w:hAnsi="Arial" w:cs="Arial"/>
                <w:sz w:val="20"/>
                <w:szCs w:val="20"/>
              </w:rPr>
              <w:t>Schans</w:t>
            </w:r>
            <w:proofErr w:type="spellEnd"/>
            <w:r w:rsidRPr="00FB3CCF">
              <w:rPr>
                <w:rFonts w:ascii="Arial" w:hAnsi="Arial" w:cs="Arial"/>
                <w:sz w:val="20"/>
                <w:szCs w:val="20"/>
              </w:rPr>
              <w:t>, Owen and Hussain (2025)</w:t>
            </w:r>
          </w:p>
        </w:tc>
        <w:tc>
          <w:tcPr>
            <w:tcW w:w="1768" w:type="dxa"/>
            <w:tcBorders>
              <w:top w:val="nil"/>
              <w:left w:val="nil"/>
              <w:bottom w:val="single" w:sz="4" w:space="0" w:color="auto"/>
              <w:right w:val="single" w:sz="4" w:space="0" w:color="auto"/>
            </w:tcBorders>
            <w:vAlign w:val="center"/>
            <w:hideMark/>
          </w:tcPr>
          <w:p w14:paraId="34A9356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Green start-up and scale-up firms face a patient capital problem.</w:t>
            </w:r>
          </w:p>
        </w:tc>
        <w:tc>
          <w:tcPr>
            <w:tcW w:w="2340" w:type="dxa"/>
            <w:tcBorders>
              <w:top w:val="nil"/>
              <w:left w:val="nil"/>
              <w:bottom w:val="single" w:sz="4" w:space="0" w:color="auto"/>
              <w:right w:val="single" w:sz="4" w:space="0" w:color="auto"/>
            </w:tcBorders>
            <w:vAlign w:val="center"/>
            <w:hideMark/>
          </w:tcPr>
          <w:p w14:paraId="5A720A9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Venture finance analysis; time-horizon mismatch remains severe.</w:t>
            </w:r>
          </w:p>
        </w:tc>
        <w:tc>
          <w:tcPr>
            <w:tcW w:w="1710" w:type="dxa"/>
            <w:tcBorders>
              <w:top w:val="nil"/>
              <w:left w:val="nil"/>
              <w:bottom w:val="single" w:sz="4" w:space="0" w:color="auto"/>
              <w:right w:val="single" w:sz="4" w:space="0" w:color="auto"/>
            </w:tcBorders>
            <w:vAlign w:val="center"/>
            <w:hideMark/>
          </w:tcPr>
          <w:p w14:paraId="640CB40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Very recent and promising, though not wave-specific.</w:t>
            </w:r>
          </w:p>
        </w:tc>
        <w:tc>
          <w:tcPr>
            <w:tcW w:w="1983" w:type="dxa"/>
            <w:tcBorders>
              <w:top w:val="nil"/>
              <w:left w:val="nil"/>
              <w:bottom w:val="single" w:sz="4" w:space="0" w:color="auto"/>
              <w:right w:val="single" w:sz="4" w:space="0" w:color="auto"/>
            </w:tcBorders>
            <w:vAlign w:val="center"/>
            <w:hideMark/>
          </w:tcPr>
          <w:p w14:paraId="5662FF0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Directly supports staged finance fit.</w:t>
            </w:r>
          </w:p>
        </w:tc>
      </w:tr>
      <w:tr w:rsidR="00FB3CCF" w:rsidRPr="00FB3CCF" w14:paraId="7F6FFCCD"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081E2FD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Harrer and Owen (2022)</w:t>
            </w:r>
          </w:p>
        </w:tc>
        <w:tc>
          <w:tcPr>
            <w:tcW w:w="1768" w:type="dxa"/>
            <w:tcBorders>
              <w:top w:val="nil"/>
              <w:left w:val="nil"/>
              <w:bottom w:val="single" w:sz="4" w:space="0" w:color="auto"/>
              <w:right w:val="single" w:sz="4" w:space="0" w:color="auto"/>
            </w:tcBorders>
            <w:vAlign w:val="center"/>
            <w:hideMark/>
          </w:tcPr>
          <w:p w14:paraId="091D138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Information asymmetry in cleantech can be reduced through better performance signalling.</w:t>
            </w:r>
          </w:p>
        </w:tc>
        <w:tc>
          <w:tcPr>
            <w:tcW w:w="2340" w:type="dxa"/>
            <w:tcBorders>
              <w:top w:val="nil"/>
              <w:left w:val="nil"/>
              <w:bottom w:val="single" w:sz="4" w:space="0" w:color="auto"/>
              <w:right w:val="single" w:sz="4" w:space="0" w:color="auto"/>
            </w:tcBorders>
            <w:vAlign w:val="center"/>
            <w:hideMark/>
          </w:tcPr>
          <w:p w14:paraId="3B83217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Mixed methods using pitch decks, interviews and documents; value communication affects funding gaps.</w:t>
            </w:r>
          </w:p>
        </w:tc>
        <w:tc>
          <w:tcPr>
            <w:tcW w:w="1710" w:type="dxa"/>
            <w:tcBorders>
              <w:top w:val="nil"/>
              <w:left w:val="nil"/>
              <w:bottom w:val="single" w:sz="4" w:space="0" w:color="auto"/>
              <w:right w:val="single" w:sz="4" w:space="0" w:color="auto"/>
            </w:tcBorders>
            <w:vAlign w:val="center"/>
            <w:hideMark/>
          </w:tcPr>
          <w:p w14:paraId="30A8DDD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Adjacent but sophisticated.</w:t>
            </w:r>
          </w:p>
        </w:tc>
        <w:tc>
          <w:tcPr>
            <w:tcW w:w="1983" w:type="dxa"/>
            <w:tcBorders>
              <w:top w:val="nil"/>
              <w:left w:val="nil"/>
              <w:bottom w:val="single" w:sz="4" w:space="0" w:color="auto"/>
              <w:right w:val="single" w:sz="4" w:space="0" w:color="auto"/>
            </w:tcBorders>
            <w:vAlign w:val="center"/>
            <w:hideMark/>
          </w:tcPr>
          <w:p w14:paraId="5953D06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evidence and signalling within bankability.</w:t>
            </w:r>
          </w:p>
        </w:tc>
      </w:tr>
      <w:tr w:rsidR="00FB3CCF" w:rsidRPr="00FB3CCF" w14:paraId="687B500D"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0642337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McCoy and Schwartz (2022)</w:t>
            </w:r>
          </w:p>
        </w:tc>
        <w:tc>
          <w:tcPr>
            <w:tcW w:w="1768" w:type="dxa"/>
            <w:tcBorders>
              <w:top w:val="nil"/>
              <w:left w:val="nil"/>
              <w:bottom w:val="single" w:sz="4" w:space="0" w:color="auto"/>
              <w:right w:val="single" w:sz="4" w:space="0" w:color="auto"/>
            </w:tcBorders>
            <w:vAlign w:val="center"/>
            <w:hideMark/>
          </w:tcPr>
          <w:p w14:paraId="34BC505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Bankability has multiple meanings depending on actor, asset and financing context.</w:t>
            </w:r>
          </w:p>
        </w:tc>
        <w:tc>
          <w:tcPr>
            <w:tcW w:w="2340" w:type="dxa"/>
            <w:tcBorders>
              <w:top w:val="nil"/>
              <w:left w:val="nil"/>
              <w:bottom w:val="single" w:sz="4" w:space="0" w:color="auto"/>
              <w:right w:val="single" w:sz="4" w:space="0" w:color="auto"/>
            </w:tcBorders>
            <w:vAlign w:val="center"/>
            <w:hideMark/>
          </w:tcPr>
          <w:p w14:paraId="3762EEB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and review-based analysis; bankability is relational rather than fixed.</w:t>
            </w:r>
          </w:p>
        </w:tc>
        <w:tc>
          <w:tcPr>
            <w:tcW w:w="1710" w:type="dxa"/>
            <w:tcBorders>
              <w:top w:val="nil"/>
              <w:left w:val="nil"/>
              <w:bottom w:val="single" w:sz="4" w:space="0" w:color="auto"/>
              <w:right w:val="single" w:sz="4" w:space="0" w:color="auto"/>
            </w:tcBorders>
            <w:vAlign w:val="center"/>
            <w:hideMark/>
          </w:tcPr>
          <w:p w14:paraId="696D163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Water rather than energy, but conceptually rich.</w:t>
            </w:r>
          </w:p>
        </w:tc>
        <w:tc>
          <w:tcPr>
            <w:tcW w:w="1983" w:type="dxa"/>
            <w:tcBorders>
              <w:top w:val="nil"/>
              <w:left w:val="nil"/>
              <w:bottom w:val="single" w:sz="4" w:space="0" w:color="auto"/>
              <w:right w:val="single" w:sz="4" w:space="0" w:color="auto"/>
            </w:tcBorders>
            <w:vAlign w:val="center"/>
            <w:hideMark/>
          </w:tcPr>
          <w:p w14:paraId="18FACC4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One of the best explicit definitions to adapt.</w:t>
            </w:r>
          </w:p>
        </w:tc>
      </w:tr>
      <w:tr w:rsidR="00FB3CCF" w:rsidRPr="00FB3CCF" w14:paraId="1449A852"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5DBAEC8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Romero, Sulima and </w:t>
            </w:r>
            <w:proofErr w:type="spellStart"/>
            <w:r w:rsidRPr="00FB3CCF">
              <w:rPr>
                <w:rFonts w:ascii="Arial" w:hAnsi="Arial" w:cs="Arial"/>
                <w:sz w:val="20"/>
                <w:szCs w:val="20"/>
              </w:rPr>
              <w:t>Conibeer</w:t>
            </w:r>
            <w:proofErr w:type="spellEnd"/>
            <w:r w:rsidRPr="00FB3CCF">
              <w:rPr>
                <w:rFonts w:ascii="Arial" w:hAnsi="Arial" w:cs="Arial"/>
                <w:sz w:val="20"/>
                <w:szCs w:val="20"/>
              </w:rPr>
              <w:t xml:space="preserve"> (2017)</w:t>
            </w:r>
          </w:p>
        </w:tc>
        <w:tc>
          <w:tcPr>
            <w:tcW w:w="1768" w:type="dxa"/>
            <w:tcBorders>
              <w:top w:val="nil"/>
              <w:left w:val="nil"/>
              <w:bottom w:val="single" w:sz="4" w:space="0" w:color="auto"/>
              <w:right w:val="single" w:sz="4" w:space="0" w:color="auto"/>
            </w:tcBorders>
            <w:vAlign w:val="center"/>
            <w:hideMark/>
          </w:tcPr>
          <w:p w14:paraId="6710967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Novel energy technologies struggle with bankability because financiers judge technology risk differently from developers.</w:t>
            </w:r>
          </w:p>
        </w:tc>
        <w:tc>
          <w:tcPr>
            <w:tcW w:w="2340" w:type="dxa"/>
            <w:tcBorders>
              <w:top w:val="nil"/>
              <w:left w:val="nil"/>
              <w:bottom w:val="single" w:sz="4" w:space="0" w:color="auto"/>
              <w:right w:val="single" w:sz="4" w:space="0" w:color="auto"/>
            </w:tcBorders>
            <w:vAlign w:val="center"/>
            <w:hideMark/>
          </w:tcPr>
          <w:p w14:paraId="026824A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Conceptual/practitioner-oriented analysis; bankability depends on perceived risk ownership.</w:t>
            </w:r>
          </w:p>
        </w:tc>
        <w:tc>
          <w:tcPr>
            <w:tcW w:w="1710" w:type="dxa"/>
            <w:tcBorders>
              <w:top w:val="nil"/>
              <w:left w:val="nil"/>
              <w:bottom w:val="single" w:sz="4" w:space="0" w:color="auto"/>
              <w:right w:val="single" w:sz="4" w:space="0" w:color="auto"/>
            </w:tcBorders>
            <w:vAlign w:val="center"/>
            <w:hideMark/>
          </w:tcPr>
          <w:p w14:paraId="7052C59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Lighter empirically, but directly on point.</w:t>
            </w:r>
          </w:p>
        </w:tc>
        <w:tc>
          <w:tcPr>
            <w:tcW w:w="1983" w:type="dxa"/>
            <w:tcBorders>
              <w:top w:val="nil"/>
              <w:left w:val="nil"/>
              <w:bottom w:val="single" w:sz="4" w:space="0" w:color="auto"/>
              <w:right w:val="single" w:sz="4" w:space="0" w:color="auto"/>
            </w:tcBorders>
            <w:vAlign w:val="center"/>
            <w:hideMark/>
          </w:tcPr>
          <w:p w14:paraId="327381D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definitional anchor.</w:t>
            </w:r>
          </w:p>
        </w:tc>
      </w:tr>
      <w:tr w:rsidR="00FB3CCF" w:rsidRPr="00FB3CCF" w14:paraId="5B59FC01"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68CB0BA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Steffen (2018)</w:t>
            </w:r>
          </w:p>
        </w:tc>
        <w:tc>
          <w:tcPr>
            <w:tcW w:w="1768" w:type="dxa"/>
            <w:tcBorders>
              <w:top w:val="nil"/>
              <w:left w:val="nil"/>
              <w:bottom w:val="single" w:sz="4" w:space="0" w:color="auto"/>
              <w:right w:val="single" w:sz="4" w:space="0" w:color="auto"/>
            </w:tcBorders>
            <w:vAlign w:val="center"/>
            <w:hideMark/>
          </w:tcPr>
          <w:p w14:paraId="508A286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Project finance remains central to renewable deployment.</w:t>
            </w:r>
          </w:p>
        </w:tc>
        <w:tc>
          <w:tcPr>
            <w:tcW w:w="2340" w:type="dxa"/>
            <w:tcBorders>
              <w:top w:val="nil"/>
              <w:left w:val="nil"/>
              <w:bottom w:val="single" w:sz="4" w:space="0" w:color="auto"/>
              <w:right w:val="single" w:sz="4" w:space="0" w:color="auto"/>
            </w:tcBorders>
            <w:vAlign w:val="center"/>
            <w:hideMark/>
          </w:tcPr>
          <w:p w14:paraId="5F3C0BF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Review and conceptual analysis; financing structure matters as much as cost.</w:t>
            </w:r>
          </w:p>
        </w:tc>
        <w:tc>
          <w:tcPr>
            <w:tcW w:w="1710" w:type="dxa"/>
            <w:tcBorders>
              <w:top w:val="nil"/>
              <w:left w:val="nil"/>
              <w:bottom w:val="single" w:sz="4" w:space="0" w:color="auto"/>
              <w:right w:val="single" w:sz="4" w:space="0" w:color="auto"/>
            </w:tcBorders>
            <w:vAlign w:val="center"/>
            <w:hideMark/>
          </w:tcPr>
          <w:p w14:paraId="1DA4172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Stronger on mature projects than startups.</w:t>
            </w:r>
          </w:p>
        </w:tc>
        <w:tc>
          <w:tcPr>
            <w:tcW w:w="1983" w:type="dxa"/>
            <w:tcBorders>
              <w:top w:val="nil"/>
              <w:left w:val="nil"/>
              <w:bottom w:val="single" w:sz="4" w:space="0" w:color="auto"/>
              <w:right w:val="single" w:sz="4" w:space="0" w:color="auto"/>
            </w:tcBorders>
            <w:vAlign w:val="center"/>
            <w:hideMark/>
          </w:tcPr>
          <w:p w14:paraId="3B19799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Helps show where wave startups do not yet fit.</w:t>
            </w:r>
          </w:p>
        </w:tc>
      </w:tr>
      <w:tr w:rsidR="00FB3CCF" w:rsidRPr="00FB3CCF" w14:paraId="1CBBA226"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2625990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Steffen (2020)</w:t>
            </w:r>
          </w:p>
        </w:tc>
        <w:tc>
          <w:tcPr>
            <w:tcW w:w="1768" w:type="dxa"/>
            <w:tcBorders>
              <w:top w:val="nil"/>
              <w:left w:val="nil"/>
              <w:bottom w:val="single" w:sz="4" w:space="0" w:color="auto"/>
              <w:right w:val="single" w:sz="4" w:space="0" w:color="auto"/>
            </w:tcBorders>
            <w:vAlign w:val="center"/>
            <w:hideMark/>
          </w:tcPr>
          <w:p w14:paraId="0B6C027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Cost of capital differs materially across technologies and contexts.</w:t>
            </w:r>
          </w:p>
        </w:tc>
        <w:tc>
          <w:tcPr>
            <w:tcW w:w="2340" w:type="dxa"/>
            <w:tcBorders>
              <w:top w:val="nil"/>
              <w:left w:val="nil"/>
              <w:bottom w:val="single" w:sz="4" w:space="0" w:color="auto"/>
              <w:right w:val="single" w:sz="4" w:space="0" w:color="auto"/>
            </w:tcBorders>
            <w:vAlign w:val="center"/>
            <w:hideMark/>
          </w:tcPr>
          <w:p w14:paraId="49A6C10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Review of estimation methods and evidence; renewable financing costs are heterogeneous and consequential.</w:t>
            </w:r>
          </w:p>
        </w:tc>
        <w:tc>
          <w:tcPr>
            <w:tcW w:w="1710" w:type="dxa"/>
            <w:tcBorders>
              <w:top w:val="nil"/>
              <w:left w:val="nil"/>
              <w:bottom w:val="single" w:sz="4" w:space="0" w:color="auto"/>
              <w:right w:val="single" w:sz="4" w:space="0" w:color="auto"/>
            </w:tcBorders>
            <w:vAlign w:val="center"/>
            <w:hideMark/>
          </w:tcPr>
          <w:p w14:paraId="1D472B4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Not wave-specific, but methodologically strong.</w:t>
            </w:r>
          </w:p>
        </w:tc>
        <w:tc>
          <w:tcPr>
            <w:tcW w:w="1983" w:type="dxa"/>
            <w:tcBorders>
              <w:top w:val="nil"/>
              <w:left w:val="nil"/>
              <w:bottom w:val="single" w:sz="4" w:space="0" w:color="auto"/>
              <w:right w:val="single" w:sz="4" w:space="0" w:color="auto"/>
            </w:tcBorders>
            <w:vAlign w:val="center"/>
            <w:hideMark/>
          </w:tcPr>
          <w:p w14:paraId="4E548D4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the cost-of-capital dimension.</w:t>
            </w:r>
          </w:p>
        </w:tc>
      </w:tr>
      <w:tr w:rsidR="00FB3CCF" w:rsidRPr="00FB3CCF" w14:paraId="2FB4C41F"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654853B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Schmidt (2014)</w:t>
            </w:r>
          </w:p>
        </w:tc>
        <w:tc>
          <w:tcPr>
            <w:tcW w:w="1768" w:type="dxa"/>
            <w:tcBorders>
              <w:top w:val="nil"/>
              <w:left w:val="nil"/>
              <w:bottom w:val="single" w:sz="4" w:space="0" w:color="auto"/>
              <w:right w:val="single" w:sz="4" w:space="0" w:color="auto"/>
            </w:tcBorders>
            <w:vAlign w:val="center"/>
            <w:hideMark/>
          </w:tcPr>
          <w:p w14:paraId="22C13B8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Low-carbon investment risks need targeted de-risking tools.</w:t>
            </w:r>
          </w:p>
        </w:tc>
        <w:tc>
          <w:tcPr>
            <w:tcW w:w="2340" w:type="dxa"/>
            <w:tcBorders>
              <w:top w:val="nil"/>
              <w:left w:val="nil"/>
              <w:bottom w:val="single" w:sz="4" w:space="0" w:color="auto"/>
              <w:right w:val="single" w:sz="4" w:space="0" w:color="auto"/>
            </w:tcBorders>
            <w:vAlign w:val="center"/>
            <w:hideMark/>
          </w:tcPr>
          <w:p w14:paraId="6A15508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synthesis; different risks require different interventions.</w:t>
            </w:r>
          </w:p>
        </w:tc>
        <w:tc>
          <w:tcPr>
            <w:tcW w:w="1710" w:type="dxa"/>
            <w:tcBorders>
              <w:top w:val="nil"/>
              <w:left w:val="nil"/>
              <w:bottom w:val="single" w:sz="4" w:space="0" w:color="auto"/>
              <w:right w:val="single" w:sz="4" w:space="0" w:color="auto"/>
            </w:tcBorders>
            <w:vAlign w:val="center"/>
            <w:hideMark/>
          </w:tcPr>
          <w:p w14:paraId="4EC03F5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Short but influential.</w:t>
            </w:r>
          </w:p>
        </w:tc>
        <w:tc>
          <w:tcPr>
            <w:tcW w:w="1983" w:type="dxa"/>
            <w:tcBorders>
              <w:top w:val="nil"/>
              <w:left w:val="nil"/>
              <w:bottom w:val="single" w:sz="4" w:space="0" w:color="auto"/>
              <w:right w:val="single" w:sz="4" w:space="0" w:color="auto"/>
            </w:tcBorders>
            <w:vAlign w:val="center"/>
            <w:hideMark/>
          </w:tcPr>
          <w:p w14:paraId="404B9C3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structuring public support arguments.</w:t>
            </w:r>
          </w:p>
        </w:tc>
      </w:tr>
      <w:tr w:rsidR="00FB3CCF" w:rsidRPr="00FB3CCF" w14:paraId="3401C85F"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44D4A07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lastRenderedPageBreak/>
              <w:t>Hall, Foxon and Bolton (2017)</w:t>
            </w:r>
          </w:p>
        </w:tc>
        <w:tc>
          <w:tcPr>
            <w:tcW w:w="1768" w:type="dxa"/>
            <w:tcBorders>
              <w:top w:val="nil"/>
              <w:left w:val="nil"/>
              <w:bottom w:val="single" w:sz="4" w:space="0" w:color="auto"/>
              <w:right w:val="single" w:sz="4" w:space="0" w:color="auto"/>
            </w:tcBorders>
            <w:vAlign w:val="center"/>
            <w:hideMark/>
          </w:tcPr>
          <w:p w14:paraId="2C1BFE5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Energy finance should be understood as an adaptive market in transition.</w:t>
            </w:r>
          </w:p>
        </w:tc>
        <w:tc>
          <w:tcPr>
            <w:tcW w:w="2340" w:type="dxa"/>
            <w:tcBorders>
              <w:top w:val="nil"/>
              <w:left w:val="nil"/>
              <w:bottom w:val="single" w:sz="4" w:space="0" w:color="auto"/>
              <w:right w:val="single" w:sz="4" w:space="0" w:color="auto"/>
            </w:tcBorders>
            <w:vAlign w:val="center"/>
            <w:hideMark/>
          </w:tcPr>
          <w:p w14:paraId="48F85F8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and empirical transition analysis; finance evolves with institutions and expectations.</w:t>
            </w:r>
          </w:p>
        </w:tc>
        <w:tc>
          <w:tcPr>
            <w:tcW w:w="1710" w:type="dxa"/>
            <w:tcBorders>
              <w:top w:val="nil"/>
              <w:left w:val="nil"/>
              <w:bottom w:val="single" w:sz="4" w:space="0" w:color="auto"/>
              <w:right w:val="single" w:sz="4" w:space="0" w:color="auto"/>
            </w:tcBorders>
            <w:vAlign w:val="center"/>
            <w:hideMark/>
          </w:tcPr>
          <w:p w14:paraId="7B75089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Less direct on startup ventures.</w:t>
            </w:r>
          </w:p>
        </w:tc>
        <w:tc>
          <w:tcPr>
            <w:tcW w:w="1983" w:type="dxa"/>
            <w:tcBorders>
              <w:top w:val="nil"/>
              <w:left w:val="nil"/>
              <w:bottom w:val="single" w:sz="4" w:space="0" w:color="auto"/>
              <w:right w:val="single" w:sz="4" w:space="0" w:color="auto"/>
            </w:tcBorders>
            <w:vAlign w:val="center"/>
            <w:hideMark/>
          </w:tcPr>
          <w:p w14:paraId="53D8820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Helps lift the analysis above firm level.</w:t>
            </w:r>
          </w:p>
        </w:tc>
      </w:tr>
      <w:tr w:rsidR="00FB3CCF" w:rsidRPr="00FB3CCF" w14:paraId="00E3AC1D"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4370BF5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Geddes, Schmidt and Steffen (2018)</w:t>
            </w:r>
          </w:p>
        </w:tc>
        <w:tc>
          <w:tcPr>
            <w:tcW w:w="1768" w:type="dxa"/>
            <w:tcBorders>
              <w:top w:val="nil"/>
              <w:left w:val="nil"/>
              <w:bottom w:val="single" w:sz="4" w:space="0" w:color="auto"/>
              <w:right w:val="single" w:sz="4" w:space="0" w:color="auto"/>
            </w:tcBorders>
            <w:vAlign w:val="center"/>
            <w:hideMark/>
          </w:tcPr>
          <w:p w14:paraId="5768B2A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State investment banks play multiple roles in low-carbon finance.</w:t>
            </w:r>
          </w:p>
        </w:tc>
        <w:tc>
          <w:tcPr>
            <w:tcW w:w="2340" w:type="dxa"/>
            <w:tcBorders>
              <w:top w:val="nil"/>
              <w:left w:val="nil"/>
              <w:bottom w:val="single" w:sz="4" w:space="0" w:color="auto"/>
              <w:right w:val="single" w:sz="4" w:space="0" w:color="auto"/>
            </w:tcBorders>
            <w:vAlign w:val="center"/>
            <w:hideMark/>
          </w:tcPr>
          <w:p w14:paraId="669BD41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Comparative analysis of three countries; public actors can shape markets, not just fill gaps.</w:t>
            </w:r>
          </w:p>
        </w:tc>
        <w:tc>
          <w:tcPr>
            <w:tcW w:w="1710" w:type="dxa"/>
            <w:tcBorders>
              <w:top w:val="nil"/>
              <w:left w:val="nil"/>
              <w:bottom w:val="single" w:sz="4" w:space="0" w:color="auto"/>
              <w:right w:val="single" w:sz="4" w:space="0" w:color="auto"/>
            </w:tcBorders>
            <w:vAlign w:val="center"/>
            <w:hideMark/>
          </w:tcPr>
          <w:p w14:paraId="032555F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Project-development focus dominates.</w:t>
            </w:r>
          </w:p>
        </w:tc>
        <w:tc>
          <w:tcPr>
            <w:tcW w:w="1983" w:type="dxa"/>
            <w:tcBorders>
              <w:top w:val="nil"/>
              <w:left w:val="nil"/>
              <w:bottom w:val="single" w:sz="4" w:space="0" w:color="auto"/>
              <w:right w:val="single" w:sz="4" w:space="0" w:color="auto"/>
            </w:tcBorders>
            <w:vAlign w:val="center"/>
            <w:hideMark/>
          </w:tcPr>
          <w:p w14:paraId="4A60DBF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policy-backed bankability.</w:t>
            </w:r>
          </w:p>
        </w:tc>
      </w:tr>
      <w:tr w:rsidR="00FB3CCF" w:rsidRPr="00FB3CCF" w14:paraId="4A13F0C9"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394E980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Geddes and Schmidt (2020)</w:t>
            </w:r>
          </w:p>
        </w:tc>
        <w:tc>
          <w:tcPr>
            <w:tcW w:w="1768" w:type="dxa"/>
            <w:tcBorders>
              <w:top w:val="nil"/>
              <w:left w:val="nil"/>
              <w:bottom w:val="single" w:sz="4" w:space="0" w:color="auto"/>
              <w:right w:val="single" w:sz="4" w:space="0" w:color="auto"/>
            </w:tcBorders>
            <w:vAlign w:val="center"/>
            <w:hideMark/>
          </w:tcPr>
          <w:p w14:paraId="172BD11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Transition studies underplay the role of finance in niche-regime interactions.</w:t>
            </w:r>
          </w:p>
        </w:tc>
        <w:tc>
          <w:tcPr>
            <w:tcW w:w="2340" w:type="dxa"/>
            <w:tcBorders>
              <w:top w:val="nil"/>
              <w:left w:val="nil"/>
              <w:bottom w:val="single" w:sz="4" w:space="0" w:color="auto"/>
              <w:right w:val="single" w:sz="4" w:space="0" w:color="auto"/>
            </w:tcBorders>
            <w:vAlign w:val="center"/>
            <w:hideMark/>
          </w:tcPr>
          <w:p w14:paraId="07011E4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56-interview study; niches either fit financial regime expectations or stretch the regime.</w:t>
            </w:r>
          </w:p>
        </w:tc>
        <w:tc>
          <w:tcPr>
            <w:tcW w:w="1710" w:type="dxa"/>
            <w:tcBorders>
              <w:top w:val="nil"/>
              <w:left w:val="nil"/>
              <w:bottom w:val="single" w:sz="4" w:space="0" w:color="auto"/>
              <w:right w:val="single" w:sz="4" w:space="0" w:color="auto"/>
            </w:tcBorders>
            <w:vAlign w:val="center"/>
            <w:hideMark/>
          </w:tcPr>
          <w:p w14:paraId="50F4134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Not sector-specific enough on wave.</w:t>
            </w:r>
          </w:p>
        </w:tc>
        <w:tc>
          <w:tcPr>
            <w:tcW w:w="1983" w:type="dxa"/>
            <w:tcBorders>
              <w:top w:val="nil"/>
              <w:left w:val="nil"/>
              <w:bottom w:val="single" w:sz="4" w:space="0" w:color="auto"/>
              <w:right w:val="single" w:sz="4" w:space="0" w:color="auto"/>
            </w:tcBorders>
            <w:vAlign w:val="center"/>
            <w:hideMark/>
          </w:tcPr>
          <w:p w14:paraId="3E93E06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Major theoretical support for Part 3.</w:t>
            </w:r>
          </w:p>
        </w:tc>
      </w:tr>
      <w:tr w:rsidR="00FB3CCF" w:rsidRPr="00FB3CCF" w14:paraId="0A6383A0"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7A09190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Murphy and Edwards (2003)</w:t>
            </w:r>
          </w:p>
        </w:tc>
        <w:tc>
          <w:tcPr>
            <w:tcW w:w="1768" w:type="dxa"/>
            <w:tcBorders>
              <w:top w:val="nil"/>
              <w:left w:val="nil"/>
              <w:bottom w:val="single" w:sz="4" w:space="0" w:color="auto"/>
              <w:right w:val="single" w:sz="4" w:space="0" w:color="auto"/>
            </w:tcBorders>
            <w:vAlign w:val="center"/>
            <w:hideMark/>
          </w:tcPr>
          <w:p w14:paraId="4A12CCE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Emerging technologies face a valley of death between public and private funding.</w:t>
            </w:r>
          </w:p>
        </w:tc>
        <w:tc>
          <w:tcPr>
            <w:tcW w:w="2340" w:type="dxa"/>
            <w:tcBorders>
              <w:top w:val="nil"/>
              <w:left w:val="nil"/>
              <w:bottom w:val="single" w:sz="4" w:space="0" w:color="auto"/>
              <w:right w:val="single" w:sz="4" w:space="0" w:color="auto"/>
            </w:tcBorders>
            <w:vAlign w:val="center"/>
            <w:hideMark/>
          </w:tcPr>
          <w:p w14:paraId="4E4AC6C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policy analysis; transition stages are structurally fragile.</w:t>
            </w:r>
          </w:p>
        </w:tc>
        <w:tc>
          <w:tcPr>
            <w:tcW w:w="1710" w:type="dxa"/>
            <w:tcBorders>
              <w:top w:val="nil"/>
              <w:left w:val="nil"/>
              <w:bottom w:val="single" w:sz="4" w:space="0" w:color="auto"/>
              <w:right w:val="single" w:sz="4" w:space="0" w:color="auto"/>
            </w:tcBorders>
            <w:vAlign w:val="center"/>
            <w:hideMark/>
          </w:tcPr>
          <w:p w14:paraId="25B7ACF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Classic but broad.</w:t>
            </w:r>
          </w:p>
        </w:tc>
        <w:tc>
          <w:tcPr>
            <w:tcW w:w="1983" w:type="dxa"/>
            <w:tcBorders>
              <w:top w:val="nil"/>
              <w:left w:val="nil"/>
              <w:bottom w:val="single" w:sz="4" w:space="0" w:color="auto"/>
              <w:right w:val="single" w:sz="4" w:space="0" w:color="auto"/>
            </w:tcBorders>
            <w:vAlign w:val="center"/>
            <w:hideMark/>
          </w:tcPr>
          <w:p w14:paraId="1274155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Important historical anchor for staged finance.</w:t>
            </w:r>
          </w:p>
        </w:tc>
      </w:tr>
      <w:tr w:rsidR="00FB3CCF" w:rsidRPr="00FB3CCF" w14:paraId="687D55AD"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26BD3C8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Vaan (2009)</w:t>
            </w:r>
          </w:p>
        </w:tc>
        <w:tc>
          <w:tcPr>
            <w:tcW w:w="1768" w:type="dxa"/>
            <w:tcBorders>
              <w:top w:val="nil"/>
              <w:left w:val="nil"/>
              <w:bottom w:val="single" w:sz="4" w:space="0" w:color="auto"/>
              <w:right w:val="single" w:sz="4" w:space="0" w:color="auto"/>
            </w:tcBorders>
            <w:vAlign w:val="center"/>
            <w:hideMark/>
          </w:tcPr>
          <w:p w14:paraId="44C7279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The valley of death is too narrow unless wider socio-technical factors are included.</w:t>
            </w:r>
          </w:p>
        </w:tc>
        <w:tc>
          <w:tcPr>
            <w:tcW w:w="2340" w:type="dxa"/>
            <w:tcBorders>
              <w:top w:val="nil"/>
              <w:left w:val="nil"/>
              <w:bottom w:val="single" w:sz="4" w:space="0" w:color="auto"/>
              <w:right w:val="single" w:sz="4" w:space="0" w:color="auto"/>
            </w:tcBorders>
            <w:vAlign w:val="center"/>
            <w:hideMark/>
          </w:tcPr>
          <w:p w14:paraId="27466F9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Case-based conceptual analysis; financing problems reflect wider system conditions.</w:t>
            </w:r>
          </w:p>
        </w:tc>
        <w:tc>
          <w:tcPr>
            <w:tcW w:w="1710" w:type="dxa"/>
            <w:tcBorders>
              <w:top w:val="nil"/>
              <w:left w:val="nil"/>
              <w:bottom w:val="single" w:sz="4" w:space="0" w:color="auto"/>
              <w:right w:val="single" w:sz="4" w:space="0" w:color="auto"/>
            </w:tcBorders>
            <w:vAlign w:val="center"/>
            <w:hideMark/>
          </w:tcPr>
          <w:p w14:paraId="54340CB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Not wave-specific, but conceptually useful.</w:t>
            </w:r>
          </w:p>
        </w:tc>
        <w:tc>
          <w:tcPr>
            <w:tcW w:w="1983" w:type="dxa"/>
            <w:tcBorders>
              <w:top w:val="nil"/>
              <w:left w:val="nil"/>
              <w:bottom w:val="single" w:sz="4" w:space="0" w:color="auto"/>
              <w:right w:val="single" w:sz="4" w:space="0" w:color="auto"/>
            </w:tcBorders>
            <w:vAlign w:val="center"/>
            <w:hideMark/>
          </w:tcPr>
          <w:p w14:paraId="6BD86A9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Supports ecosystem-based bankability.</w:t>
            </w:r>
          </w:p>
        </w:tc>
      </w:tr>
      <w:tr w:rsidR="00FB3CCF" w:rsidRPr="00FB3CCF" w14:paraId="323E3D58"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2B4CCA9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Hafner et al. (2020)</w:t>
            </w:r>
          </w:p>
        </w:tc>
        <w:tc>
          <w:tcPr>
            <w:tcW w:w="1768" w:type="dxa"/>
            <w:tcBorders>
              <w:top w:val="nil"/>
              <w:left w:val="nil"/>
              <w:bottom w:val="single" w:sz="4" w:space="0" w:color="auto"/>
              <w:right w:val="single" w:sz="4" w:space="0" w:color="auto"/>
            </w:tcBorders>
            <w:vAlign w:val="center"/>
            <w:hideMark/>
          </w:tcPr>
          <w:p w14:paraId="3C05605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The green finance gap is systemic rather than simply transactional.</w:t>
            </w:r>
          </w:p>
        </w:tc>
        <w:tc>
          <w:tcPr>
            <w:tcW w:w="2340" w:type="dxa"/>
            <w:tcBorders>
              <w:top w:val="nil"/>
              <w:left w:val="nil"/>
              <w:bottom w:val="single" w:sz="4" w:space="0" w:color="auto"/>
              <w:right w:val="single" w:sz="4" w:space="0" w:color="auto"/>
            </w:tcBorders>
            <w:vAlign w:val="center"/>
            <w:hideMark/>
          </w:tcPr>
          <w:p w14:paraId="354DE71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and empirical synthesis; fragmented systems hinder green capital flows.</w:t>
            </w:r>
          </w:p>
        </w:tc>
        <w:tc>
          <w:tcPr>
            <w:tcW w:w="1710" w:type="dxa"/>
            <w:tcBorders>
              <w:top w:val="nil"/>
              <w:left w:val="nil"/>
              <w:bottom w:val="single" w:sz="4" w:space="0" w:color="auto"/>
              <w:right w:val="single" w:sz="4" w:space="0" w:color="auto"/>
            </w:tcBorders>
            <w:vAlign w:val="center"/>
            <w:hideMark/>
          </w:tcPr>
          <w:p w14:paraId="08A8008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w:t>
            </w:r>
          </w:p>
        </w:tc>
        <w:tc>
          <w:tcPr>
            <w:tcW w:w="1983" w:type="dxa"/>
            <w:tcBorders>
              <w:top w:val="nil"/>
              <w:left w:val="nil"/>
              <w:bottom w:val="single" w:sz="4" w:space="0" w:color="auto"/>
              <w:right w:val="single" w:sz="4" w:space="0" w:color="auto"/>
            </w:tcBorders>
            <w:vAlign w:val="center"/>
            <w:hideMark/>
          </w:tcPr>
          <w:p w14:paraId="30290F5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Helps position bankability within wider finance systems.</w:t>
            </w:r>
          </w:p>
        </w:tc>
      </w:tr>
      <w:tr w:rsidR="00FB3CCF" w:rsidRPr="00FB3CCF" w14:paraId="6B38A5A2" w14:textId="77777777" w:rsidTr="00442932">
        <w:trPr>
          <w:trHeight w:val="1610"/>
          <w:jc w:val="center"/>
        </w:trPr>
        <w:tc>
          <w:tcPr>
            <w:tcW w:w="1723" w:type="dxa"/>
            <w:tcBorders>
              <w:top w:val="nil"/>
              <w:left w:val="single" w:sz="4" w:space="0" w:color="auto"/>
              <w:bottom w:val="single" w:sz="4" w:space="0" w:color="auto"/>
              <w:right w:val="single" w:sz="4" w:space="0" w:color="auto"/>
            </w:tcBorders>
            <w:vAlign w:val="center"/>
            <w:hideMark/>
          </w:tcPr>
          <w:p w14:paraId="18C4306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van den Burg et al. (2017)</w:t>
            </w:r>
          </w:p>
        </w:tc>
        <w:tc>
          <w:tcPr>
            <w:tcW w:w="1768" w:type="dxa"/>
            <w:tcBorders>
              <w:top w:val="nil"/>
              <w:left w:val="nil"/>
              <w:bottom w:val="single" w:sz="4" w:space="0" w:color="auto"/>
              <w:right w:val="single" w:sz="4" w:space="0" w:color="auto"/>
            </w:tcBorders>
            <w:vAlign w:val="center"/>
            <w:hideMark/>
          </w:tcPr>
          <w:p w14:paraId="3982050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Blue growth sectors struggle to mobilize investors without credible de-risking.</w:t>
            </w:r>
          </w:p>
        </w:tc>
        <w:tc>
          <w:tcPr>
            <w:tcW w:w="2340" w:type="dxa"/>
            <w:tcBorders>
              <w:top w:val="nil"/>
              <w:left w:val="nil"/>
              <w:bottom w:val="single" w:sz="4" w:space="0" w:color="auto"/>
              <w:right w:val="single" w:sz="4" w:space="0" w:color="auto"/>
            </w:tcBorders>
            <w:vAlign w:val="center"/>
            <w:hideMark/>
          </w:tcPr>
          <w:p w14:paraId="4C0707E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Sector analysis; investor diversity matters.</w:t>
            </w:r>
          </w:p>
        </w:tc>
        <w:tc>
          <w:tcPr>
            <w:tcW w:w="1710" w:type="dxa"/>
            <w:tcBorders>
              <w:top w:val="nil"/>
              <w:left w:val="nil"/>
              <w:bottom w:val="single" w:sz="4" w:space="0" w:color="auto"/>
              <w:right w:val="single" w:sz="4" w:space="0" w:color="auto"/>
            </w:tcBorders>
            <w:vAlign w:val="center"/>
            <w:hideMark/>
          </w:tcPr>
          <w:p w14:paraId="44C6EB2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Marine-wide and strategic rather than venture-specific.</w:t>
            </w:r>
          </w:p>
        </w:tc>
        <w:tc>
          <w:tcPr>
            <w:tcW w:w="1983" w:type="dxa"/>
            <w:tcBorders>
              <w:top w:val="nil"/>
              <w:left w:val="nil"/>
              <w:bottom w:val="single" w:sz="4" w:space="0" w:color="auto"/>
              <w:right w:val="single" w:sz="4" w:space="0" w:color="auto"/>
            </w:tcBorders>
            <w:vAlign w:val="center"/>
            <w:hideMark/>
          </w:tcPr>
          <w:p w14:paraId="1E3826E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adjacent marine finance evidence.</w:t>
            </w:r>
          </w:p>
        </w:tc>
      </w:tr>
      <w:tr w:rsidR="00FB3CCF" w:rsidRPr="00FB3CCF" w14:paraId="3BAA8706" w14:textId="77777777" w:rsidTr="00442932">
        <w:trPr>
          <w:trHeight w:val="516"/>
          <w:jc w:val="center"/>
        </w:trPr>
        <w:tc>
          <w:tcPr>
            <w:tcW w:w="7541" w:type="dxa"/>
            <w:gridSpan w:val="4"/>
            <w:tcBorders>
              <w:top w:val="nil"/>
              <w:left w:val="nil"/>
              <w:bottom w:val="nil"/>
              <w:right w:val="nil"/>
            </w:tcBorders>
            <w:vAlign w:val="center"/>
            <w:hideMark/>
          </w:tcPr>
          <w:p w14:paraId="77372984" w14:textId="77777777" w:rsidR="00FB3CCF" w:rsidRPr="00FB3CCF" w:rsidRDefault="00FB3CCF" w:rsidP="00442932">
            <w:pPr>
              <w:rPr>
                <w:rFonts w:ascii="Arial" w:hAnsi="Arial" w:cs="Arial"/>
                <w:sz w:val="18"/>
                <w:szCs w:val="18"/>
              </w:rPr>
            </w:pPr>
            <w:r w:rsidRPr="00FB3CCF">
              <w:rPr>
                <w:rFonts w:ascii="Arial" w:hAnsi="Arial" w:cs="Arial"/>
                <w:sz w:val="18"/>
                <w:szCs w:val="18"/>
              </w:rPr>
              <w:t>Source: Author’s synthesis based on the reviewed literature.</w:t>
            </w:r>
          </w:p>
        </w:tc>
        <w:tc>
          <w:tcPr>
            <w:tcW w:w="1983" w:type="dxa"/>
            <w:tcBorders>
              <w:top w:val="nil"/>
              <w:left w:val="nil"/>
              <w:bottom w:val="nil"/>
              <w:right w:val="nil"/>
            </w:tcBorders>
            <w:noWrap/>
            <w:vAlign w:val="bottom"/>
            <w:hideMark/>
          </w:tcPr>
          <w:p w14:paraId="1A409BED" w14:textId="77777777" w:rsidR="00FB3CCF" w:rsidRPr="00FB3CCF" w:rsidRDefault="00FB3CCF" w:rsidP="00442932">
            <w:pPr>
              <w:rPr>
                <w:rFonts w:ascii="Arial" w:hAnsi="Arial" w:cs="Arial"/>
                <w:sz w:val="18"/>
                <w:szCs w:val="18"/>
              </w:rPr>
            </w:pPr>
          </w:p>
        </w:tc>
      </w:tr>
    </w:tbl>
    <w:p w14:paraId="180AC64D" w14:textId="77777777" w:rsidR="00FB3CCF" w:rsidRPr="00FB3CCF" w:rsidRDefault="00FB3CCF" w:rsidP="00FB3CCF">
      <w:pPr>
        <w:autoSpaceDE w:val="0"/>
        <w:autoSpaceDN w:val="0"/>
        <w:adjustRightInd w:val="0"/>
        <w:spacing w:after="70"/>
        <w:rPr>
          <w:rFonts w:ascii="Arial" w:hAnsi="Arial" w:cs="Arial"/>
          <w:sz w:val="22"/>
          <w:szCs w:val="22"/>
        </w:rPr>
      </w:pPr>
    </w:p>
    <w:p w14:paraId="706638A2" w14:textId="77777777" w:rsidR="00FB3CCF" w:rsidRPr="00FB3CCF" w:rsidRDefault="00FB3CCF" w:rsidP="00FB3CCF">
      <w:pPr>
        <w:spacing w:line="360" w:lineRule="auto"/>
        <w:jc w:val="both"/>
        <w:rPr>
          <w:rFonts w:ascii="Arial" w:hAnsi="Arial" w:cs="Arial"/>
          <w:sz w:val="22"/>
          <w:szCs w:val="22"/>
        </w:rPr>
      </w:pPr>
    </w:p>
    <w:p w14:paraId="5AF88362" w14:textId="77777777" w:rsidR="00FB3CCF" w:rsidRPr="00FB3CCF" w:rsidRDefault="00FB3CCF" w:rsidP="00FB3CCF">
      <w:pPr>
        <w:spacing w:line="360" w:lineRule="auto"/>
        <w:jc w:val="both"/>
        <w:rPr>
          <w:rFonts w:ascii="Arial" w:hAnsi="Arial" w:cs="Arial"/>
          <w:b/>
          <w:bCs/>
        </w:rPr>
      </w:pPr>
    </w:p>
    <w:p w14:paraId="0AD51FFF"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lastRenderedPageBreak/>
        <w:t>Appendix B</w:t>
      </w:r>
    </w:p>
    <w:p w14:paraId="2D392180" w14:textId="77777777" w:rsidR="00FB3CCF" w:rsidRPr="00FB3CCF" w:rsidRDefault="00FB3CCF" w:rsidP="00FB3CCF">
      <w:pPr>
        <w:spacing w:line="360" w:lineRule="auto"/>
        <w:jc w:val="both"/>
        <w:rPr>
          <w:rFonts w:ascii="Arial" w:hAnsi="Arial" w:cs="Arial"/>
          <w:sz w:val="22"/>
          <w:szCs w:val="22"/>
        </w:rPr>
      </w:pPr>
      <w:r w:rsidRPr="00FB3CCF">
        <w:rPr>
          <w:rFonts w:ascii="Arial" w:hAnsi="Arial" w:cs="Arial"/>
          <w:b/>
          <w:bCs/>
        </w:rPr>
        <w:t>Table B1. Theme 2 Policy support, revenue certainty, and market formation</w:t>
      </w:r>
    </w:p>
    <w:tbl>
      <w:tblPr>
        <w:tblW w:w="9627" w:type="dxa"/>
        <w:jc w:val="center"/>
        <w:tblLook w:val="04A0" w:firstRow="1" w:lastRow="0" w:firstColumn="1" w:lastColumn="0" w:noHBand="0" w:noVBand="1"/>
      </w:tblPr>
      <w:tblGrid>
        <w:gridCol w:w="1925"/>
        <w:gridCol w:w="1925"/>
        <w:gridCol w:w="1925"/>
        <w:gridCol w:w="1927"/>
        <w:gridCol w:w="1925"/>
      </w:tblGrid>
      <w:tr w:rsidR="00FB3CCF" w:rsidRPr="00FB3CCF" w14:paraId="150040A4" w14:textId="77777777" w:rsidTr="00442932">
        <w:trPr>
          <w:trHeight w:val="1369"/>
          <w:jc w:val="center"/>
        </w:trPr>
        <w:tc>
          <w:tcPr>
            <w:tcW w:w="1925" w:type="dxa"/>
            <w:tcBorders>
              <w:top w:val="single" w:sz="4" w:space="0" w:color="auto"/>
              <w:left w:val="single" w:sz="4" w:space="0" w:color="auto"/>
              <w:bottom w:val="single" w:sz="4" w:space="0" w:color="auto"/>
              <w:right w:val="single" w:sz="4" w:space="0" w:color="auto"/>
            </w:tcBorders>
            <w:vAlign w:val="center"/>
            <w:hideMark/>
          </w:tcPr>
          <w:p w14:paraId="03C6F742" w14:textId="77777777" w:rsidR="00FB3CCF" w:rsidRPr="00FB3CCF" w:rsidRDefault="00FB3CCF" w:rsidP="00442932">
            <w:pPr>
              <w:jc w:val="center"/>
              <w:rPr>
                <w:rFonts w:ascii="Arial" w:hAnsi="Arial" w:cs="Arial"/>
                <w:b/>
                <w:bCs/>
                <w:sz w:val="18"/>
                <w:szCs w:val="18"/>
              </w:rPr>
            </w:pPr>
            <w:r w:rsidRPr="00FB3CCF">
              <w:rPr>
                <w:rFonts w:ascii="Arial" w:hAnsi="Arial" w:cs="Arial"/>
                <w:b/>
                <w:bCs/>
                <w:sz w:val="20"/>
                <w:szCs w:val="20"/>
              </w:rPr>
              <w:t>Source</w:t>
            </w:r>
          </w:p>
        </w:tc>
        <w:tc>
          <w:tcPr>
            <w:tcW w:w="1925" w:type="dxa"/>
            <w:tcBorders>
              <w:top w:val="single" w:sz="4" w:space="0" w:color="auto"/>
              <w:left w:val="nil"/>
              <w:bottom w:val="single" w:sz="4" w:space="0" w:color="auto"/>
              <w:right w:val="single" w:sz="4" w:space="0" w:color="auto"/>
            </w:tcBorders>
            <w:vAlign w:val="center"/>
            <w:hideMark/>
          </w:tcPr>
          <w:p w14:paraId="03084498" w14:textId="77777777" w:rsidR="00FB3CCF" w:rsidRPr="00FB3CCF" w:rsidRDefault="00FB3CCF" w:rsidP="00442932">
            <w:pPr>
              <w:jc w:val="center"/>
              <w:rPr>
                <w:rFonts w:ascii="Arial" w:hAnsi="Arial" w:cs="Arial"/>
                <w:b/>
                <w:bCs/>
                <w:sz w:val="18"/>
                <w:szCs w:val="18"/>
              </w:rPr>
            </w:pPr>
            <w:r w:rsidRPr="00FB3CCF">
              <w:rPr>
                <w:rFonts w:ascii="Arial" w:hAnsi="Arial" w:cs="Arial"/>
                <w:b/>
                <w:bCs/>
                <w:sz w:val="20"/>
                <w:szCs w:val="20"/>
              </w:rPr>
              <w:t>Core argument</w:t>
            </w:r>
          </w:p>
        </w:tc>
        <w:tc>
          <w:tcPr>
            <w:tcW w:w="1925" w:type="dxa"/>
            <w:tcBorders>
              <w:top w:val="single" w:sz="4" w:space="0" w:color="auto"/>
              <w:left w:val="nil"/>
              <w:bottom w:val="single" w:sz="4" w:space="0" w:color="auto"/>
              <w:right w:val="single" w:sz="4" w:space="0" w:color="auto"/>
            </w:tcBorders>
            <w:vAlign w:val="center"/>
            <w:hideMark/>
          </w:tcPr>
          <w:p w14:paraId="6F3C35BC" w14:textId="77777777" w:rsidR="00FB3CCF" w:rsidRPr="00FB3CCF" w:rsidRDefault="00FB3CCF" w:rsidP="00442932">
            <w:pPr>
              <w:jc w:val="center"/>
              <w:rPr>
                <w:rFonts w:ascii="Arial" w:hAnsi="Arial" w:cs="Arial"/>
                <w:b/>
                <w:bCs/>
                <w:sz w:val="18"/>
                <w:szCs w:val="18"/>
              </w:rPr>
            </w:pPr>
            <w:r w:rsidRPr="00FB3CCF">
              <w:rPr>
                <w:rFonts w:ascii="Arial" w:hAnsi="Arial" w:cs="Arial"/>
                <w:b/>
                <w:bCs/>
                <w:sz w:val="20"/>
                <w:szCs w:val="20"/>
              </w:rPr>
              <w:t>Method / Findings</w:t>
            </w:r>
          </w:p>
        </w:tc>
        <w:tc>
          <w:tcPr>
            <w:tcW w:w="1927" w:type="dxa"/>
            <w:tcBorders>
              <w:top w:val="single" w:sz="4" w:space="0" w:color="auto"/>
              <w:left w:val="nil"/>
              <w:bottom w:val="single" w:sz="4" w:space="0" w:color="auto"/>
              <w:right w:val="single" w:sz="4" w:space="0" w:color="auto"/>
            </w:tcBorders>
            <w:vAlign w:val="center"/>
            <w:hideMark/>
          </w:tcPr>
          <w:p w14:paraId="73E6682E" w14:textId="77777777" w:rsidR="00FB3CCF" w:rsidRPr="00FB3CCF" w:rsidRDefault="00FB3CCF" w:rsidP="00442932">
            <w:pPr>
              <w:jc w:val="center"/>
              <w:rPr>
                <w:rFonts w:ascii="Arial" w:hAnsi="Arial" w:cs="Arial"/>
                <w:b/>
                <w:bCs/>
                <w:sz w:val="18"/>
                <w:szCs w:val="18"/>
              </w:rPr>
            </w:pPr>
            <w:r w:rsidRPr="00FB3CCF">
              <w:rPr>
                <w:rFonts w:ascii="Arial" w:hAnsi="Arial" w:cs="Arial"/>
                <w:b/>
                <w:bCs/>
                <w:sz w:val="20"/>
                <w:szCs w:val="20"/>
              </w:rPr>
              <w:t>Critical Evaluation</w:t>
            </w:r>
          </w:p>
        </w:tc>
        <w:tc>
          <w:tcPr>
            <w:tcW w:w="1925" w:type="dxa"/>
            <w:tcBorders>
              <w:top w:val="single" w:sz="4" w:space="0" w:color="auto"/>
              <w:left w:val="nil"/>
              <w:bottom w:val="single" w:sz="4" w:space="0" w:color="auto"/>
              <w:right w:val="single" w:sz="4" w:space="0" w:color="auto"/>
            </w:tcBorders>
            <w:vAlign w:val="center"/>
            <w:hideMark/>
          </w:tcPr>
          <w:p w14:paraId="69379948" w14:textId="77777777" w:rsidR="00FB3CCF" w:rsidRPr="00FB3CCF" w:rsidRDefault="00FB3CCF" w:rsidP="00442932">
            <w:pPr>
              <w:jc w:val="center"/>
              <w:rPr>
                <w:rFonts w:ascii="Arial" w:hAnsi="Arial" w:cs="Arial"/>
                <w:b/>
                <w:bCs/>
                <w:sz w:val="18"/>
                <w:szCs w:val="18"/>
              </w:rPr>
            </w:pPr>
            <w:r w:rsidRPr="00FB3CCF">
              <w:rPr>
                <w:rFonts w:ascii="Arial" w:hAnsi="Arial" w:cs="Arial"/>
                <w:b/>
                <w:bCs/>
                <w:sz w:val="20"/>
                <w:szCs w:val="20"/>
              </w:rPr>
              <w:t>Relevance to the study</w:t>
            </w:r>
          </w:p>
        </w:tc>
      </w:tr>
      <w:tr w:rsidR="00FB3CCF" w:rsidRPr="00FB3CCF" w14:paraId="41E758E7"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45BC931E"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Allan et al. (2011)</w:t>
            </w:r>
          </w:p>
        </w:tc>
        <w:tc>
          <w:tcPr>
            <w:tcW w:w="1925" w:type="dxa"/>
            <w:tcBorders>
              <w:top w:val="nil"/>
              <w:left w:val="nil"/>
              <w:bottom w:val="single" w:sz="4" w:space="0" w:color="auto"/>
              <w:right w:val="single" w:sz="4" w:space="0" w:color="auto"/>
            </w:tcBorders>
            <w:vAlign w:val="center"/>
            <w:hideMark/>
          </w:tcPr>
          <w:p w14:paraId="6E64C0EF"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Differentiated ROC support was crucial because wave and tidal costs were far above mature technologies.</w:t>
            </w:r>
          </w:p>
        </w:tc>
        <w:tc>
          <w:tcPr>
            <w:tcW w:w="1925" w:type="dxa"/>
            <w:tcBorders>
              <w:top w:val="nil"/>
              <w:left w:val="nil"/>
              <w:bottom w:val="single" w:sz="4" w:space="0" w:color="auto"/>
              <w:right w:val="single" w:sz="4" w:space="0" w:color="auto"/>
            </w:tcBorders>
            <w:vAlign w:val="center"/>
            <w:hideMark/>
          </w:tcPr>
          <w:p w14:paraId="2A4A8544"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Economic modelling; finds that banding materially affects viability.</w:t>
            </w:r>
          </w:p>
        </w:tc>
        <w:tc>
          <w:tcPr>
            <w:tcW w:w="1927" w:type="dxa"/>
            <w:tcBorders>
              <w:top w:val="nil"/>
              <w:left w:val="nil"/>
              <w:bottom w:val="single" w:sz="4" w:space="0" w:color="auto"/>
              <w:right w:val="single" w:sz="4" w:space="0" w:color="auto"/>
            </w:tcBorders>
            <w:vAlign w:val="center"/>
            <w:hideMark/>
          </w:tcPr>
          <w:p w14:paraId="07E73F86"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Early policy context, but still central.</w:t>
            </w:r>
          </w:p>
        </w:tc>
        <w:tc>
          <w:tcPr>
            <w:tcW w:w="1925" w:type="dxa"/>
            <w:tcBorders>
              <w:top w:val="nil"/>
              <w:left w:val="nil"/>
              <w:bottom w:val="single" w:sz="4" w:space="0" w:color="auto"/>
              <w:right w:val="single" w:sz="4" w:space="0" w:color="auto"/>
            </w:tcBorders>
            <w:vAlign w:val="center"/>
            <w:hideMark/>
          </w:tcPr>
          <w:p w14:paraId="4D7CA589"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Key source on revenue credibility.</w:t>
            </w:r>
          </w:p>
        </w:tc>
      </w:tr>
      <w:tr w:rsidR="00FB3CCF" w:rsidRPr="00FB3CCF" w14:paraId="2C63E675"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634A717A"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Allan, McGregor and Swales (2009)</w:t>
            </w:r>
          </w:p>
        </w:tc>
        <w:tc>
          <w:tcPr>
            <w:tcW w:w="1925" w:type="dxa"/>
            <w:tcBorders>
              <w:top w:val="nil"/>
              <w:left w:val="nil"/>
              <w:bottom w:val="single" w:sz="4" w:space="0" w:color="auto"/>
              <w:right w:val="single" w:sz="4" w:space="0" w:color="auto"/>
            </w:tcBorders>
            <w:vAlign w:val="center"/>
            <w:hideMark/>
          </w:tcPr>
          <w:p w14:paraId="39F0542D"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Banded ROCs materially alter cost competitiveness for marine energy.</w:t>
            </w:r>
          </w:p>
        </w:tc>
        <w:tc>
          <w:tcPr>
            <w:tcW w:w="1925" w:type="dxa"/>
            <w:tcBorders>
              <w:top w:val="nil"/>
              <w:left w:val="nil"/>
              <w:bottom w:val="single" w:sz="4" w:space="0" w:color="auto"/>
              <w:right w:val="single" w:sz="4" w:space="0" w:color="auto"/>
            </w:tcBorders>
            <w:vAlign w:val="center"/>
            <w:hideMark/>
          </w:tcPr>
          <w:p w14:paraId="53DA09AE"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Policy-economic analysis; finds support intensity changes bankability prospects.</w:t>
            </w:r>
          </w:p>
        </w:tc>
        <w:tc>
          <w:tcPr>
            <w:tcW w:w="1927" w:type="dxa"/>
            <w:tcBorders>
              <w:top w:val="nil"/>
              <w:left w:val="nil"/>
              <w:bottom w:val="single" w:sz="4" w:space="0" w:color="auto"/>
              <w:right w:val="single" w:sz="4" w:space="0" w:color="auto"/>
            </w:tcBorders>
            <w:vAlign w:val="center"/>
            <w:hideMark/>
          </w:tcPr>
          <w:p w14:paraId="6EB22F0D"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Older but foundational.</w:t>
            </w:r>
          </w:p>
        </w:tc>
        <w:tc>
          <w:tcPr>
            <w:tcW w:w="1925" w:type="dxa"/>
            <w:tcBorders>
              <w:top w:val="nil"/>
              <w:left w:val="nil"/>
              <w:bottom w:val="single" w:sz="4" w:space="0" w:color="auto"/>
              <w:right w:val="single" w:sz="4" w:space="0" w:color="auto"/>
            </w:tcBorders>
            <w:vAlign w:val="center"/>
            <w:hideMark/>
          </w:tcPr>
          <w:p w14:paraId="44C3F391"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Early evidence on why generic support failed.</w:t>
            </w:r>
          </w:p>
        </w:tc>
      </w:tr>
      <w:tr w:rsidR="00FB3CCF" w:rsidRPr="00FB3CCF" w14:paraId="11584EB1"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0F8CD5BF"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Watson and Fulcher (2010)</w:t>
            </w:r>
          </w:p>
        </w:tc>
        <w:tc>
          <w:tcPr>
            <w:tcW w:w="1925" w:type="dxa"/>
            <w:tcBorders>
              <w:top w:val="nil"/>
              <w:left w:val="nil"/>
              <w:bottom w:val="single" w:sz="4" w:space="0" w:color="auto"/>
              <w:right w:val="single" w:sz="4" w:space="0" w:color="auto"/>
            </w:tcBorders>
            <w:vAlign w:val="center"/>
            <w:hideMark/>
          </w:tcPr>
          <w:p w14:paraId="28F0BF8E"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UK policy from 2000 to 2009 supported activity but left structural weaknesses.</w:t>
            </w:r>
          </w:p>
        </w:tc>
        <w:tc>
          <w:tcPr>
            <w:tcW w:w="1925" w:type="dxa"/>
            <w:tcBorders>
              <w:top w:val="nil"/>
              <w:left w:val="nil"/>
              <w:bottom w:val="single" w:sz="4" w:space="0" w:color="auto"/>
              <w:right w:val="single" w:sz="4" w:space="0" w:color="auto"/>
            </w:tcBorders>
            <w:vAlign w:val="center"/>
            <w:hideMark/>
          </w:tcPr>
          <w:p w14:paraId="36F162C8"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Policy review; finds support was significant but uneven.</w:t>
            </w:r>
          </w:p>
        </w:tc>
        <w:tc>
          <w:tcPr>
            <w:tcW w:w="1927" w:type="dxa"/>
            <w:tcBorders>
              <w:top w:val="nil"/>
              <w:left w:val="nil"/>
              <w:bottom w:val="single" w:sz="4" w:space="0" w:color="auto"/>
              <w:right w:val="single" w:sz="4" w:space="0" w:color="auto"/>
            </w:tcBorders>
            <w:vAlign w:val="center"/>
            <w:hideMark/>
          </w:tcPr>
          <w:p w14:paraId="65677556"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Historic window only.</w:t>
            </w:r>
          </w:p>
        </w:tc>
        <w:tc>
          <w:tcPr>
            <w:tcW w:w="1925" w:type="dxa"/>
            <w:tcBorders>
              <w:top w:val="nil"/>
              <w:left w:val="nil"/>
              <w:bottom w:val="single" w:sz="4" w:space="0" w:color="auto"/>
              <w:right w:val="single" w:sz="4" w:space="0" w:color="auto"/>
            </w:tcBorders>
            <w:vAlign w:val="center"/>
            <w:hideMark/>
          </w:tcPr>
          <w:p w14:paraId="4D0D468C"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Useful background on policy formation.</w:t>
            </w:r>
          </w:p>
        </w:tc>
      </w:tr>
      <w:tr w:rsidR="00FB3CCF" w:rsidRPr="00FB3CCF" w14:paraId="4B9A1470"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03CF8A03"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Bunn and Yusupov (2015)</w:t>
            </w:r>
          </w:p>
        </w:tc>
        <w:tc>
          <w:tcPr>
            <w:tcW w:w="1925" w:type="dxa"/>
            <w:tcBorders>
              <w:top w:val="nil"/>
              <w:left w:val="nil"/>
              <w:bottom w:val="single" w:sz="4" w:space="0" w:color="auto"/>
              <w:right w:val="single" w:sz="4" w:space="0" w:color="auto"/>
            </w:tcBorders>
            <w:vAlign w:val="center"/>
            <w:hideMark/>
          </w:tcPr>
          <w:p w14:paraId="4BEE40EC"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 xml:space="preserve">Replacing ROCs with </w:t>
            </w:r>
            <w:proofErr w:type="spellStart"/>
            <w:r w:rsidRPr="00FB3CCF">
              <w:rPr>
                <w:rFonts w:ascii="Arial" w:hAnsi="Arial" w:cs="Arial"/>
                <w:sz w:val="18"/>
                <w:szCs w:val="18"/>
              </w:rPr>
              <w:t>CfDs</w:t>
            </w:r>
            <w:proofErr w:type="spellEnd"/>
            <w:r w:rsidRPr="00FB3CCF">
              <w:rPr>
                <w:rFonts w:ascii="Arial" w:hAnsi="Arial" w:cs="Arial"/>
                <w:sz w:val="18"/>
                <w:szCs w:val="18"/>
              </w:rPr>
              <w:t xml:space="preserve"> created inefficiencies for UK renewables.</w:t>
            </w:r>
          </w:p>
        </w:tc>
        <w:tc>
          <w:tcPr>
            <w:tcW w:w="1925" w:type="dxa"/>
            <w:tcBorders>
              <w:top w:val="nil"/>
              <w:left w:val="nil"/>
              <w:bottom w:val="single" w:sz="4" w:space="0" w:color="auto"/>
              <w:right w:val="single" w:sz="4" w:space="0" w:color="auto"/>
            </w:tcBorders>
            <w:vAlign w:val="center"/>
            <w:hideMark/>
          </w:tcPr>
          <w:p w14:paraId="0E3D818B"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Policy analysis; finds support transition may worsen incentives for emerging technologies.</w:t>
            </w:r>
          </w:p>
        </w:tc>
        <w:tc>
          <w:tcPr>
            <w:tcW w:w="1927" w:type="dxa"/>
            <w:tcBorders>
              <w:top w:val="nil"/>
              <w:left w:val="nil"/>
              <w:bottom w:val="single" w:sz="4" w:space="0" w:color="auto"/>
              <w:right w:val="single" w:sz="4" w:space="0" w:color="auto"/>
            </w:tcBorders>
            <w:vAlign w:val="center"/>
            <w:hideMark/>
          </w:tcPr>
          <w:p w14:paraId="689F62DF"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System-level rather than wave-only.</w:t>
            </w:r>
          </w:p>
        </w:tc>
        <w:tc>
          <w:tcPr>
            <w:tcW w:w="1925" w:type="dxa"/>
            <w:tcBorders>
              <w:top w:val="nil"/>
              <w:left w:val="nil"/>
              <w:bottom w:val="single" w:sz="4" w:space="0" w:color="auto"/>
              <w:right w:val="single" w:sz="4" w:space="0" w:color="auto"/>
            </w:tcBorders>
            <w:vAlign w:val="center"/>
            <w:hideMark/>
          </w:tcPr>
          <w:p w14:paraId="45A0F9C0"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Useful for policy risk discussion.</w:t>
            </w:r>
          </w:p>
        </w:tc>
      </w:tr>
      <w:tr w:rsidR="00FB3CCF" w:rsidRPr="00FB3CCF" w14:paraId="522F8AE2"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710EF6C9"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Lockwood (2016)</w:t>
            </w:r>
          </w:p>
        </w:tc>
        <w:tc>
          <w:tcPr>
            <w:tcW w:w="1925" w:type="dxa"/>
            <w:tcBorders>
              <w:top w:val="nil"/>
              <w:left w:val="nil"/>
              <w:bottom w:val="single" w:sz="4" w:space="0" w:color="auto"/>
              <w:right w:val="single" w:sz="4" w:space="0" w:color="auto"/>
            </w:tcBorders>
            <w:vAlign w:val="center"/>
            <w:hideMark/>
          </w:tcPr>
          <w:p w14:paraId="661E5EA6"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The Levy Control Framework increased uncertainty through budget control effects.</w:t>
            </w:r>
          </w:p>
        </w:tc>
        <w:tc>
          <w:tcPr>
            <w:tcW w:w="1925" w:type="dxa"/>
            <w:tcBorders>
              <w:top w:val="nil"/>
              <w:left w:val="nil"/>
              <w:bottom w:val="single" w:sz="4" w:space="0" w:color="auto"/>
              <w:right w:val="single" w:sz="4" w:space="0" w:color="auto"/>
            </w:tcBorders>
            <w:vAlign w:val="center"/>
            <w:hideMark/>
          </w:tcPr>
          <w:p w14:paraId="3621FA38"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Policy analysis; finds budget mechanisms can amplify investor risk.</w:t>
            </w:r>
          </w:p>
        </w:tc>
        <w:tc>
          <w:tcPr>
            <w:tcW w:w="1927" w:type="dxa"/>
            <w:tcBorders>
              <w:top w:val="nil"/>
              <w:left w:val="nil"/>
              <w:bottom w:val="single" w:sz="4" w:space="0" w:color="auto"/>
              <w:right w:val="single" w:sz="4" w:space="0" w:color="auto"/>
            </w:tcBorders>
            <w:vAlign w:val="center"/>
            <w:hideMark/>
          </w:tcPr>
          <w:p w14:paraId="5089101B"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Broader renewable focus.</w:t>
            </w:r>
          </w:p>
        </w:tc>
        <w:tc>
          <w:tcPr>
            <w:tcW w:w="1925" w:type="dxa"/>
            <w:tcBorders>
              <w:top w:val="nil"/>
              <w:left w:val="nil"/>
              <w:bottom w:val="single" w:sz="4" w:space="0" w:color="auto"/>
              <w:right w:val="single" w:sz="4" w:space="0" w:color="auto"/>
            </w:tcBorders>
            <w:vAlign w:val="center"/>
            <w:hideMark/>
          </w:tcPr>
          <w:p w14:paraId="353BCCE0"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Strong evidence on policy credibility.</w:t>
            </w:r>
          </w:p>
        </w:tc>
      </w:tr>
      <w:tr w:rsidR="00FB3CCF" w:rsidRPr="00FB3CCF" w14:paraId="72DFB42F"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04EFF452"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Kozlov (2014)</w:t>
            </w:r>
          </w:p>
        </w:tc>
        <w:tc>
          <w:tcPr>
            <w:tcW w:w="1925" w:type="dxa"/>
            <w:tcBorders>
              <w:top w:val="nil"/>
              <w:left w:val="nil"/>
              <w:bottom w:val="single" w:sz="4" w:space="0" w:color="auto"/>
              <w:right w:val="single" w:sz="4" w:space="0" w:color="auto"/>
            </w:tcBorders>
            <w:vAlign w:val="center"/>
            <w:hideMark/>
          </w:tcPr>
          <w:p w14:paraId="047C96B4" w14:textId="77777777" w:rsidR="00FB3CCF" w:rsidRPr="00FB3CCF" w:rsidRDefault="00FB3CCF" w:rsidP="00442932">
            <w:pPr>
              <w:jc w:val="center"/>
              <w:rPr>
                <w:rFonts w:ascii="Arial" w:hAnsi="Arial" w:cs="Arial"/>
                <w:sz w:val="18"/>
                <w:szCs w:val="18"/>
              </w:rPr>
            </w:pPr>
            <w:proofErr w:type="spellStart"/>
            <w:r w:rsidRPr="00FB3CCF">
              <w:rPr>
                <w:rFonts w:ascii="Arial" w:hAnsi="Arial" w:cs="Arial"/>
                <w:sz w:val="18"/>
                <w:szCs w:val="18"/>
              </w:rPr>
              <w:t>CfD</w:t>
            </w:r>
            <w:proofErr w:type="spellEnd"/>
            <w:r w:rsidRPr="00FB3CCF">
              <w:rPr>
                <w:rFonts w:ascii="Arial" w:hAnsi="Arial" w:cs="Arial"/>
                <w:sz w:val="18"/>
                <w:szCs w:val="18"/>
              </w:rPr>
              <w:t xml:space="preserve"> design leaves generators exposed to several risks.</w:t>
            </w:r>
          </w:p>
        </w:tc>
        <w:tc>
          <w:tcPr>
            <w:tcW w:w="1925" w:type="dxa"/>
            <w:tcBorders>
              <w:top w:val="nil"/>
              <w:left w:val="nil"/>
              <w:bottom w:val="single" w:sz="4" w:space="0" w:color="auto"/>
              <w:right w:val="single" w:sz="4" w:space="0" w:color="auto"/>
            </w:tcBorders>
            <w:vAlign w:val="center"/>
            <w:hideMark/>
          </w:tcPr>
          <w:p w14:paraId="3AAE319C"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Policy risk analysis; finds support instruments can transfer rather than remove uncertainty.</w:t>
            </w:r>
          </w:p>
        </w:tc>
        <w:tc>
          <w:tcPr>
            <w:tcW w:w="1927" w:type="dxa"/>
            <w:tcBorders>
              <w:top w:val="nil"/>
              <w:left w:val="nil"/>
              <w:bottom w:val="single" w:sz="4" w:space="0" w:color="auto"/>
              <w:right w:val="single" w:sz="4" w:space="0" w:color="auto"/>
            </w:tcBorders>
            <w:vAlign w:val="center"/>
            <w:hideMark/>
          </w:tcPr>
          <w:p w14:paraId="47B20CAE"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Not wave-specific.</w:t>
            </w:r>
          </w:p>
        </w:tc>
        <w:tc>
          <w:tcPr>
            <w:tcW w:w="1925" w:type="dxa"/>
            <w:tcBorders>
              <w:top w:val="nil"/>
              <w:left w:val="nil"/>
              <w:bottom w:val="single" w:sz="4" w:space="0" w:color="auto"/>
              <w:right w:val="single" w:sz="4" w:space="0" w:color="auto"/>
            </w:tcBorders>
            <w:vAlign w:val="center"/>
            <w:hideMark/>
          </w:tcPr>
          <w:p w14:paraId="149D5557"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Helps explain why support may not equal bankability.</w:t>
            </w:r>
          </w:p>
        </w:tc>
      </w:tr>
      <w:tr w:rsidR="00FB3CCF" w:rsidRPr="00FB3CCF" w14:paraId="4C8DCD3B"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0B105727"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 xml:space="preserve">Gürkan and </w:t>
            </w:r>
            <w:proofErr w:type="spellStart"/>
            <w:r w:rsidRPr="00FB3CCF">
              <w:rPr>
                <w:rFonts w:ascii="Arial" w:hAnsi="Arial" w:cs="Arial"/>
                <w:sz w:val="18"/>
                <w:szCs w:val="18"/>
              </w:rPr>
              <w:t>Langestraat</w:t>
            </w:r>
            <w:proofErr w:type="spellEnd"/>
            <w:r w:rsidRPr="00FB3CCF">
              <w:rPr>
                <w:rFonts w:ascii="Arial" w:hAnsi="Arial" w:cs="Arial"/>
                <w:sz w:val="18"/>
                <w:szCs w:val="18"/>
              </w:rPr>
              <w:t xml:space="preserve"> (2014)</w:t>
            </w:r>
          </w:p>
        </w:tc>
        <w:tc>
          <w:tcPr>
            <w:tcW w:w="1925" w:type="dxa"/>
            <w:tcBorders>
              <w:top w:val="nil"/>
              <w:left w:val="nil"/>
              <w:bottom w:val="single" w:sz="4" w:space="0" w:color="auto"/>
              <w:right w:val="single" w:sz="4" w:space="0" w:color="auto"/>
            </w:tcBorders>
            <w:vAlign w:val="center"/>
            <w:hideMark/>
          </w:tcPr>
          <w:p w14:paraId="0CEC3230"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Banding and obligation design influence technology incentives.</w:t>
            </w:r>
          </w:p>
        </w:tc>
        <w:tc>
          <w:tcPr>
            <w:tcW w:w="1925" w:type="dxa"/>
            <w:tcBorders>
              <w:top w:val="nil"/>
              <w:left w:val="nil"/>
              <w:bottom w:val="single" w:sz="4" w:space="0" w:color="auto"/>
              <w:right w:val="single" w:sz="4" w:space="0" w:color="auto"/>
            </w:tcBorders>
            <w:vAlign w:val="center"/>
            <w:hideMark/>
          </w:tcPr>
          <w:p w14:paraId="5C4E05B2"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Modelling analysis; finds policy mechanics shape technology pathways.</w:t>
            </w:r>
          </w:p>
        </w:tc>
        <w:tc>
          <w:tcPr>
            <w:tcW w:w="1927" w:type="dxa"/>
            <w:tcBorders>
              <w:top w:val="nil"/>
              <w:left w:val="nil"/>
              <w:bottom w:val="single" w:sz="4" w:space="0" w:color="auto"/>
              <w:right w:val="single" w:sz="4" w:space="0" w:color="auto"/>
            </w:tcBorders>
            <w:vAlign w:val="center"/>
            <w:hideMark/>
          </w:tcPr>
          <w:p w14:paraId="383D6896"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Technical policy focus.</w:t>
            </w:r>
          </w:p>
        </w:tc>
        <w:tc>
          <w:tcPr>
            <w:tcW w:w="1925" w:type="dxa"/>
            <w:tcBorders>
              <w:top w:val="nil"/>
              <w:left w:val="nil"/>
              <w:bottom w:val="single" w:sz="4" w:space="0" w:color="auto"/>
              <w:right w:val="single" w:sz="4" w:space="0" w:color="auto"/>
            </w:tcBorders>
            <w:vAlign w:val="center"/>
            <w:hideMark/>
          </w:tcPr>
          <w:p w14:paraId="26E2240D"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Useful for support scheme interpretation.</w:t>
            </w:r>
          </w:p>
        </w:tc>
      </w:tr>
      <w:tr w:rsidR="00FB3CCF" w:rsidRPr="00FB3CCF" w14:paraId="4F559EA9"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77072759"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lastRenderedPageBreak/>
              <w:t>Mitchell, Bauknecht and Connor (2006)</w:t>
            </w:r>
          </w:p>
        </w:tc>
        <w:tc>
          <w:tcPr>
            <w:tcW w:w="1925" w:type="dxa"/>
            <w:tcBorders>
              <w:top w:val="nil"/>
              <w:left w:val="nil"/>
              <w:bottom w:val="single" w:sz="4" w:space="0" w:color="auto"/>
              <w:right w:val="single" w:sz="4" w:space="0" w:color="auto"/>
            </w:tcBorders>
            <w:vAlign w:val="center"/>
            <w:hideMark/>
          </w:tcPr>
          <w:p w14:paraId="687D7625"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Renewable policies differ in how they reduce investor risk.</w:t>
            </w:r>
          </w:p>
        </w:tc>
        <w:tc>
          <w:tcPr>
            <w:tcW w:w="1925" w:type="dxa"/>
            <w:tcBorders>
              <w:top w:val="nil"/>
              <w:left w:val="nil"/>
              <w:bottom w:val="single" w:sz="4" w:space="0" w:color="auto"/>
              <w:right w:val="single" w:sz="4" w:space="0" w:color="auto"/>
            </w:tcBorders>
            <w:vAlign w:val="center"/>
            <w:hideMark/>
          </w:tcPr>
          <w:p w14:paraId="302A4A2D"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Comparative policy analysis; finds support effectiveness depends on risk exposure.</w:t>
            </w:r>
          </w:p>
        </w:tc>
        <w:tc>
          <w:tcPr>
            <w:tcW w:w="1927" w:type="dxa"/>
            <w:tcBorders>
              <w:top w:val="nil"/>
              <w:left w:val="nil"/>
              <w:bottom w:val="single" w:sz="4" w:space="0" w:color="auto"/>
              <w:right w:val="single" w:sz="4" w:space="0" w:color="auto"/>
            </w:tcBorders>
            <w:vAlign w:val="center"/>
            <w:hideMark/>
          </w:tcPr>
          <w:p w14:paraId="616C66EE"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Classic but dated.</w:t>
            </w:r>
          </w:p>
        </w:tc>
        <w:tc>
          <w:tcPr>
            <w:tcW w:w="1925" w:type="dxa"/>
            <w:tcBorders>
              <w:top w:val="nil"/>
              <w:left w:val="nil"/>
              <w:bottom w:val="single" w:sz="4" w:space="0" w:color="auto"/>
              <w:right w:val="single" w:sz="4" w:space="0" w:color="auto"/>
            </w:tcBorders>
            <w:vAlign w:val="center"/>
            <w:hideMark/>
          </w:tcPr>
          <w:p w14:paraId="16B59659"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Strong conceptual anchor on risk-reducing policy.</w:t>
            </w:r>
          </w:p>
        </w:tc>
      </w:tr>
      <w:tr w:rsidR="00FB3CCF" w:rsidRPr="00FB3CCF" w14:paraId="0FC96AA6"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22B49A6E" w14:textId="77777777" w:rsidR="00FB3CCF" w:rsidRPr="00FB3CCF" w:rsidRDefault="00FB3CCF" w:rsidP="00442932">
            <w:pPr>
              <w:jc w:val="center"/>
              <w:rPr>
                <w:rFonts w:ascii="Arial" w:hAnsi="Arial" w:cs="Arial"/>
                <w:sz w:val="18"/>
                <w:szCs w:val="18"/>
              </w:rPr>
            </w:pPr>
            <w:proofErr w:type="spellStart"/>
            <w:r w:rsidRPr="00FB3CCF">
              <w:rPr>
                <w:rFonts w:ascii="Arial" w:hAnsi="Arial" w:cs="Arial"/>
                <w:sz w:val="18"/>
                <w:szCs w:val="18"/>
              </w:rPr>
              <w:t>Kitzing</w:t>
            </w:r>
            <w:proofErr w:type="spellEnd"/>
            <w:r w:rsidRPr="00FB3CCF">
              <w:rPr>
                <w:rFonts w:ascii="Arial" w:hAnsi="Arial" w:cs="Arial"/>
                <w:sz w:val="18"/>
                <w:szCs w:val="18"/>
              </w:rPr>
              <w:t xml:space="preserve"> and Weber (2014)</w:t>
            </w:r>
          </w:p>
        </w:tc>
        <w:tc>
          <w:tcPr>
            <w:tcW w:w="1925" w:type="dxa"/>
            <w:tcBorders>
              <w:top w:val="nil"/>
              <w:left w:val="nil"/>
              <w:bottom w:val="single" w:sz="4" w:space="0" w:color="auto"/>
              <w:right w:val="single" w:sz="4" w:space="0" w:color="auto"/>
            </w:tcBorders>
            <w:vAlign w:val="center"/>
            <w:hideMark/>
          </w:tcPr>
          <w:p w14:paraId="05952A0F"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Risk exposure varies across support mechanisms.</w:t>
            </w:r>
          </w:p>
        </w:tc>
        <w:tc>
          <w:tcPr>
            <w:tcW w:w="1925" w:type="dxa"/>
            <w:tcBorders>
              <w:top w:val="nil"/>
              <w:left w:val="nil"/>
              <w:bottom w:val="single" w:sz="4" w:space="0" w:color="auto"/>
              <w:right w:val="single" w:sz="4" w:space="0" w:color="auto"/>
            </w:tcBorders>
            <w:vAlign w:val="center"/>
            <w:hideMark/>
          </w:tcPr>
          <w:p w14:paraId="467B287D"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Comparative analysis; finds policy instruments alter risk allocation.</w:t>
            </w:r>
          </w:p>
        </w:tc>
        <w:tc>
          <w:tcPr>
            <w:tcW w:w="1927" w:type="dxa"/>
            <w:tcBorders>
              <w:top w:val="nil"/>
              <w:left w:val="nil"/>
              <w:bottom w:val="single" w:sz="4" w:space="0" w:color="auto"/>
              <w:right w:val="single" w:sz="4" w:space="0" w:color="auto"/>
            </w:tcBorders>
            <w:vAlign w:val="center"/>
            <w:hideMark/>
          </w:tcPr>
          <w:p w14:paraId="7DCD0F3C"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Broad renewable focus.</w:t>
            </w:r>
          </w:p>
        </w:tc>
        <w:tc>
          <w:tcPr>
            <w:tcW w:w="1925" w:type="dxa"/>
            <w:tcBorders>
              <w:top w:val="nil"/>
              <w:left w:val="nil"/>
              <w:bottom w:val="single" w:sz="4" w:space="0" w:color="auto"/>
              <w:right w:val="single" w:sz="4" w:space="0" w:color="auto"/>
            </w:tcBorders>
            <w:vAlign w:val="center"/>
            <w:hideMark/>
          </w:tcPr>
          <w:p w14:paraId="3ECE6A1B"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Useful for de-risking logic.</w:t>
            </w:r>
          </w:p>
        </w:tc>
      </w:tr>
      <w:tr w:rsidR="00FB3CCF" w:rsidRPr="00FB3CCF" w14:paraId="37310DA3"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3D0D17CE" w14:textId="77777777" w:rsidR="00FB3CCF" w:rsidRPr="00FB3CCF" w:rsidRDefault="00FB3CCF" w:rsidP="00442932">
            <w:pPr>
              <w:jc w:val="center"/>
              <w:rPr>
                <w:rFonts w:ascii="Arial" w:hAnsi="Arial" w:cs="Arial"/>
                <w:sz w:val="18"/>
                <w:szCs w:val="18"/>
              </w:rPr>
            </w:pPr>
            <w:proofErr w:type="spellStart"/>
            <w:r w:rsidRPr="00FB3CCF">
              <w:rPr>
                <w:rFonts w:ascii="Arial" w:hAnsi="Arial" w:cs="Arial"/>
                <w:sz w:val="18"/>
                <w:szCs w:val="18"/>
              </w:rPr>
              <w:t>Welisch</w:t>
            </w:r>
            <w:proofErr w:type="spellEnd"/>
            <w:r w:rsidRPr="00FB3CCF">
              <w:rPr>
                <w:rFonts w:ascii="Arial" w:hAnsi="Arial" w:cs="Arial"/>
                <w:sz w:val="18"/>
                <w:szCs w:val="18"/>
              </w:rPr>
              <w:t xml:space="preserve"> and </w:t>
            </w:r>
            <w:proofErr w:type="spellStart"/>
            <w:r w:rsidRPr="00FB3CCF">
              <w:rPr>
                <w:rFonts w:ascii="Arial" w:hAnsi="Arial" w:cs="Arial"/>
                <w:sz w:val="18"/>
                <w:szCs w:val="18"/>
              </w:rPr>
              <w:t>Poudineh</w:t>
            </w:r>
            <w:proofErr w:type="spellEnd"/>
            <w:r w:rsidRPr="00FB3CCF">
              <w:rPr>
                <w:rFonts w:ascii="Arial" w:hAnsi="Arial" w:cs="Arial"/>
                <w:sz w:val="18"/>
                <w:szCs w:val="18"/>
              </w:rPr>
              <w:t xml:space="preserve"> (2019)</w:t>
            </w:r>
          </w:p>
        </w:tc>
        <w:tc>
          <w:tcPr>
            <w:tcW w:w="1925" w:type="dxa"/>
            <w:tcBorders>
              <w:top w:val="nil"/>
              <w:left w:val="nil"/>
              <w:bottom w:val="single" w:sz="4" w:space="0" w:color="auto"/>
              <w:right w:val="single" w:sz="4" w:space="0" w:color="auto"/>
            </w:tcBorders>
            <w:vAlign w:val="center"/>
            <w:hideMark/>
          </w:tcPr>
          <w:p w14:paraId="3A5707D6"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UK offshore wind auctions illustrate how mature sector policy attracts capital.</w:t>
            </w:r>
          </w:p>
        </w:tc>
        <w:tc>
          <w:tcPr>
            <w:tcW w:w="1925" w:type="dxa"/>
            <w:tcBorders>
              <w:top w:val="nil"/>
              <w:left w:val="nil"/>
              <w:bottom w:val="single" w:sz="4" w:space="0" w:color="auto"/>
              <w:right w:val="single" w:sz="4" w:space="0" w:color="auto"/>
            </w:tcBorders>
            <w:vAlign w:val="center"/>
            <w:hideMark/>
          </w:tcPr>
          <w:p w14:paraId="37D479F4"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Policy and auction analysis; finds clear market design can lower uncertainty.</w:t>
            </w:r>
          </w:p>
        </w:tc>
        <w:tc>
          <w:tcPr>
            <w:tcW w:w="1927" w:type="dxa"/>
            <w:tcBorders>
              <w:top w:val="nil"/>
              <w:left w:val="nil"/>
              <w:bottom w:val="single" w:sz="4" w:space="0" w:color="auto"/>
              <w:right w:val="single" w:sz="4" w:space="0" w:color="auto"/>
            </w:tcBorders>
            <w:vAlign w:val="center"/>
            <w:hideMark/>
          </w:tcPr>
          <w:p w14:paraId="6D575DFB"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Transfer to wave is limited.</w:t>
            </w:r>
          </w:p>
        </w:tc>
        <w:tc>
          <w:tcPr>
            <w:tcW w:w="1925" w:type="dxa"/>
            <w:tcBorders>
              <w:top w:val="nil"/>
              <w:left w:val="nil"/>
              <w:bottom w:val="single" w:sz="4" w:space="0" w:color="auto"/>
              <w:right w:val="single" w:sz="4" w:space="0" w:color="auto"/>
            </w:tcBorders>
            <w:vAlign w:val="center"/>
            <w:hideMark/>
          </w:tcPr>
          <w:p w14:paraId="4BBD45F1"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Useful comparison point.</w:t>
            </w:r>
          </w:p>
        </w:tc>
      </w:tr>
      <w:tr w:rsidR="00FB3CCF" w:rsidRPr="00FB3CCF" w14:paraId="1D5AF507"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6FE4ECF2"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Connor (2012)</w:t>
            </w:r>
          </w:p>
        </w:tc>
        <w:tc>
          <w:tcPr>
            <w:tcW w:w="1925" w:type="dxa"/>
            <w:tcBorders>
              <w:top w:val="nil"/>
              <w:left w:val="nil"/>
              <w:bottom w:val="single" w:sz="4" w:space="0" w:color="auto"/>
              <w:right w:val="single" w:sz="4" w:space="0" w:color="auto"/>
            </w:tcBorders>
            <w:vAlign w:val="center"/>
            <w:hideMark/>
          </w:tcPr>
          <w:p w14:paraId="3C62EBBD"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The UK Renewables Obligation shaped renewable deployment through certificate incentives.</w:t>
            </w:r>
          </w:p>
        </w:tc>
        <w:tc>
          <w:tcPr>
            <w:tcW w:w="1925" w:type="dxa"/>
            <w:tcBorders>
              <w:top w:val="nil"/>
              <w:left w:val="nil"/>
              <w:bottom w:val="single" w:sz="4" w:space="0" w:color="auto"/>
              <w:right w:val="single" w:sz="4" w:space="0" w:color="auto"/>
            </w:tcBorders>
            <w:vAlign w:val="center"/>
            <w:hideMark/>
          </w:tcPr>
          <w:p w14:paraId="39FA73D3"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Policy overview; finds support architecture matters for investment.</w:t>
            </w:r>
          </w:p>
        </w:tc>
        <w:tc>
          <w:tcPr>
            <w:tcW w:w="1927" w:type="dxa"/>
            <w:tcBorders>
              <w:top w:val="nil"/>
              <w:left w:val="nil"/>
              <w:bottom w:val="single" w:sz="4" w:space="0" w:color="auto"/>
              <w:right w:val="single" w:sz="4" w:space="0" w:color="auto"/>
            </w:tcBorders>
            <w:vAlign w:val="center"/>
            <w:hideMark/>
          </w:tcPr>
          <w:p w14:paraId="583A280A"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Descriptive but useful.</w:t>
            </w:r>
          </w:p>
        </w:tc>
        <w:tc>
          <w:tcPr>
            <w:tcW w:w="1925" w:type="dxa"/>
            <w:tcBorders>
              <w:top w:val="nil"/>
              <w:left w:val="nil"/>
              <w:bottom w:val="single" w:sz="4" w:space="0" w:color="auto"/>
              <w:right w:val="single" w:sz="4" w:space="0" w:color="auto"/>
            </w:tcBorders>
            <w:vAlign w:val="center"/>
            <w:hideMark/>
          </w:tcPr>
          <w:p w14:paraId="4A1EDEED"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Background on support regime evolution.</w:t>
            </w:r>
          </w:p>
        </w:tc>
      </w:tr>
      <w:tr w:rsidR="00FB3CCF" w:rsidRPr="00FB3CCF" w14:paraId="09C155B6"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4576D998"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Harrison (2008)</w:t>
            </w:r>
          </w:p>
        </w:tc>
        <w:tc>
          <w:tcPr>
            <w:tcW w:w="1925" w:type="dxa"/>
            <w:tcBorders>
              <w:top w:val="nil"/>
              <w:left w:val="nil"/>
              <w:bottom w:val="single" w:sz="4" w:space="0" w:color="auto"/>
              <w:right w:val="single" w:sz="4" w:space="0" w:color="auto"/>
            </w:tcBorders>
            <w:vAlign w:val="center"/>
            <w:hideMark/>
          </w:tcPr>
          <w:p w14:paraId="7B868411"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Scottish and UK support mechanisms mattered for marine energy emergence.</w:t>
            </w:r>
          </w:p>
        </w:tc>
        <w:tc>
          <w:tcPr>
            <w:tcW w:w="1925" w:type="dxa"/>
            <w:tcBorders>
              <w:top w:val="nil"/>
              <w:left w:val="nil"/>
              <w:bottom w:val="single" w:sz="4" w:space="0" w:color="auto"/>
              <w:right w:val="single" w:sz="4" w:space="0" w:color="auto"/>
            </w:tcBorders>
            <w:vAlign w:val="center"/>
            <w:hideMark/>
          </w:tcPr>
          <w:p w14:paraId="728576EF"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Policy review; finds early mechanism design shaped sector opportunity.</w:t>
            </w:r>
          </w:p>
        </w:tc>
        <w:tc>
          <w:tcPr>
            <w:tcW w:w="1927" w:type="dxa"/>
            <w:tcBorders>
              <w:top w:val="nil"/>
              <w:left w:val="nil"/>
              <w:bottom w:val="single" w:sz="4" w:space="0" w:color="auto"/>
              <w:right w:val="single" w:sz="4" w:space="0" w:color="auto"/>
            </w:tcBorders>
            <w:vAlign w:val="center"/>
            <w:hideMark/>
          </w:tcPr>
          <w:p w14:paraId="0530AB49"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Early-stage evidence.</w:t>
            </w:r>
          </w:p>
        </w:tc>
        <w:tc>
          <w:tcPr>
            <w:tcW w:w="1925" w:type="dxa"/>
            <w:tcBorders>
              <w:top w:val="nil"/>
              <w:left w:val="nil"/>
              <w:bottom w:val="single" w:sz="4" w:space="0" w:color="auto"/>
              <w:right w:val="single" w:sz="4" w:space="0" w:color="auto"/>
            </w:tcBorders>
            <w:vAlign w:val="center"/>
            <w:hideMark/>
          </w:tcPr>
          <w:p w14:paraId="3727B7C2"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Useful for historical policy context.</w:t>
            </w:r>
          </w:p>
        </w:tc>
      </w:tr>
      <w:tr w:rsidR="00FB3CCF" w:rsidRPr="00FB3CCF" w14:paraId="00B08AF0"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5901DE7D"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Willis et al. (2010)</w:t>
            </w:r>
          </w:p>
        </w:tc>
        <w:tc>
          <w:tcPr>
            <w:tcW w:w="1925" w:type="dxa"/>
            <w:tcBorders>
              <w:top w:val="nil"/>
              <w:left w:val="nil"/>
              <w:bottom w:val="single" w:sz="4" w:space="0" w:color="auto"/>
              <w:right w:val="single" w:sz="4" w:space="0" w:color="auto"/>
            </w:tcBorders>
            <w:vAlign w:val="center"/>
            <w:hideMark/>
          </w:tcPr>
          <w:p w14:paraId="37C1442B"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UK marine policy created ambition but not full commercial traction.</w:t>
            </w:r>
          </w:p>
        </w:tc>
        <w:tc>
          <w:tcPr>
            <w:tcW w:w="1925" w:type="dxa"/>
            <w:tcBorders>
              <w:top w:val="nil"/>
              <w:left w:val="nil"/>
              <w:bottom w:val="single" w:sz="4" w:space="0" w:color="auto"/>
              <w:right w:val="single" w:sz="4" w:space="0" w:color="auto"/>
            </w:tcBorders>
            <w:vAlign w:val="center"/>
            <w:hideMark/>
          </w:tcPr>
          <w:p w14:paraId="0C60E889"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Review; finds support and development remained uneven.</w:t>
            </w:r>
          </w:p>
        </w:tc>
        <w:tc>
          <w:tcPr>
            <w:tcW w:w="1927" w:type="dxa"/>
            <w:tcBorders>
              <w:top w:val="nil"/>
              <w:left w:val="nil"/>
              <w:bottom w:val="single" w:sz="4" w:space="0" w:color="auto"/>
              <w:right w:val="single" w:sz="4" w:space="0" w:color="auto"/>
            </w:tcBorders>
            <w:vAlign w:val="center"/>
            <w:hideMark/>
          </w:tcPr>
          <w:p w14:paraId="7CC58B1C"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Overview rather than deep critique.</w:t>
            </w:r>
          </w:p>
        </w:tc>
        <w:tc>
          <w:tcPr>
            <w:tcW w:w="1925" w:type="dxa"/>
            <w:tcBorders>
              <w:top w:val="nil"/>
              <w:left w:val="nil"/>
              <w:bottom w:val="single" w:sz="4" w:space="0" w:color="auto"/>
              <w:right w:val="single" w:sz="4" w:space="0" w:color="auto"/>
            </w:tcBorders>
            <w:vAlign w:val="center"/>
            <w:hideMark/>
          </w:tcPr>
          <w:p w14:paraId="4176ABFB"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Useful bridge source.</w:t>
            </w:r>
          </w:p>
        </w:tc>
      </w:tr>
      <w:tr w:rsidR="00FB3CCF" w:rsidRPr="00FB3CCF" w14:paraId="0258FF09"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0FCEC8FF"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Jeffrey, Sedgwick and Gerrard (2014)</w:t>
            </w:r>
          </w:p>
        </w:tc>
        <w:tc>
          <w:tcPr>
            <w:tcW w:w="1925" w:type="dxa"/>
            <w:tcBorders>
              <w:top w:val="nil"/>
              <w:left w:val="nil"/>
              <w:bottom w:val="single" w:sz="4" w:space="0" w:color="auto"/>
              <w:right w:val="single" w:sz="4" w:space="0" w:color="auto"/>
            </w:tcBorders>
            <w:vAlign w:val="center"/>
            <w:hideMark/>
          </w:tcPr>
          <w:p w14:paraId="0B018DC5"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Public funding design differs across the UK and US.</w:t>
            </w:r>
          </w:p>
        </w:tc>
        <w:tc>
          <w:tcPr>
            <w:tcW w:w="1925" w:type="dxa"/>
            <w:tcBorders>
              <w:top w:val="nil"/>
              <w:left w:val="nil"/>
              <w:bottom w:val="single" w:sz="4" w:space="0" w:color="auto"/>
              <w:right w:val="single" w:sz="4" w:space="0" w:color="auto"/>
            </w:tcBorders>
            <w:vAlign w:val="center"/>
            <w:hideMark/>
          </w:tcPr>
          <w:p w14:paraId="55A88735"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Comparative policy analysis; finds funding structure influences commercialization pathways.</w:t>
            </w:r>
          </w:p>
        </w:tc>
        <w:tc>
          <w:tcPr>
            <w:tcW w:w="1927" w:type="dxa"/>
            <w:tcBorders>
              <w:top w:val="nil"/>
              <w:left w:val="nil"/>
              <w:bottom w:val="single" w:sz="4" w:space="0" w:color="auto"/>
              <w:right w:val="single" w:sz="4" w:space="0" w:color="auto"/>
            </w:tcBorders>
            <w:vAlign w:val="center"/>
            <w:hideMark/>
          </w:tcPr>
          <w:p w14:paraId="3D57ED22"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National comparison more than startup focus.</w:t>
            </w:r>
          </w:p>
        </w:tc>
        <w:tc>
          <w:tcPr>
            <w:tcW w:w="1925" w:type="dxa"/>
            <w:tcBorders>
              <w:top w:val="nil"/>
              <w:left w:val="nil"/>
              <w:bottom w:val="single" w:sz="4" w:space="0" w:color="auto"/>
              <w:right w:val="single" w:sz="4" w:space="0" w:color="auto"/>
            </w:tcBorders>
            <w:vAlign w:val="center"/>
            <w:hideMark/>
          </w:tcPr>
          <w:p w14:paraId="713110A8"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Useful for support design lessons.</w:t>
            </w:r>
          </w:p>
        </w:tc>
      </w:tr>
      <w:tr w:rsidR="00FB3CCF" w:rsidRPr="00FB3CCF" w14:paraId="5B4CF7F7"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2B3CB571"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 xml:space="preserve">Jeffrey, Jay and </w:t>
            </w:r>
            <w:proofErr w:type="spellStart"/>
            <w:r w:rsidRPr="00FB3CCF">
              <w:rPr>
                <w:rFonts w:ascii="Arial" w:hAnsi="Arial" w:cs="Arial"/>
                <w:sz w:val="18"/>
                <w:szCs w:val="18"/>
              </w:rPr>
              <w:t>Winskel</w:t>
            </w:r>
            <w:proofErr w:type="spellEnd"/>
            <w:r w:rsidRPr="00FB3CCF">
              <w:rPr>
                <w:rFonts w:ascii="Arial" w:hAnsi="Arial" w:cs="Arial"/>
                <w:sz w:val="18"/>
                <w:szCs w:val="18"/>
              </w:rPr>
              <w:t xml:space="preserve"> (2013)</w:t>
            </w:r>
          </w:p>
        </w:tc>
        <w:tc>
          <w:tcPr>
            <w:tcW w:w="1925" w:type="dxa"/>
            <w:tcBorders>
              <w:top w:val="nil"/>
              <w:left w:val="nil"/>
              <w:bottom w:val="single" w:sz="4" w:space="0" w:color="auto"/>
              <w:right w:val="single" w:sz="4" w:space="0" w:color="auto"/>
            </w:tcBorders>
            <w:vAlign w:val="center"/>
            <w:hideMark/>
          </w:tcPr>
          <w:p w14:paraId="53097A3B"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Marine energy needs coordinated support to accelerate development.</w:t>
            </w:r>
          </w:p>
        </w:tc>
        <w:tc>
          <w:tcPr>
            <w:tcW w:w="1925" w:type="dxa"/>
            <w:tcBorders>
              <w:top w:val="nil"/>
              <w:left w:val="nil"/>
              <w:bottom w:val="single" w:sz="4" w:space="0" w:color="auto"/>
              <w:right w:val="single" w:sz="4" w:space="0" w:color="auto"/>
            </w:tcBorders>
            <w:vAlign w:val="center"/>
            <w:hideMark/>
          </w:tcPr>
          <w:p w14:paraId="2DA31389"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Sector analysis; finds benefits and challenges are tightly coupled.</w:t>
            </w:r>
          </w:p>
        </w:tc>
        <w:tc>
          <w:tcPr>
            <w:tcW w:w="1927" w:type="dxa"/>
            <w:tcBorders>
              <w:top w:val="nil"/>
              <w:left w:val="nil"/>
              <w:bottom w:val="single" w:sz="4" w:space="0" w:color="auto"/>
              <w:right w:val="single" w:sz="4" w:space="0" w:color="auto"/>
            </w:tcBorders>
            <w:vAlign w:val="center"/>
            <w:hideMark/>
          </w:tcPr>
          <w:p w14:paraId="64312A09"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Broad.</w:t>
            </w:r>
          </w:p>
        </w:tc>
        <w:tc>
          <w:tcPr>
            <w:tcW w:w="1925" w:type="dxa"/>
            <w:tcBorders>
              <w:top w:val="nil"/>
              <w:left w:val="nil"/>
              <w:bottom w:val="single" w:sz="4" w:space="0" w:color="auto"/>
              <w:right w:val="single" w:sz="4" w:space="0" w:color="auto"/>
            </w:tcBorders>
            <w:vAlign w:val="center"/>
            <w:hideMark/>
          </w:tcPr>
          <w:p w14:paraId="4D268F1C"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Useful for policy and commercialization linkage.</w:t>
            </w:r>
          </w:p>
        </w:tc>
      </w:tr>
      <w:tr w:rsidR="00FB3CCF" w:rsidRPr="00FB3CCF" w14:paraId="547AD105"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32D1B3EB"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 xml:space="preserve">Jeffrey and </w:t>
            </w:r>
            <w:proofErr w:type="spellStart"/>
            <w:r w:rsidRPr="00FB3CCF">
              <w:rPr>
                <w:rFonts w:ascii="Arial" w:hAnsi="Arial" w:cs="Arial"/>
                <w:sz w:val="18"/>
                <w:szCs w:val="18"/>
              </w:rPr>
              <w:t>Winskel</w:t>
            </w:r>
            <w:proofErr w:type="spellEnd"/>
            <w:r w:rsidRPr="00FB3CCF">
              <w:rPr>
                <w:rFonts w:ascii="Arial" w:hAnsi="Arial" w:cs="Arial"/>
                <w:sz w:val="18"/>
                <w:szCs w:val="18"/>
              </w:rPr>
              <w:t xml:space="preserve"> (2009)</w:t>
            </w:r>
          </w:p>
        </w:tc>
        <w:tc>
          <w:tcPr>
            <w:tcW w:w="1925" w:type="dxa"/>
            <w:tcBorders>
              <w:top w:val="nil"/>
              <w:left w:val="nil"/>
              <w:bottom w:val="single" w:sz="4" w:space="0" w:color="auto"/>
              <w:right w:val="single" w:sz="4" w:space="0" w:color="auto"/>
            </w:tcBorders>
            <w:vAlign w:val="center"/>
            <w:hideMark/>
          </w:tcPr>
          <w:p w14:paraId="31F01B82"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UK ocean energy policy ambition outpaced commercial readiness.</w:t>
            </w:r>
          </w:p>
        </w:tc>
        <w:tc>
          <w:tcPr>
            <w:tcW w:w="1925" w:type="dxa"/>
            <w:tcBorders>
              <w:top w:val="nil"/>
              <w:left w:val="nil"/>
              <w:bottom w:val="single" w:sz="4" w:space="0" w:color="auto"/>
              <w:right w:val="single" w:sz="4" w:space="0" w:color="auto"/>
            </w:tcBorders>
            <w:vAlign w:val="center"/>
            <w:hideMark/>
          </w:tcPr>
          <w:p w14:paraId="635C1B99"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Sector perspective; finds strategic value does not guarantee deployment.</w:t>
            </w:r>
          </w:p>
        </w:tc>
        <w:tc>
          <w:tcPr>
            <w:tcW w:w="1927" w:type="dxa"/>
            <w:tcBorders>
              <w:top w:val="nil"/>
              <w:left w:val="nil"/>
              <w:bottom w:val="single" w:sz="4" w:space="0" w:color="auto"/>
              <w:right w:val="single" w:sz="4" w:space="0" w:color="auto"/>
            </w:tcBorders>
            <w:vAlign w:val="center"/>
            <w:hideMark/>
          </w:tcPr>
          <w:p w14:paraId="5F9BA076"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Early and strategic.</w:t>
            </w:r>
          </w:p>
        </w:tc>
        <w:tc>
          <w:tcPr>
            <w:tcW w:w="1925" w:type="dxa"/>
            <w:tcBorders>
              <w:top w:val="nil"/>
              <w:left w:val="nil"/>
              <w:bottom w:val="single" w:sz="4" w:space="0" w:color="auto"/>
              <w:right w:val="single" w:sz="4" w:space="0" w:color="auto"/>
            </w:tcBorders>
            <w:vAlign w:val="center"/>
            <w:hideMark/>
          </w:tcPr>
          <w:p w14:paraId="7067AD93"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Useful for policy ambition versus bankability.</w:t>
            </w:r>
          </w:p>
        </w:tc>
      </w:tr>
      <w:tr w:rsidR="00FB3CCF" w:rsidRPr="00FB3CCF" w14:paraId="3E620A29" w14:textId="77777777" w:rsidTr="00442932">
        <w:trPr>
          <w:trHeight w:val="1369"/>
          <w:jc w:val="center"/>
        </w:trPr>
        <w:tc>
          <w:tcPr>
            <w:tcW w:w="1925" w:type="dxa"/>
            <w:tcBorders>
              <w:top w:val="nil"/>
              <w:left w:val="single" w:sz="4" w:space="0" w:color="auto"/>
              <w:bottom w:val="single" w:sz="4" w:space="0" w:color="auto"/>
              <w:right w:val="single" w:sz="4" w:space="0" w:color="auto"/>
            </w:tcBorders>
            <w:vAlign w:val="center"/>
            <w:hideMark/>
          </w:tcPr>
          <w:p w14:paraId="06B186F5"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lastRenderedPageBreak/>
              <w:t>Wang et al. (2024)</w:t>
            </w:r>
          </w:p>
        </w:tc>
        <w:tc>
          <w:tcPr>
            <w:tcW w:w="1925" w:type="dxa"/>
            <w:tcBorders>
              <w:top w:val="nil"/>
              <w:left w:val="nil"/>
              <w:bottom w:val="single" w:sz="4" w:space="0" w:color="auto"/>
              <w:right w:val="single" w:sz="4" w:space="0" w:color="auto"/>
            </w:tcBorders>
            <w:vAlign w:val="center"/>
            <w:hideMark/>
          </w:tcPr>
          <w:p w14:paraId="63932C2F"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Banding remains a pivotal issue in UK support design.</w:t>
            </w:r>
          </w:p>
        </w:tc>
        <w:tc>
          <w:tcPr>
            <w:tcW w:w="1925" w:type="dxa"/>
            <w:tcBorders>
              <w:top w:val="nil"/>
              <w:left w:val="nil"/>
              <w:bottom w:val="single" w:sz="4" w:space="0" w:color="auto"/>
              <w:right w:val="single" w:sz="4" w:space="0" w:color="auto"/>
            </w:tcBorders>
            <w:vAlign w:val="center"/>
            <w:hideMark/>
          </w:tcPr>
          <w:p w14:paraId="2012F658"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Recent reassessment; finds support calibration still matters for emerging renewables.</w:t>
            </w:r>
          </w:p>
        </w:tc>
        <w:tc>
          <w:tcPr>
            <w:tcW w:w="1927" w:type="dxa"/>
            <w:tcBorders>
              <w:top w:val="nil"/>
              <w:left w:val="nil"/>
              <w:bottom w:val="single" w:sz="4" w:space="0" w:color="auto"/>
              <w:right w:val="single" w:sz="4" w:space="0" w:color="auto"/>
            </w:tcBorders>
            <w:vAlign w:val="center"/>
            <w:hideMark/>
          </w:tcPr>
          <w:p w14:paraId="12815DB2"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More general than wave specific.</w:t>
            </w:r>
          </w:p>
        </w:tc>
        <w:tc>
          <w:tcPr>
            <w:tcW w:w="1925" w:type="dxa"/>
            <w:tcBorders>
              <w:top w:val="nil"/>
              <w:left w:val="nil"/>
              <w:bottom w:val="single" w:sz="4" w:space="0" w:color="auto"/>
              <w:right w:val="single" w:sz="4" w:space="0" w:color="auto"/>
            </w:tcBorders>
            <w:vAlign w:val="center"/>
            <w:hideMark/>
          </w:tcPr>
          <w:p w14:paraId="07F43355" w14:textId="77777777" w:rsidR="00FB3CCF" w:rsidRPr="00FB3CCF" w:rsidRDefault="00FB3CCF" w:rsidP="00442932">
            <w:pPr>
              <w:jc w:val="center"/>
              <w:rPr>
                <w:rFonts w:ascii="Arial" w:hAnsi="Arial" w:cs="Arial"/>
                <w:sz w:val="18"/>
                <w:szCs w:val="18"/>
              </w:rPr>
            </w:pPr>
            <w:r w:rsidRPr="00FB3CCF">
              <w:rPr>
                <w:rFonts w:ascii="Arial" w:hAnsi="Arial" w:cs="Arial"/>
                <w:sz w:val="18"/>
                <w:szCs w:val="18"/>
              </w:rPr>
              <w:t>Useful recent policy update.</w:t>
            </w:r>
          </w:p>
        </w:tc>
      </w:tr>
      <w:tr w:rsidR="00FB3CCF" w:rsidRPr="00FB3CCF" w14:paraId="7729CB45" w14:textId="77777777" w:rsidTr="00442932">
        <w:trPr>
          <w:trHeight w:val="270"/>
          <w:jc w:val="center"/>
        </w:trPr>
        <w:tc>
          <w:tcPr>
            <w:tcW w:w="7702" w:type="dxa"/>
            <w:gridSpan w:val="4"/>
            <w:tcBorders>
              <w:top w:val="nil"/>
              <w:left w:val="nil"/>
              <w:bottom w:val="nil"/>
              <w:right w:val="nil"/>
            </w:tcBorders>
            <w:vAlign w:val="center"/>
            <w:hideMark/>
          </w:tcPr>
          <w:p w14:paraId="522CAF45" w14:textId="77777777" w:rsidR="00FB3CCF" w:rsidRPr="00FB3CCF" w:rsidRDefault="00FB3CCF" w:rsidP="00442932">
            <w:pPr>
              <w:rPr>
                <w:rFonts w:ascii="Arial" w:hAnsi="Arial" w:cs="Arial"/>
                <w:sz w:val="15"/>
                <w:szCs w:val="15"/>
              </w:rPr>
            </w:pPr>
            <w:r w:rsidRPr="00FB3CCF">
              <w:rPr>
                <w:rFonts w:ascii="Arial" w:hAnsi="Arial" w:cs="Arial"/>
                <w:sz w:val="15"/>
                <w:szCs w:val="15"/>
              </w:rPr>
              <w:t>Source: Author’s synthesis based on the reviewed literature.</w:t>
            </w:r>
          </w:p>
        </w:tc>
        <w:tc>
          <w:tcPr>
            <w:tcW w:w="1925" w:type="dxa"/>
            <w:tcBorders>
              <w:top w:val="nil"/>
              <w:left w:val="nil"/>
              <w:bottom w:val="nil"/>
              <w:right w:val="nil"/>
            </w:tcBorders>
            <w:noWrap/>
            <w:vAlign w:val="bottom"/>
            <w:hideMark/>
          </w:tcPr>
          <w:p w14:paraId="174CC4E2" w14:textId="77777777" w:rsidR="00FB3CCF" w:rsidRPr="00FB3CCF" w:rsidRDefault="00FB3CCF" w:rsidP="00442932">
            <w:pPr>
              <w:rPr>
                <w:rFonts w:ascii="Arial" w:hAnsi="Arial" w:cs="Arial"/>
                <w:sz w:val="18"/>
                <w:szCs w:val="18"/>
              </w:rPr>
            </w:pPr>
          </w:p>
        </w:tc>
      </w:tr>
    </w:tbl>
    <w:p w14:paraId="1968069D" w14:textId="77777777" w:rsidR="00FB3CCF" w:rsidRPr="00FB3CCF" w:rsidRDefault="00FB3CCF" w:rsidP="00FB3CCF">
      <w:pPr>
        <w:spacing w:line="360" w:lineRule="auto"/>
        <w:jc w:val="both"/>
        <w:rPr>
          <w:rFonts w:ascii="Arial" w:hAnsi="Arial" w:cs="Arial"/>
          <w:sz w:val="22"/>
          <w:szCs w:val="22"/>
        </w:rPr>
      </w:pPr>
    </w:p>
    <w:p w14:paraId="46D261C4" w14:textId="77777777" w:rsidR="00FB3CCF" w:rsidRPr="00FB3CCF" w:rsidRDefault="00FB3CCF" w:rsidP="00FB3CCF">
      <w:pPr>
        <w:spacing w:line="360" w:lineRule="auto"/>
        <w:jc w:val="both"/>
        <w:rPr>
          <w:rFonts w:ascii="Arial" w:hAnsi="Arial" w:cs="Arial"/>
          <w:sz w:val="22"/>
          <w:szCs w:val="22"/>
        </w:rPr>
      </w:pPr>
    </w:p>
    <w:p w14:paraId="5B4E7D15" w14:textId="77777777" w:rsidR="00FB3CCF" w:rsidRPr="00FB3CCF" w:rsidRDefault="00FB3CCF" w:rsidP="00FB3CCF">
      <w:pPr>
        <w:spacing w:line="360" w:lineRule="auto"/>
        <w:jc w:val="both"/>
        <w:rPr>
          <w:rFonts w:ascii="Arial" w:hAnsi="Arial" w:cs="Arial"/>
          <w:sz w:val="22"/>
          <w:szCs w:val="22"/>
        </w:rPr>
      </w:pPr>
    </w:p>
    <w:p w14:paraId="378BDFED" w14:textId="77777777" w:rsidR="00FB3CCF" w:rsidRPr="00FB3CCF" w:rsidRDefault="00FB3CCF" w:rsidP="00FB3CCF">
      <w:pPr>
        <w:spacing w:line="360" w:lineRule="auto"/>
        <w:jc w:val="both"/>
        <w:rPr>
          <w:rFonts w:ascii="Arial" w:hAnsi="Arial" w:cs="Arial"/>
          <w:sz w:val="22"/>
          <w:szCs w:val="22"/>
        </w:rPr>
      </w:pPr>
    </w:p>
    <w:p w14:paraId="6C8C9745" w14:textId="77777777" w:rsidR="00FB3CCF" w:rsidRPr="00FB3CCF" w:rsidRDefault="00FB3CCF" w:rsidP="00FB3CCF">
      <w:pPr>
        <w:spacing w:line="360" w:lineRule="auto"/>
        <w:jc w:val="both"/>
        <w:rPr>
          <w:rFonts w:ascii="Arial" w:hAnsi="Arial" w:cs="Arial"/>
          <w:sz w:val="22"/>
          <w:szCs w:val="22"/>
        </w:rPr>
      </w:pPr>
    </w:p>
    <w:p w14:paraId="14C73BF1" w14:textId="77777777" w:rsidR="00FB3CCF" w:rsidRPr="00FB3CCF" w:rsidRDefault="00FB3CCF" w:rsidP="00FB3CCF">
      <w:pPr>
        <w:spacing w:line="360" w:lineRule="auto"/>
        <w:jc w:val="both"/>
        <w:rPr>
          <w:rFonts w:ascii="Arial" w:hAnsi="Arial" w:cs="Arial"/>
          <w:sz w:val="22"/>
          <w:szCs w:val="22"/>
        </w:rPr>
      </w:pPr>
    </w:p>
    <w:p w14:paraId="28B1E85C" w14:textId="77777777" w:rsidR="00FB3CCF" w:rsidRPr="00FB3CCF" w:rsidRDefault="00FB3CCF" w:rsidP="00FB3CCF">
      <w:pPr>
        <w:spacing w:line="360" w:lineRule="auto"/>
        <w:jc w:val="both"/>
        <w:rPr>
          <w:rFonts w:ascii="Arial" w:hAnsi="Arial" w:cs="Arial"/>
          <w:sz w:val="22"/>
          <w:szCs w:val="22"/>
        </w:rPr>
      </w:pPr>
    </w:p>
    <w:p w14:paraId="4AF8E601" w14:textId="77777777" w:rsidR="00FB3CCF" w:rsidRPr="00FB3CCF" w:rsidRDefault="00FB3CCF" w:rsidP="00FB3CCF">
      <w:pPr>
        <w:spacing w:line="360" w:lineRule="auto"/>
        <w:jc w:val="both"/>
        <w:rPr>
          <w:rFonts w:ascii="Arial" w:hAnsi="Arial" w:cs="Arial"/>
          <w:sz w:val="22"/>
          <w:szCs w:val="22"/>
        </w:rPr>
      </w:pPr>
    </w:p>
    <w:p w14:paraId="16B78AAD" w14:textId="77777777" w:rsidR="00FB3CCF" w:rsidRPr="00FB3CCF" w:rsidRDefault="00FB3CCF" w:rsidP="00FB3CCF">
      <w:pPr>
        <w:spacing w:line="360" w:lineRule="auto"/>
        <w:jc w:val="both"/>
        <w:rPr>
          <w:rFonts w:ascii="Arial" w:hAnsi="Arial" w:cs="Arial"/>
          <w:sz w:val="22"/>
          <w:szCs w:val="22"/>
        </w:rPr>
      </w:pPr>
    </w:p>
    <w:p w14:paraId="035FBEFD" w14:textId="77777777" w:rsidR="00FB3CCF" w:rsidRPr="00FB3CCF" w:rsidRDefault="00FB3CCF" w:rsidP="00FB3CCF">
      <w:pPr>
        <w:spacing w:line="360" w:lineRule="auto"/>
        <w:jc w:val="both"/>
        <w:rPr>
          <w:rFonts w:ascii="Arial" w:hAnsi="Arial" w:cs="Arial"/>
          <w:sz w:val="22"/>
          <w:szCs w:val="22"/>
        </w:rPr>
      </w:pPr>
    </w:p>
    <w:p w14:paraId="176FBC71" w14:textId="77777777" w:rsidR="00FB3CCF" w:rsidRPr="00FB3CCF" w:rsidRDefault="00FB3CCF" w:rsidP="00FB3CCF">
      <w:pPr>
        <w:spacing w:line="360" w:lineRule="auto"/>
        <w:jc w:val="both"/>
        <w:rPr>
          <w:rFonts w:ascii="Arial" w:hAnsi="Arial" w:cs="Arial"/>
          <w:sz w:val="22"/>
          <w:szCs w:val="22"/>
        </w:rPr>
      </w:pPr>
    </w:p>
    <w:p w14:paraId="046617FC" w14:textId="77777777" w:rsidR="00FB3CCF" w:rsidRPr="00FB3CCF" w:rsidRDefault="00FB3CCF" w:rsidP="00FB3CCF">
      <w:pPr>
        <w:spacing w:line="360" w:lineRule="auto"/>
        <w:jc w:val="both"/>
        <w:rPr>
          <w:rFonts w:ascii="Arial" w:hAnsi="Arial" w:cs="Arial"/>
          <w:sz w:val="22"/>
          <w:szCs w:val="22"/>
        </w:rPr>
      </w:pPr>
    </w:p>
    <w:p w14:paraId="769A5D10" w14:textId="77777777" w:rsidR="00FB3CCF" w:rsidRPr="00FB3CCF" w:rsidRDefault="00FB3CCF" w:rsidP="00FB3CCF">
      <w:pPr>
        <w:spacing w:line="360" w:lineRule="auto"/>
        <w:jc w:val="both"/>
        <w:rPr>
          <w:rFonts w:ascii="Arial" w:hAnsi="Arial" w:cs="Arial"/>
          <w:sz w:val="22"/>
          <w:szCs w:val="22"/>
        </w:rPr>
      </w:pPr>
    </w:p>
    <w:p w14:paraId="31B99D39" w14:textId="77777777" w:rsidR="00FB3CCF" w:rsidRPr="00FB3CCF" w:rsidRDefault="00FB3CCF" w:rsidP="00FB3CCF">
      <w:pPr>
        <w:spacing w:line="360" w:lineRule="auto"/>
        <w:jc w:val="both"/>
        <w:rPr>
          <w:rFonts w:ascii="Arial" w:hAnsi="Arial" w:cs="Arial"/>
          <w:sz w:val="22"/>
          <w:szCs w:val="22"/>
        </w:rPr>
      </w:pPr>
    </w:p>
    <w:p w14:paraId="51007819" w14:textId="77777777" w:rsidR="00FB3CCF" w:rsidRPr="00FB3CCF" w:rsidRDefault="00FB3CCF" w:rsidP="00FB3CCF">
      <w:pPr>
        <w:spacing w:line="360" w:lineRule="auto"/>
        <w:jc w:val="both"/>
        <w:rPr>
          <w:rFonts w:ascii="Arial" w:hAnsi="Arial" w:cs="Arial"/>
          <w:sz w:val="22"/>
          <w:szCs w:val="22"/>
        </w:rPr>
      </w:pPr>
    </w:p>
    <w:p w14:paraId="60AF400D" w14:textId="77777777" w:rsidR="00FB3CCF" w:rsidRPr="00FB3CCF" w:rsidRDefault="00FB3CCF" w:rsidP="00FB3CCF">
      <w:pPr>
        <w:spacing w:line="360" w:lineRule="auto"/>
        <w:jc w:val="both"/>
        <w:rPr>
          <w:rFonts w:ascii="Arial" w:hAnsi="Arial" w:cs="Arial"/>
          <w:sz w:val="22"/>
          <w:szCs w:val="22"/>
        </w:rPr>
      </w:pPr>
    </w:p>
    <w:p w14:paraId="30A8FF32" w14:textId="77777777" w:rsidR="00FB3CCF" w:rsidRPr="00FB3CCF" w:rsidRDefault="00FB3CCF" w:rsidP="00FB3CCF">
      <w:pPr>
        <w:spacing w:line="360" w:lineRule="auto"/>
        <w:jc w:val="both"/>
        <w:rPr>
          <w:rFonts w:ascii="Arial" w:hAnsi="Arial" w:cs="Arial"/>
          <w:sz w:val="22"/>
          <w:szCs w:val="22"/>
        </w:rPr>
      </w:pPr>
    </w:p>
    <w:p w14:paraId="30FB40F5" w14:textId="77777777" w:rsidR="00FB3CCF" w:rsidRPr="00FB3CCF" w:rsidRDefault="00FB3CCF" w:rsidP="00FB3CCF">
      <w:pPr>
        <w:spacing w:line="360" w:lineRule="auto"/>
        <w:jc w:val="both"/>
        <w:rPr>
          <w:rFonts w:ascii="Arial" w:hAnsi="Arial" w:cs="Arial"/>
          <w:sz w:val="22"/>
          <w:szCs w:val="22"/>
        </w:rPr>
      </w:pPr>
    </w:p>
    <w:p w14:paraId="0ABAA427" w14:textId="77777777" w:rsidR="00FB3CCF" w:rsidRPr="00FB3CCF" w:rsidRDefault="00FB3CCF" w:rsidP="00FB3CCF">
      <w:pPr>
        <w:spacing w:line="360" w:lineRule="auto"/>
        <w:jc w:val="both"/>
        <w:rPr>
          <w:rFonts w:ascii="Arial" w:hAnsi="Arial" w:cs="Arial"/>
          <w:sz w:val="22"/>
          <w:szCs w:val="22"/>
        </w:rPr>
      </w:pPr>
    </w:p>
    <w:p w14:paraId="46F75988" w14:textId="77777777" w:rsidR="00FB3CCF" w:rsidRPr="00FB3CCF" w:rsidRDefault="00FB3CCF" w:rsidP="00FB3CCF">
      <w:pPr>
        <w:spacing w:line="360" w:lineRule="auto"/>
        <w:jc w:val="both"/>
        <w:rPr>
          <w:rFonts w:ascii="Arial" w:hAnsi="Arial" w:cs="Arial"/>
          <w:sz w:val="22"/>
          <w:szCs w:val="22"/>
        </w:rPr>
      </w:pPr>
    </w:p>
    <w:p w14:paraId="2394D2E0" w14:textId="77777777" w:rsidR="00FB3CCF" w:rsidRPr="00FB3CCF" w:rsidRDefault="00FB3CCF" w:rsidP="00FB3CCF">
      <w:pPr>
        <w:spacing w:line="360" w:lineRule="auto"/>
        <w:jc w:val="both"/>
        <w:rPr>
          <w:rFonts w:ascii="Arial" w:hAnsi="Arial" w:cs="Arial"/>
          <w:sz w:val="22"/>
          <w:szCs w:val="22"/>
        </w:rPr>
      </w:pPr>
    </w:p>
    <w:p w14:paraId="0FFD86E7" w14:textId="77777777" w:rsidR="00FB3CCF" w:rsidRPr="00FB3CCF" w:rsidRDefault="00FB3CCF" w:rsidP="00FB3CCF">
      <w:pPr>
        <w:spacing w:line="360" w:lineRule="auto"/>
        <w:jc w:val="both"/>
        <w:rPr>
          <w:rFonts w:ascii="Arial" w:hAnsi="Arial" w:cs="Arial"/>
          <w:sz w:val="22"/>
          <w:szCs w:val="22"/>
        </w:rPr>
      </w:pPr>
    </w:p>
    <w:p w14:paraId="0C2D1893"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lastRenderedPageBreak/>
        <w:t>Appendix C</w:t>
      </w:r>
    </w:p>
    <w:p w14:paraId="39146BE9"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C1. Theme 3 Innovation systems and ecosystem coordination</w:t>
      </w:r>
    </w:p>
    <w:tbl>
      <w:tblPr>
        <w:tblW w:w="9643" w:type="dxa"/>
        <w:jc w:val="center"/>
        <w:tblLook w:val="04A0" w:firstRow="1" w:lastRow="0" w:firstColumn="1" w:lastColumn="0" w:noHBand="0" w:noVBand="1"/>
      </w:tblPr>
      <w:tblGrid>
        <w:gridCol w:w="2010"/>
        <w:gridCol w:w="2010"/>
        <w:gridCol w:w="2010"/>
        <w:gridCol w:w="1685"/>
        <w:gridCol w:w="1928"/>
      </w:tblGrid>
      <w:tr w:rsidR="00FB3CCF" w:rsidRPr="00FB3CCF" w14:paraId="208441EE" w14:textId="77777777" w:rsidTr="00442932">
        <w:trPr>
          <w:trHeight w:val="1601"/>
          <w:jc w:val="center"/>
        </w:trPr>
        <w:tc>
          <w:tcPr>
            <w:tcW w:w="2010" w:type="dxa"/>
            <w:tcBorders>
              <w:top w:val="single" w:sz="4" w:space="0" w:color="auto"/>
              <w:left w:val="single" w:sz="4" w:space="0" w:color="auto"/>
              <w:bottom w:val="single" w:sz="4" w:space="0" w:color="auto"/>
              <w:right w:val="single" w:sz="4" w:space="0" w:color="auto"/>
            </w:tcBorders>
            <w:vAlign w:val="center"/>
            <w:hideMark/>
          </w:tcPr>
          <w:p w14:paraId="5F7C9F70"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Source</w:t>
            </w:r>
          </w:p>
        </w:tc>
        <w:tc>
          <w:tcPr>
            <w:tcW w:w="2010" w:type="dxa"/>
            <w:tcBorders>
              <w:top w:val="single" w:sz="4" w:space="0" w:color="auto"/>
              <w:left w:val="nil"/>
              <w:bottom w:val="single" w:sz="4" w:space="0" w:color="auto"/>
              <w:right w:val="single" w:sz="4" w:space="0" w:color="auto"/>
            </w:tcBorders>
            <w:vAlign w:val="center"/>
            <w:hideMark/>
          </w:tcPr>
          <w:p w14:paraId="4AFD64B4"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Core argument</w:t>
            </w:r>
          </w:p>
        </w:tc>
        <w:tc>
          <w:tcPr>
            <w:tcW w:w="2010" w:type="dxa"/>
            <w:tcBorders>
              <w:top w:val="single" w:sz="4" w:space="0" w:color="auto"/>
              <w:left w:val="nil"/>
              <w:bottom w:val="single" w:sz="4" w:space="0" w:color="auto"/>
              <w:right w:val="single" w:sz="4" w:space="0" w:color="auto"/>
            </w:tcBorders>
            <w:vAlign w:val="center"/>
            <w:hideMark/>
          </w:tcPr>
          <w:p w14:paraId="760D1F22"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Method / Findings</w:t>
            </w:r>
          </w:p>
        </w:tc>
        <w:tc>
          <w:tcPr>
            <w:tcW w:w="1684" w:type="dxa"/>
            <w:tcBorders>
              <w:top w:val="single" w:sz="4" w:space="0" w:color="auto"/>
              <w:left w:val="nil"/>
              <w:bottom w:val="single" w:sz="4" w:space="0" w:color="auto"/>
              <w:right w:val="single" w:sz="4" w:space="0" w:color="auto"/>
            </w:tcBorders>
            <w:vAlign w:val="center"/>
            <w:hideMark/>
          </w:tcPr>
          <w:p w14:paraId="70706212"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Critical Evaluation</w:t>
            </w:r>
          </w:p>
        </w:tc>
        <w:tc>
          <w:tcPr>
            <w:tcW w:w="1928" w:type="dxa"/>
            <w:tcBorders>
              <w:top w:val="single" w:sz="4" w:space="0" w:color="auto"/>
              <w:left w:val="nil"/>
              <w:bottom w:val="single" w:sz="4" w:space="0" w:color="auto"/>
              <w:right w:val="single" w:sz="4" w:space="0" w:color="auto"/>
            </w:tcBorders>
            <w:vAlign w:val="center"/>
            <w:hideMark/>
          </w:tcPr>
          <w:p w14:paraId="226F3D02"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Relevance to the study</w:t>
            </w:r>
          </w:p>
        </w:tc>
      </w:tr>
      <w:tr w:rsidR="00FB3CCF" w:rsidRPr="00FB3CCF" w14:paraId="3AF9014C"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0CE216E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Hannon, van Diemen and Skea (2017)</w:t>
            </w:r>
          </w:p>
        </w:tc>
        <w:tc>
          <w:tcPr>
            <w:tcW w:w="2010" w:type="dxa"/>
            <w:tcBorders>
              <w:top w:val="nil"/>
              <w:left w:val="nil"/>
              <w:bottom w:val="single" w:sz="4" w:space="0" w:color="auto"/>
              <w:right w:val="single" w:sz="4" w:space="0" w:color="auto"/>
            </w:tcBorders>
            <w:vAlign w:val="center"/>
            <w:hideMark/>
          </w:tcPr>
          <w:p w14:paraId="5894CA9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UK wave support failed because it pushed commercialization too fast and learned too little.</w:t>
            </w:r>
          </w:p>
        </w:tc>
        <w:tc>
          <w:tcPr>
            <w:tcW w:w="2010" w:type="dxa"/>
            <w:tcBorders>
              <w:top w:val="nil"/>
              <w:left w:val="nil"/>
              <w:bottom w:val="single" w:sz="4" w:space="0" w:color="auto"/>
              <w:right w:val="single" w:sz="4" w:space="0" w:color="auto"/>
            </w:tcBorders>
            <w:vAlign w:val="center"/>
            <w:hideMark/>
          </w:tcPr>
          <w:p w14:paraId="5F2E0C8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Major policy and sector study; finds fragmentation, over-optimism, and weak knowledge retention were central problems.</w:t>
            </w:r>
          </w:p>
        </w:tc>
        <w:tc>
          <w:tcPr>
            <w:tcW w:w="1684" w:type="dxa"/>
            <w:tcBorders>
              <w:top w:val="nil"/>
              <w:left w:val="nil"/>
              <w:bottom w:val="single" w:sz="4" w:space="0" w:color="auto"/>
              <w:right w:val="single" w:sz="4" w:space="0" w:color="auto"/>
            </w:tcBorders>
            <w:vAlign w:val="center"/>
            <w:hideMark/>
          </w:tcPr>
          <w:p w14:paraId="04A37DE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Landmark source, though historically anchored.</w:t>
            </w:r>
          </w:p>
        </w:tc>
        <w:tc>
          <w:tcPr>
            <w:tcW w:w="1928" w:type="dxa"/>
            <w:tcBorders>
              <w:top w:val="nil"/>
              <w:left w:val="nil"/>
              <w:bottom w:val="single" w:sz="4" w:space="0" w:color="auto"/>
              <w:right w:val="single" w:sz="4" w:space="0" w:color="auto"/>
            </w:tcBorders>
            <w:vAlign w:val="center"/>
            <w:hideMark/>
          </w:tcPr>
          <w:p w14:paraId="0F22894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Probably the single most important ecosystem paper.</w:t>
            </w:r>
          </w:p>
        </w:tc>
      </w:tr>
      <w:tr w:rsidR="00FB3CCF" w:rsidRPr="00FB3CCF" w14:paraId="6F15FF0B"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7DB3834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Jin and Greaves (2021)</w:t>
            </w:r>
          </w:p>
        </w:tc>
        <w:tc>
          <w:tcPr>
            <w:tcW w:w="2010" w:type="dxa"/>
            <w:tcBorders>
              <w:top w:val="nil"/>
              <w:left w:val="nil"/>
              <w:bottom w:val="single" w:sz="4" w:space="0" w:color="auto"/>
              <w:right w:val="single" w:sz="4" w:space="0" w:color="auto"/>
            </w:tcBorders>
            <w:vAlign w:val="center"/>
            <w:hideMark/>
          </w:tcPr>
          <w:p w14:paraId="6AC0C76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UK wave energy retains strong resource potential but weak commercialization progress.</w:t>
            </w:r>
          </w:p>
        </w:tc>
        <w:tc>
          <w:tcPr>
            <w:tcW w:w="2010" w:type="dxa"/>
            <w:tcBorders>
              <w:top w:val="nil"/>
              <w:left w:val="nil"/>
              <w:bottom w:val="single" w:sz="4" w:space="0" w:color="auto"/>
              <w:right w:val="single" w:sz="4" w:space="0" w:color="auto"/>
            </w:tcBorders>
            <w:vAlign w:val="center"/>
            <w:hideMark/>
          </w:tcPr>
          <w:p w14:paraId="00AEE80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Review plus stakeholder consultation; finds technical promise persists despite slow commercial advance.</w:t>
            </w:r>
          </w:p>
        </w:tc>
        <w:tc>
          <w:tcPr>
            <w:tcW w:w="1684" w:type="dxa"/>
            <w:tcBorders>
              <w:top w:val="nil"/>
              <w:left w:val="nil"/>
              <w:bottom w:val="single" w:sz="4" w:space="0" w:color="auto"/>
              <w:right w:val="single" w:sz="4" w:space="0" w:color="auto"/>
            </w:tcBorders>
            <w:vAlign w:val="center"/>
            <w:hideMark/>
          </w:tcPr>
          <w:p w14:paraId="5108291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 review, less bankability specific.</w:t>
            </w:r>
          </w:p>
        </w:tc>
        <w:tc>
          <w:tcPr>
            <w:tcW w:w="1928" w:type="dxa"/>
            <w:tcBorders>
              <w:top w:val="nil"/>
              <w:left w:val="nil"/>
              <w:bottom w:val="single" w:sz="4" w:space="0" w:color="auto"/>
              <w:right w:val="single" w:sz="4" w:space="0" w:color="auto"/>
            </w:tcBorders>
            <w:vAlign w:val="center"/>
            <w:hideMark/>
          </w:tcPr>
          <w:p w14:paraId="411C207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Current sector overview.</w:t>
            </w:r>
          </w:p>
        </w:tc>
      </w:tr>
      <w:tr w:rsidR="00FB3CCF" w:rsidRPr="00FB3CCF" w14:paraId="1707BC0C"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39E64155"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Winskel</w:t>
            </w:r>
            <w:proofErr w:type="spellEnd"/>
            <w:r w:rsidRPr="00FB3CCF">
              <w:rPr>
                <w:rFonts w:ascii="Arial" w:hAnsi="Arial" w:cs="Arial"/>
                <w:sz w:val="20"/>
                <w:szCs w:val="20"/>
              </w:rPr>
              <w:t xml:space="preserve"> et al. (2006)</w:t>
            </w:r>
          </w:p>
        </w:tc>
        <w:tc>
          <w:tcPr>
            <w:tcW w:w="2010" w:type="dxa"/>
            <w:tcBorders>
              <w:top w:val="nil"/>
              <w:left w:val="nil"/>
              <w:bottom w:val="single" w:sz="4" w:space="0" w:color="auto"/>
              <w:right w:val="single" w:sz="4" w:space="0" w:color="auto"/>
            </w:tcBorders>
            <w:vAlign w:val="center"/>
            <w:hideMark/>
          </w:tcPr>
          <w:p w14:paraId="516528C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Marine energy innovation is shaped by energy policy and institutional context.</w:t>
            </w:r>
          </w:p>
        </w:tc>
        <w:tc>
          <w:tcPr>
            <w:tcW w:w="2010" w:type="dxa"/>
            <w:tcBorders>
              <w:top w:val="nil"/>
              <w:left w:val="nil"/>
              <w:bottom w:val="single" w:sz="4" w:space="0" w:color="auto"/>
              <w:right w:val="single" w:sz="4" w:space="0" w:color="auto"/>
            </w:tcBorders>
            <w:vAlign w:val="center"/>
            <w:hideMark/>
          </w:tcPr>
          <w:p w14:paraId="30DA3E6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and empirical system analysis; finds institutional misfit constrains development.</w:t>
            </w:r>
          </w:p>
        </w:tc>
        <w:tc>
          <w:tcPr>
            <w:tcW w:w="1684" w:type="dxa"/>
            <w:tcBorders>
              <w:top w:val="nil"/>
              <w:left w:val="nil"/>
              <w:bottom w:val="single" w:sz="4" w:space="0" w:color="auto"/>
              <w:right w:val="single" w:sz="4" w:space="0" w:color="auto"/>
            </w:tcBorders>
            <w:vAlign w:val="center"/>
            <w:hideMark/>
          </w:tcPr>
          <w:p w14:paraId="3F989C4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Seminal but older.</w:t>
            </w:r>
          </w:p>
        </w:tc>
        <w:tc>
          <w:tcPr>
            <w:tcW w:w="1928" w:type="dxa"/>
            <w:tcBorders>
              <w:top w:val="nil"/>
              <w:left w:val="nil"/>
              <w:bottom w:val="single" w:sz="4" w:space="0" w:color="auto"/>
              <w:right w:val="single" w:sz="4" w:space="0" w:color="auto"/>
            </w:tcBorders>
            <w:vAlign w:val="center"/>
            <w:hideMark/>
          </w:tcPr>
          <w:p w14:paraId="5CB1409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Core theory anchor.</w:t>
            </w:r>
          </w:p>
        </w:tc>
      </w:tr>
      <w:tr w:rsidR="00FB3CCF" w:rsidRPr="00FB3CCF" w14:paraId="31346669"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1EC5CE03"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Winskel</w:t>
            </w:r>
            <w:proofErr w:type="spellEnd"/>
            <w:r w:rsidRPr="00FB3CCF">
              <w:rPr>
                <w:rFonts w:ascii="Arial" w:hAnsi="Arial" w:cs="Arial"/>
                <w:sz w:val="20"/>
                <w:szCs w:val="20"/>
              </w:rPr>
              <w:t xml:space="preserve"> (2007)</w:t>
            </w:r>
          </w:p>
        </w:tc>
        <w:tc>
          <w:tcPr>
            <w:tcW w:w="2010" w:type="dxa"/>
            <w:tcBorders>
              <w:top w:val="nil"/>
              <w:left w:val="nil"/>
              <w:bottom w:val="single" w:sz="4" w:space="0" w:color="auto"/>
              <w:right w:val="single" w:sz="4" w:space="0" w:color="auto"/>
            </w:tcBorders>
            <w:vAlign w:val="center"/>
            <w:hideMark/>
          </w:tcPr>
          <w:p w14:paraId="257CFEA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Marine energy depends on both financial and social capital.</w:t>
            </w:r>
          </w:p>
        </w:tc>
        <w:tc>
          <w:tcPr>
            <w:tcW w:w="2010" w:type="dxa"/>
            <w:tcBorders>
              <w:top w:val="nil"/>
              <w:left w:val="nil"/>
              <w:bottom w:val="single" w:sz="4" w:space="0" w:color="auto"/>
              <w:right w:val="single" w:sz="4" w:space="0" w:color="auto"/>
            </w:tcBorders>
            <w:vAlign w:val="center"/>
            <w:hideMark/>
          </w:tcPr>
          <w:p w14:paraId="474294B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Sector analysis; finds network strength matters alongside finance.</w:t>
            </w:r>
          </w:p>
        </w:tc>
        <w:tc>
          <w:tcPr>
            <w:tcW w:w="1684" w:type="dxa"/>
            <w:tcBorders>
              <w:top w:val="nil"/>
              <w:left w:val="nil"/>
              <w:bottom w:val="single" w:sz="4" w:space="0" w:color="auto"/>
              <w:right w:val="single" w:sz="4" w:space="0" w:color="auto"/>
            </w:tcBorders>
            <w:vAlign w:val="center"/>
            <w:hideMark/>
          </w:tcPr>
          <w:p w14:paraId="60507CA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Less direct on startups.</w:t>
            </w:r>
          </w:p>
        </w:tc>
        <w:tc>
          <w:tcPr>
            <w:tcW w:w="1928" w:type="dxa"/>
            <w:tcBorders>
              <w:top w:val="nil"/>
              <w:left w:val="nil"/>
              <w:bottom w:val="single" w:sz="4" w:space="0" w:color="auto"/>
              <w:right w:val="single" w:sz="4" w:space="0" w:color="auto"/>
            </w:tcBorders>
            <w:vAlign w:val="center"/>
            <w:hideMark/>
          </w:tcPr>
          <w:p w14:paraId="0ACB381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ecosystem interpretation.</w:t>
            </w:r>
          </w:p>
        </w:tc>
      </w:tr>
      <w:tr w:rsidR="00FB3CCF" w:rsidRPr="00FB3CCF" w14:paraId="475A417B"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424994A0"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Corsatea</w:t>
            </w:r>
            <w:proofErr w:type="spellEnd"/>
            <w:r w:rsidRPr="00FB3CCF">
              <w:rPr>
                <w:rFonts w:ascii="Arial" w:hAnsi="Arial" w:cs="Arial"/>
                <w:sz w:val="20"/>
                <w:szCs w:val="20"/>
              </w:rPr>
              <w:t xml:space="preserve"> (2014)</w:t>
            </w:r>
          </w:p>
        </w:tc>
        <w:tc>
          <w:tcPr>
            <w:tcW w:w="2010" w:type="dxa"/>
            <w:tcBorders>
              <w:top w:val="nil"/>
              <w:left w:val="nil"/>
              <w:bottom w:val="single" w:sz="4" w:space="0" w:color="auto"/>
              <w:right w:val="single" w:sz="4" w:space="0" w:color="auto"/>
            </w:tcBorders>
            <w:vAlign w:val="center"/>
            <w:hideMark/>
          </w:tcPr>
          <w:p w14:paraId="1BD786B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Synergies between institutions and developers are essential in marine energy.</w:t>
            </w:r>
          </w:p>
        </w:tc>
        <w:tc>
          <w:tcPr>
            <w:tcW w:w="2010" w:type="dxa"/>
            <w:tcBorders>
              <w:top w:val="nil"/>
              <w:left w:val="nil"/>
              <w:bottom w:val="single" w:sz="4" w:space="0" w:color="auto"/>
              <w:right w:val="single" w:sz="4" w:space="0" w:color="auto"/>
            </w:tcBorders>
            <w:vAlign w:val="center"/>
            <w:hideMark/>
          </w:tcPr>
          <w:p w14:paraId="36588E2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Empirical sector analysis; finds coordination and experimentation matter for crossing the valley of death.</w:t>
            </w:r>
          </w:p>
        </w:tc>
        <w:tc>
          <w:tcPr>
            <w:tcW w:w="1684" w:type="dxa"/>
            <w:tcBorders>
              <w:top w:val="nil"/>
              <w:left w:val="nil"/>
              <w:bottom w:val="single" w:sz="4" w:space="0" w:color="auto"/>
              <w:right w:val="single" w:sz="4" w:space="0" w:color="auto"/>
            </w:tcBorders>
            <w:vAlign w:val="center"/>
            <w:hideMark/>
          </w:tcPr>
          <w:p w14:paraId="7E5215F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but not wave-only.</w:t>
            </w:r>
          </w:p>
        </w:tc>
        <w:tc>
          <w:tcPr>
            <w:tcW w:w="1928" w:type="dxa"/>
            <w:tcBorders>
              <w:top w:val="nil"/>
              <w:left w:val="nil"/>
              <w:bottom w:val="single" w:sz="4" w:space="0" w:color="auto"/>
              <w:right w:val="single" w:sz="4" w:space="0" w:color="auto"/>
            </w:tcBorders>
            <w:vAlign w:val="center"/>
            <w:hideMark/>
          </w:tcPr>
          <w:p w14:paraId="2E211CC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Supports ecosystem credibility.</w:t>
            </w:r>
          </w:p>
        </w:tc>
      </w:tr>
      <w:tr w:rsidR="00FB3CCF" w:rsidRPr="00FB3CCF" w14:paraId="04226CF0"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6C8EEC30"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Vantoch</w:t>
            </w:r>
            <w:proofErr w:type="spellEnd"/>
            <w:r w:rsidRPr="00FB3CCF">
              <w:rPr>
                <w:rFonts w:ascii="Arial" w:hAnsi="Arial" w:cs="Arial"/>
                <w:sz w:val="20"/>
                <w:szCs w:val="20"/>
              </w:rPr>
              <w:t>-Wood (2012)</w:t>
            </w:r>
          </w:p>
        </w:tc>
        <w:tc>
          <w:tcPr>
            <w:tcW w:w="2010" w:type="dxa"/>
            <w:tcBorders>
              <w:top w:val="nil"/>
              <w:left w:val="nil"/>
              <w:bottom w:val="single" w:sz="4" w:space="0" w:color="auto"/>
              <w:right w:val="single" w:sz="4" w:space="0" w:color="auto"/>
            </w:tcBorders>
            <w:vAlign w:val="center"/>
            <w:hideMark/>
          </w:tcPr>
          <w:p w14:paraId="4207EBD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UK wave innovation systems can be mapped through functional methods.</w:t>
            </w:r>
          </w:p>
        </w:tc>
        <w:tc>
          <w:tcPr>
            <w:tcW w:w="2010" w:type="dxa"/>
            <w:tcBorders>
              <w:top w:val="nil"/>
              <w:left w:val="nil"/>
              <w:bottom w:val="single" w:sz="4" w:space="0" w:color="auto"/>
              <w:right w:val="single" w:sz="4" w:space="0" w:color="auto"/>
            </w:tcBorders>
            <w:vAlign w:val="center"/>
            <w:hideMark/>
          </w:tcPr>
          <w:p w14:paraId="44EF816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Methodological application; system functions reveal bottlenecks.</w:t>
            </w:r>
          </w:p>
        </w:tc>
        <w:tc>
          <w:tcPr>
            <w:tcW w:w="1684" w:type="dxa"/>
            <w:tcBorders>
              <w:top w:val="nil"/>
              <w:left w:val="nil"/>
              <w:bottom w:val="single" w:sz="4" w:space="0" w:color="auto"/>
              <w:right w:val="single" w:sz="4" w:space="0" w:color="auto"/>
            </w:tcBorders>
            <w:vAlign w:val="center"/>
            <w:hideMark/>
          </w:tcPr>
          <w:p w14:paraId="3345292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Method-heavy.</w:t>
            </w:r>
          </w:p>
        </w:tc>
        <w:tc>
          <w:tcPr>
            <w:tcW w:w="1928" w:type="dxa"/>
            <w:tcBorders>
              <w:top w:val="nil"/>
              <w:left w:val="nil"/>
              <w:bottom w:val="single" w:sz="4" w:space="0" w:color="auto"/>
              <w:right w:val="single" w:sz="4" w:space="0" w:color="auto"/>
            </w:tcBorders>
            <w:vAlign w:val="center"/>
            <w:hideMark/>
          </w:tcPr>
          <w:p w14:paraId="7F47E4D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analytical framing.</w:t>
            </w:r>
          </w:p>
        </w:tc>
      </w:tr>
      <w:tr w:rsidR="00FB3CCF" w:rsidRPr="00FB3CCF" w14:paraId="33284D52"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37B9F773"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lastRenderedPageBreak/>
              <w:t>Vantoch</w:t>
            </w:r>
            <w:proofErr w:type="spellEnd"/>
            <w:r w:rsidRPr="00FB3CCF">
              <w:rPr>
                <w:rFonts w:ascii="Arial" w:hAnsi="Arial" w:cs="Arial"/>
                <w:sz w:val="20"/>
                <w:szCs w:val="20"/>
              </w:rPr>
              <w:t>-Wood and Connor (2013)</w:t>
            </w:r>
          </w:p>
        </w:tc>
        <w:tc>
          <w:tcPr>
            <w:tcW w:w="2010" w:type="dxa"/>
            <w:tcBorders>
              <w:top w:val="nil"/>
              <w:left w:val="nil"/>
              <w:bottom w:val="single" w:sz="4" w:space="0" w:color="auto"/>
              <w:right w:val="single" w:sz="4" w:space="0" w:color="auto"/>
            </w:tcBorders>
            <w:vAlign w:val="center"/>
            <w:hideMark/>
          </w:tcPr>
          <w:p w14:paraId="7456BC7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Wave policy networks shape the sector’s support dynamics.</w:t>
            </w:r>
          </w:p>
        </w:tc>
        <w:tc>
          <w:tcPr>
            <w:tcW w:w="2010" w:type="dxa"/>
            <w:tcBorders>
              <w:top w:val="nil"/>
              <w:left w:val="nil"/>
              <w:bottom w:val="single" w:sz="4" w:space="0" w:color="auto"/>
              <w:right w:val="single" w:sz="4" w:space="0" w:color="auto"/>
            </w:tcBorders>
            <w:vAlign w:val="center"/>
            <w:hideMark/>
          </w:tcPr>
          <w:p w14:paraId="3E88D1D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Policy network mapping; finds institutions and relationships affect development.</w:t>
            </w:r>
          </w:p>
        </w:tc>
        <w:tc>
          <w:tcPr>
            <w:tcW w:w="1684" w:type="dxa"/>
            <w:tcBorders>
              <w:top w:val="nil"/>
              <w:left w:val="nil"/>
              <w:bottom w:val="single" w:sz="4" w:space="0" w:color="auto"/>
              <w:right w:val="single" w:sz="4" w:space="0" w:color="auto"/>
            </w:tcBorders>
            <w:vAlign w:val="center"/>
            <w:hideMark/>
          </w:tcPr>
          <w:p w14:paraId="21E7BA6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Indirect on finance.</w:t>
            </w:r>
          </w:p>
        </w:tc>
        <w:tc>
          <w:tcPr>
            <w:tcW w:w="1928" w:type="dxa"/>
            <w:tcBorders>
              <w:top w:val="nil"/>
              <w:left w:val="nil"/>
              <w:bottom w:val="single" w:sz="4" w:space="0" w:color="auto"/>
              <w:right w:val="single" w:sz="4" w:space="0" w:color="auto"/>
            </w:tcBorders>
            <w:vAlign w:val="center"/>
            <w:hideMark/>
          </w:tcPr>
          <w:p w14:paraId="51E7580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Helps unpack coordination gaps.</w:t>
            </w:r>
          </w:p>
        </w:tc>
      </w:tr>
      <w:tr w:rsidR="00FB3CCF" w:rsidRPr="00FB3CCF" w14:paraId="337D34CA"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2C2B21A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Foxon et al. (2005)</w:t>
            </w:r>
          </w:p>
        </w:tc>
        <w:tc>
          <w:tcPr>
            <w:tcW w:w="2010" w:type="dxa"/>
            <w:tcBorders>
              <w:top w:val="nil"/>
              <w:left w:val="nil"/>
              <w:bottom w:val="single" w:sz="4" w:space="0" w:color="auto"/>
              <w:right w:val="single" w:sz="4" w:space="0" w:color="auto"/>
            </w:tcBorders>
            <w:vAlign w:val="center"/>
            <w:hideMark/>
          </w:tcPr>
          <w:p w14:paraId="0DB6B58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UK renewables suffer from systems failures, not just market failures.</w:t>
            </w:r>
          </w:p>
        </w:tc>
        <w:tc>
          <w:tcPr>
            <w:tcW w:w="2010" w:type="dxa"/>
            <w:tcBorders>
              <w:top w:val="nil"/>
              <w:left w:val="nil"/>
              <w:bottom w:val="single" w:sz="4" w:space="0" w:color="auto"/>
              <w:right w:val="single" w:sz="4" w:space="0" w:color="auto"/>
            </w:tcBorders>
            <w:vAlign w:val="center"/>
            <w:hideMark/>
          </w:tcPr>
          <w:p w14:paraId="355D9AF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and policy analysis; finds coordination and institutional barriers are persistent.</w:t>
            </w:r>
          </w:p>
        </w:tc>
        <w:tc>
          <w:tcPr>
            <w:tcW w:w="1684" w:type="dxa"/>
            <w:tcBorders>
              <w:top w:val="nil"/>
              <w:left w:val="nil"/>
              <w:bottom w:val="single" w:sz="4" w:space="0" w:color="auto"/>
              <w:right w:val="single" w:sz="4" w:space="0" w:color="auto"/>
            </w:tcBorders>
            <w:vAlign w:val="center"/>
            <w:hideMark/>
          </w:tcPr>
          <w:p w14:paraId="630E905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 renewable scope.</w:t>
            </w:r>
          </w:p>
        </w:tc>
        <w:tc>
          <w:tcPr>
            <w:tcW w:w="1928" w:type="dxa"/>
            <w:tcBorders>
              <w:top w:val="nil"/>
              <w:left w:val="nil"/>
              <w:bottom w:val="single" w:sz="4" w:space="0" w:color="auto"/>
              <w:right w:val="single" w:sz="4" w:space="0" w:color="auto"/>
            </w:tcBorders>
            <w:vAlign w:val="center"/>
            <w:hideMark/>
          </w:tcPr>
          <w:p w14:paraId="40C3D2D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Seminal background source.</w:t>
            </w:r>
          </w:p>
        </w:tc>
      </w:tr>
      <w:tr w:rsidR="00FB3CCF" w:rsidRPr="00FB3CCF" w14:paraId="3EFAE1E1"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655EEE51"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Winskel</w:t>
            </w:r>
            <w:proofErr w:type="spellEnd"/>
            <w:r w:rsidRPr="00FB3CCF">
              <w:rPr>
                <w:rFonts w:ascii="Arial" w:hAnsi="Arial" w:cs="Arial"/>
                <w:sz w:val="20"/>
                <w:szCs w:val="20"/>
              </w:rPr>
              <w:t xml:space="preserve"> et al. (2014)</w:t>
            </w:r>
          </w:p>
        </w:tc>
        <w:tc>
          <w:tcPr>
            <w:tcW w:w="2010" w:type="dxa"/>
            <w:tcBorders>
              <w:top w:val="nil"/>
              <w:left w:val="nil"/>
              <w:bottom w:val="single" w:sz="4" w:space="0" w:color="auto"/>
              <w:right w:val="single" w:sz="4" w:space="0" w:color="auto"/>
            </w:tcBorders>
            <w:vAlign w:val="center"/>
            <w:hideMark/>
          </w:tcPr>
          <w:p w14:paraId="05E9777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UK energy innovation governance has become fragmented and weakly aligned.</w:t>
            </w:r>
          </w:p>
        </w:tc>
        <w:tc>
          <w:tcPr>
            <w:tcW w:w="2010" w:type="dxa"/>
            <w:tcBorders>
              <w:top w:val="nil"/>
              <w:left w:val="nil"/>
              <w:bottom w:val="single" w:sz="4" w:space="0" w:color="auto"/>
              <w:right w:val="single" w:sz="4" w:space="0" w:color="auto"/>
            </w:tcBorders>
            <w:vAlign w:val="center"/>
            <w:hideMark/>
          </w:tcPr>
          <w:p w14:paraId="6898C22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Policy analysis; finds system reform did not resolve deeper coordination problems.</w:t>
            </w:r>
          </w:p>
        </w:tc>
        <w:tc>
          <w:tcPr>
            <w:tcW w:w="1684" w:type="dxa"/>
            <w:tcBorders>
              <w:top w:val="nil"/>
              <w:left w:val="nil"/>
              <w:bottom w:val="single" w:sz="4" w:space="0" w:color="auto"/>
              <w:right w:val="single" w:sz="4" w:space="0" w:color="auto"/>
            </w:tcBorders>
            <w:vAlign w:val="center"/>
            <w:hideMark/>
          </w:tcPr>
          <w:p w14:paraId="475C6B2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 energy focus.</w:t>
            </w:r>
          </w:p>
        </w:tc>
        <w:tc>
          <w:tcPr>
            <w:tcW w:w="1928" w:type="dxa"/>
            <w:tcBorders>
              <w:top w:val="nil"/>
              <w:left w:val="nil"/>
              <w:bottom w:val="single" w:sz="4" w:space="0" w:color="auto"/>
              <w:right w:val="single" w:sz="4" w:space="0" w:color="auto"/>
            </w:tcBorders>
            <w:vAlign w:val="center"/>
            <w:hideMark/>
          </w:tcPr>
          <w:p w14:paraId="3F87274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contextual support.</w:t>
            </w:r>
          </w:p>
        </w:tc>
      </w:tr>
      <w:tr w:rsidR="00FB3CCF" w:rsidRPr="00FB3CCF" w14:paraId="01689613"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39B83DB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Hannon, Skea and Rhodes (2014)</w:t>
            </w:r>
          </w:p>
        </w:tc>
        <w:tc>
          <w:tcPr>
            <w:tcW w:w="2010" w:type="dxa"/>
            <w:tcBorders>
              <w:top w:val="nil"/>
              <w:left w:val="nil"/>
              <w:bottom w:val="single" w:sz="4" w:space="0" w:color="auto"/>
              <w:right w:val="single" w:sz="4" w:space="0" w:color="auto"/>
            </w:tcBorders>
            <w:vAlign w:val="center"/>
            <w:hideMark/>
          </w:tcPr>
          <w:p w14:paraId="6C24928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Innovation intermediaries coordinate UK energy innovation.</w:t>
            </w:r>
          </w:p>
        </w:tc>
        <w:tc>
          <w:tcPr>
            <w:tcW w:w="2010" w:type="dxa"/>
            <w:tcBorders>
              <w:top w:val="nil"/>
              <w:left w:val="nil"/>
              <w:bottom w:val="single" w:sz="4" w:space="0" w:color="auto"/>
              <w:right w:val="single" w:sz="4" w:space="0" w:color="auto"/>
            </w:tcBorders>
            <w:vAlign w:val="center"/>
            <w:hideMark/>
          </w:tcPr>
          <w:p w14:paraId="521671A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Empirical analysis of intermediaries; finds they can reduce fragmentation.</w:t>
            </w:r>
          </w:p>
        </w:tc>
        <w:tc>
          <w:tcPr>
            <w:tcW w:w="1684" w:type="dxa"/>
            <w:tcBorders>
              <w:top w:val="nil"/>
              <w:left w:val="nil"/>
              <w:bottom w:val="single" w:sz="4" w:space="0" w:color="auto"/>
              <w:right w:val="single" w:sz="4" w:space="0" w:color="auto"/>
            </w:tcBorders>
            <w:vAlign w:val="center"/>
            <w:hideMark/>
          </w:tcPr>
          <w:p w14:paraId="4213E6D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Not wave-only.</w:t>
            </w:r>
          </w:p>
        </w:tc>
        <w:tc>
          <w:tcPr>
            <w:tcW w:w="1928" w:type="dxa"/>
            <w:tcBorders>
              <w:top w:val="nil"/>
              <w:left w:val="nil"/>
              <w:bottom w:val="single" w:sz="4" w:space="0" w:color="auto"/>
              <w:right w:val="single" w:sz="4" w:space="0" w:color="auto"/>
            </w:tcBorders>
            <w:vAlign w:val="center"/>
            <w:hideMark/>
          </w:tcPr>
          <w:p w14:paraId="108CB78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ecosystem support bodies.</w:t>
            </w:r>
          </w:p>
        </w:tc>
      </w:tr>
      <w:tr w:rsidR="00FB3CCF" w:rsidRPr="00FB3CCF" w14:paraId="6D9A7E6C"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245211F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Gallagher et al. (2012)</w:t>
            </w:r>
          </w:p>
        </w:tc>
        <w:tc>
          <w:tcPr>
            <w:tcW w:w="2010" w:type="dxa"/>
            <w:tcBorders>
              <w:top w:val="nil"/>
              <w:left w:val="nil"/>
              <w:bottom w:val="single" w:sz="4" w:space="0" w:color="auto"/>
              <w:right w:val="single" w:sz="4" w:space="0" w:color="auto"/>
            </w:tcBorders>
            <w:vAlign w:val="center"/>
            <w:hideMark/>
          </w:tcPr>
          <w:p w14:paraId="7B874FD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Energy technology innovation systems require joined analysis of actors and institutions.</w:t>
            </w:r>
          </w:p>
        </w:tc>
        <w:tc>
          <w:tcPr>
            <w:tcW w:w="2010" w:type="dxa"/>
            <w:tcBorders>
              <w:top w:val="nil"/>
              <w:left w:val="nil"/>
              <w:bottom w:val="single" w:sz="4" w:space="0" w:color="auto"/>
              <w:right w:val="single" w:sz="4" w:space="0" w:color="auto"/>
            </w:tcBorders>
            <w:vAlign w:val="center"/>
            <w:hideMark/>
          </w:tcPr>
          <w:p w14:paraId="110F227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review; finds market formation and system functions matter together.</w:t>
            </w:r>
          </w:p>
        </w:tc>
        <w:tc>
          <w:tcPr>
            <w:tcW w:w="1684" w:type="dxa"/>
            <w:tcBorders>
              <w:top w:val="nil"/>
              <w:left w:val="nil"/>
              <w:bottom w:val="single" w:sz="4" w:space="0" w:color="auto"/>
              <w:right w:val="single" w:sz="4" w:space="0" w:color="auto"/>
            </w:tcBorders>
            <w:vAlign w:val="center"/>
            <w:hideMark/>
          </w:tcPr>
          <w:p w14:paraId="0CAB182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rather than empirical.</w:t>
            </w:r>
          </w:p>
        </w:tc>
        <w:tc>
          <w:tcPr>
            <w:tcW w:w="1928" w:type="dxa"/>
            <w:tcBorders>
              <w:top w:val="nil"/>
              <w:left w:val="nil"/>
              <w:bottom w:val="single" w:sz="4" w:space="0" w:color="auto"/>
              <w:right w:val="single" w:sz="4" w:space="0" w:color="auto"/>
            </w:tcBorders>
            <w:vAlign w:val="center"/>
            <w:hideMark/>
          </w:tcPr>
          <w:p w14:paraId="1ACAB55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Key theory support.</w:t>
            </w:r>
          </w:p>
        </w:tc>
      </w:tr>
      <w:tr w:rsidR="00FB3CCF" w:rsidRPr="00FB3CCF" w14:paraId="02CB594B"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5AF0F68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Negro (2007)</w:t>
            </w:r>
          </w:p>
        </w:tc>
        <w:tc>
          <w:tcPr>
            <w:tcW w:w="2010" w:type="dxa"/>
            <w:tcBorders>
              <w:top w:val="nil"/>
              <w:left w:val="nil"/>
              <w:bottom w:val="single" w:sz="4" w:space="0" w:color="auto"/>
              <w:right w:val="single" w:sz="4" w:space="0" w:color="auto"/>
            </w:tcBorders>
            <w:vAlign w:val="center"/>
            <w:hideMark/>
          </w:tcPr>
          <w:p w14:paraId="692FB96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Sustainable innovation depends on system functions interacting over time.</w:t>
            </w:r>
          </w:p>
        </w:tc>
        <w:tc>
          <w:tcPr>
            <w:tcW w:w="2010" w:type="dxa"/>
            <w:tcBorders>
              <w:top w:val="nil"/>
              <w:left w:val="nil"/>
              <w:bottom w:val="single" w:sz="4" w:space="0" w:color="auto"/>
              <w:right w:val="single" w:sz="4" w:space="0" w:color="auto"/>
            </w:tcBorders>
            <w:vAlign w:val="center"/>
            <w:hideMark/>
          </w:tcPr>
          <w:p w14:paraId="66E9262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development; finds weak functions slow sector emergence.</w:t>
            </w:r>
          </w:p>
        </w:tc>
        <w:tc>
          <w:tcPr>
            <w:tcW w:w="1684" w:type="dxa"/>
            <w:tcBorders>
              <w:top w:val="nil"/>
              <w:left w:val="nil"/>
              <w:bottom w:val="single" w:sz="4" w:space="0" w:color="auto"/>
              <w:right w:val="single" w:sz="4" w:space="0" w:color="auto"/>
            </w:tcBorders>
            <w:vAlign w:val="center"/>
            <w:hideMark/>
          </w:tcPr>
          <w:p w14:paraId="196A39D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Generic.</w:t>
            </w:r>
          </w:p>
        </w:tc>
        <w:tc>
          <w:tcPr>
            <w:tcW w:w="1928" w:type="dxa"/>
            <w:tcBorders>
              <w:top w:val="nil"/>
              <w:left w:val="nil"/>
              <w:bottom w:val="single" w:sz="4" w:space="0" w:color="auto"/>
              <w:right w:val="single" w:sz="4" w:space="0" w:color="auto"/>
            </w:tcBorders>
            <w:vAlign w:val="center"/>
            <w:hideMark/>
          </w:tcPr>
          <w:p w14:paraId="1B395DA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interpreting wave stagnation.</w:t>
            </w:r>
          </w:p>
        </w:tc>
      </w:tr>
      <w:tr w:rsidR="00FB3CCF" w:rsidRPr="00FB3CCF" w14:paraId="248E4E8C"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4E2D4280"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Suurs</w:t>
            </w:r>
            <w:proofErr w:type="spellEnd"/>
            <w:r w:rsidRPr="00FB3CCF">
              <w:rPr>
                <w:rFonts w:ascii="Arial" w:hAnsi="Arial" w:cs="Arial"/>
                <w:sz w:val="20"/>
                <w:szCs w:val="20"/>
              </w:rPr>
              <w:t xml:space="preserve"> and Hekkert (2009)</w:t>
            </w:r>
          </w:p>
        </w:tc>
        <w:tc>
          <w:tcPr>
            <w:tcW w:w="2010" w:type="dxa"/>
            <w:tcBorders>
              <w:top w:val="nil"/>
              <w:left w:val="nil"/>
              <w:bottom w:val="single" w:sz="4" w:space="0" w:color="auto"/>
              <w:right w:val="single" w:sz="4" w:space="0" w:color="auto"/>
            </w:tcBorders>
            <w:vAlign w:val="center"/>
            <w:hideMark/>
          </w:tcPr>
          <w:p w14:paraId="395D017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Transitions are driven by combinations of system functions.</w:t>
            </w:r>
          </w:p>
        </w:tc>
        <w:tc>
          <w:tcPr>
            <w:tcW w:w="2010" w:type="dxa"/>
            <w:tcBorders>
              <w:top w:val="nil"/>
              <w:left w:val="nil"/>
              <w:bottom w:val="single" w:sz="4" w:space="0" w:color="auto"/>
              <w:right w:val="single" w:sz="4" w:space="0" w:color="auto"/>
            </w:tcBorders>
            <w:vAlign w:val="center"/>
            <w:hideMark/>
          </w:tcPr>
          <w:p w14:paraId="400D2DD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synthesis; finds formative stages require reinforcing dynamics.</w:t>
            </w:r>
          </w:p>
        </w:tc>
        <w:tc>
          <w:tcPr>
            <w:tcW w:w="1684" w:type="dxa"/>
            <w:tcBorders>
              <w:top w:val="nil"/>
              <w:left w:val="nil"/>
              <w:bottom w:val="single" w:sz="4" w:space="0" w:color="auto"/>
              <w:right w:val="single" w:sz="4" w:space="0" w:color="auto"/>
            </w:tcBorders>
            <w:vAlign w:val="center"/>
            <w:hideMark/>
          </w:tcPr>
          <w:p w14:paraId="54A41FC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Not finance-specific.</w:t>
            </w:r>
          </w:p>
        </w:tc>
        <w:tc>
          <w:tcPr>
            <w:tcW w:w="1928" w:type="dxa"/>
            <w:tcBorders>
              <w:top w:val="nil"/>
              <w:left w:val="nil"/>
              <w:bottom w:val="single" w:sz="4" w:space="0" w:color="auto"/>
              <w:right w:val="single" w:sz="4" w:space="0" w:color="auto"/>
            </w:tcBorders>
            <w:vAlign w:val="center"/>
            <w:hideMark/>
          </w:tcPr>
          <w:p w14:paraId="3764794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commercialization pathway logic.</w:t>
            </w:r>
          </w:p>
        </w:tc>
      </w:tr>
      <w:tr w:rsidR="00FB3CCF" w:rsidRPr="00FB3CCF" w14:paraId="2A4BBBB4"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026826F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Dewald and Truffer (2017)</w:t>
            </w:r>
          </w:p>
        </w:tc>
        <w:tc>
          <w:tcPr>
            <w:tcW w:w="2010" w:type="dxa"/>
            <w:tcBorders>
              <w:top w:val="nil"/>
              <w:left w:val="nil"/>
              <w:bottom w:val="single" w:sz="4" w:space="0" w:color="auto"/>
              <w:right w:val="single" w:sz="4" w:space="0" w:color="auto"/>
            </w:tcBorders>
            <w:vAlign w:val="center"/>
            <w:hideMark/>
          </w:tcPr>
          <w:p w14:paraId="70AB2D2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Market formation is a critical but underdeveloped function in transitions.</w:t>
            </w:r>
          </w:p>
        </w:tc>
        <w:tc>
          <w:tcPr>
            <w:tcW w:w="2010" w:type="dxa"/>
            <w:tcBorders>
              <w:top w:val="nil"/>
              <w:left w:val="nil"/>
              <w:bottom w:val="single" w:sz="4" w:space="0" w:color="auto"/>
              <w:right w:val="single" w:sz="4" w:space="0" w:color="auto"/>
            </w:tcBorders>
            <w:vAlign w:val="center"/>
            <w:hideMark/>
          </w:tcPr>
          <w:p w14:paraId="71F08BE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Conceptual and empirical analysis; finds early markets need deliberate shaping.</w:t>
            </w:r>
          </w:p>
        </w:tc>
        <w:tc>
          <w:tcPr>
            <w:tcW w:w="1684" w:type="dxa"/>
            <w:tcBorders>
              <w:top w:val="nil"/>
              <w:left w:val="nil"/>
              <w:bottom w:val="single" w:sz="4" w:space="0" w:color="auto"/>
              <w:right w:val="single" w:sz="4" w:space="0" w:color="auto"/>
            </w:tcBorders>
            <w:vAlign w:val="center"/>
            <w:hideMark/>
          </w:tcPr>
          <w:p w14:paraId="343355F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Not wave-specific.</w:t>
            </w:r>
          </w:p>
        </w:tc>
        <w:tc>
          <w:tcPr>
            <w:tcW w:w="1928" w:type="dxa"/>
            <w:tcBorders>
              <w:top w:val="nil"/>
              <w:left w:val="nil"/>
              <w:bottom w:val="single" w:sz="4" w:space="0" w:color="auto"/>
              <w:right w:val="single" w:sz="4" w:space="0" w:color="auto"/>
            </w:tcBorders>
            <w:vAlign w:val="center"/>
            <w:hideMark/>
          </w:tcPr>
          <w:p w14:paraId="307597C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revenue pathway arguments.</w:t>
            </w:r>
          </w:p>
        </w:tc>
      </w:tr>
      <w:tr w:rsidR="00FB3CCF" w:rsidRPr="00FB3CCF" w14:paraId="761F8FA3"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366CB42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lastRenderedPageBreak/>
              <w:t>Al-Saleh (2010)</w:t>
            </w:r>
          </w:p>
        </w:tc>
        <w:tc>
          <w:tcPr>
            <w:tcW w:w="2010" w:type="dxa"/>
            <w:tcBorders>
              <w:top w:val="nil"/>
              <w:left w:val="nil"/>
              <w:bottom w:val="single" w:sz="4" w:space="0" w:color="auto"/>
              <w:right w:val="single" w:sz="4" w:space="0" w:color="auto"/>
            </w:tcBorders>
            <w:vAlign w:val="center"/>
            <w:hideMark/>
          </w:tcPr>
          <w:p w14:paraId="0347BB6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National renewable industries develop through systems of innovation.</w:t>
            </w:r>
          </w:p>
        </w:tc>
        <w:tc>
          <w:tcPr>
            <w:tcW w:w="2010" w:type="dxa"/>
            <w:tcBorders>
              <w:top w:val="nil"/>
              <w:left w:val="nil"/>
              <w:bottom w:val="single" w:sz="4" w:space="0" w:color="auto"/>
              <w:right w:val="single" w:sz="4" w:space="0" w:color="auto"/>
            </w:tcBorders>
            <w:vAlign w:val="center"/>
            <w:hideMark/>
          </w:tcPr>
          <w:p w14:paraId="71EDD8C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Comparative synthesis; finds industrial emergence depends on institutions and learning.</w:t>
            </w:r>
          </w:p>
        </w:tc>
        <w:tc>
          <w:tcPr>
            <w:tcW w:w="1684" w:type="dxa"/>
            <w:tcBorders>
              <w:top w:val="nil"/>
              <w:left w:val="nil"/>
              <w:bottom w:val="single" w:sz="4" w:space="0" w:color="auto"/>
              <w:right w:val="single" w:sz="4" w:space="0" w:color="auto"/>
            </w:tcBorders>
            <w:vAlign w:val="center"/>
            <w:hideMark/>
          </w:tcPr>
          <w:p w14:paraId="4CA138A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w:t>
            </w:r>
          </w:p>
        </w:tc>
        <w:tc>
          <w:tcPr>
            <w:tcW w:w="1928" w:type="dxa"/>
            <w:tcBorders>
              <w:top w:val="nil"/>
              <w:left w:val="nil"/>
              <w:bottom w:val="single" w:sz="4" w:space="0" w:color="auto"/>
              <w:right w:val="single" w:sz="4" w:space="0" w:color="auto"/>
            </w:tcBorders>
            <w:vAlign w:val="center"/>
            <w:hideMark/>
          </w:tcPr>
          <w:p w14:paraId="60068B6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Supports ecosystem perspective.</w:t>
            </w:r>
          </w:p>
        </w:tc>
      </w:tr>
      <w:tr w:rsidR="00FB3CCF" w:rsidRPr="00FB3CCF" w14:paraId="3F266912"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33D6658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Lawrence et al. (2013)</w:t>
            </w:r>
          </w:p>
        </w:tc>
        <w:tc>
          <w:tcPr>
            <w:tcW w:w="2010" w:type="dxa"/>
            <w:tcBorders>
              <w:top w:val="nil"/>
              <w:left w:val="nil"/>
              <w:bottom w:val="single" w:sz="4" w:space="0" w:color="auto"/>
              <w:right w:val="single" w:sz="4" w:space="0" w:color="auto"/>
            </w:tcBorders>
            <w:vAlign w:val="center"/>
            <w:hideMark/>
          </w:tcPr>
          <w:p w14:paraId="430131D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The UK marine sector had strategic assets but uneven commercialization capability.</w:t>
            </w:r>
          </w:p>
        </w:tc>
        <w:tc>
          <w:tcPr>
            <w:tcW w:w="2010" w:type="dxa"/>
            <w:tcBorders>
              <w:top w:val="nil"/>
              <w:left w:val="nil"/>
              <w:bottom w:val="single" w:sz="4" w:space="0" w:color="auto"/>
              <w:right w:val="single" w:sz="4" w:space="0" w:color="auto"/>
            </w:tcBorders>
            <w:vAlign w:val="center"/>
            <w:hideMark/>
          </w:tcPr>
          <w:p w14:paraId="1FE1405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Sector overview; finds institutional support did not guarantee market success.</w:t>
            </w:r>
          </w:p>
        </w:tc>
        <w:tc>
          <w:tcPr>
            <w:tcW w:w="1684" w:type="dxa"/>
            <w:tcBorders>
              <w:top w:val="nil"/>
              <w:left w:val="nil"/>
              <w:bottom w:val="single" w:sz="4" w:space="0" w:color="auto"/>
              <w:right w:val="single" w:sz="4" w:space="0" w:color="auto"/>
            </w:tcBorders>
            <w:vAlign w:val="center"/>
            <w:hideMark/>
          </w:tcPr>
          <w:p w14:paraId="1F6D6D5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Descriptive.</w:t>
            </w:r>
          </w:p>
        </w:tc>
        <w:tc>
          <w:tcPr>
            <w:tcW w:w="1928" w:type="dxa"/>
            <w:tcBorders>
              <w:top w:val="nil"/>
              <w:left w:val="nil"/>
              <w:bottom w:val="single" w:sz="4" w:space="0" w:color="auto"/>
              <w:right w:val="single" w:sz="4" w:space="0" w:color="auto"/>
            </w:tcBorders>
            <w:vAlign w:val="center"/>
            <w:hideMark/>
          </w:tcPr>
          <w:p w14:paraId="4409985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Factual sector map.</w:t>
            </w:r>
          </w:p>
        </w:tc>
      </w:tr>
      <w:tr w:rsidR="00FB3CCF" w:rsidRPr="00FB3CCF" w14:paraId="7F0BF664"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3F99B01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Jeffrey (2007)</w:t>
            </w:r>
          </w:p>
        </w:tc>
        <w:tc>
          <w:tcPr>
            <w:tcW w:w="2010" w:type="dxa"/>
            <w:tcBorders>
              <w:top w:val="nil"/>
              <w:left w:val="nil"/>
              <w:bottom w:val="single" w:sz="4" w:space="0" w:color="auto"/>
              <w:right w:val="single" w:sz="4" w:space="0" w:color="auto"/>
            </w:tcBorders>
            <w:vAlign w:val="center"/>
            <w:hideMark/>
          </w:tcPr>
          <w:p w14:paraId="0605CA1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UK wave and tidal progress depended on coordinated support and technical development.</w:t>
            </w:r>
          </w:p>
        </w:tc>
        <w:tc>
          <w:tcPr>
            <w:tcW w:w="2010" w:type="dxa"/>
            <w:tcBorders>
              <w:top w:val="nil"/>
              <w:left w:val="nil"/>
              <w:bottom w:val="single" w:sz="4" w:space="0" w:color="auto"/>
              <w:right w:val="single" w:sz="4" w:space="0" w:color="auto"/>
            </w:tcBorders>
            <w:vAlign w:val="center"/>
            <w:hideMark/>
          </w:tcPr>
          <w:p w14:paraId="272766E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Sector review; finds progress remained fragile.</w:t>
            </w:r>
          </w:p>
        </w:tc>
        <w:tc>
          <w:tcPr>
            <w:tcW w:w="1684" w:type="dxa"/>
            <w:tcBorders>
              <w:top w:val="nil"/>
              <w:left w:val="nil"/>
              <w:bottom w:val="single" w:sz="4" w:space="0" w:color="auto"/>
              <w:right w:val="single" w:sz="4" w:space="0" w:color="auto"/>
            </w:tcBorders>
            <w:vAlign w:val="center"/>
            <w:hideMark/>
          </w:tcPr>
          <w:p w14:paraId="2DA3270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Early baseline.</w:t>
            </w:r>
          </w:p>
        </w:tc>
        <w:tc>
          <w:tcPr>
            <w:tcW w:w="1928" w:type="dxa"/>
            <w:tcBorders>
              <w:top w:val="nil"/>
              <w:left w:val="nil"/>
              <w:bottom w:val="single" w:sz="4" w:space="0" w:color="auto"/>
              <w:right w:val="single" w:sz="4" w:space="0" w:color="auto"/>
            </w:tcBorders>
            <w:vAlign w:val="center"/>
            <w:hideMark/>
          </w:tcPr>
          <w:p w14:paraId="671DD89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Historical context.</w:t>
            </w:r>
          </w:p>
        </w:tc>
      </w:tr>
      <w:tr w:rsidR="00FB3CCF" w:rsidRPr="00FB3CCF" w14:paraId="4E80F2FA"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08F8681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Kingston (2017)</w:t>
            </w:r>
          </w:p>
        </w:tc>
        <w:tc>
          <w:tcPr>
            <w:tcW w:w="2010" w:type="dxa"/>
            <w:tcBorders>
              <w:top w:val="nil"/>
              <w:left w:val="nil"/>
              <w:bottom w:val="single" w:sz="4" w:space="0" w:color="auto"/>
              <w:right w:val="single" w:sz="4" w:space="0" w:color="auto"/>
            </w:tcBorders>
            <w:vAlign w:val="center"/>
            <w:hideMark/>
          </w:tcPr>
          <w:p w14:paraId="3CBE2DA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Later commentary confirms the support-failure diagnosis of UK wave innovation.</w:t>
            </w:r>
          </w:p>
        </w:tc>
        <w:tc>
          <w:tcPr>
            <w:tcW w:w="2010" w:type="dxa"/>
            <w:tcBorders>
              <w:top w:val="nil"/>
              <w:left w:val="nil"/>
              <w:bottom w:val="single" w:sz="4" w:space="0" w:color="auto"/>
              <w:right w:val="single" w:sz="4" w:space="0" w:color="auto"/>
            </w:tcBorders>
            <w:vAlign w:val="center"/>
            <w:hideMark/>
          </w:tcPr>
          <w:p w14:paraId="66EAE7D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Commentary; finds UK support misread commercialization needs.</w:t>
            </w:r>
          </w:p>
        </w:tc>
        <w:tc>
          <w:tcPr>
            <w:tcW w:w="1684" w:type="dxa"/>
            <w:tcBorders>
              <w:top w:val="nil"/>
              <w:left w:val="nil"/>
              <w:bottom w:val="single" w:sz="4" w:space="0" w:color="auto"/>
              <w:right w:val="single" w:sz="4" w:space="0" w:color="auto"/>
            </w:tcBorders>
            <w:vAlign w:val="center"/>
            <w:hideMark/>
          </w:tcPr>
          <w:p w14:paraId="5CCDF4F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Derivative but useful.</w:t>
            </w:r>
          </w:p>
        </w:tc>
        <w:tc>
          <w:tcPr>
            <w:tcW w:w="1928" w:type="dxa"/>
            <w:tcBorders>
              <w:top w:val="nil"/>
              <w:left w:val="nil"/>
              <w:bottom w:val="single" w:sz="4" w:space="0" w:color="auto"/>
              <w:right w:val="single" w:sz="4" w:space="0" w:color="auto"/>
            </w:tcBorders>
            <w:vAlign w:val="center"/>
            <w:hideMark/>
          </w:tcPr>
          <w:p w14:paraId="643B358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Supports continued debate.</w:t>
            </w:r>
          </w:p>
        </w:tc>
      </w:tr>
      <w:tr w:rsidR="00FB3CCF" w:rsidRPr="00FB3CCF" w14:paraId="7FA73F6E"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43F63B7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Iskandarova and </w:t>
            </w:r>
            <w:proofErr w:type="spellStart"/>
            <w:r w:rsidRPr="00FB3CCF">
              <w:rPr>
                <w:rFonts w:ascii="Arial" w:hAnsi="Arial" w:cs="Arial"/>
                <w:sz w:val="20"/>
                <w:szCs w:val="20"/>
              </w:rPr>
              <w:t>Simakova</w:t>
            </w:r>
            <w:proofErr w:type="spellEnd"/>
            <w:r w:rsidRPr="00FB3CCF">
              <w:rPr>
                <w:rFonts w:ascii="Arial" w:hAnsi="Arial" w:cs="Arial"/>
                <w:sz w:val="20"/>
                <w:szCs w:val="20"/>
              </w:rPr>
              <w:t xml:space="preserve"> (2012)</w:t>
            </w:r>
          </w:p>
        </w:tc>
        <w:tc>
          <w:tcPr>
            <w:tcW w:w="2010" w:type="dxa"/>
            <w:tcBorders>
              <w:top w:val="nil"/>
              <w:left w:val="nil"/>
              <w:bottom w:val="single" w:sz="4" w:space="0" w:color="auto"/>
              <w:right w:val="single" w:sz="4" w:space="0" w:color="auto"/>
            </w:tcBorders>
            <w:vAlign w:val="center"/>
            <w:hideMark/>
          </w:tcPr>
          <w:p w14:paraId="5854D5A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Wave Hub became shaped by expectations, expertise, and projected futures.</w:t>
            </w:r>
          </w:p>
        </w:tc>
        <w:tc>
          <w:tcPr>
            <w:tcW w:w="2010" w:type="dxa"/>
            <w:tcBorders>
              <w:top w:val="nil"/>
              <w:left w:val="nil"/>
              <w:bottom w:val="single" w:sz="4" w:space="0" w:color="auto"/>
              <w:right w:val="single" w:sz="4" w:space="0" w:color="auto"/>
            </w:tcBorders>
            <w:vAlign w:val="center"/>
            <w:hideMark/>
          </w:tcPr>
          <w:p w14:paraId="4994ED5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Case analysis; finds expectations can outrun practical readiness.</w:t>
            </w:r>
          </w:p>
        </w:tc>
        <w:tc>
          <w:tcPr>
            <w:tcW w:w="1684" w:type="dxa"/>
            <w:tcBorders>
              <w:top w:val="nil"/>
              <w:left w:val="nil"/>
              <w:bottom w:val="single" w:sz="4" w:space="0" w:color="auto"/>
              <w:right w:val="single" w:sz="4" w:space="0" w:color="auto"/>
            </w:tcBorders>
            <w:vAlign w:val="center"/>
            <w:hideMark/>
          </w:tcPr>
          <w:p w14:paraId="7162DB2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One case.</w:t>
            </w:r>
          </w:p>
        </w:tc>
        <w:tc>
          <w:tcPr>
            <w:tcW w:w="1928" w:type="dxa"/>
            <w:tcBorders>
              <w:top w:val="nil"/>
              <w:left w:val="nil"/>
              <w:bottom w:val="single" w:sz="4" w:space="0" w:color="auto"/>
              <w:right w:val="single" w:sz="4" w:space="0" w:color="auto"/>
            </w:tcBorders>
            <w:vAlign w:val="center"/>
            <w:hideMark/>
          </w:tcPr>
          <w:p w14:paraId="787D72B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credibility and hype.</w:t>
            </w:r>
          </w:p>
        </w:tc>
      </w:tr>
      <w:tr w:rsidR="00FB3CCF" w:rsidRPr="00FB3CCF" w14:paraId="20CFA18B" w14:textId="77777777" w:rsidTr="00442932">
        <w:trPr>
          <w:trHeight w:val="1601"/>
          <w:jc w:val="center"/>
        </w:trPr>
        <w:tc>
          <w:tcPr>
            <w:tcW w:w="2010" w:type="dxa"/>
            <w:tcBorders>
              <w:top w:val="nil"/>
              <w:left w:val="single" w:sz="4" w:space="0" w:color="auto"/>
              <w:bottom w:val="single" w:sz="4" w:space="0" w:color="auto"/>
              <w:right w:val="single" w:sz="4" w:space="0" w:color="auto"/>
            </w:tcBorders>
            <w:vAlign w:val="center"/>
            <w:hideMark/>
          </w:tcPr>
          <w:p w14:paraId="4E39548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Iskandarova (2016)</w:t>
            </w:r>
          </w:p>
        </w:tc>
        <w:tc>
          <w:tcPr>
            <w:tcW w:w="2010" w:type="dxa"/>
            <w:tcBorders>
              <w:top w:val="nil"/>
              <w:left w:val="nil"/>
              <w:bottom w:val="single" w:sz="4" w:space="0" w:color="auto"/>
              <w:right w:val="single" w:sz="4" w:space="0" w:color="auto"/>
            </w:tcBorders>
            <w:vAlign w:val="center"/>
            <w:hideMark/>
          </w:tcPr>
          <w:p w14:paraId="086C725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Policy development is driven by agency and actor networks, not scale alone.</w:t>
            </w:r>
          </w:p>
        </w:tc>
        <w:tc>
          <w:tcPr>
            <w:tcW w:w="2010" w:type="dxa"/>
            <w:tcBorders>
              <w:top w:val="nil"/>
              <w:left w:val="nil"/>
              <w:bottom w:val="single" w:sz="4" w:space="0" w:color="auto"/>
              <w:right w:val="single" w:sz="4" w:space="0" w:color="auto"/>
            </w:tcBorders>
            <w:vAlign w:val="center"/>
            <w:hideMark/>
          </w:tcPr>
          <w:p w14:paraId="436C6A3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Qualitative policy analysis; finds policy outcomes are socially assembled.</w:t>
            </w:r>
          </w:p>
        </w:tc>
        <w:tc>
          <w:tcPr>
            <w:tcW w:w="1684" w:type="dxa"/>
            <w:tcBorders>
              <w:top w:val="nil"/>
              <w:left w:val="nil"/>
              <w:bottom w:val="single" w:sz="4" w:space="0" w:color="auto"/>
              <w:right w:val="single" w:sz="4" w:space="0" w:color="auto"/>
            </w:tcBorders>
            <w:vAlign w:val="center"/>
            <w:hideMark/>
          </w:tcPr>
          <w:p w14:paraId="3134D48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More theoretical than finance oriented.</w:t>
            </w:r>
          </w:p>
        </w:tc>
        <w:tc>
          <w:tcPr>
            <w:tcW w:w="1928" w:type="dxa"/>
            <w:tcBorders>
              <w:top w:val="nil"/>
              <w:left w:val="nil"/>
              <w:bottom w:val="single" w:sz="4" w:space="0" w:color="auto"/>
              <w:right w:val="single" w:sz="4" w:space="0" w:color="auto"/>
            </w:tcBorders>
            <w:vAlign w:val="center"/>
            <w:hideMark/>
          </w:tcPr>
          <w:p w14:paraId="52C9BFC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contextual interpretation.</w:t>
            </w:r>
          </w:p>
        </w:tc>
      </w:tr>
      <w:tr w:rsidR="00FB3CCF" w:rsidRPr="00FB3CCF" w14:paraId="7B8D4377" w14:textId="77777777" w:rsidTr="00442932">
        <w:trPr>
          <w:trHeight w:val="316"/>
          <w:jc w:val="center"/>
        </w:trPr>
        <w:tc>
          <w:tcPr>
            <w:tcW w:w="7715" w:type="dxa"/>
            <w:gridSpan w:val="4"/>
            <w:tcBorders>
              <w:top w:val="nil"/>
              <w:left w:val="nil"/>
              <w:bottom w:val="nil"/>
              <w:right w:val="nil"/>
            </w:tcBorders>
            <w:vAlign w:val="center"/>
            <w:hideMark/>
          </w:tcPr>
          <w:p w14:paraId="58752052" w14:textId="77777777" w:rsidR="00FB3CCF" w:rsidRPr="00FB3CCF" w:rsidRDefault="00FB3CCF" w:rsidP="00442932">
            <w:pPr>
              <w:rPr>
                <w:rFonts w:ascii="Arial" w:hAnsi="Arial" w:cs="Arial"/>
                <w:sz w:val="18"/>
                <w:szCs w:val="18"/>
              </w:rPr>
            </w:pPr>
            <w:r w:rsidRPr="00FB3CCF">
              <w:rPr>
                <w:rFonts w:ascii="Arial" w:hAnsi="Arial" w:cs="Arial"/>
                <w:sz w:val="18"/>
                <w:szCs w:val="18"/>
              </w:rPr>
              <w:t>Source: Author’s synthesis based on the reviewed literature.</w:t>
            </w:r>
          </w:p>
        </w:tc>
        <w:tc>
          <w:tcPr>
            <w:tcW w:w="1928" w:type="dxa"/>
            <w:tcBorders>
              <w:top w:val="nil"/>
              <w:left w:val="nil"/>
              <w:bottom w:val="nil"/>
              <w:right w:val="nil"/>
            </w:tcBorders>
            <w:noWrap/>
            <w:vAlign w:val="bottom"/>
            <w:hideMark/>
          </w:tcPr>
          <w:p w14:paraId="2065C6ED" w14:textId="77777777" w:rsidR="00FB3CCF" w:rsidRPr="00FB3CCF" w:rsidRDefault="00FB3CCF" w:rsidP="00442932">
            <w:pPr>
              <w:rPr>
                <w:rFonts w:ascii="Arial" w:hAnsi="Arial" w:cs="Arial"/>
                <w:sz w:val="18"/>
                <w:szCs w:val="18"/>
              </w:rPr>
            </w:pPr>
          </w:p>
        </w:tc>
      </w:tr>
    </w:tbl>
    <w:p w14:paraId="75623678" w14:textId="77777777" w:rsidR="00FB3CCF" w:rsidRPr="00FB3CCF" w:rsidRDefault="00FB3CCF" w:rsidP="00FB3CCF">
      <w:pPr>
        <w:spacing w:line="360" w:lineRule="auto"/>
        <w:jc w:val="both"/>
        <w:rPr>
          <w:rFonts w:ascii="Arial" w:hAnsi="Arial" w:cs="Arial"/>
          <w:sz w:val="22"/>
          <w:szCs w:val="22"/>
        </w:rPr>
      </w:pPr>
    </w:p>
    <w:p w14:paraId="53D09EBE" w14:textId="77777777" w:rsidR="00FB3CCF" w:rsidRPr="00FB3CCF" w:rsidRDefault="00FB3CCF" w:rsidP="00FB3CCF">
      <w:pPr>
        <w:spacing w:line="360" w:lineRule="auto"/>
        <w:jc w:val="both"/>
        <w:rPr>
          <w:rFonts w:ascii="Arial" w:hAnsi="Arial" w:cs="Arial"/>
          <w:sz w:val="22"/>
          <w:szCs w:val="22"/>
        </w:rPr>
      </w:pPr>
    </w:p>
    <w:p w14:paraId="0566B053" w14:textId="77777777" w:rsidR="00FB3CCF" w:rsidRPr="00FB3CCF" w:rsidRDefault="00FB3CCF" w:rsidP="00FB3CCF">
      <w:pPr>
        <w:spacing w:line="360" w:lineRule="auto"/>
        <w:jc w:val="both"/>
        <w:rPr>
          <w:rFonts w:ascii="Arial" w:hAnsi="Arial" w:cs="Arial"/>
          <w:b/>
          <w:bCs/>
        </w:rPr>
      </w:pPr>
    </w:p>
    <w:p w14:paraId="4F8716B3" w14:textId="77777777" w:rsidR="00FB3CCF" w:rsidRPr="00FB3CCF" w:rsidRDefault="00FB3CCF" w:rsidP="00FB3CCF">
      <w:pPr>
        <w:spacing w:line="360" w:lineRule="auto"/>
        <w:jc w:val="both"/>
        <w:rPr>
          <w:rFonts w:ascii="Arial" w:hAnsi="Arial" w:cs="Arial"/>
          <w:b/>
          <w:bCs/>
        </w:rPr>
      </w:pPr>
    </w:p>
    <w:p w14:paraId="0C7EB3DC" w14:textId="77777777" w:rsidR="00FB3CCF" w:rsidRPr="00FB3CCF" w:rsidRDefault="00FB3CCF" w:rsidP="00FB3CCF">
      <w:pPr>
        <w:spacing w:line="360" w:lineRule="auto"/>
        <w:jc w:val="both"/>
        <w:rPr>
          <w:rFonts w:ascii="Arial" w:hAnsi="Arial" w:cs="Arial"/>
        </w:rPr>
      </w:pPr>
    </w:p>
    <w:p w14:paraId="28B750E7" w14:textId="77777777" w:rsidR="00FB3CCF" w:rsidRPr="00FB3CCF" w:rsidRDefault="00FB3CCF" w:rsidP="00FB3CCF">
      <w:pPr>
        <w:spacing w:line="360" w:lineRule="auto"/>
        <w:jc w:val="both"/>
        <w:rPr>
          <w:rFonts w:ascii="Arial" w:hAnsi="Arial" w:cs="Arial"/>
          <w:b/>
          <w:bCs/>
        </w:rPr>
      </w:pPr>
    </w:p>
    <w:p w14:paraId="1BA7758D"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lastRenderedPageBreak/>
        <w:t>Appendix D</w:t>
      </w:r>
    </w:p>
    <w:p w14:paraId="02556E94"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D1. Theme 4 Techno-economic readiness and commercialisation pathways</w:t>
      </w:r>
    </w:p>
    <w:tbl>
      <w:tblPr>
        <w:tblW w:w="9863" w:type="dxa"/>
        <w:jc w:val="center"/>
        <w:tblLook w:val="04A0" w:firstRow="1" w:lastRow="0" w:firstColumn="1" w:lastColumn="0" w:noHBand="0" w:noVBand="1"/>
      </w:tblPr>
      <w:tblGrid>
        <w:gridCol w:w="1972"/>
        <w:gridCol w:w="1972"/>
        <w:gridCol w:w="1972"/>
        <w:gridCol w:w="1975"/>
        <w:gridCol w:w="1972"/>
      </w:tblGrid>
      <w:tr w:rsidR="00FB3CCF" w:rsidRPr="00FB3CCF" w14:paraId="79363840" w14:textId="77777777" w:rsidTr="00442932">
        <w:trPr>
          <w:trHeight w:val="1488"/>
          <w:jc w:val="center"/>
        </w:trPr>
        <w:tc>
          <w:tcPr>
            <w:tcW w:w="1972" w:type="dxa"/>
            <w:tcBorders>
              <w:top w:val="single" w:sz="4" w:space="0" w:color="auto"/>
              <w:left w:val="single" w:sz="4" w:space="0" w:color="auto"/>
              <w:bottom w:val="single" w:sz="4" w:space="0" w:color="auto"/>
              <w:right w:val="single" w:sz="4" w:space="0" w:color="auto"/>
            </w:tcBorders>
            <w:vAlign w:val="center"/>
            <w:hideMark/>
          </w:tcPr>
          <w:p w14:paraId="227FDAC4"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Source</w:t>
            </w:r>
          </w:p>
        </w:tc>
        <w:tc>
          <w:tcPr>
            <w:tcW w:w="1972" w:type="dxa"/>
            <w:tcBorders>
              <w:top w:val="single" w:sz="4" w:space="0" w:color="auto"/>
              <w:left w:val="nil"/>
              <w:bottom w:val="single" w:sz="4" w:space="0" w:color="auto"/>
              <w:right w:val="single" w:sz="4" w:space="0" w:color="auto"/>
            </w:tcBorders>
            <w:vAlign w:val="center"/>
            <w:hideMark/>
          </w:tcPr>
          <w:p w14:paraId="1DF8511F"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Core argument</w:t>
            </w:r>
          </w:p>
        </w:tc>
        <w:tc>
          <w:tcPr>
            <w:tcW w:w="1972" w:type="dxa"/>
            <w:tcBorders>
              <w:top w:val="single" w:sz="4" w:space="0" w:color="auto"/>
              <w:left w:val="nil"/>
              <w:bottom w:val="single" w:sz="4" w:space="0" w:color="auto"/>
              <w:right w:val="single" w:sz="4" w:space="0" w:color="auto"/>
            </w:tcBorders>
            <w:vAlign w:val="center"/>
            <w:hideMark/>
          </w:tcPr>
          <w:p w14:paraId="5A4CDA6B"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Method / Findings</w:t>
            </w:r>
          </w:p>
        </w:tc>
        <w:tc>
          <w:tcPr>
            <w:tcW w:w="1972" w:type="dxa"/>
            <w:tcBorders>
              <w:top w:val="single" w:sz="4" w:space="0" w:color="auto"/>
              <w:left w:val="nil"/>
              <w:bottom w:val="single" w:sz="4" w:space="0" w:color="auto"/>
              <w:right w:val="single" w:sz="4" w:space="0" w:color="auto"/>
            </w:tcBorders>
            <w:vAlign w:val="center"/>
            <w:hideMark/>
          </w:tcPr>
          <w:p w14:paraId="516411A3"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Critical Evaluation</w:t>
            </w:r>
          </w:p>
        </w:tc>
        <w:tc>
          <w:tcPr>
            <w:tcW w:w="1972" w:type="dxa"/>
            <w:tcBorders>
              <w:top w:val="single" w:sz="4" w:space="0" w:color="auto"/>
              <w:left w:val="nil"/>
              <w:bottom w:val="single" w:sz="4" w:space="0" w:color="auto"/>
              <w:right w:val="single" w:sz="4" w:space="0" w:color="auto"/>
            </w:tcBorders>
            <w:vAlign w:val="center"/>
            <w:hideMark/>
          </w:tcPr>
          <w:p w14:paraId="07058118"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Relevance to the study</w:t>
            </w:r>
          </w:p>
        </w:tc>
      </w:tr>
      <w:tr w:rsidR="00FB3CCF" w:rsidRPr="00FB3CCF" w14:paraId="6C7B648A"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3018FAD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MacGillivray, Jeffrey and Wallace (2015)</w:t>
            </w:r>
          </w:p>
        </w:tc>
        <w:tc>
          <w:tcPr>
            <w:tcW w:w="1972" w:type="dxa"/>
            <w:tcBorders>
              <w:top w:val="nil"/>
              <w:left w:val="nil"/>
              <w:bottom w:val="single" w:sz="4" w:space="0" w:color="auto"/>
              <w:right w:val="single" w:sz="4" w:space="0" w:color="auto"/>
            </w:tcBorders>
            <w:vAlign w:val="center"/>
            <w:hideMark/>
          </w:tcPr>
          <w:p w14:paraId="495BF33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Iteration and deployment are central to wave and tidal innovation.</w:t>
            </w:r>
          </w:p>
        </w:tc>
        <w:tc>
          <w:tcPr>
            <w:tcW w:w="1972" w:type="dxa"/>
            <w:tcBorders>
              <w:top w:val="nil"/>
              <w:left w:val="nil"/>
              <w:bottom w:val="single" w:sz="4" w:space="0" w:color="auto"/>
              <w:right w:val="single" w:sz="4" w:space="0" w:color="auto"/>
            </w:tcBorders>
            <w:vAlign w:val="center"/>
            <w:hideMark/>
          </w:tcPr>
          <w:p w14:paraId="678EF23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Sector innovation analysis; finds repeated deployment is needed to mature technology.</w:t>
            </w:r>
          </w:p>
        </w:tc>
        <w:tc>
          <w:tcPr>
            <w:tcW w:w="1972" w:type="dxa"/>
            <w:tcBorders>
              <w:top w:val="nil"/>
              <w:left w:val="nil"/>
              <w:bottom w:val="single" w:sz="4" w:space="0" w:color="auto"/>
              <w:right w:val="single" w:sz="4" w:space="0" w:color="auto"/>
            </w:tcBorders>
            <w:vAlign w:val="center"/>
            <w:hideMark/>
          </w:tcPr>
          <w:p w14:paraId="71EE919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learning logic, limited finance detail.</w:t>
            </w:r>
          </w:p>
        </w:tc>
        <w:tc>
          <w:tcPr>
            <w:tcW w:w="1972" w:type="dxa"/>
            <w:tcBorders>
              <w:top w:val="nil"/>
              <w:left w:val="nil"/>
              <w:bottom w:val="single" w:sz="4" w:space="0" w:color="auto"/>
              <w:right w:val="single" w:sz="4" w:space="0" w:color="auto"/>
            </w:tcBorders>
            <w:vAlign w:val="center"/>
            <w:hideMark/>
          </w:tcPr>
          <w:p w14:paraId="6853A8B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Important for staged evidence creation.</w:t>
            </w:r>
          </w:p>
        </w:tc>
      </w:tr>
      <w:tr w:rsidR="00FB3CCF" w:rsidRPr="00FB3CCF" w14:paraId="3F4D6C59"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54CD04F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MacGillivray et al. (2014)</w:t>
            </w:r>
          </w:p>
        </w:tc>
        <w:tc>
          <w:tcPr>
            <w:tcW w:w="1972" w:type="dxa"/>
            <w:tcBorders>
              <w:top w:val="nil"/>
              <w:left w:val="nil"/>
              <w:bottom w:val="single" w:sz="4" w:space="0" w:color="auto"/>
              <w:right w:val="single" w:sz="4" w:space="0" w:color="auto"/>
            </w:tcBorders>
            <w:vAlign w:val="center"/>
            <w:hideMark/>
          </w:tcPr>
          <w:p w14:paraId="58440A6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Cost reduction in marine renewables depends on learning investment.</w:t>
            </w:r>
          </w:p>
        </w:tc>
        <w:tc>
          <w:tcPr>
            <w:tcW w:w="1972" w:type="dxa"/>
            <w:tcBorders>
              <w:top w:val="nil"/>
              <w:left w:val="nil"/>
              <w:bottom w:val="single" w:sz="4" w:space="0" w:color="auto"/>
              <w:right w:val="single" w:sz="4" w:space="0" w:color="auto"/>
            </w:tcBorders>
            <w:vAlign w:val="center"/>
            <w:hideMark/>
          </w:tcPr>
          <w:p w14:paraId="454F5A9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Modelling analysis; finds deployment and innovation spending are linked.</w:t>
            </w:r>
          </w:p>
        </w:tc>
        <w:tc>
          <w:tcPr>
            <w:tcW w:w="1972" w:type="dxa"/>
            <w:tcBorders>
              <w:top w:val="nil"/>
              <w:left w:val="nil"/>
              <w:bottom w:val="single" w:sz="4" w:space="0" w:color="auto"/>
              <w:right w:val="single" w:sz="4" w:space="0" w:color="auto"/>
            </w:tcBorders>
            <w:vAlign w:val="center"/>
            <w:hideMark/>
          </w:tcPr>
          <w:p w14:paraId="10526E6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Model assumptions matter.</w:t>
            </w:r>
          </w:p>
        </w:tc>
        <w:tc>
          <w:tcPr>
            <w:tcW w:w="1972" w:type="dxa"/>
            <w:tcBorders>
              <w:top w:val="nil"/>
              <w:left w:val="nil"/>
              <w:bottom w:val="single" w:sz="4" w:space="0" w:color="auto"/>
              <w:right w:val="single" w:sz="4" w:space="0" w:color="auto"/>
            </w:tcBorders>
            <w:vAlign w:val="center"/>
            <w:hideMark/>
          </w:tcPr>
          <w:p w14:paraId="456142D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Helps explain why early finance is so consequential.</w:t>
            </w:r>
          </w:p>
        </w:tc>
      </w:tr>
      <w:tr w:rsidR="00FB3CCF" w:rsidRPr="00FB3CCF" w14:paraId="3E3A09E3"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1842680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Guo and Ringwood (2021)</w:t>
            </w:r>
          </w:p>
        </w:tc>
        <w:tc>
          <w:tcPr>
            <w:tcW w:w="1972" w:type="dxa"/>
            <w:tcBorders>
              <w:top w:val="nil"/>
              <w:left w:val="nil"/>
              <w:bottom w:val="single" w:sz="4" w:space="0" w:color="auto"/>
              <w:right w:val="single" w:sz="4" w:space="0" w:color="auto"/>
            </w:tcBorders>
            <w:vAlign w:val="center"/>
            <w:hideMark/>
          </w:tcPr>
          <w:p w14:paraId="469E8CC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Wave technology remains commercially immature and fragmented.</w:t>
            </w:r>
          </w:p>
        </w:tc>
        <w:tc>
          <w:tcPr>
            <w:tcW w:w="1972" w:type="dxa"/>
            <w:tcBorders>
              <w:top w:val="nil"/>
              <w:left w:val="nil"/>
              <w:bottom w:val="single" w:sz="4" w:space="0" w:color="auto"/>
              <w:right w:val="single" w:sz="4" w:space="0" w:color="auto"/>
            </w:tcBorders>
            <w:vAlign w:val="center"/>
            <w:hideMark/>
          </w:tcPr>
          <w:p w14:paraId="4B8B376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Technical and commercial literature review; finds lack of convergence and repeated firm failure weaken investor trust.</w:t>
            </w:r>
          </w:p>
        </w:tc>
        <w:tc>
          <w:tcPr>
            <w:tcW w:w="1972" w:type="dxa"/>
            <w:tcBorders>
              <w:top w:val="nil"/>
              <w:left w:val="nil"/>
              <w:bottom w:val="single" w:sz="4" w:space="0" w:color="auto"/>
              <w:right w:val="single" w:sz="4" w:space="0" w:color="auto"/>
            </w:tcBorders>
            <w:vAlign w:val="center"/>
            <w:hideMark/>
          </w:tcPr>
          <w:p w14:paraId="36DA7D4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One of the best recent overviews.</w:t>
            </w:r>
          </w:p>
        </w:tc>
        <w:tc>
          <w:tcPr>
            <w:tcW w:w="1972" w:type="dxa"/>
            <w:tcBorders>
              <w:top w:val="nil"/>
              <w:left w:val="nil"/>
              <w:bottom w:val="single" w:sz="4" w:space="0" w:color="auto"/>
              <w:right w:val="single" w:sz="4" w:space="0" w:color="auto"/>
            </w:tcBorders>
            <w:vAlign w:val="center"/>
            <w:hideMark/>
          </w:tcPr>
          <w:p w14:paraId="77060D5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direct support for commercialization weakness.</w:t>
            </w:r>
          </w:p>
        </w:tc>
      </w:tr>
      <w:tr w:rsidR="00FB3CCF" w:rsidRPr="00FB3CCF" w14:paraId="5BBD042A"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539A101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Uihlein and Magagna (2016)</w:t>
            </w:r>
          </w:p>
        </w:tc>
        <w:tc>
          <w:tcPr>
            <w:tcW w:w="1972" w:type="dxa"/>
            <w:tcBorders>
              <w:top w:val="nil"/>
              <w:left w:val="nil"/>
              <w:bottom w:val="single" w:sz="4" w:space="0" w:color="auto"/>
              <w:right w:val="single" w:sz="4" w:space="0" w:color="auto"/>
            </w:tcBorders>
            <w:vAlign w:val="center"/>
            <w:hideMark/>
          </w:tcPr>
          <w:p w14:paraId="58695A1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Ocean energy research must move beyond technology alone.</w:t>
            </w:r>
          </w:p>
        </w:tc>
        <w:tc>
          <w:tcPr>
            <w:tcW w:w="1972" w:type="dxa"/>
            <w:tcBorders>
              <w:top w:val="nil"/>
              <w:left w:val="nil"/>
              <w:bottom w:val="single" w:sz="4" w:space="0" w:color="auto"/>
              <w:right w:val="single" w:sz="4" w:space="0" w:color="auto"/>
            </w:tcBorders>
            <w:vAlign w:val="center"/>
            <w:hideMark/>
          </w:tcPr>
          <w:p w14:paraId="5CB2F71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Review; finds non-technical and commercial barriers are crucial.</w:t>
            </w:r>
          </w:p>
        </w:tc>
        <w:tc>
          <w:tcPr>
            <w:tcW w:w="1972" w:type="dxa"/>
            <w:tcBorders>
              <w:top w:val="nil"/>
              <w:left w:val="nil"/>
              <w:bottom w:val="single" w:sz="4" w:space="0" w:color="auto"/>
              <w:right w:val="single" w:sz="4" w:space="0" w:color="auto"/>
            </w:tcBorders>
            <w:vAlign w:val="center"/>
            <w:hideMark/>
          </w:tcPr>
          <w:p w14:paraId="58BEA83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 sector lens.</w:t>
            </w:r>
          </w:p>
        </w:tc>
        <w:tc>
          <w:tcPr>
            <w:tcW w:w="1972" w:type="dxa"/>
            <w:tcBorders>
              <w:top w:val="nil"/>
              <w:left w:val="nil"/>
              <w:bottom w:val="single" w:sz="4" w:space="0" w:color="auto"/>
              <w:right w:val="single" w:sz="4" w:space="0" w:color="auto"/>
            </w:tcBorders>
            <w:vAlign w:val="center"/>
            <w:hideMark/>
          </w:tcPr>
          <w:p w14:paraId="254824E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bridge source.</w:t>
            </w:r>
          </w:p>
        </w:tc>
      </w:tr>
      <w:tr w:rsidR="00FB3CCF" w:rsidRPr="00FB3CCF" w14:paraId="25D68668"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7D55B35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Magagna and Uihlein (2015)</w:t>
            </w:r>
          </w:p>
        </w:tc>
        <w:tc>
          <w:tcPr>
            <w:tcW w:w="1972" w:type="dxa"/>
            <w:tcBorders>
              <w:top w:val="nil"/>
              <w:left w:val="nil"/>
              <w:bottom w:val="single" w:sz="4" w:space="0" w:color="auto"/>
              <w:right w:val="single" w:sz="4" w:space="0" w:color="auto"/>
            </w:tcBorders>
            <w:vAlign w:val="center"/>
            <w:hideMark/>
          </w:tcPr>
          <w:p w14:paraId="5BCD387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Ocean energy in Europe faces persistent market and administrative barriers.</w:t>
            </w:r>
          </w:p>
        </w:tc>
        <w:tc>
          <w:tcPr>
            <w:tcW w:w="1972" w:type="dxa"/>
            <w:tcBorders>
              <w:top w:val="nil"/>
              <w:left w:val="nil"/>
              <w:bottom w:val="single" w:sz="4" w:space="0" w:color="auto"/>
              <w:right w:val="single" w:sz="4" w:space="0" w:color="auto"/>
            </w:tcBorders>
            <w:vAlign w:val="center"/>
            <w:hideMark/>
          </w:tcPr>
          <w:p w14:paraId="6AFCFC3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European sector review; finds technology progress alone is insufficient.</w:t>
            </w:r>
          </w:p>
        </w:tc>
        <w:tc>
          <w:tcPr>
            <w:tcW w:w="1972" w:type="dxa"/>
            <w:tcBorders>
              <w:top w:val="nil"/>
              <w:left w:val="nil"/>
              <w:bottom w:val="single" w:sz="4" w:space="0" w:color="auto"/>
              <w:right w:val="single" w:sz="4" w:space="0" w:color="auto"/>
            </w:tcBorders>
            <w:vAlign w:val="center"/>
            <w:hideMark/>
          </w:tcPr>
          <w:p w14:paraId="0665680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Europe-wide rather than UK-specific.</w:t>
            </w:r>
          </w:p>
        </w:tc>
        <w:tc>
          <w:tcPr>
            <w:tcW w:w="1972" w:type="dxa"/>
            <w:tcBorders>
              <w:top w:val="nil"/>
              <w:left w:val="nil"/>
              <w:bottom w:val="single" w:sz="4" w:space="0" w:color="auto"/>
              <w:right w:val="single" w:sz="4" w:space="0" w:color="auto"/>
            </w:tcBorders>
            <w:vAlign w:val="center"/>
            <w:hideMark/>
          </w:tcPr>
          <w:p w14:paraId="7B55CE4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Comparative perspective.</w:t>
            </w:r>
          </w:p>
        </w:tc>
      </w:tr>
      <w:tr w:rsidR="00FB3CCF" w:rsidRPr="00FB3CCF" w14:paraId="7DF3EC01"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31EF01C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Magagna, Monfardini and Uihlein (2018)</w:t>
            </w:r>
          </w:p>
        </w:tc>
        <w:tc>
          <w:tcPr>
            <w:tcW w:w="1972" w:type="dxa"/>
            <w:tcBorders>
              <w:top w:val="nil"/>
              <w:left w:val="nil"/>
              <w:bottom w:val="single" w:sz="4" w:space="0" w:color="auto"/>
              <w:right w:val="single" w:sz="4" w:space="0" w:color="auto"/>
            </w:tcBorders>
            <w:vAlign w:val="center"/>
            <w:hideMark/>
          </w:tcPr>
          <w:p w14:paraId="3922DE8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Ocean energy needs continued learning investment and strategic deployment support.</w:t>
            </w:r>
          </w:p>
        </w:tc>
        <w:tc>
          <w:tcPr>
            <w:tcW w:w="1972" w:type="dxa"/>
            <w:tcBorders>
              <w:top w:val="nil"/>
              <w:left w:val="nil"/>
              <w:bottom w:val="single" w:sz="4" w:space="0" w:color="auto"/>
              <w:right w:val="single" w:sz="4" w:space="0" w:color="auto"/>
            </w:tcBorders>
            <w:vAlign w:val="center"/>
            <w:hideMark/>
          </w:tcPr>
          <w:p w14:paraId="09C0526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Policy and sector review; finds commercialization requires long-horizon backing.</w:t>
            </w:r>
          </w:p>
        </w:tc>
        <w:tc>
          <w:tcPr>
            <w:tcW w:w="1972" w:type="dxa"/>
            <w:tcBorders>
              <w:top w:val="nil"/>
              <w:left w:val="nil"/>
              <w:bottom w:val="single" w:sz="4" w:space="0" w:color="auto"/>
              <w:right w:val="single" w:sz="4" w:space="0" w:color="auto"/>
            </w:tcBorders>
            <w:vAlign w:val="center"/>
            <w:hideMark/>
          </w:tcPr>
          <w:p w14:paraId="32257C4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Strategic rather than venture-level.</w:t>
            </w:r>
          </w:p>
        </w:tc>
        <w:tc>
          <w:tcPr>
            <w:tcW w:w="1972" w:type="dxa"/>
            <w:tcBorders>
              <w:top w:val="nil"/>
              <w:left w:val="nil"/>
              <w:bottom w:val="single" w:sz="4" w:space="0" w:color="auto"/>
              <w:right w:val="single" w:sz="4" w:space="0" w:color="auto"/>
            </w:tcBorders>
            <w:vAlign w:val="center"/>
            <w:hideMark/>
          </w:tcPr>
          <w:p w14:paraId="631D813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Helps frame policy and cost learning.</w:t>
            </w:r>
          </w:p>
        </w:tc>
      </w:tr>
      <w:tr w:rsidR="00FB3CCF" w:rsidRPr="00FB3CCF" w14:paraId="0B9AA5AE"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11B1E35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lastRenderedPageBreak/>
              <w:t>Magagna et al. (2014)</w:t>
            </w:r>
          </w:p>
        </w:tc>
        <w:tc>
          <w:tcPr>
            <w:tcW w:w="1972" w:type="dxa"/>
            <w:tcBorders>
              <w:top w:val="nil"/>
              <w:left w:val="nil"/>
              <w:bottom w:val="single" w:sz="4" w:space="0" w:color="auto"/>
              <w:right w:val="single" w:sz="4" w:space="0" w:color="auto"/>
            </w:tcBorders>
            <w:vAlign w:val="center"/>
            <w:hideMark/>
          </w:tcPr>
          <w:p w14:paraId="706A652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Moving from development to market requires a staged strategic agenda.</w:t>
            </w:r>
          </w:p>
        </w:tc>
        <w:tc>
          <w:tcPr>
            <w:tcW w:w="1972" w:type="dxa"/>
            <w:tcBorders>
              <w:top w:val="nil"/>
              <w:left w:val="nil"/>
              <w:bottom w:val="single" w:sz="4" w:space="0" w:color="auto"/>
              <w:right w:val="single" w:sz="4" w:space="0" w:color="auto"/>
            </w:tcBorders>
            <w:vAlign w:val="center"/>
            <w:hideMark/>
          </w:tcPr>
          <w:p w14:paraId="3CB6808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Strategic technology agenda; finds roadmap alignment matters.</w:t>
            </w:r>
          </w:p>
        </w:tc>
        <w:tc>
          <w:tcPr>
            <w:tcW w:w="1972" w:type="dxa"/>
            <w:tcBorders>
              <w:top w:val="nil"/>
              <w:left w:val="nil"/>
              <w:bottom w:val="single" w:sz="4" w:space="0" w:color="auto"/>
              <w:right w:val="single" w:sz="4" w:space="0" w:color="auto"/>
            </w:tcBorders>
            <w:vAlign w:val="center"/>
            <w:hideMark/>
          </w:tcPr>
          <w:p w14:paraId="406C7C5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Programmatic.</w:t>
            </w:r>
          </w:p>
        </w:tc>
        <w:tc>
          <w:tcPr>
            <w:tcW w:w="1972" w:type="dxa"/>
            <w:tcBorders>
              <w:top w:val="nil"/>
              <w:left w:val="nil"/>
              <w:bottom w:val="single" w:sz="4" w:space="0" w:color="auto"/>
              <w:right w:val="single" w:sz="4" w:space="0" w:color="auto"/>
            </w:tcBorders>
            <w:vAlign w:val="center"/>
            <w:hideMark/>
          </w:tcPr>
          <w:p w14:paraId="1CEB57F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pathway thinking.</w:t>
            </w:r>
          </w:p>
        </w:tc>
      </w:tr>
      <w:tr w:rsidR="00FB3CCF" w:rsidRPr="00FB3CCF" w14:paraId="3A854B7D"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46D2BCDB"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Astariz</w:t>
            </w:r>
            <w:proofErr w:type="spellEnd"/>
            <w:r w:rsidRPr="00FB3CCF">
              <w:rPr>
                <w:rFonts w:ascii="Arial" w:hAnsi="Arial" w:cs="Arial"/>
                <w:sz w:val="20"/>
                <w:szCs w:val="20"/>
              </w:rPr>
              <w:t xml:space="preserve"> and Iglesias (2015)</w:t>
            </w:r>
          </w:p>
        </w:tc>
        <w:tc>
          <w:tcPr>
            <w:tcW w:w="1972" w:type="dxa"/>
            <w:tcBorders>
              <w:top w:val="nil"/>
              <w:left w:val="nil"/>
              <w:bottom w:val="single" w:sz="4" w:space="0" w:color="auto"/>
              <w:right w:val="single" w:sz="4" w:space="0" w:color="auto"/>
            </w:tcBorders>
            <w:vAlign w:val="center"/>
            <w:hideMark/>
          </w:tcPr>
          <w:p w14:paraId="1DA403B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Wave energy economics remain weak relative to alternatives.</w:t>
            </w:r>
          </w:p>
        </w:tc>
        <w:tc>
          <w:tcPr>
            <w:tcW w:w="1972" w:type="dxa"/>
            <w:tcBorders>
              <w:top w:val="nil"/>
              <w:left w:val="nil"/>
              <w:bottom w:val="single" w:sz="4" w:space="0" w:color="auto"/>
              <w:right w:val="single" w:sz="4" w:space="0" w:color="auto"/>
            </w:tcBorders>
            <w:vAlign w:val="center"/>
            <w:hideMark/>
          </w:tcPr>
          <w:p w14:paraId="382E408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Review; finds costs and uncertainty remain high.</w:t>
            </w:r>
          </w:p>
        </w:tc>
        <w:tc>
          <w:tcPr>
            <w:tcW w:w="1972" w:type="dxa"/>
            <w:tcBorders>
              <w:top w:val="nil"/>
              <w:left w:val="nil"/>
              <w:bottom w:val="single" w:sz="4" w:space="0" w:color="auto"/>
              <w:right w:val="single" w:sz="4" w:space="0" w:color="auto"/>
            </w:tcBorders>
            <w:vAlign w:val="center"/>
            <w:hideMark/>
          </w:tcPr>
          <w:p w14:paraId="616DF00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Broad economic framing, not </w:t>
            </w:r>
            <w:proofErr w:type="gramStart"/>
            <w:r w:rsidRPr="00FB3CCF">
              <w:rPr>
                <w:rFonts w:ascii="Arial" w:hAnsi="Arial" w:cs="Arial"/>
                <w:sz w:val="20"/>
                <w:szCs w:val="20"/>
              </w:rPr>
              <w:t>startup-focused</w:t>
            </w:r>
            <w:proofErr w:type="gramEnd"/>
            <w:r w:rsidRPr="00FB3CCF">
              <w:rPr>
                <w:rFonts w:ascii="Arial" w:hAnsi="Arial" w:cs="Arial"/>
                <w:sz w:val="20"/>
                <w:szCs w:val="20"/>
              </w:rPr>
              <w:t>.</w:t>
            </w:r>
          </w:p>
        </w:tc>
        <w:tc>
          <w:tcPr>
            <w:tcW w:w="1972" w:type="dxa"/>
            <w:tcBorders>
              <w:top w:val="nil"/>
              <w:left w:val="nil"/>
              <w:bottom w:val="single" w:sz="4" w:space="0" w:color="auto"/>
              <w:right w:val="single" w:sz="4" w:space="0" w:color="auto"/>
            </w:tcBorders>
            <w:vAlign w:val="center"/>
            <w:hideMark/>
          </w:tcPr>
          <w:p w14:paraId="519E21D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competitiveness limits.</w:t>
            </w:r>
          </w:p>
        </w:tc>
      </w:tr>
      <w:tr w:rsidR="00FB3CCF" w:rsidRPr="00FB3CCF" w14:paraId="142EA626"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26ADC318"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Astariz</w:t>
            </w:r>
            <w:proofErr w:type="spellEnd"/>
            <w:r w:rsidRPr="00FB3CCF">
              <w:rPr>
                <w:rFonts w:ascii="Arial" w:hAnsi="Arial" w:cs="Arial"/>
                <w:sz w:val="20"/>
                <w:szCs w:val="20"/>
              </w:rPr>
              <w:t xml:space="preserve"> and Iglesias (2016)</w:t>
            </w:r>
          </w:p>
        </w:tc>
        <w:tc>
          <w:tcPr>
            <w:tcW w:w="1972" w:type="dxa"/>
            <w:tcBorders>
              <w:top w:val="nil"/>
              <w:left w:val="nil"/>
              <w:bottom w:val="single" w:sz="4" w:space="0" w:color="auto"/>
              <w:right w:val="single" w:sz="4" w:space="0" w:color="auto"/>
            </w:tcBorders>
            <w:vAlign w:val="center"/>
            <w:hideMark/>
          </w:tcPr>
          <w:p w14:paraId="73222A8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Wave economics compare poorly with other power options without significant improvement.</w:t>
            </w:r>
          </w:p>
        </w:tc>
        <w:tc>
          <w:tcPr>
            <w:tcW w:w="1972" w:type="dxa"/>
            <w:tcBorders>
              <w:top w:val="nil"/>
              <w:left w:val="nil"/>
              <w:bottom w:val="single" w:sz="4" w:space="0" w:color="auto"/>
              <w:right w:val="single" w:sz="4" w:space="0" w:color="auto"/>
            </w:tcBorders>
            <w:vAlign w:val="center"/>
            <w:hideMark/>
          </w:tcPr>
          <w:p w14:paraId="00C6BA2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Reassessment analysis; finds competitiveness challenges are deep.</w:t>
            </w:r>
          </w:p>
        </w:tc>
        <w:tc>
          <w:tcPr>
            <w:tcW w:w="1972" w:type="dxa"/>
            <w:tcBorders>
              <w:top w:val="nil"/>
              <w:left w:val="nil"/>
              <w:bottom w:val="single" w:sz="4" w:space="0" w:color="auto"/>
              <w:right w:val="single" w:sz="4" w:space="0" w:color="auto"/>
            </w:tcBorders>
            <w:vAlign w:val="center"/>
            <w:hideMark/>
          </w:tcPr>
          <w:p w14:paraId="62E0A26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Cost-oriented.</w:t>
            </w:r>
          </w:p>
        </w:tc>
        <w:tc>
          <w:tcPr>
            <w:tcW w:w="1972" w:type="dxa"/>
            <w:tcBorders>
              <w:top w:val="nil"/>
              <w:left w:val="nil"/>
              <w:bottom w:val="single" w:sz="4" w:space="0" w:color="auto"/>
              <w:right w:val="single" w:sz="4" w:space="0" w:color="auto"/>
            </w:tcBorders>
            <w:vAlign w:val="center"/>
            <w:hideMark/>
          </w:tcPr>
          <w:p w14:paraId="5EC3AF7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Important for finance credibility.</w:t>
            </w:r>
          </w:p>
        </w:tc>
      </w:tr>
      <w:tr w:rsidR="00FB3CCF" w:rsidRPr="00FB3CCF" w14:paraId="31CB1A94"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5CA8AB5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Stegman et al. (2017)</w:t>
            </w:r>
          </w:p>
        </w:tc>
        <w:tc>
          <w:tcPr>
            <w:tcW w:w="1972" w:type="dxa"/>
            <w:tcBorders>
              <w:top w:val="nil"/>
              <w:left w:val="nil"/>
              <w:bottom w:val="single" w:sz="4" w:space="0" w:color="auto"/>
              <w:right w:val="single" w:sz="4" w:space="0" w:color="auto"/>
            </w:tcBorders>
            <w:vAlign w:val="center"/>
            <w:hideMark/>
          </w:tcPr>
          <w:p w14:paraId="4DC1F08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Large cost reductions are needed for marine energy to enter the least-cost UK system.</w:t>
            </w:r>
          </w:p>
        </w:tc>
        <w:tc>
          <w:tcPr>
            <w:tcW w:w="1972" w:type="dxa"/>
            <w:tcBorders>
              <w:top w:val="nil"/>
              <w:left w:val="nil"/>
              <w:bottom w:val="single" w:sz="4" w:space="0" w:color="auto"/>
              <w:right w:val="single" w:sz="4" w:space="0" w:color="auto"/>
            </w:tcBorders>
            <w:vAlign w:val="center"/>
            <w:hideMark/>
          </w:tcPr>
          <w:p w14:paraId="24359FF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Whole-systems model; finds deployment depends on major improvement.</w:t>
            </w:r>
          </w:p>
        </w:tc>
        <w:tc>
          <w:tcPr>
            <w:tcW w:w="1972" w:type="dxa"/>
            <w:tcBorders>
              <w:top w:val="nil"/>
              <w:left w:val="nil"/>
              <w:bottom w:val="single" w:sz="4" w:space="0" w:color="auto"/>
              <w:right w:val="single" w:sz="4" w:space="0" w:color="auto"/>
            </w:tcBorders>
            <w:vAlign w:val="center"/>
            <w:hideMark/>
          </w:tcPr>
          <w:p w14:paraId="3847C68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System rather than venture lens.</w:t>
            </w:r>
          </w:p>
        </w:tc>
        <w:tc>
          <w:tcPr>
            <w:tcW w:w="1972" w:type="dxa"/>
            <w:tcBorders>
              <w:top w:val="nil"/>
              <w:left w:val="nil"/>
              <w:bottom w:val="single" w:sz="4" w:space="0" w:color="auto"/>
              <w:right w:val="single" w:sz="4" w:space="0" w:color="auto"/>
            </w:tcBorders>
            <w:vAlign w:val="center"/>
            <w:hideMark/>
          </w:tcPr>
          <w:p w14:paraId="3497775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commercialization thresholds.</w:t>
            </w:r>
          </w:p>
        </w:tc>
      </w:tr>
      <w:tr w:rsidR="00FB3CCF" w:rsidRPr="00FB3CCF" w14:paraId="42487497"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57C779E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Kerr et al. (2021)</w:t>
            </w:r>
          </w:p>
        </w:tc>
        <w:tc>
          <w:tcPr>
            <w:tcW w:w="1972" w:type="dxa"/>
            <w:tcBorders>
              <w:top w:val="nil"/>
              <w:left w:val="nil"/>
              <w:bottom w:val="single" w:sz="4" w:space="0" w:color="auto"/>
              <w:right w:val="single" w:sz="4" w:space="0" w:color="auto"/>
            </w:tcBorders>
            <w:vAlign w:val="center"/>
            <w:hideMark/>
          </w:tcPr>
          <w:p w14:paraId="1A9C807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Radical innovation may be more valuable than deployment-led incremental learning alone.</w:t>
            </w:r>
          </w:p>
        </w:tc>
        <w:tc>
          <w:tcPr>
            <w:tcW w:w="1972" w:type="dxa"/>
            <w:tcBorders>
              <w:top w:val="nil"/>
              <w:left w:val="nil"/>
              <w:bottom w:val="single" w:sz="4" w:space="0" w:color="auto"/>
              <w:right w:val="single" w:sz="4" w:space="0" w:color="auto"/>
            </w:tcBorders>
            <w:vAlign w:val="center"/>
            <w:hideMark/>
          </w:tcPr>
          <w:p w14:paraId="00F91E2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Modelling and policy analysis; finds support needs can become excessive without stronger innovation.</w:t>
            </w:r>
          </w:p>
        </w:tc>
        <w:tc>
          <w:tcPr>
            <w:tcW w:w="1972" w:type="dxa"/>
            <w:tcBorders>
              <w:top w:val="nil"/>
              <w:left w:val="nil"/>
              <w:bottom w:val="single" w:sz="4" w:space="0" w:color="auto"/>
              <w:right w:val="single" w:sz="4" w:space="0" w:color="auto"/>
            </w:tcBorders>
            <w:vAlign w:val="center"/>
            <w:hideMark/>
          </w:tcPr>
          <w:p w14:paraId="7005F47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Abstracted from firm-level realities.</w:t>
            </w:r>
          </w:p>
        </w:tc>
        <w:tc>
          <w:tcPr>
            <w:tcW w:w="1972" w:type="dxa"/>
            <w:tcBorders>
              <w:top w:val="nil"/>
              <w:left w:val="nil"/>
              <w:bottom w:val="single" w:sz="4" w:space="0" w:color="auto"/>
              <w:right w:val="single" w:sz="4" w:space="0" w:color="auto"/>
            </w:tcBorders>
            <w:vAlign w:val="center"/>
            <w:hideMark/>
          </w:tcPr>
          <w:p w14:paraId="2F7F50B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long-term bankability logic.</w:t>
            </w:r>
          </w:p>
        </w:tc>
      </w:tr>
      <w:tr w:rsidR="00FB3CCF" w:rsidRPr="00FB3CCF" w14:paraId="5BABA4EE"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70ADA53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Ruiz-Minguela et al. (2022)</w:t>
            </w:r>
          </w:p>
        </w:tc>
        <w:tc>
          <w:tcPr>
            <w:tcW w:w="1972" w:type="dxa"/>
            <w:tcBorders>
              <w:top w:val="nil"/>
              <w:left w:val="nil"/>
              <w:bottom w:val="single" w:sz="4" w:space="0" w:color="auto"/>
              <w:right w:val="single" w:sz="4" w:space="0" w:color="auto"/>
            </w:tcBorders>
            <w:vAlign w:val="center"/>
            <w:hideMark/>
          </w:tcPr>
          <w:p w14:paraId="50A7F91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Future wave costs remain highly uncertain.</w:t>
            </w:r>
          </w:p>
        </w:tc>
        <w:tc>
          <w:tcPr>
            <w:tcW w:w="1972" w:type="dxa"/>
            <w:tcBorders>
              <w:top w:val="nil"/>
              <w:left w:val="nil"/>
              <w:bottom w:val="single" w:sz="4" w:space="0" w:color="auto"/>
              <w:right w:val="single" w:sz="4" w:space="0" w:color="auto"/>
            </w:tcBorders>
            <w:vAlign w:val="center"/>
            <w:hideMark/>
          </w:tcPr>
          <w:p w14:paraId="570B8D3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Cost estimation study; finds uncertainty remains wide even in future projections.</w:t>
            </w:r>
          </w:p>
        </w:tc>
        <w:tc>
          <w:tcPr>
            <w:tcW w:w="1972" w:type="dxa"/>
            <w:tcBorders>
              <w:top w:val="nil"/>
              <w:left w:val="nil"/>
              <w:bottom w:val="single" w:sz="4" w:space="0" w:color="auto"/>
              <w:right w:val="single" w:sz="4" w:space="0" w:color="auto"/>
            </w:tcBorders>
            <w:vAlign w:val="center"/>
            <w:hideMark/>
          </w:tcPr>
          <w:p w14:paraId="7134869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Modelling uncertainty is itself a result.</w:t>
            </w:r>
          </w:p>
        </w:tc>
        <w:tc>
          <w:tcPr>
            <w:tcW w:w="1972" w:type="dxa"/>
            <w:tcBorders>
              <w:top w:val="nil"/>
              <w:left w:val="nil"/>
              <w:bottom w:val="single" w:sz="4" w:space="0" w:color="auto"/>
              <w:right w:val="single" w:sz="4" w:space="0" w:color="auto"/>
            </w:tcBorders>
            <w:vAlign w:val="center"/>
            <w:hideMark/>
          </w:tcPr>
          <w:p w14:paraId="071C170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investor caution.</w:t>
            </w:r>
          </w:p>
        </w:tc>
      </w:tr>
      <w:tr w:rsidR="00FB3CCF" w:rsidRPr="00FB3CCF" w14:paraId="436FC84F"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62E32C4E"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Têtu</w:t>
            </w:r>
            <w:proofErr w:type="spellEnd"/>
            <w:r w:rsidRPr="00FB3CCF">
              <w:rPr>
                <w:rFonts w:ascii="Arial" w:hAnsi="Arial" w:cs="Arial"/>
                <w:sz w:val="20"/>
                <w:szCs w:val="20"/>
              </w:rPr>
              <w:t xml:space="preserve"> and Fernández </w:t>
            </w:r>
            <w:proofErr w:type="spellStart"/>
            <w:r w:rsidRPr="00FB3CCF">
              <w:rPr>
                <w:rFonts w:ascii="Arial" w:hAnsi="Arial" w:cs="Arial"/>
                <w:sz w:val="20"/>
                <w:szCs w:val="20"/>
              </w:rPr>
              <w:t>Chozas</w:t>
            </w:r>
            <w:proofErr w:type="spellEnd"/>
            <w:r w:rsidRPr="00FB3CCF">
              <w:rPr>
                <w:rFonts w:ascii="Arial" w:hAnsi="Arial" w:cs="Arial"/>
                <w:sz w:val="20"/>
                <w:szCs w:val="20"/>
              </w:rPr>
              <w:t xml:space="preserve"> (2021)</w:t>
            </w:r>
          </w:p>
        </w:tc>
        <w:tc>
          <w:tcPr>
            <w:tcW w:w="1972" w:type="dxa"/>
            <w:tcBorders>
              <w:top w:val="nil"/>
              <w:left w:val="nil"/>
              <w:bottom w:val="single" w:sz="4" w:space="0" w:color="auto"/>
              <w:right w:val="single" w:sz="4" w:space="0" w:color="auto"/>
            </w:tcBorders>
            <w:vAlign w:val="center"/>
            <w:hideMark/>
          </w:tcPr>
          <w:p w14:paraId="4027911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Early-stage economic assessment of WECs needs better guidance.</w:t>
            </w:r>
          </w:p>
        </w:tc>
        <w:tc>
          <w:tcPr>
            <w:tcW w:w="1972" w:type="dxa"/>
            <w:tcBorders>
              <w:top w:val="nil"/>
              <w:left w:val="nil"/>
              <w:bottom w:val="single" w:sz="4" w:space="0" w:color="auto"/>
              <w:right w:val="single" w:sz="4" w:space="0" w:color="auto"/>
            </w:tcBorders>
            <w:vAlign w:val="center"/>
            <w:hideMark/>
          </w:tcPr>
          <w:p w14:paraId="48F6EB2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Guidance proposal; finds inconsistent assessment practices hinder comparability.</w:t>
            </w:r>
          </w:p>
        </w:tc>
        <w:tc>
          <w:tcPr>
            <w:tcW w:w="1972" w:type="dxa"/>
            <w:tcBorders>
              <w:top w:val="nil"/>
              <w:left w:val="nil"/>
              <w:bottom w:val="single" w:sz="4" w:space="0" w:color="auto"/>
              <w:right w:val="single" w:sz="4" w:space="0" w:color="auto"/>
            </w:tcBorders>
            <w:vAlign w:val="center"/>
            <w:hideMark/>
          </w:tcPr>
          <w:p w14:paraId="43A7833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Methodological rather than empirical.</w:t>
            </w:r>
          </w:p>
        </w:tc>
        <w:tc>
          <w:tcPr>
            <w:tcW w:w="1972" w:type="dxa"/>
            <w:tcBorders>
              <w:top w:val="nil"/>
              <w:left w:val="nil"/>
              <w:bottom w:val="single" w:sz="4" w:space="0" w:color="auto"/>
              <w:right w:val="single" w:sz="4" w:space="0" w:color="auto"/>
            </w:tcBorders>
            <w:vAlign w:val="center"/>
            <w:hideMark/>
          </w:tcPr>
          <w:p w14:paraId="0C62C01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evidence quality gap.</w:t>
            </w:r>
          </w:p>
        </w:tc>
      </w:tr>
      <w:tr w:rsidR="00FB3CCF" w:rsidRPr="00FB3CCF" w14:paraId="6236CD30"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3264610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Pennock et al. (2022)</w:t>
            </w:r>
          </w:p>
        </w:tc>
        <w:tc>
          <w:tcPr>
            <w:tcW w:w="1972" w:type="dxa"/>
            <w:tcBorders>
              <w:top w:val="nil"/>
              <w:left w:val="nil"/>
              <w:bottom w:val="single" w:sz="4" w:space="0" w:color="auto"/>
              <w:right w:val="single" w:sz="4" w:space="0" w:color="auto"/>
            </w:tcBorders>
            <w:vAlign w:val="center"/>
            <w:hideMark/>
          </w:tcPr>
          <w:p w14:paraId="4FEA493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Future cost targets can be used to infer current design requirements.</w:t>
            </w:r>
          </w:p>
        </w:tc>
        <w:tc>
          <w:tcPr>
            <w:tcW w:w="1972" w:type="dxa"/>
            <w:tcBorders>
              <w:top w:val="nil"/>
              <w:left w:val="nil"/>
              <w:bottom w:val="single" w:sz="4" w:space="0" w:color="auto"/>
              <w:right w:val="single" w:sz="4" w:space="0" w:color="auto"/>
            </w:tcBorders>
            <w:vAlign w:val="center"/>
            <w:hideMark/>
          </w:tcPr>
          <w:p w14:paraId="6A06B0D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Case studies in offshore renewables; finds back-casting can </w:t>
            </w:r>
            <w:r w:rsidRPr="00FB3CCF">
              <w:rPr>
                <w:rFonts w:ascii="Arial" w:hAnsi="Arial" w:cs="Arial"/>
                <w:sz w:val="20"/>
                <w:szCs w:val="20"/>
              </w:rPr>
              <w:lastRenderedPageBreak/>
              <w:t>guide development priorities.</w:t>
            </w:r>
          </w:p>
        </w:tc>
        <w:tc>
          <w:tcPr>
            <w:tcW w:w="1972" w:type="dxa"/>
            <w:tcBorders>
              <w:top w:val="nil"/>
              <w:left w:val="nil"/>
              <w:bottom w:val="single" w:sz="4" w:space="0" w:color="auto"/>
              <w:right w:val="single" w:sz="4" w:space="0" w:color="auto"/>
            </w:tcBorders>
            <w:vAlign w:val="center"/>
            <w:hideMark/>
          </w:tcPr>
          <w:p w14:paraId="1DBC2D3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lastRenderedPageBreak/>
              <w:t>Indirect on finance.</w:t>
            </w:r>
          </w:p>
        </w:tc>
        <w:tc>
          <w:tcPr>
            <w:tcW w:w="1972" w:type="dxa"/>
            <w:tcBorders>
              <w:top w:val="nil"/>
              <w:left w:val="nil"/>
              <w:bottom w:val="single" w:sz="4" w:space="0" w:color="auto"/>
              <w:right w:val="single" w:sz="4" w:space="0" w:color="auto"/>
            </w:tcBorders>
            <w:vAlign w:val="center"/>
            <w:hideMark/>
          </w:tcPr>
          <w:p w14:paraId="571F2E0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commercialization planning.</w:t>
            </w:r>
          </w:p>
        </w:tc>
      </w:tr>
      <w:tr w:rsidR="00FB3CCF" w:rsidRPr="00FB3CCF" w14:paraId="70591C3D"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6B6A9F2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Andres et al. (2017)</w:t>
            </w:r>
          </w:p>
        </w:tc>
        <w:tc>
          <w:tcPr>
            <w:tcW w:w="1972" w:type="dxa"/>
            <w:tcBorders>
              <w:top w:val="nil"/>
              <w:left w:val="nil"/>
              <w:bottom w:val="single" w:sz="4" w:space="0" w:color="auto"/>
              <w:right w:val="single" w:sz="4" w:space="0" w:color="auto"/>
            </w:tcBorders>
            <w:vAlign w:val="center"/>
            <w:hideMark/>
          </w:tcPr>
          <w:p w14:paraId="74695B0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Reversed LCOE calculations help define design constraints for commercialization.</w:t>
            </w:r>
          </w:p>
        </w:tc>
        <w:tc>
          <w:tcPr>
            <w:tcW w:w="1972" w:type="dxa"/>
            <w:tcBorders>
              <w:top w:val="nil"/>
              <w:left w:val="nil"/>
              <w:bottom w:val="single" w:sz="4" w:space="0" w:color="auto"/>
              <w:right w:val="single" w:sz="4" w:space="0" w:color="auto"/>
            </w:tcBorders>
            <w:vAlign w:val="center"/>
            <w:hideMark/>
          </w:tcPr>
          <w:p w14:paraId="08D6527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Techno-economic modelling; finds design choices are linked to commercial thresholds.</w:t>
            </w:r>
          </w:p>
        </w:tc>
        <w:tc>
          <w:tcPr>
            <w:tcW w:w="1972" w:type="dxa"/>
            <w:tcBorders>
              <w:top w:val="nil"/>
              <w:left w:val="nil"/>
              <w:bottom w:val="single" w:sz="4" w:space="0" w:color="auto"/>
              <w:right w:val="single" w:sz="4" w:space="0" w:color="auto"/>
            </w:tcBorders>
            <w:vAlign w:val="center"/>
            <w:hideMark/>
          </w:tcPr>
          <w:p w14:paraId="2125A1B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Model-dependent.</w:t>
            </w:r>
          </w:p>
        </w:tc>
        <w:tc>
          <w:tcPr>
            <w:tcW w:w="1972" w:type="dxa"/>
            <w:tcBorders>
              <w:top w:val="nil"/>
              <w:left w:val="nil"/>
              <w:bottom w:val="single" w:sz="4" w:space="0" w:color="auto"/>
              <w:right w:val="single" w:sz="4" w:space="0" w:color="auto"/>
            </w:tcBorders>
            <w:vAlign w:val="center"/>
            <w:hideMark/>
          </w:tcPr>
          <w:p w14:paraId="3BBA2CE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technical credibility.</w:t>
            </w:r>
          </w:p>
        </w:tc>
      </w:tr>
      <w:tr w:rsidR="00FB3CCF" w:rsidRPr="00FB3CCF" w14:paraId="7FBA41C8"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259D423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Weber (2012)</w:t>
            </w:r>
          </w:p>
        </w:tc>
        <w:tc>
          <w:tcPr>
            <w:tcW w:w="1972" w:type="dxa"/>
            <w:tcBorders>
              <w:top w:val="nil"/>
              <w:left w:val="nil"/>
              <w:bottom w:val="single" w:sz="4" w:space="0" w:color="auto"/>
              <w:right w:val="single" w:sz="4" w:space="0" w:color="auto"/>
            </w:tcBorders>
            <w:vAlign w:val="center"/>
            <w:hideMark/>
          </w:tcPr>
          <w:p w14:paraId="1D0189E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TRL alone is insufficient for wave technology development.</w:t>
            </w:r>
          </w:p>
        </w:tc>
        <w:tc>
          <w:tcPr>
            <w:tcW w:w="1972" w:type="dxa"/>
            <w:tcBorders>
              <w:top w:val="nil"/>
              <w:left w:val="nil"/>
              <w:bottom w:val="single" w:sz="4" w:space="0" w:color="auto"/>
              <w:right w:val="single" w:sz="4" w:space="0" w:color="auto"/>
            </w:tcBorders>
            <w:vAlign w:val="center"/>
            <w:hideMark/>
          </w:tcPr>
          <w:p w14:paraId="5F14218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Framework development; finds performance level must accompany readiness level.</w:t>
            </w:r>
          </w:p>
        </w:tc>
        <w:tc>
          <w:tcPr>
            <w:tcW w:w="1972" w:type="dxa"/>
            <w:tcBorders>
              <w:top w:val="nil"/>
              <w:left w:val="nil"/>
              <w:bottom w:val="single" w:sz="4" w:space="0" w:color="auto"/>
              <w:right w:val="single" w:sz="4" w:space="0" w:color="auto"/>
            </w:tcBorders>
            <w:vAlign w:val="center"/>
            <w:hideMark/>
          </w:tcPr>
          <w:p w14:paraId="22583F1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Framework rather than outcome evidence.</w:t>
            </w:r>
          </w:p>
        </w:tc>
        <w:tc>
          <w:tcPr>
            <w:tcW w:w="1972" w:type="dxa"/>
            <w:tcBorders>
              <w:top w:val="nil"/>
              <w:left w:val="nil"/>
              <w:bottom w:val="single" w:sz="4" w:space="0" w:color="auto"/>
              <w:right w:val="single" w:sz="4" w:space="0" w:color="auto"/>
            </w:tcBorders>
            <w:vAlign w:val="center"/>
            <w:hideMark/>
          </w:tcPr>
          <w:p w14:paraId="2E7954E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Highly useful for bankability metrics.</w:t>
            </w:r>
          </w:p>
        </w:tc>
      </w:tr>
      <w:tr w:rsidR="00FB3CCF" w:rsidRPr="00FB3CCF" w14:paraId="263E3ED5"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277A942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Weber, Costello and Ringwood (2013)</w:t>
            </w:r>
          </w:p>
        </w:tc>
        <w:tc>
          <w:tcPr>
            <w:tcW w:w="1972" w:type="dxa"/>
            <w:tcBorders>
              <w:top w:val="nil"/>
              <w:left w:val="nil"/>
              <w:bottom w:val="single" w:sz="4" w:space="0" w:color="auto"/>
              <w:right w:val="single" w:sz="4" w:space="0" w:color="auto"/>
            </w:tcBorders>
            <w:vAlign w:val="center"/>
            <w:hideMark/>
          </w:tcPr>
          <w:p w14:paraId="2491CD9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WEC technology performance levels provide a better economic development metric.</w:t>
            </w:r>
          </w:p>
        </w:tc>
        <w:tc>
          <w:tcPr>
            <w:tcW w:w="1972" w:type="dxa"/>
            <w:tcBorders>
              <w:top w:val="nil"/>
              <w:left w:val="nil"/>
              <w:bottom w:val="single" w:sz="4" w:space="0" w:color="auto"/>
              <w:right w:val="single" w:sz="4" w:space="0" w:color="auto"/>
            </w:tcBorders>
            <w:vAlign w:val="center"/>
            <w:hideMark/>
          </w:tcPr>
          <w:p w14:paraId="08881F2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Metric development; finds success depends on performance progression, not just readiness.</w:t>
            </w:r>
          </w:p>
        </w:tc>
        <w:tc>
          <w:tcPr>
            <w:tcW w:w="1972" w:type="dxa"/>
            <w:tcBorders>
              <w:top w:val="nil"/>
              <w:left w:val="nil"/>
              <w:bottom w:val="single" w:sz="4" w:space="0" w:color="auto"/>
              <w:right w:val="single" w:sz="4" w:space="0" w:color="auto"/>
            </w:tcBorders>
            <w:vAlign w:val="center"/>
            <w:hideMark/>
          </w:tcPr>
          <w:p w14:paraId="691ED43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Technical framework.</w:t>
            </w:r>
          </w:p>
        </w:tc>
        <w:tc>
          <w:tcPr>
            <w:tcW w:w="1972" w:type="dxa"/>
            <w:tcBorders>
              <w:top w:val="nil"/>
              <w:left w:val="nil"/>
              <w:bottom w:val="single" w:sz="4" w:space="0" w:color="auto"/>
              <w:right w:val="single" w:sz="4" w:space="0" w:color="auto"/>
            </w:tcBorders>
            <w:vAlign w:val="center"/>
            <w:hideMark/>
          </w:tcPr>
          <w:p w14:paraId="5EC0D1D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Important for evidence and signalling.</w:t>
            </w:r>
          </w:p>
        </w:tc>
      </w:tr>
      <w:tr w:rsidR="00FB3CCF" w:rsidRPr="00FB3CCF" w14:paraId="270401DA"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3CFD272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Weber et al. (2017)</w:t>
            </w:r>
          </w:p>
        </w:tc>
        <w:tc>
          <w:tcPr>
            <w:tcW w:w="1972" w:type="dxa"/>
            <w:tcBorders>
              <w:top w:val="nil"/>
              <w:left w:val="nil"/>
              <w:bottom w:val="single" w:sz="4" w:space="0" w:color="auto"/>
              <w:right w:val="single" w:sz="4" w:space="0" w:color="auto"/>
            </w:tcBorders>
            <w:vAlign w:val="center"/>
            <w:hideMark/>
          </w:tcPr>
          <w:p w14:paraId="56D4D33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Different development trajectories vary sharply in cost, time, and risk.</w:t>
            </w:r>
          </w:p>
        </w:tc>
        <w:tc>
          <w:tcPr>
            <w:tcW w:w="1972" w:type="dxa"/>
            <w:tcBorders>
              <w:top w:val="nil"/>
              <w:left w:val="nil"/>
              <w:bottom w:val="single" w:sz="4" w:space="0" w:color="auto"/>
              <w:right w:val="single" w:sz="4" w:space="0" w:color="auto"/>
            </w:tcBorders>
            <w:vAlign w:val="center"/>
            <w:hideMark/>
          </w:tcPr>
          <w:p w14:paraId="3DB7FE6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Comparative trajectory assessment; finds performance-first pathways may reduce failure risk.</w:t>
            </w:r>
          </w:p>
        </w:tc>
        <w:tc>
          <w:tcPr>
            <w:tcW w:w="1972" w:type="dxa"/>
            <w:tcBorders>
              <w:top w:val="nil"/>
              <w:left w:val="nil"/>
              <w:bottom w:val="single" w:sz="4" w:space="0" w:color="auto"/>
              <w:right w:val="single" w:sz="4" w:space="0" w:color="auto"/>
            </w:tcBorders>
            <w:vAlign w:val="center"/>
            <w:hideMark/>
          </w:tcPr>
          <w:p w14:paraId="56A8C22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Scenario-based.</w:t>
            </w:r>
          </w:p>
        </w:tc>
        <w:tc>
          <w:tcPr>
            <w:tcW w:w="1972" w:type="dxa"/>
            <w:tcBorders>
              <w:top w:val="nil"/>
              <w:left w:val="nil"/>
              <w:bottom w:val="single" w:sz="4" w:space="0" w:color="auto"/>
              <w:right w:val="single" w:sz="4" w:space="0" w:color="auto"/>
            </w:tcBorders>
            <w:vAlign w:val="center"/>
            <w:hideMark/>
          </w:tcPr>
          <w:p w14:paraId="232D96E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Valuable for staged commercialization decisions.</w:t>
            </w:r>
          </w:p>
        </w:tc>
      </w:tr>
      <w:tr w:rsidR="00FB3CCF" w:rsidRPr="00FB3CCF" w14:paraId="689A50D6"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5FC7D66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O’Connor, Lewis and Dalton (2013a)</w:t>
            </w:r>
          </w:p>
        </w:tc>
        <w:tc>
          <w:tcPr>
            <w:tcW w:w="1972" w:type="dxa"/>
            <w:tcBorders>
              <w:top w:val="nil"/>
              <w:left w:val="nil"/>
              <w:bottom w:val="single" w:sz="4" w:space="0" w:color="auto"/>
              <w:right w:val="single" w:sz="4" w:space="0" w:color="auto"/>
            </w:tcBorders>
            <w:vAlign w:val="center"/>
            <w:hideMark/>
          </w:tcPr>
          <w:p w14:paraId="1079B8F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Pelamis and </w:t>
            </w:r>
            <w:proofErr w:type="spellStart"/>
            <w:r w:rsidRPr="00FB3CCF">
              <w:rPr>
                <w:rFonts w:ascii="Arial" w:hAnsi="Arial" w:cs="Arial"/>
                <w:sz w:val="20"/>
                <w:szCs w:val="20"/>
              </w:rPr>
              <w:t>Wavestar</w:t>
            </w:r>
            <w:proofErr w:type="spellEnd"/>
            <w:r w:rsidRPr="00FB3CCF">
              <w:rPr>
                <w:rFonts w:ascii="Arial" w:hAnsi="Arial" w:cs="Arial"/>
                <w:sz w:val="20"/>
                <w:szCs w:val="20"/>
              </w:rPr>
              <w:t xml:space="preserve"> perform differently by location and rating.</w:t>
            </w:r>
          </w:p>
        </w:tc>
        <w:tc>
          <w:tcPr>
            <w:tcW w:w="1972" w:type="dxa"/>
            <w:tcBorders>
              <w:top w:val="nil"/>
              <w:left w:val="nil"/>
              <w:bottom w:val="single" w:sz="4" w:space="0" w:color="auto"/>
              <w:right w:val="single" w:sz="4" w:space="0" w:color="auto"/>
            </w:tcBorders>
            <w:vAlign w:val="center"/>
            <w:hideMark/>
          </w:tcPr>
          <w:p w14:paraId="28BA8DE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Comparative simulation; finds commercial performance is site- and design-dependent.</w:t>
            </w:r>
          </w:p>
        </w:tc>
        <w:tc>
          <w:tcPr>
            <w:tcW w:w="1972" w:type="dxa"/>
            <w:tcBorders>
              <w:top w:val="nil"/>
              <w:left w:val="nil"/>
              <w:bottom w:val="single" w:sz="4" w:space="0" w:color="auto"/>
              <w:right w:val="single" w:sz="4" w:space="0" w:color="auto"/>
            </w:tcBorders>
            <w:vAlign w:val="center"/>
            <w:hideMark/>
          </w:tcPr>
          <w:p w14:paraId="17E21E5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Case-specific.</w:t>
            </w:r>
          </w:p>
        </w:tc>
        <w:tc>
          <w:tcPr>
            <w:tcW w:w="1972" w:type="dxa"/>
            <w:tcBorders>
              <w:top w:val="nil"/>
              <w:left w:val="nil"/>
              <w:bottom w:val="single" w:sz="4" w:space="0" w:color="auto"/>
              <w:right w:val="single" w:sz="4" w:space="0" w:color="auto"/>
            </w:tcBorders>
            <w:vAlign w:val="center"/>
            <w:hideMark/>
          </w:tcPr>
          <w:p w14:paraId="58B310D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project heterogeneity.</w:t>
            </w:r>
          </w:p>
        </w:tc>
      </w:tr>
      <w:tr w:rsidR="00FB3CCF" w:rsidRPr="00FB3CCF" w14:paraId="739099E8"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031C133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Gray et al. (2017)</w:t>
            </w:r>
          </w:p>
        </w:tc>
        <w:tc>
          <w:tcPr>
            <w:tcW w:w="1972" w:type="dxa"/>
            <w:tcBorders>
              <w:top w:val="nil"/>
              <w:left w:val="nil"/>
              <w:bottom w:val="single" w:sz="4" w:space="0" w:color="auto"/>
              <w:right w:val="single" w:sz="4" w:space="0" w:color="auto"/>
            </w:tcBorders>
            <w:vAlign w:val="center"/>
            <w:hideMark/>
          </w:tcPr>
          <w:p w14:paraId="6718CC1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Reliability and O&amp;M are highly site-sensitive in wave converters.</w:t>
            </w:r>
          </w:p>
        </w:tc>
        <w:tc>
          <w:tcPr>
            <w:tcW w:w="1972" w:type="dxa"/>
            <w:tcBorders>
              <w:top w:val="nil"/>
              <w:left w:val="nil"/>
              <w:bottom w:val="single" w:sz="4" w:space="0" w:color="auto"/>
              <w:right w:val="single" w:sz="4" w:space="0" w:color="auto"/>
            </w:tcBorders>
            <w:vAlign w:val="center"/>
            <w:hideMark/>
          </w:tcPr>
          <w:p w14:paraId="3D59616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Sensitivity analysis; finds maintenance context strongly affects economics.</w:t>
            </w:r>
          </w:p>
        </w:tc>
        <w:tc>
          <w:tcPr>
            <w:tcW w:w="1972" w:type="dxa"/>
            <w:tcBorders>
              <w:top w:val="nil"/>
              <w:left w:val="nil"/>
              <w:bottom w:val="single" w:sz="4" w:space="0" w:color="auto"/>
              <w:right w:val="single" w:sz="4" w:space="0" w:color="auto"/>
            </w:tcBorders>
            <w:vAlign w:val="center"/>
            <w:hideMark/>
          </w:tcPr>
          <w:p w14:paraId="28FB546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Technical but </w:t>
            </w:r>
            <w:proofErr w:type="gramStart"/>
            <w:r w:rsidRPr="00FB3CCF">
              <w:rPr>
                <w:rFonts w:ascii="Arial" w:hAnsi="Arial" w:cs="Arial"/>
                <w:sz w:val="20"/>
                <w:szCs w:val="20"/>
              </w:rPr>
              <w:t>finance-relevant</w:t>
            </w:r>
            <w:proofErr w:type="gramEnd"/>
            <w:r w:rsidRPr="00FB3CCF">
              <w:rPr>
                <w:rFonts w:ascii="Arial" w:hAnsi="Arial" w:cs="Arial"/>
                <w:sz w:val="20"/>
                <w:szCs w:val="20"/>
              </w:rPr>
              <w:t>.</w:t>
            </w:r>
          </w:p>
        </w:tc>
        <w:tc>
          <w:tcPr>
            <w:tcW w:w="1972" w:type="dxa"/>
            <w:tcBorders>
              <w:top w:val="nil"/>
              <w:left w:val="nil"/>
              <w:bottom w:val="single" w:sz="4" w:space="0" w:color="auto"/>
              <w:right w:val="single" w:sz="4" w:space="0" w:color="auto"/>
            </w:tcBorders>
            <w:vAlign w:val="center"/>
            <w:hideMark/>
          </w:tcPr>
          <w:p w14:paraId="4CE11FD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operational bankability.</w:t>
            </w:r>
          </w:p>
        </w:tc>
      </w:tr>
      <w:tr w:rsidR="00FB3CCF" w:rsidRPr="00FB3CCF" w14:paraId="14BD2921"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0D6D48B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Topper et al. (2019)</w:t>
            </w:r>
          </w:p>
        </w:tc>
        <w:tc>
          <w:tcPr>
            <w:tcW w:w="1972" w:type="dxa"/>
            <w:tcBorders>
              <w:top w:val="nil"/>
              <w:left w:val="nil"/>
              <w:bottom w:val="single" w:sz="4" w:space="0" w:color="auto"/>
              <w:right w:val="single" w:sz="4" w:space="0" w:color="auto"/>
            </w:tcBorders>
            <w:vAlign w:val="center"/>
            <w:hideMark/>
          </w:tcPr>
          <w:p w14:paraId="348AD8C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Cost-of-energy variability remains a major issue for ocean energy arrays.</w:t>
            </w:r>
          </w:p>
        </w:tc>
        <w:tc>
          <w:tcPr>
            <w:tcW w:w="1972" w:type="dxa"/>
            <w:tcBorders>
              <w:top w:val="nil"/>
              <w:left w:val="nil"/>
              <w:bottom w:val="single" w:sz="4" w:space="0" w:color="auto"/>
              <w:right w:val="single" w:sz="4" w:space="0" w:color="auto"/>
            </w:tcBorders>
            <w:vAlign w:val="center"/>
            <w:hideMark/>
          </w:tcPr>
          <w:p w14:paraId="4DAA939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Modelling analysis; finds variability itself is a risk source.</w:t>
            </w:r>
          </w:p>
        </w:tc>
        <w:tc>
          <w:tcPr>
            <w:tcW w:w="1972" w:type="dxa"/>
            <w:tcBorders>
              <w:top w:val="nil"/>
              <w:left w:val="nil"/>
              <w:bottom w:val="single" w:sz="4" w:space="0" w:color="auto"/>
              <w:right w:val="single" w:sz="4" w:space="0" w:color="auto"/>
            </w:tcBorders>
            <w:vAlign w:val="center"/>
            <w:hideMark/>
          </w:tcPr>
          <w:p w14:paraId="23ED177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Array focus.</w:t>
            </w:r>
          </w:p>
        </w:tc>
        <w:tc>
          <w:tcPr>
            <w:tcW w:w="1972" w:type="dxa"/>
            <w:tcBorders>
              <w:top w:val="nil"/>
              <w:left w:val="nil"/>
              <w:bottom w:val="single" w:sz="4" w:space="0" w:color="auto"/>
              <w:right w:val="single" w:sz="4" w:space="0" w:color="auto"/>
            </w:tcBorders>
            <w:vAlign w:val="center"/>
            <w:hideMark/>
          </w:tcPr>
          <w:p w14:paraId="59AB1E7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finance uncertainty.</w:t>
            </w:r>
          </w:p>
        </w:tc>
      </w:tr>
      <w:tr w:rsidR="00FB3CCF" w:rsidRPr="00FB3CCF" w14:paraId="3DE16836"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37DFA5A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lastRenderedPageBreak/>
              <w:t>O’Connor, Lewis and Dalton (2013b)</w:t>
            </w:r>
          </w:p>
        </w:tc>
        <w:tc>
          <w:tcPr>
            <w:tcW w:w="1972" w:type="dxa"/>
            <w:tcBorders>
              <w:top w:val="nil"/>
              <w:left w:val="nil"/>
              <w:bottom w:val="single" w:sz="4" w:space="0" w:color="auto"/>
              <w:right w:val="single" w:sz="4" w:space="0" w:color="auto"/>
            </w:tcBorders>
            <w:vAlign w:val="center"/>
            <w:hideMark/>
          </w:tcPr>
          <w:p w14:paraId="19E339F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Operating expenditure materially affects financial returns in wave projects.</w:t>
            </w:r>
          </w:p>
        </w:tc>
        <w:tc>
          <w:tcPr>
            <w:tcW w:w="1972" w:type="dxa"/>
            <w:tcBorders>
              <w:top w:val="nil"/>
              <w:left w:val="nil"/>
              <w:bottom w:val="single" w:sz="4" w:space="0" w:color="auto"/>
              <w:right w:val="single" w:sz="4" w:space="0" w:color="auto"/>
            </w:tcBorders>
            <w:vAlign w:val="center"/>
            <w:hideMark/>
          </w:tcPr>
          <w:p w14:paraId="3D33459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Financial modelling; finds OPEX uncertainty can damage returns substantially.</w:t>
            </w:r>
          </w:p>
        </w:tc>
        <w:tc>
          <w:tcPr>
            <w:tcW w:w="1972" w:type="dxa"/>
            <w:tcBorders>
              <w:top w:val="nil"/>
              <w:left w:val="nil"/>
              <w:bottom w:val="single" w:sz="4" w:space="0" w:color="auto"/>
              <w:right w:val="single" w:sz="4" w:space="0" w:color="auto"/>
            </w:tcBorders>
            <w:vAlign w:val="center"/>
            <w:hideMark/>
          </w:tcPr>
          <w:p w14:paraId="7302A18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Project-level.</w:t>
            </w:r>
          </w:p>
        </w:tc>
        <w:tc>
          <w:tcPr>
            <w:tcW w:w="1972" w:type="dxa"/>
            <w:tcBorders>
              <w:top w:val="nil"/>
              <w:left w:val="nil"/>
              <w:bottom w:val="single" w:sz="4" w:space="0" w:color="auto"/>
              <w:right w:val="single" w:sz="4" w:space="0" w:color="auto"/>
            </w:tcBorders>
            <w:vAlign w:val="center"/>
            <w:hideMark/>
          </w:tcPr>
          <w:p w14:paraId="46FB9DC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for revenue and cost credibility.</w:t>
            </w:r>
          </w:p>
        </w:tc>
      </w:tr>
      <w:tr w:rsidR="00FB3CCF" w:rsidRPr="00FB3CCF" w14:paraId="105449B9"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0B67B5F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Renzi et al. (2021)</w:t>
            </w:r>
          </w:p>
        </w:tc>
        <w:tc>
          <w:tcPr>
            <w:tcW w:w="1972" w:type="dxa"/>
            <w:tcBorders>
              <w:top w:val="nil"/>
              <w:left w:val="nil"/>
              <w:bottom w:val="single" w:sz="4" w:space="0" w:color="auto"/>
              <w:right w:val="single" w:sz="4" w:space="0" w:color="auto"/>
            </w:tcBorders>
            <w:vAlign w:val="center"/>
            <w:hideMark/>
          </w:tcPr>
          <w:p w14:paraId="24BB754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Niche applications may provide more realistic pathways for some wave technologies.</w:t>
            </w:r>
          </w:p>
        </w:tc>
        <w:tc>
          <w:tcPr>
            <w:tcW w:w="1972" w:type="dxa"/>
            <w:tcBorders>
              <w:top w:val="nil"/>
              <w:left w:val="nil"/>
              <w:bottom w:val="single" w:sz="4" w:space="0" w:color="auto"/>
              <w:right w:val="single" w:sz="4" w:space="0" w:color="auto"/>
            </w:tcBorders>
            <w:vAlign w:val="center"/>
            <w:hideMark/>
          </w:tcPr>
          <w:p w14:paraId="468E19E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Application review; finds not all paths need immediate utility-scale competition.</w:t>
            </w:r>
          </w:p>
        </w:tc>
        <w:tc>
          <w:tcPr>
            <w:tcW w:w="1972" w:type="dxa"/>
            <w:tcBorders>
              <w:top w:val="nil"/>
              <w:left w:val="nil"/>
              <w:bottom w:val="single" w:sz="4" w:space="0" w:color="auto"/>
              <w:right w:val="single" w:sz="4" w:space="0" w:color="auto"/>
            </w:tcBorders>
            <w:vAlign w:val="center"/>
            <w:hideMark/>
          </w:tcPr>
          <w:p w14:paraId="5483895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Still speculative in places.</w:t>
            </w:r>
          </w:p>
        </w:tc>
        <w:tc>
          <w:tcPr>
            <w:tcW w:w="1972" w:type="dxa"/>
            <w:tcBorders>
              <w:top w:val="nil"/>
              <w:left w:val="nil"/>
              <w:bottom w:val="single" w:sz="4" w:space="0" w:color="auto"/>
              <w:right w:val="single" w:sz="4" w:space="0" w:color="auto"/>
            </w:tcBorders>
            <w:vAlign w:val="center"/>
            <w:hideMark/>
          </w:tcPr>
          <w:p w14:paraId="55393FE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alternative pathway source.</w:t>
            </w:r>
          </w:p>
        </w:tc>
      </w:tr>
      <w:tr w:rsidR="00FB3CCF" w:rsidRPr="00FB3CCF" w14:paraId="61515259"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0C9CED6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Bertram et al. (2020)</w:t>
            </w:r>
          </w:p>
        </w:tc>
        <w:tc>
          <w:tcPr>
            <w:tcW w:w="1972" w:type="dxa"/>
            <w:tcBorders>
              <w:top w:val="nil"/>
              <w:left w:val="nil"/>
              <w:bottom w:val="single" w:sz="4" w:space="0" w:color="auto"/>
              <w:right w:val="single" w:sz="4" w:space="0" w:color="auto"/>
            </w:tcBorders>
            <w:vAlign w:val="center"/>
            <w:hideMark/>
          </w:tcPr>
          <w:p w14:paraId="7B4CBF9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Device suitability and site matching matter for commercial viability.</w:t>
            </w:r>
          </w:p>
        </w:tc>
        <w:tc>
          <w:tcPr>
            <w:tcW w:w="1972" w:type="dxa"/>
            <w:tcBorders>
              <w:top w:val="nil"/>
              <w:left w:val="nil"/>
              <w:bottom w:val="single" w:sz="4" w:space="0" w:color="auto"/>
              <w:right w:val="single" w:sz="4" w:space="0" w:color="auto"/>
            </w:tcBorders>
            <w:vAlign w:val="center"/>
            <w:hideMark/>
          </w:tcPr>
          <w:p w14:paraId="4A5FEE8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Feasibility and selection analysis; finds misfit can destroy viability.</w:t>
            </w:r>
          </w:p>
        </w:tc>
        <w:tc>
          <w:tcPr>
            <w:tcW w:w="1972" w:type="dxa"/>
            <w:tcBorders>
              <w:top w:val="nil"/>
              <w:left w:val="nil"/>
              <w:bottom w:val="single" w:sz="4" w:space="0" w:color="auto"/>
              <w:right w:val="single" w:sz="4" w:space="0" w:color="auto"/>
            </w:tcBorders>
            <w:vAlign w:val="center"/>
            <w:hideMark/>
          </w:tcPr>
          <w:p w14:paraId="5D4DD07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Engineering-heavy.</w:t>
            </w:r>
          </w:p>
        </w:tc>
        <w:tc>
          <w:tcPr>
            <w:tcW w:w="1972" w:type="dxa"/>
            <w:tcBorders>
              <w:top w:val="nil"/>
              <w:left w:val="nil"/>
              <w:bottom w:val="single" w:sz="4" w:space="0" w:color="auto"/>
              <w:right w:val="single" w:sz="4" w:space="0" w:color="auto"/>
            </w:tcBorders>
            <w:vAlign w:val="center"/>
            <w:hideMark/>
          </w:tcPr>
          <w:p w14:paraId="0D43138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bankability conditions.</w:t>
            </w:r>
          </w:p>
        </w:tc>
      </w:tr>
      <w:tr w:rsidR="00FB3CCF" w:rsidRPr="00FB3CCF" w14:paraId="4157738F"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07D1098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Iglesias, </w:t>
            </w:r>
            <w:proofErr w:type="spellStart"/>
            <w:r w:rsidRPr="00FB3CCF">
              <w:rPr>
                <w:rFonts w:ascii="Arial" w:hAnsi="Arial" w:cs="Arial"/>
                <w:sz w:val="20"/>
                <w:szCs w:val="20"/>
              </w:rPr>
              <w:t>Astariz</w:t>
            </w:r>
            <w:proofErr w:type="spellEnd"/>
            <w:r w:rsidRPr="00FB3CCF">
              <w:rPr>
                <w:rFonts w:ascii="Arial" w:hAnsi="Arial" w:cs="Arial"/>
                <w:sz w:val="20"/>
                <w:szCs w:val="20"/>
              </w:rPr>
              <w:t xml:space="preserve"> and Vázquez (2018)</w:t>
            </w:r>
          </w:p>
        </w:tc>
        <w:tc>
          <w:tcPr>
            <w:tcW w:w="1972" w:type="dxa"/>
            <w:tcBorders>
              <w:top w:val="nil"/>
              <w:left w:val="nil"/>
              <w:bottom w:val="single" w:sz="4" w:space="0" w:color="auto"/>
              <w:right w:val="single" w:sz="4" w:space="0" w:color="auto"/>
            </w:tcBorders>
            <w:vAlign w:val="center"/>
            <w:hideMark/>
          </w:tcPr>
          <w:p w14:paraId="7967812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Wave and tidal economics remain heavily contingent on technical and deployment assumptions.</w:t>
            </w:r>
          </w:p>
        </w:tc>
        <w:tc>
          <w:tcPr>
            <w:tcW w:w="1972" w:type="dxa"/>
            <w:tcBorders>
              <w:top w:val="nil"/>
              <w:left w:val="nil"/>
              <w:bottom w:val="single" w:sz="4" w:space="0" w:color="auto"/>
              <w:right w:val="single" w:sz="4" w:space="0" w:color="auto"/>
            </w:tcBorders>
            <w:vAlign w:val="center"/>
            <w:hideMark/>
          </w:tcPr>
          <w:p w14:paraId="12D2410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Review; finds uncertainty remains intrinsic.</w:t>
            </w:r>
          </w:p>
        </w:tc>
        <w:tc>
          <w:tcPr>
            <w:tcW w:w="1972" w:type="dxa"/>
            <w:tcBorders>
              <w:top w:val="nil"/>
              <w:left w:val="nil"/>
              <w:bottom w:val="single" w:sz="4" w:space="0" w:color="auto"/>
              <w:right w:val="single" w:sz="4" w:space="0" w:color="auto"/>
            </w:tcBorders>
            <w:vAlign w:val="center"/>
            <w:hideMark/>
          </w:tcPr>
          <w:p w14:paraId="2714B80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 overview.</w:t>
            </w:r>
          </w:p>
        </w:tc>
        <w:tc>
          <w:tcPr>
            <w:tcW w:w="1972" w:type="dxa"/>
            <w:tcBorders>
              <w:top w:val="nil"/>
              <w:left w:val="nil"/>
              <w:bottom w:val="single" w:sz="4" w:space="0" w:color="auto"/>
              <w:right w:val="single" w:sz="4" w:space="0" w:color="auto"/>
            </w:tcBorders>
            <w:vAlign w:val="center"/>
            <w:hideMark/>
          </w:tcPr>
          <w:p w14:paraId="60E4B74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background economics.</w:t>
            </w:r>
          </w:p>
        </w:tc>
      </w:tr>
      <w:tr w:rsidR="00FB3CCF" w:rsidRPr="00FB3CCF" w14:paraId="6BA5BDB1" w14:textId="77777777" w:rsidTr="00442932">
        <w:trPr>
          <w:trHeight w:val="1647"/>
          <w:jc w:val="center"/>
        </w:trPr>
        <w:tc>
          <w:tcPr>
            <w:tcW w:w="1972" w:type="dxa"/>
            <w:tcBorders>
              <w:top w:val="nil"/>
              <w:left w:val="single" w:sz="4" w:space="0" w:color="auto"/>
              <w:bottom w:val="single" w:sz="4" w:space="0" w:color="auto"/>
              <w:right w:val="single" w:sz="4" w:space="0" w:color="auto"/>
            </w:tcBorders>
            <w:vAlign w:val="center"/>
            <w:hideMark/>
          </w:tcPr>
          <w:p w14:paraId="52F9163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Future Marine Energy Challenge (c.2000)</w:t>
            </w:r>
          </w:p>
        </w:tc>
        <w:tc>
          <w:tcPr>
            <w:tcW w:w="1972" w:type="dxa"/>
            <w:tcBorders>
              <w:top w:val="nil"/>
              <w:left w:val="nil"/>
              <w:bottom w:val="single" w:sz="4" w:space="0" w:color="auto"/>
              <w:right w:val="single" w:sz="4" w:space="0" w:color="auto"/>
            </w:tcBorders>
            <w:vAlign w:val="center"/>
            <w:hideMark/>
          </w:tcPr>
          <w:p w14:paraId="38D5C04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Early UK expectations for marine cost reduction were ambitious.</w:t>
            </w:r>
          </w:p>
        </w:tc>
        <w:tc>
          <w:tcPr>
            <w:tcW w:w="1972" w:type="dxa"/>
            <w:tcBorders>
              <w:top w:val="nil"/>
              <w:left w:val="nil"/>
              <w:bottom w:val="single" w:sz="4" w:space="0" w:color="auto"/>
              <w:right w:val="single" w:sz="4" w:space="0" w:color="auto"/>
            </w:tcBorders>
            <w:vAlign w:val="center"/>
            <w:hideMark/>
          </w:tcPr>
          <w:p w14:paraId="7B3D3EA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Early challenge assessment; finds long-standing optimism may have set unrealistic benchmarks.</w:t>
            </w:r>
          </w:p>
        </w:tc>
        <w:tc>
          <w:tcPr>
            <w:tcW w:w="1972" w:type="dxa"/>
            <w:tcBorders>
              <w:top w:val="nil"/>
              <w:left w:val="nil"/>
              <w:bottom w:val="single" w:sz="4" w:space="0" w:color="auto"/>
              <w:right w:val="single" w:sz="4" w:space="0" w:color="auto"/>
            </w:tcBorders>
            <w:vAlign w:val="center"/>
            <w:hideMark/>
          </w:tcPr>
          <w:p w14:paraId="7799599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Dated but revealing.</w:t>
            </w:r>
          </w:p>
        </w:tc>
        <w:tc>
          <w:tcPr>
            <w:tcW w:w="1972" w:type="dxa"/>
            <w:tcBorders>
              <w:top w:val="nil"/>
              <w:left w:val="nil"/>
              <w:bottom w:val="single" w:sz="4" w:space="0" w:color="auto"/>
              <w:right w:val="single" w:sz="4" w:space="0" w:color="auto"/>
            </w:tcBorders>
            <w:vAlign w:val="center"/>
            <w:hideMark/>
          </w:tcPr>
          <w:p w14:paraId="510FF13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historical baseline.</w:t>
            </w:r>
          </w:p>
        </w:tc>
      </w:tr>
      <w:tr w:rsidR="00FB3CCF" w:rsidRPr="00FB3CCF" w14:paraId="513B8705" w14:textId="77777777" w:rsidTr="00442932">
        <w:trPr>
          <w:trHeight w:val="317"/>
          <w:jc w:val="center"/>
        </w:trPr>
        <w:tc>
          <w:tcPr>
            <w:tcW w:w="7891" w:type="dxa"/>
            <w:gridSpan w:val="4"/>
            <w:tcBorders>
              <w:top w:val="nil"/>
              <w:left w:val="nil"/>
              <w:bottom w:val="nil"/>
              <w:right w:val="nil"/>
            </w:tcBorders>
            <w:vAlign w:val="center"/>
            <w:hideMark/>
          </w:tcPr>
          <w:p w14:paraId="506B3306" w14:textId="77777777" w:rsidR="00FB3CCF" w:rsidRPr="00FB3CCF" w:rsidRDefault="00FB3CCF" w:rsidP="00442932">
            <w:pPr>
              <w:rPr>
                <w:rFonts w:ascii="Arial" w:hAnsi="Arial" w:cs="Arial"/>
                <w:sz w:val="20"/>
                <w:szCs w:val="20"/>
              </w:rPr>
            </w:pPr>
            <w:r w:rsidRPr="00FB3CCF">
              <w:rPr>
                <w:rFonts w:ascii="Arial" w:hAnsi="Arial" w:cs="Arial"/>
                <w:sz w:val="20"/>
                <w:szCs w:val="20"/>
              </w:rPr>
              <w:t>Source: Author’s synthesis based on the reviewed literature.</w:t>
            </w:r>
          </w:p>
        </w:tc>
        <w:tc>
          <w:tcPr>
            <w:tcW w:w="1972" w:type="dxa"/>
            <w:tcBorders>
              <w:top w:val="nil"/>
              <w:left w:val="nil"/>
              <w:bottom w:val="nil"/>
              <w:right w:val="nil"/>
            </w:tcBorders>
            <w:noWrap/>
            <w:vAlign w:val="bottom"/>
            <w:hideMark/>
          </w:tcPr>
          <w:p w14:paraId="3B915375" w14:textId="77777777" w:rsidR="00FB3CCF" w:rsidRPr="00FB3CCF" w:rsidRDefault="00FB3CCF" w:rsidP="00442932">
            <w:pPr>
              <w:rPr>
                <w:rFonts w:ascii="Arial" w:hAnsi="Arial" w:cs="Arial"/>
                <w:sz w:val="20"/>
                <w:szCs w:val="20"/>
              </w:rPr>
            </w:pPr>
          </w:p>
        </w:tc>
      </w:tr>
    </w:tbl>
    <w:p w14:paraId="73B7AAA6" w14:textId="77777777" w:rsidR="00FB3CCF" w:rsidRPr="00FB3CCF" w:rsidRDefault="00FB3CCF" w:rsidP="00FB3CCF">
      <w:pPr>
        <w:spacing w:line="360" w:lineRule="auto"/>
        <w:jc w:val="both"/>
        <w:rPr>
          <w:rFonts w:ascii="Arial" w:hAnsi="Arial" w:cs="Arial"/>
          <w:b/>
          <w:bCs/>
        </w:rPr>
      </w:pPr>
    </w:p>
    <w:p w14:paraId="681A885B" w14:textId="77777777" w:rsidR="00FB3CCF" w:rsidRPr="00FB3CCF" w:rsidRDefault="00FB3CCF" w:rsidP="00FB3CCF">
      <w:pPr>
        <w:spacing w:line="360" w:lineRule="auto"/>
        <w:jc w:val="both"/>
        <w:rPr>
          <w:rFonts w:ascii="Arial" w:hAnsi="Arial" w:cs="Arial"/>
          <w:b/>
          <w:bCs/>
        </w:rPr>
      </w:pPr>
    </w:p>
    <w:p w14:paraId="5CEDF408" w14:textId="77777777" w:rsidR="00FB3CCF" w:rsidRPr="00FB3CCF" w:rsidRDefault="00FB3CCF" w:rsidP="00FB3CCF">
      <w:pPr>
        <w:spacing w:line="360" w:lineRule="auto"/>
        <w:jc w:val="both"/>
        <w:rPr>
          <w:rFonts w:ascii="Arial" w:hAnsi="Arial" w:cs="Arial"/>
          <w:b/>
          <w:bCs/>
        </w:rPr>
      </w:pPr>
    </w:p>
    <w:p w14:paraId="2FB7C31B" w14:textId="77777777" w:rsidR="00FB3CCF" w:rsidRPr="00FB3CCF" w:rsidRDefault="00FB3CCF" w:rsidP="00FB3CCF">
      <w:pPr>
        <w:spacing w:line="360" w:lineRule="auto"/>
        <w:jc w:val="both"/>
        <w:rPr>
          <w:rFonts w:ascii="Arial" w:hAnsi="Arial" w:cs="Arial"/>
          <w:b/>
          <w:bCs/>
        </w:rPr>
      </w:pPr>
    </w:p>
    <w:p w14:paraId="37C4A160" w14:textId="77777777" w:rsidR="00FB3CCF" w:rsidRPr="00FB3CCF" w:rsidRDefault="00FB3CCF" w:rsidP="00FB3CCF">
      <w:pPr>
        <w:spacing w:line="360" w:lineRule="auto"/>
        <w:jc w:val="both"/>
        <w:rPr>
          <w:rFonts w:ascii="Arial" w:hAnsi="Arial" w:cs="Arial"/>
          <w:b/>
          <w:bCs/>
        </w:rPr>
      </w:pPr>
    </w:p>
    <w:p w14:paraId="0D6FAD0E" w14:textId="77777777" w:rsidR="00FB3CCF" w:rsidRPr="00FB3CCF" w:rsidRDefault="00FB3CCF" w:rsidP="00FB3CCF">
      <w:pPr>
        <w:spacing w:line="360" w:lineRule="auto"/>
        <w:jc w:val="both"/>
        <w:rPr>
          <w:rFonts w:ascii="Arial" w:hAnsi="Arial" w:cs="Arial"/>
          <w:b/>
          <w:bCs/>
        </w:rPr>
      </w:pPr>
    </w:p>
    <w:p w14:paraId="104EA903" w14:textId="77777777" w:rsidR="00FB3CCF" w:rsidRPr="00FB3CCF" w:rsidRDefault="00FB3CCF" w:rsidP="00FB3CCF">
      <w:pPr>
        <w:spacing w:line="360" w:lineRule="auto"/>
        <w:jc w:val="both"/>
        <w:rPr>
          <w:rFonts w:ascii="Arial" w:hAnsi="Arial" w:cs="Arial"/>
          <w:b/>
          <w:bCs/>
        </w:rPr>
      </w:pPr>
    </w:p>
    <w:p w14:paraId="34B69109" w14:textId="77777777" w:rsidR="00FB3CCF" w:rsidRPr="00FB3CCF" w:rsidRDefault="00FB3CCF" w:rsidP="00FB3CCF">
      <w:pPr>
        <w:spacing w:line="360" w:lineRule="auto"/>
        <w:jc w:val="both"/>
        <w:rPr>
          <w:rFonts w:ascii="Arial" w:hAnsi="Arial" w:cs="Arial"/>
          <w:b/>
          <w:bCs/>
        </w:rPr>
      </w:pPr>
    </w:p>
    <w:p w14:paraId="5AE6E1E8" w14:textId="77777777" w:rsidR="00FB3CCF" w:rsidRPr="00FB3CCF" w:rsidRDefault="00FB3CCF" w:rsidP="00FB3CCF">
      <w:pPr>
        <w:spacing w:line="360" w:lineRule="auto"/>
        <w:jc w:val="both"/>
        <w:rPr>
          <w:rFonts w:ascii="Arial" w:hAnsi="Arial" w:cs="Arial"/>
          <w:b/>
          <w:bCs/>
        </w:rPr>
      </w:pPr>
    </w:p>
    <w:p w14:paraId="667560BD" w14:textId="77777777" w:rsidR="00FB3CCF" w:rsidRPr="00FB3CCF" w:rsidRDefault="00FB3CCF" w:rsidP="00FB3CCF">
      <w:pPr>
        <w:spacing w:line="360" w:lineRule="auto"/>
        <w:jc w:val="both"/>
        <w:rPr>
          <w:rFonts w:ascii="Arial" w:hAnsi="Arial" w:cs="Arial"/>
          <w:b/>
          <w:bCs/>
        </w:rPr>
      </w:pPr>
    </w:p>
    <w:p w14:paraId="400D1C3C" w14:textId="77777777" w:rsidR="00FB3CCF" w:rsidRPr="00FB3CCF" w:rsidRDefault="00FB3CCF" w:rsidP="00FB3CCF">
      <w:pPr>
        <w:spacing w:line="360" w:lineRule="auto"/>
        <w:jc w:val="both"/>
        <w:rPr>
          <w:rFonts w:ascii="Arial" w:hAnsi="Arial" w:cs="Arial"/>
          <w:b/>
          <w:bCs/>
        </w:rPr>
      </w:pPr>
    </w:p>
    <w:p w14:paraId="52010103" w14:textId="77777777" w:rsidR="00FB3CCF" w:rsidRPr="00FB3CCF" w:rsidRDefault="00FB3CCF" w:rsidP="00FB3CCF">
      <w:pPr>
        <w:spacing w:line="360" w:lineRule="auto"/>
        <w:jc w:val="both"/>
        <w:rPr>
          <w:rFonts w:ascii="Arial" w:hAnsi="Arial" w:cs="Arial"/>
          <w:b/>
          <w:bCs/>
        </w:rPr>
      </w:pPr>
    </w:p>
    <w:p w14:paraId="0B90BA6B" w14:textId="77777777" w:rsidR="00FB3CCF" w:rsidRPr="00FB3CCF" w:rsidRDefault="00FB3CCF" w:rsidP="00FB3CCF">
      <w:pPr>
        <w:spacing w:line="360" w:lineRule="auto"/>
        <w:jc w:val="both"/>
        <w:rPr>
          <w:rFonts w:ascii="Arial" w:hAnsi="Arial" w:cs="Arial"/>
          <w:b/>
          <w:bCs/>
        </w:rPr>
      </w:pPr>
    </w:p>
    <w:p w14:paraId="4A4C44AE" w14:textId="77777777" w:rsidR="00FB3CCF" w:rsidRPr="00FB3CCF" w:rsidRDefault="00FB3CCF" w:rsidP="00FB3CCF">
      <w:pPr>
        <w:spacing w:line="360" w:lineRule="auto"/>
        <w:jc w:val="both"/>
        <w:rPr>
          <w:rFonts w:ascii="Arial" w:hAnsi="Arial" w:cs="Arial"/>
          <w:b/>
          <w:bCs/>
        </w:rPr>
      </w:pPr>
    </w:p>
    <w:p w14:paraId="6AF3AEAF" w14:textId="77777777" w:rsidR="00FB3CCF" w:rsidRPr="00FB3CCF" w:rsidRDefault="00FB3CCF" w:rsidP="00FB3CCF">
      <w:pPr>
        <w:spacing w:line="360" w:lineRule="auto"/>
        <w:jc w:val="both"/>
        <w:rPr>
          <w:rFonts w:ascii="Arial" w:hAnsi="Arial" w:cs="Arial"/>
          <w:b/>
          <w:bCs/>
        </w:rPr>
      </w:pPr>
    </w:p>
    <w:p w14:paraId="218169DC" w14:textId="77777777" w:rsidR="00FB3CCF" w:rsidRPr="00FB3CCF" w:rsidRDefault="00FB3CCF" w:rsidP="00FB3CCF">
      <w:pPr>
        <w:spacing w:line="360" w:lineRule="auto"/>
        <w:jc w:val="both"/>
        <w:rPr>
          <w:rFonts w:ascii="Arial" w:hAnsi="Arial" w:cs="Arial"/>
          <w:b/>
          <w:bCs/>
        </w:rPr>
      </w:pPr>
    </w:p>
    <w:p w14:paraId="7CC6E12E" w14:textId="77777777" w:rsidR="00FB3CCF" w:rsidRPr="00FB3CCF" w:rsidRDefault="00FB3CCF" w:rsidP="00FB3CCF">
      <w:pPr>
        <w:spacing w:line="360" w:lineRule="auto"/>
        <w:jc w:val="both"/>
        <w:rPr>
          <w:rFonts w:ascii="Arial" w:hAnsi="Arial" w:cs="Arial"/>
          <w:b/>
          <w:bCs/>
        </w:rPr>
      </w:pPr>
    </w:p>
    <w:p w14:paraId="74B98DC1"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Appendix E</w:t>
      </w:r>
    </w:p>
    <w:p w14:paraId="0D802279"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E1. Theme 5 “Risk, due diligence, and staged investment”</w:t>
      </w:r>
    </w:p>
    <w:tbl>
      <w:tblPr>
        <w:tblW w:w="9892" w:type="dxa"/>
        <w:jc w:val="center"/>
        <w:tblLook w:val="04A0" w:firstRow="1" w:lastRow="0" w:firstColumn="1" w:lastColumn="0" w:noHBand="0" w:noVBand="1"/>
      </w:tblPr>
      <w:tblGrid>
        <w:gridCol w:w="1978"/>
        <w:gridCol w:w="1978"/>
        <w:gridCol w:w="1978"/>
        <w:gridCol w:w="1980"/>
        <w:gridCol w:w="1978"/>
      </w:tblGrid>
      <w:tr w:rsidR="00FB3CCF" w:rsidRPr="00FB3CCF" w14:paraId="0E0F3A32" w14:textId="77777777" w:rsidTr="00442932">
        <w:trPr>
          <w:trHeight w:val="1509"/>
          <w:jc w:val="center"/>
        </w:trPr>
        <w:tc>
          <w:tcPr>
            <w:tcW w:w="1978" w:type="dxa"/>
            <w:tcBorders>
              <w:top w:val="single" w:sz="4" w:space="0" w:color="auto"/>
              <w:left w:val="single" w:sz="4" w:space="0" w:color="auto"/>
              <w:bottom w:val="single" w:sz="4" w:space="0" w:color="auto"/>
              <w:right w:val="single" w:sz="4" w:space="0" w:color="auto"/>
            </w:tcBorders>
            <w:vAlign w:val="center"/>
            <w:hideMark/>
          </w:tcPr>
          <w:p w14:paraId="07B72B17" w14:textId="77777777" w:rsidR="00FB3CCF" w:rsidRPr="00FB3CCF" w:rsidRDefault="00FB3CCF" w:rsidP="00442932">
            <w:pPr>
              <w:jc w:val="center"/>
              <w:rPr>
                <w:rFonts w:ascii="Arial" w:hAnsi="Arial" w:cs="Arial"/>
                <w:b/>
                <w:bCs/>
                <w:sz w:val="21"/>
                <w:szCs w:val="21"/>
              </w:rPr>
            </w:pPr>
            <w:r w:rsidRPr="00FB3CCF">
              <w:rPr>
                <w:rFonts w:ascii="Arial" w:hAnsi="Arial" w:cs="Arial"/>
                <w:b/>
                <w:bCs/>
                <w:sz w:val="21"/>
                <w:szCs w:val="21"/>
              </w:rPr>
              <w:t>Source</w:t>
            </w:r>
          </w:p>
        </w:tc>
        <w:tc>
          <w:tcPr>
            <w:tcW w:w="1978" w:type="dxa"/>
            <w:tcBorders>
              <w:top w:val="single" w:sz="4" w:space="0" w:color="auto"/>
              <w:left w:val="nil"/>
              <w:bottom w:val="single" w:sz="4" w:space="0" w:color="auto"/>
              <w:right w:val="single" w:sz="4" w:space="0" w:color="auto"/>
            </w:tcBorders>
            <w:vAlign w:val="center"/>
            <w:hideMark/>
          </w:tcPr>
          <w:p w14:paraId="18FCCE80" w14:textId="77777777" w:rsidR="00FB3CCF" w:rsidRPr="00FB3CCF" w:rsidRDefault="00FB3CCF" w:rsidP="00442932">
            <w:pPr>
              <w:jc w:val="center"/>
              <w:rPr>
                <w:rFonts w:ascii="Arial" w:hAnsi="Arial" w:cs="Arial"/>
                <w:b/>
                <w:bCs/>
                <w:sz w:val="21"/>
                <w:szCs w:val="21"/>
              </w:rPr>
            </w:pPr>
            <w:r w:rsidRPr="00FB3CCF">
              <w:rPr>
                <w:rFonts w:ascii="Arial" w:hAnsi="Arial" w:cs="Arial"/>
                <w:b/>
                <w:bCs/>
                <w:sz w:val="21"/>
                <w:szCs w:val="21"/>
              </w:rPr>
              <w:t>Core argument</w:t>
            </w:r>
          </w:p>
        </w:tc>
        <w:tc>
          <w:tcPr>
            <w:tcW w:w="1978" w:type="dxa"/>
            <w:tcBorders>
              <w:top w:val="single" w:sz="4" w:space="0" w:color="auto"/>
              <w:left w:val="nil"/>
              <w:bottom w:val="single" w:sz="4" w:space="0" w:color="auto"/>
              <w:right w:val="single" w:sz="4" w:space="0" w:color="auto"/>
            </w:tcBorders>
            <w:vAlign w:val="center"/>
            <w:hideMark/>
          </w:tcPr>
          <w:p w14:paraId="358AC05E" w14:textId="77777777" w:rsidR="00FB3CCF" w:rsidRPr="00FB3CCF" w:rsidRDefault="00FB3CCF" w:rsidP="00442932">
            <w:pPr>
              <w:jc w:val="center"/>
              <w:rPr>
                <w:rFonts w:ascii="Arial" w:hAnsi="Arial" w:cs="Arial"/>
                <w:b/>
                <w:bCs/>
                <w:sz w:val="21"/>
                <w:szCs w:val="21"/>
              </w:rPr>
            </w:pPr>
            <w:r w:rsidRPr="00FB3CCF">
              <w:rPr>
                <w:rFonts w:ascii="Arial" w:hAnsi="Arial" w:cs="Arial"/>
                <w:b/>
                <w:bCs/>
                <w:sz w:val="21"/>
                <w:szCs w:val="21"/>
              </w:rPr>
              <w:t>Method / Findings</w:t>
            </w:r>
          </w:p>
        </w:tc>
        <w:tc>
          <w:tcPr>
            <w:tcW w:w="1978" w:type="dxa"/>
            <w:tcBorders>
              <w:top w:val="single" w:sz="4" w:space="0" w:color="auto"/>
              <w:left w:val="nil"/>
              <w:bottom w:val="single" w:sz="4" w:space="0" w:color="auto"/>
              <w:right w:val="single" w:sz="4" w:space="0" w:color="auto"/>
            </w:tcBorders>
            <w:vAlign w:val="center"/>
            <w:hideMark/>
          </w:tcPr>
          <w:p w14:paraId="2702B502" w14:textId="77777777" w:rsidR="00FB3CCF" w:rsidRPr="00FB3CCF" w:rsidRDefault="00FB3CCF" w:rsidP="00442932">
            <w:pPr>
              <w:jc w:val="center"/>
              <w:rPr>
                <w:rFonts w:ascii="Arial" w:hAnsi="Arial" w:cs="Arial"/>
                <w:b/>
                <w:bCs/>
                <w:sz w:val="21"/>
                <w:szCs w:val="21"/>
              </w:rPr>
            </w:pPr>
            <w:r w:rsidRPr="00FB3CCF">
              <w:rPr>
                <w:rFonts w:ascii="Arial" w:hAnsi="Arial" w:cs="Arial"/>
                <w:b/>
                <w:bCs/>
                <w:sz w:val="21"/>
                <w:szCs w:val="21"/>
              </w:rPr>
              <w:t>Critical Evaluation</w:t>
            </w:r>
          </w:p>
        </w:tc>
        <w:tc>
          <w:tcPr>
            <w:tcW w:w="1978" w:type="dxa"/>
            <w:tcBorders>
              <w:top w:val="single" w:sz="4" w:space="0" w:color="auto"/>
              <w:left w:val="nil"/>
              <w:bottom w:val="single" w:sz="4" w:space="0" w:color="auto"/>
              <w:right w:val="single" w:sz="4" w:space="0" w:color="auto"/>
            </w:tcBorders>
            <w:vAlign w:val="center"/>
            <w:hideMark/>
          </w:tcPr>
          <w:p w14:paraId="2DE6E5EB" w14:textId="77777777" w:rsidR="00FB3CCF" w:rsidRPr="00FB3CCF" w:rsidRDefault="00FB3CCF" w:rsidP="00442932">
            <w:pPr>
              <w:jc w:val="center"/>
              <w:rPr>
                <w:rFonts w:ascii="Arial" w:hAnsi="Arial" w:cs="Arial"/>
                <w:b/>
                <w:bCs/>
                <w:sz w:val="21"/>
                <w:szCs w:val="21"/>
              </w:rPr>
            </w:pPr>
            <w:r w:rsidRPr="00FB3CCF">
              <w:rPr>
                <w:rFonts w:ascii="Arial" w:hAnsi="Arial" w:cs="Arial"/>
                <w:b/>
                <w:bCs/>
                <w:sz w:val="21"/>
                <w:szCs w:val="21"/>
              </w:rPr>
              <w:t>Relevance to the study</w:t>
            </w:r>
          </w:p>
        </w:tc>
      </w:tr>
      <w:tr w:rsidR="00FB3CCF" w:rsidRPr="00FB3CCF" w14:paraId="6F35DB34"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79385120"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Andres et al. (2017)</w:t>
            </w:r>
          </w:p>
        </w:tc>
        <w:tc>
          <w:tcPr>
            <w:tcW w:w="1978" w:type="dxa"/>
            <w:tcBorders>
              <w:top w:val="nil"/>
              <w:left w:val="nil"/>
              <w:bottom w:val="single" w:sz="4" w:space="0" w:color="auto"/>
              <w:right w:val="single" w:sz="4" w:space="0" w:color="auto"/>
            </w:tcBorders>
            <w:vAlign w:val="center"/>
            <w:hideMark/>
          </w:tcPr>
          <w:p w14:paraId="008D24FA"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Ocean energy attractiveness cannot be judged by LCOE alone.</w:t>
            </w:r>
          </w:p>
        </w:tc>
        <w:tc>
          <w:tcPr>
            <w:tcW w:w="1978" w:type="dxa"/>
            <w:tcBorders>
              <w:top w:val="nil"/>
              <w:left w:val="nil"/>
              <w:bottom w:val="single" w:sz="4" w:space="0" w:color="auto"/>
              <w:right w:val="single" w:sz="4" w:space="0" w:color="auto"/>
            </w:tcBorders>
            <w:vAlign w:val="center"/>
            <w:hideMark/>
          </w:tcPr>
          <w:p w14:paraId="41D030F6"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Comparative assessment; finds wider risk and deployment factors matter.</w:t>
            </w:r>
          </w:p>
        </w:tc>
        <w:tc>
          <w:tcPr>
            <w:tcW w:w="1978" w:type="dxa"/>
            <w:tcBorders>
              <w:top w:val="nil"/>
              <w:left w:val="nil"/>
              <w:bottom w:val="single" w:sz="4" w:space="0" w:color="auto"/>
              <w:right w:val="single" w:sz="4" w:space="0" w:color="auto"/>
            </w:tcBorders>
            <w:vAlign w:val="center"/>
            <w:hideMark/>
          </w:tcPr>
          <w:p w14:paraId="6AF3124D"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Broad but important corrective.</w:t>
            </w:r>
          </w:p>
        </w:tc>
        <w:tc>
          <w:tcPr>
            <w:tcW w:w="1978" w:type="dxa"/>
            <w:tcBorders>
              <w:top w:val="nil"/>
              <w:left w:val="nil"/>
              <w:bottom w:val="single" w:sz="4" w:space="0" w:color="auto"/>
              <w:right w:val="single" w:sz="4" w:space="0" w:color="auto"/>
            </w:tcBorders>
            <w:vAlign w:val="center"/>
            <w:hideMark/>
          </w:tcPr>
          <w:p w14:paraId="0A11FD7A"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Supports multidimensional bankability.</w:t>
            </w:r>
          </w:p>
        </w:tc>
      </w:tr>
      <w:tr w:rsidR="00FB3CCF" w:rsidRPr="00FB3CCF" w14:paraId="6A677767"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00274857"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Hutcheson, Andres and Jeffrey (2016)</w:t>
            </w:r>
          </w:p>
        </w:tc>
        <w:tc>
          <w:tcPr>
            <w:tcW w:w="1978" w:type="dxa"/>
            <w:tcBorders>
              <w:top w:val="nil"/>
              <w:left w:val="nil"/>
              <w:bottom w:val="single" w:sz="4" w:space="0" w:color="auto"/>
              <w:right w:val="single" w:sz="4" w:space="0" w:color="auto"/>
            </w:tcBorders>
            <w:vAlign w:val="center"/>
            <w:hideMark/>
          </w:tcPr>
          <w:p w14:paraId="7E0EDB0A"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Investment in marine energy should be judged through risk versus reward, not cost only.</w:t>
            </w:r>
          </w:p>
        </w:tc>
        <w:tc>
          <w:tcPr>
            <w:tcW w:w="1978" w:type="dxa"/>
            <w:tcBorders>
              <w:top w:val="nil"/>
              <w:left w:val="nil"/>
              <w:bottom w:val="single" w:sz="4" w:space="0" w:color="auto"/>
              <w:right w:val="single" w:sz="4" w:space="0" w:color="auto"/>
            </w:tcBorders>
            <w:vAlign w:val="center"/>
            <w:hideMark/>
          </w:tcPr>
          <w:p w14:paraId="1AF5F9A2"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Methodology paper; finds low-cost designs can still be unattractive if risk is too high.</w:t>
            </w:r>
          </w:p>
        </w:tc>
        <w:tc>
          <w:tcPr>
            <w:tcW w:w="1978" w:type="dxa"/>
            <w:tcBorders>
              <w:top w:val="nil"/>
              <w:left w:val="nil"/>
              <w:bottom w:val="single" w:sz="4" w:space="0" w:color="auto"/>
              <w:right w:val="single" w:sz="4" w:space="0" w:color="auto"/>
            </w:tcBorders>
            <w:vAlign w:val="center"/>
            <w:hideMark/>
          </w:tcPr>
          <w:p w14:paraId="69768C66"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Framework rather than market evidence.</w:t>
            </w:r>
          </w:p>
        </w:tc>
        <w:tc>
          <w:tcPr>
            <w:tcW w:w="1978" w:type="dxa"/>
            <w:tcBorders>
              <w:top w:val="nil"/>
              <w:left w:val="nil"/>
              <w:bottom w:val="single" w:sz="4" w:space="0" w:color="auto"/>
              <w:right w:val="single" w:sz="4" w:space="0" w:color="auto"/>
            </w:tcBorders>
            <w:vAlign w:val="center"/>
            <w:hideMark/>
          </w:tcPr>
          <w:p w14:paraId="03F50903"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Strong for investor judgment logic.</w:t>
            </w:r>
          </w:p>
        </w:tc>
      </w:tr>
      <w:tr w:rsidR="00FB3CCF" w:rsidRPr="00FB3CCF" w14:paraId="7C75F1CE"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1E5C96EB"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Wilson, Rowley and Watson (2011)</w:t>
            </w:r>
          </w:p>
        </w:tc>
        <w:tc>
          <w:tcPr>
            <w:tcW w:w="1978" w:type="dxa"/>
            <w:tcBorders>
              <w:top w:val="nil"/>
              <w:left w:val="nil"/>
              <w:bottom w:val="single" w:sz="4" w:space="0" w:color="auto"/>
              <w:right w:val="single" w:sz="4" w:space="0" w:color="auto"/>
            </w:tcBorders>
            <w:vAlign w:val="center"/>
            <w:hideMark/>
          </w:tcPr>
          <w:p w14:paraId="61166972"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Due diligence in renewables should assess the whole system, not only the device.</w:t>
            </w:r>
          </w:p>
        </w:tc>
        <w:tc>
          <w:tcPr>
            <w:tcW w:w="1978" w:type="dxa"/>
            <w:tcBorders>
              <w:top w:val="nil"/>
              <w:left w:val="nil"/>
              <w:bottom w:val="single" w:sz="4" w:space="0" w:color="auto"/>
              <w:right w:val="single" w:sz="4" w:space="0" w:color="auto"/>
            </w:tcBorders>
            <w:vAlign w:val="center"/>
            <w:hideMark/>
          </w:tcPr>
          <w:p w14:paraId="33D81D78"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Framework development; finds grid, logistics, permits, and developer capability all matter.</w:t>
            </w:r>
          </w:p>
        </w:tc>
        <w:tc>
          <w:tcPr>
            <w:tcW w:w="1978" w:type="dxa"/>
            <w:tcBorders>
              <w:top w:val="nil"/>
              <w:left w:val="nil"/>
              <w:bottom w:val="single" w:sz="4" w:space="0" w:color="auto"/>
              <w:right w:val="single" w:sz="4" w:space="0" w:color="auto"/>
            </w:tcBorders>
            <w:vAlign w:val="center"/>
            <w:hideMark/>
          </w:tcPr>
          <w:p w14:paraId="04EF6362"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More project than startup oriented.</w:t>
            </w:r>
          </w:p>
        </w:tc>
        <w:tc>
          <w:tcPr>
            <w:tcW w:w="1978" w:type="dxa"/>
            <w:tcBorders>
              <w:top w:val="nil"/>
              <w:left w:val="nil"/>
              <w:bottom w:val="single" w:sz="4" w:space="0" w:color="auto"/>
              <w:right w:val="single" w:sz="4" w:space="0" w:color="auto"/>
            </w:tcBorders>
            <w:vAlign w:val="center"/>
            <w:hideMark/>
          </w:tcPr>
          <w:p w14:paraId="6EC45175"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Excellent for whole-system bankability.</w:t>
            </w:r>
          </w:p>
        </w:tc>
      </w:tr>
      <w:tr w:rsidR="00FB3CCF" w:rsidRPr="00FB3CCF" w14:paraId="5CD4292A"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53CA793A"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lastRenderedPageBreak/>
              <w:t>Shah et al. (2017)</w:t>
            </w:r>
          </w:p>
        </w:tc>
        <w:tc>
          <w:tcPr>
            <w:tcW w:w="1978" w:type="dxa"/>
            <w:tcBorders>
              <w:top w:val="nil"/>
              <w:left w:val="nil"/>
              <w:bottom w:val="single" w:sz="4" w:space="0" w:color="auto"/>
              <w:right w:val="single" w:sz="4" w:space="0" w:color="auto"/>
            </w:tcBorders>
            <w:vAlign w:val="center"/>
            <w:hideMark/>
          </w:tcPr>
          <w:p w14:paraId="1999769F"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Improved uncertainty analysis can de-risk marine energy project development.</w:t>
            </w:r>
          </w:p>
        </w:tc>
        <w:tc>
          <w:tcPr>
            <w:tcW w:w="1978" w:type="dxa"/>
            <w:tcBorders>
              <w:top w:val="nil"/>
              <w:left w:val="nil"/>
              <w:bottom w:val="single" w:sz="4" w:space="0" w:color="auto"/>
              <w:right w:val="single" w:sz="4" w:space="0" w:color="auto"/>
            </w:tcBorders>
            <w:vAlign w:val="center"/>
            <w:hideMark/>
          </w:tcPr>
          <w:p w14:paraId="2F686F5B"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Uncertainty analysis; finds better modelling can reduce financing ambiguity.</w:t>
            </w:r>
          </w:p>
        </w:tc>
        <w:tc>
          <w:tcPr>
            <w:tcW w:w="1978" w:type="dxa"/>
            <w:tcBorders>
              <w:top w:val="nil"/>
              <w:left w:val="nil"/>
              <w:bottom w:val="single" w:sz="4" w:space="0" w:color="auto"/>
              <w:right w:val="single" w:sz="4" w:space="0" w:color="auto"/>
            </w:tcBorders>
            <w:vAlign w:val="center"/>
            <w:hideMark/>
          </w:tcPr>
          <w:p w14:paraId="5484B55F"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Project-level and technical.</w:t>
            </w:r>
          </w:p>
        </w:tc>
        <w:tc>
          <w:tcPr>
            <w:tcW w:w="1978" w:type="dxa"/>
            <w:tcBorders>
              <w:top w:val="nil"/>
              <w:left w:val="nil"/>
              <w:bottom w:val="single" w:sz="4" w:space="0" w:color="auto"/>
              <w:right w:val="single" w:sz="4" w:space="0" w:color="auto"/>
            </w:tcBorders>
            <w:vAlign w:val="center"/>
            <w:hideMark/>
          </w:tcPr>
          <w:p w14:paraId="022EEA03"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Useful for credible evidence discussion.</w:t>
            </w:r>
          </w:p>
        </w:tc>
      </w:tr>
      <w:tr w:rsidR="00FB3CCF" w:rsidRPr="00FB3CCF" w14:paraId="085E15ED"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523C1351"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Shah (2018)</w:t>
            </w:r>
          </w:p>
        </w:tc>
        <w:tc>
          <w:tcPr>
            <w:tcW w:w="1978" w:type="dxa"/>
            <w:tcBorders>
              <w:top w:val="nil"/>
              <w:left w:val="nil"/>
              <w:bottom w:val="single" w:sz="4" w:space="0" w:color="auto"/>
              <w:right w:val="single" w:sz="4" w:space="0" w:color="auto"/>
            </w:tcBorders>
            <w:vAlign w:val="center"/>
            <w:hideMark/>
          </w:tcPr>
          <w:p w14:paraId="65BDD9D9"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Refined uncertainty analysis improves tidal investment cases.</w:t>
            </w:r>
          </w:p>
        </w:tc>
        <w:tc>
          <w:tcPr>
            <w:tcW w:w="1978" w:type="dxa"/>
            <w:tcBorders>
              <w:top w:val="nil"/>
              <w:left w:val="nil"/>
              <w:bottom w:val="single" w:sz="4" w:space="0" w:color="auto"/>
              <w:right w:val="single" w:sz="4" w:space="0" w:color="auto"/>
            </w:tcBorders>
            <w:vAlign w:val="center"/>
            <w:hideMark/>
          </w:tcPr>
          <w:p w14:paraId="3F5B485A"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Quantitative analysis; finds better treatment of uncertainty changes perceived value.</w:t>
            </w:r>
          </w:p>
        </w:tc>
        <w:tc>
          <w:tcPr>
            <w:tcW w:w="1978" w:type="dxa"/>
            <w:tcBorders>
              <w:top w:val="nil"/>
              <w:left w:val="nil"/>
              <w:bottom w:val="single" w:sz="4" w:space="0" w:color="auto"/>
              <w:right w:val="single" w:sz="4" w:space="0" w:color="auto"/>
            </w:tcBorders>
            <w:vAlign w:val="center"/>
            <w:hideMark/>
          </w:tcPr>
          <w:p w14:paraId="2BF37B77"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Tidal rather than wave.</w:t>
            </w:r>
          </w:p>
        </w:tc>
        <w:tc>
          <w:tcPr>
            <w:tcW w:w="1978" w:type="dxa"/>
            <w:tcBorders>
              <w:top w:val="nil"/>
              <w:left w:val="nil"/>
              <w:bottom w:val="single" w:sz="4" w:space="0" w:color="auto"/>
              <w:right w:val="single" w:sz="4" w:space="0" w:color="auto"/>
            </w:tcBorders>
            <w:vAlign w:val="center"/>
            <w:hideMark/>
          </w:tcPr>
          <w:p w14:paraId="36D444BF"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Useful analogue for confidence building.</w:t>
            </w:r>
          </w:p>
        </w:tc>
      </w:tr>
      <w:tr w:rsidR="00FB3CCF" w:rsidRPr="00FB3CCF" w14:paraId="32B122E0"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1C7BE3F7"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Guanche et al. (2014)</w:t>
            </w:r>
          </w:p>
        </w:tc>
        <w:tc>
          <w:tcPr>
            <w:tcW w:w="1978" w:type="dxa"/>
            <w:tcBorders>
              <w:top w:val="nil"/>
              <w:left w:val="nil"/>
              <w:bottom w:val="single" w:sz="4" w:space="0" w:color="auto"/>
              <w:right w:val="single" w:sz="4" w:space="0" w:color="auto"/>
            </w:tcBorders>
            <w:vAlign w:val="center"/>
            <w:hideMark/>
          </w:tcPr>
          <w:p w14:paraId="57E53D6A"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Financial indicators for wave farms are highly sensitive to uncertainty.</w:t>
            </w:r>
          </w:p>
        </w:tc>
        <w:tc>
          <w:tcPr>
            <w:tcW w:w="1978" w:type="dxa"/>
            <w:tcBorders>
              <w:top w:val="nil"/>
              <w:left w:val="nil"/>
              <w:bottom w:val="single" w:sz="4" w:space="0" w:color="auto"/>
              <w:right w:val="single" w:sz="4" w:space="0" w:color="auto"/>
            </w:tcBorders>
            <w:vAlign w:val="center"/>
            <w:hideMark/>
          </w:tcPr>
          <w:p w14:paraId="1071FEAD"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Modelling; finds variance in assumptions affects returns sharply.</w:t>
            </w:r>
          </w:p>
        </w:tc>
        <w:tc>
          <w:tcPr>
            <w:tcW w:w="1978" w:type="dxa"/>
            <w:tcBorders>
              <w:top w:val="nil"/>
              <w:left w:val="nil"/>
              <w:bottom w:val="single" w:sz="4" w:space="0" w:color="auto"/>
              <w:right w:val="single" w:sz="4" w:space="0" w:color="auto"/>
            </w:tcBorders>
            <w:vAlign w:val="center"/>
            <w:hideMark/>
          </w:tcPr>
          <w:p w14:paraId="0043ED4C"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Farm-level rather than startup-level.</w:t>
            </w:r>
          </w:p>
        </w:tc>
        <w:tc>
          <w:tcPr>
            <w:tcW w:w="1978" w:type="dxa"/>
            <w:tcBorders>
              <w:top w:val="nil"/>
              <w:left w:val="nil"/>
              <w:bottom w:val="single" w:sz="4" w:space="0" w:color="auto"/>
              <w:right w:val="single" w:sz="4" w:space="0" w:color="auto"/>
            </w:tcBorders>
            <w:vAlign w:val="center"/>
            <w:hideMark/>
          </w:tcPr>
          <w:p w14:paraId="48F323CC"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Supports investor caution.</w:t>
            </w:r>
          </w:p>
        </w:tc>
      </w:tr>
      <w:tr w:rsidR="00FB3CCF" w:rsidRPr="00FB3CCF" w14:paraId="29614FDC"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5093C477"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Stallard, Ricci and Parque Tecnológico (2009)</w:t>
            </w:r>
          </w:p>
        </w:tc>
        <w:tc>
          <w:tcPr>
            <w:tcW w:w="1978" w:type="dxa"/>
            <w:tcBorders>
              <w:top w:val="nil"/>
              <w:left w:val="nil"/>
              <w:bottom w:val="single" w:sz="4" w:space="0" w:color="auto"/>
              <w:right w:val="single" w:sz="4" w:space="0" w:color="auto"/>
            </w:tcBorders>
            <w:vAlign w:val="center"/>
            <w:hideMark/>
          </w:tcPr>
          <w:p w14:paraId="4FE4E1F2"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Marine energy schemes require more careful economic assessment methods.</w:t>
            </w:r>
          </w:p>
        </w:tc>
        <w:tc>
          <w:tcPr>
            <w:tcW w:w="1978" w:type="dxa"/>
            <w:tcBorders>
              <w:top w:val="nil"/>
              <w:left w:val="nil"/>
              <w:bottom w:val="single" w:sz="4" w:space="0" w:color="auto"/>
              <w:right w:val="single" w:sz="4" w:space="0" w:color="auto"/>
            </w:tcBorders>
            <w:vAlign w:val="center"/>
            <w:hideMark/>
          </w:tcPr>
          <w:p w14:paraId="1ABCDD27"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Methodological review; finds assessment choice affects viability conclusions.</w:t>
            </w:r>
          </w:p>
        </w:tc>
        <w:tc>
          <w:tcPr>
            <w:tcW w:w="1978" w:type="dxa"/>
            <w:tcBorders>
              <w:top w:val="nil"/>
              <w:left w:val="nil"/>
              <w:bottom w:val="single" w:sz="4" w:space="0" w:color="auto"/>
              <w:right w:val="single" w:sz="4" w:space="0" w:color="auto"/>
            </w:tcBorders>
            <w:vAlign w:val="center"/>
            <w:hideMark/>
          </w:tcPr>
          <w:p w14:paraId="5A7CEBA5"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Method-focused.</w:t>
            </w:r>
          </w:p>
        </w:tc>
        <w:tc>
          <w:tcPr>
            <w:tcW w:w="1978" w:type="dxa"/>
            <w:tcBorders>
              <w:top w:val="nil"/>
              <w:left w:val="nil"/>
              <w:bottom w:val="single" w:sz="4" w:space="0" w:color="auto"/>
              <w:right w:val="single" w:sz="4" w:space="0" w:color="auto"/>
            </w:tcBorders>
            <w:vAlign w:val="center"/>
            <w:hideMark/>
          </w:tcPr>
          <w:p w14:paraId="056907EA"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Useful for evidence quality.</w:t>
            </w:r>
          </w:p>
        </w:tc>
      </w:tr>
      <w:tr w:rsidR="00FB3CCF" w:rsidRPr="00FB3CCF" w14:paraId="49BC4C34"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15417913"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MacDougall (2017)</w:t>
            </w:r>
          </w:p>
        </w:tc>
        <w:tc>
          <w:tcPr>
            <w:tcW w:w="1978" w:type="dxa"/>
            <w:tcBorders>
              <w:top w:val="nil"/>
              <w:left w:val="nil"/>
              <w:bottom w:val="single" w:sz="4" w:space="0" w:color="auto"/>
              <w:right w:val="single" w:sz="4" w:space="0" w:color="auto"/>
            </w:tcBorders>
            <w:vAlign w:val="center"/>
            <w:hideMark/>
          </w:tcPr>
          <w:p w14:paraId="0BCE92B1"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Tidal financing impasse can be approached through staged international investment.</w:t>
            </w:r>
          </w:p>
        </w:tc>
        <w:tc>
          <w:tcPr>
            <w:tcW w:w="1978" w:type="dxa"/>
            <w:tcBorders>
              <w:top w:val="nil"/>
              <w:left w:val="nil"/>
              <w:bottom w:val="single" w:sz="4" w:space="0" w:color="auto"/>
              <w:right w:val="single" w:sz="4" w:space="0" w:color="auto"/>
            </w:tcBorders>
            <w:vAlign w:val="center"/>
            <w:hideMark/>
          </w:tcPr>
          <w:p w14:paraId="0EDE3A0A"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Strategic finance analysis; finds timing and stage sequencing matter.</w:t>
            </w:r>
          </w:p>
        </w:tc>
        <w:tc>
          <w:tcPr>
            <w:tcW w:w="1978" w:type="dxa"/>
            <w:tcBorders>
              <w:top w:val="nil"/>
              <w:left w:val="nil"/>
              <w:bottom w:val="single" w:sz="4" w:space="0" w:color="auto"/>
              <w:right w:val="single" w:sz="4" w:space="0" w:color="auto"/>
            </w:tcBorders>
            <w:vAlign w:val="center"/>
            <w:hideMark/>
          </w:tcPr>
          <w:p w14:paraId="7E654BC6"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Tidal analogue, not wave-direct.</w:t>
            </w:r>
          </w:p>
        </w:tc>
        <w:tc>
          <w:tcPr>
            <w:tcW w:w="1978" w:type="dxa"/>
            <w:tcBorders>
              <w:top w:val="nil"/>
              <w:left w:val="nil"/>
              <w:bottom w:val="single" w:sz="4" w:space="0" w:color="auto"/>
              <w:right w:val="single" w:sz="4" w:space="0" w:color="auto"/>
            </w:tcBorders>
            <w:vAlign w:val="center"/>
            <w:hideMark/>
          </w:tcPr>
          <w:p w14:paraId="0F18E956"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Strong on financing pathway logic.</w:t>
            </w:r>
          </w:p>
        </w:tc>
      </w:tr>
      <w:tr w:rsidR="00FB3CCF" w:rsidRPr="00FB3CCF" w14:paraId="3C277F32"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57C43710"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MacDougall (2018)</w:t>
            </w:r>
          </w:p>
        </w:tc>
        <w:tc>
          <w:tcPr>
            <w:tcW w:w="1978" w:type="dxa"/>
            <w:tcBorders>
              <w:top w:val="nil"/>
              <w:left w:val="nil"/>
              <w:bottom w:val="single" w:sz="4" w:space="0" w:color="auto"/>
              <w:right w:val="single" w:sz="4" w:space="0" w:color="auto"/>
            </w:tcBorders>
            <w:vAlign w:val="center"/>
            <w:hideMark/>
          </w:tcPr>
          <w:p w14:paraId="1D81484A"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Investors may rationally delay commercial-scale tidal decisions.</w:t>
            </w:r>
          </w:p>
        </w:tc>
        <w:tc>
          <w:tcPr>
            <w:tcW w:w="1978" w:type="dxa"/>
            <w:tcBorders>
              <w:top w:val="nil"/>
              <w:left w:val="nil"/>
              <w:bottom w:val="single" w:sz="4" w:space="0" w:color="auto"/>
              <w:right w:val="single" w:sz="4" w:space="0" w:color="auto"/>
            </w:tcBorders>
            <w:vAlign w:val="center"/>
            <w:hideMark/>
          </w:tcPr>
          <w:p w14:paraId="03BF12CE"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Real-options style analysis; finds waiting can be financially rational under uncertainty.</w:t>
            </w:r>
          </w:p>
        </w:tc>
        <w:tc>
          <w:tcPr>
            <w:tcW w:w="1978" w:type="dxa"/>
            <w:tcBorders>
              <w:top w:val="nil"/>
              <w:left w:val="nil"/>
              <w:bottom w:val="single" w:sz="4" w:space="0" w:color="auto"/>
              <w:right w:val="single" w:sz="4" w:space="0" w:color="auto"/>
            </w:tcBorders>
            <w:vAlign w:val="center"/>
            <w:hideMark/>
          </w:tcPr>
          <w:p w14:paraId="54412D18"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Tidal-specific.</w:t>
            </w:r>
          </w:p>
        </w:tc>
        <w:tc>
          <w:tcPr>
            <w:tcW w:w="1978" w:type="dxa"/>
            <w:tcBorders>
              <w:top w:val="nil"/>
              <w:left w:val="nil"/>
              <w:bottom w:val="single" w:sz="4" w:space="0" w:color="auto"/>
              <w:right w:val="single" w:sz="4" w:space="0" w:color="auto"/>
            </w:tcBorders>
            <w:vAlign w:val="center"/>
            <w:hideMark/>
          </w:tcPr>
          <w:p w14:paraId="636BDDC3"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Useful for why finance may stall even with promise.</w:t>
            </w:r>
          </w:p>
        </w:tc>
      </w:tr>
      <w:tr w:rsidR="00FB3CCF" w:rsidRPr="00FB3CCF" w14:paraId="33FA2574"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52477695"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 xml:space="preserve">Stallard, Rothschild and </w:t>
            </w:r>
            <w:proofErr w:type="spellStart"/>
            <w:r w:rsidRPr="00FB3CCF">
              <w:rPr>
                <w:rFonts w:ascii="Arial" w:hAnsi="Arial" w:cs="Arial"/>
                <w:sz w:val="21"/>
                <w:szCs w:val="21"/>
              </w:rPr>
              <w:t>Aggidis</w:t>
            </w:r>
            <w:proofErr w:type="spellEnd"/>
            <w:r w:rsidRPr="00FB3CCF">
              <w:rPr>
                <w:rFonts w:ascii="Arial" w:hAnsi="Arial" w:cs="Arial"/>
                <w:sz w:val="21"/>
                <w:szCs w:val="21"/>
              </w:rPr>
              <w:t xml:space="preserve"> (2008)</w:t>
            </w:r>
          </w:p>
        </w:tc>
        <w:tc>
          <w:tcPr>
            <w:tcW w:w="1978" w:type="dxa"/>
            <w:tcBorders>
              <w:top w:val="nil"/>
              <w:left w:val="nil"/>
              <w:bottom w:val="single" w:sz="4" w:space="0" w:color="auto"/>
              <w:right w:val="single" w:sz="4" w:space="0" w:color="auto"/>
            </w:tcBorders>
            <w:vAlign w:val="center"/>
            <w:hideMark/>
          </w:tcPr>
          <w:p w14:paraId="1A9D0EAB"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Large-scale wave schemes are highly sensitive to economic assumptions.</w:t>
            </w:r>
          </w:p>
        </w:tc>
        <w:tc>
          <w:tcPr>
            <w:tcW w:w="1978" w:type="dxa"/>
            <w:tcBorders>
              <w:top w:val="nil"/>
              <w:left w:val="nil"/>
              <w:bottom w:val="single" w:sz="4" w:space="0" w:color="auto"/>
              <w:right w:val="single" w:sz="4" w:space="0" w:color="auto"/>
            </w:tcBorders>
            <w:vAlign w:val="center"/>
            <w:hideMark/>
          </w:tcPr>
          <w:p w14:paraId="1648761D"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Modelling; finds viability depends on uncertain parameters.</w:t>
            </w:r>
          </w:p>
        </w:tc>
        <w:tc>
          <w:tcPr>
            <w:tcW w:w="1978" w:type="dxa"/>
            <w:tcBorders>
              <w:top w:val="nil"/>
              <w:left w:val="nil"/>
              <w:bottom w:val="single" w:sz="4" w:space="0" w:color="auto"/>
              <w:right w:val="single" w:sz="4" w:space="0" w:color="auto"/>
            </w:tcBorders>
            <w:vAlign w:val="center"/>
            <w:hideMark/>
          </w:tcPr>
          <w:p w14:paraId="74E7EEA7"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Early modelling.</w:t>
            </w:r>
          </w:p>
        </w:tc>
        <w:tc>
          <w:tcPr>
            <w:tcW w:w="1978" w:type="dxa"/>
            <w:tcBorders>
              <w:top w:val="nil"/>
              <w:left w:val="nil"/>
              <w:bottom w:val="single" w:sz="4" w:space="0" w:color="auto"/>
              <w:right w:val="single" w:sz="4" w:space="0" w:color="auto"/>
            </w:tcBorders>
            <w:vAlign w:val="center"/>
            <w:hideMark/>
          </w:tcPr>
          <w:p w14:paraId="00BB7EBF"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Historical risk evidence.</w:t>
            </w:r>
          </w:p>
        </w:tc>
      </w:tr>
      <w:tr w:rsidR="00FB3CCF" w:rsidRPr="00FB3CCF" w14:paraId="3954B2DA"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1E7B923C"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Jude et al. (2017)</w:t>
            </w:r>
          </w:p>
        </w:tc>
        <w:tc>
          <w:tcPr>
            <w:tcW w:w="1978" w:type="dxa"/>
            <w:tcBorders>
              <w:top w:val="nil"/>
              <w:left w:val="nil"/>
              <w:bottom w:val="single" w:sz="4" w:space="0" w:color="auto"/>
              <w:right w:val="single" w:sz="4" w:space="0" w:color="auto"/>
            </w:tcBorders>
            <w:vAlign w:val="center"/>
            <w:hideMark/>
          </w:tcPr>
          <w:p w14:paraId="05A5C488"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Ocean energy investment is shaped by multiple layers of risk.</w:t>
            </w:r>
          </w:p>
        </w:tc>
        <w:tc>
          <w:tcPr>
            <w:tcW w:w="1978" w:type="dxa"/>
            <w:tcBorders>
              <w:top w:val="nil"/>
              <w:left w:val="nil"/>
              <w:bottom w:val="single" w:sz="4" w:space="0" w:color="auto"/>
              <w:right w:val="single" w:sz="4" w:space="0" w:color="auto"/>
            </w:tcBorders>
            <w:vAlign w:val="center"/>
            <w:hideMark/>
          </w:tcPr>
          <w:p w14:paraId="43713E21"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Review/synthesis; finds technical, market, and institutional risks interact.</w:t>
            </w:r>
          </w:p>
        </w:tc>
        <w:tc>
          <w:tcPr>
            <w:tcW w:w="1978" w:type="dxa"/>
            <w:tcBorders>
              <w:top w:val="nil"/>
              <w:left w:val="nil"/>
              <w:bottom w:val="single" w:sz="4" w:space="0" w:color="auto"/>
              <w:right w:val="single" w:sz="4" w:space="0" w:color="auto"/>
            </w:tcBorders>
            <w:vAlign w:val="center"/>
            <w:hideMark/>
          </w:tcPr>
          <w:p w14:paraId="6A695A54"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Broad.</w:t>
            </w:r>
          </w:p>
        </w:tc>
        <w:tc>
          <w:tcPr>
            <w:tcW w:w="1978" w:type="dxa"/>
            <w:tcBorders>
              <w:top w:val="nil"/>
              <w:left w:val="nil"/>
              <w:bottom w:val="single" w:sz="4" w:space="0" w:color="auto"/>
              <w:right w:val="single" w:sz="4" w:space="0" w:color="auto"/>
            </w:tcBorders>
            <w:vAlign w:val="center"/>
            <w:hideMark/>
          </w:tcPr>
          <w:p w14:paraId="66BB450B"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Useful umbrella source.</w:t>
            </w:r>
          </w:p>
        </w:tc>
      </w:tr>
      <w:tr w:rsidR="00FB3CCF" w:rsidRPr="00FB3CCF" w14:paraId="27F7C16C"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015E38B4"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lastRenderedPageBreak/>
              <w:t>Martins (2014)</w:t>
            </w:r>
          </w:p>
        </w:tc>
        <w:tc>
          <w:tcPr>
            <w:tcW w:w="1978" w:type="dxa"/>
            <w:tcBorders>
              <w:top w:val="nil"/>
              <w:left w:val="nil"/>
              <w:bottom w:val="single" w:sz="4" w:space="0" w:color="auto"/>
              <w:right w:val="single" w:sz="4" w:space="0" w:color="auto"/>
            </w:tcBorders>
            <w:vAlign w:val="center"/>
            <w:hideMark/>
          </w:tcPr>
          <w:p w14:paraId="16B20D43"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Ocean project feasibility requires structured risk assessment.</w:t>
            </w:r>
          </w:p>
        </w:tc>
        <w:tc>
          <w:tcPr>
            <w:tcW w:w="1978" w:type="dxa"/>
            <w:tcBorders>
              <w:top w:val="nil"/>
              <w:left w:val="nil"/>
              <w:bottom w:val="single" w:sz="4" w:space="0" w:color="auto"/>
              <w:right w:val="single" w:sz="4" w:space="0" w:color="auto"/>
            </w:tcBorders>
            <w:vAlign w:val="center"/>
            <w:hideMark/>
          </w:tcPr>
          <w:p w14:paraId="47B37BD6"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Risk framework; finds multiple categories of uncertainty affect feasibility.</w:t>
            </w:r>
          </w:p>
        </w:tc>
        <w:tc>
          <w:tcPr>
            <w:tcW w:w="1978" w:type="dxa"/>
            <w:tcBorders>
              <w:top w:val="nil"/>
              <w:left w:val="nil"/>
              <w:bottom w:val="single" w:sz="4" w:space="0" w:color="auto"/>
              <w:right w:val="single" w:sz="4" w:space="0" w:color="auto"/>
            </w:tcBorders>
            <w:vAlign w:val="center"/>
            <w:hideMark/>
          </w:tcPr>
          <w:p w14:paraId="4BA2A46F"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Method-oriented.</w:t>
            </w:r>
          </w:p>
        </w:tc>
        <w:tc>
          <w:tcPr>
            <w:tcW w:w="1978" w:type="dxa"/>
            <w:tcBorders>
              <w:top w:val="nil"/>
              <w:left w:val="nil"/>
              <w:bottom w:val="single" w:sz="4" w:space="0" w:color="auto"/>
              <w:right w:val="single" w:sz="4" w:space="0" w:color="auto"/>
            </w:tcBorders>
            <w:vAlign w:val="center"/>
            <w:hideMark/>
          </w:tcPr>
          <w:p w14:paraId="398B16D5"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Useful for appraisal logic.</w:t>
            </w:r>
          </w:p>
        </w:tc>
      </w:tr>
      <w:tr w:rsidR="00FB3CCF" w:rsidRPr="00FB3CCF" w14:paraId="63C89501"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66C4101E"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Gueguen (2016)</w:t>
            </w:r>
          </w:p>
        </w:tc>
        <w:tc>
          <w:tcPr>
            <w:tcW w:w="1978" w:type="dxa"/>
            <w:tcBorders>
              <w:top w:val="nil"/>
              <w:left w:val="nil"/>
              <w:bottom w:val="single" w:sz="4" w:space="0" w:color="auto"/>
              <w:right w:val="single" w:sz="4" w:space="0" w:color="auto"/>
            </w:tcBorders>
            <w:vAlign w:val="center"/>
            <w:hideMark/>
          </w:tcPr>
          <w:p w14:paraId="0AAB3E78"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Marine energy projects need integrated risk assessment.</w:t>
            </w:r>
          </w:p>
        </w:tc>
        <w:tc>
          <w:tcPr>
            <w:tcW w:w="1978" w:type="dxa"/>
            <w:tcBorders>
              <w:top w:val="nil"/>
              <w:left w:val="nil"/>
              <w:bottom w:val="single" w:sz="4" w:space="0" w:color="auto"/>
              <w:right w:val="single" w:sz="4" w:space="0" w:color="auto"/>
            </w:tcBorders>
            <w:vAlign w:val="center"/>
            <w:hideMark/>
          </w:tcPr>
          <w:p w14:paraId="668846D3"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Risk assessment; finds financeability depends on risk visibility and management.</w:t>
            </w:r>
          </w:p>
        </w:tc>
        <w:tc>
          <w:tcPr>
            <w:tcW w:w="1978" w:type="dxa"/>
            <w:tcBorders>
              <w:top w:val="nil"/>
              <w:left w:val="nil"/>
              <w:bottom w:val="single" w:sz="4" w:space="0" w:color="auto"/>
              <w:right w:val="single" w:sz="4" w:space="0" w:color="auto"/>
            </w:tcBorders>
            <w:vAlign w:val="center"/>
            <w:hideMark/>
          </w:tcPr>
          <w:p w14:paraId="15120690"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Tool-oriented.</w:t>
            </w:r>
          </w:p>
        </w:tc>
        <w:tc>
          <w:tcPr>
            <w:tcW w:w="1978" w:type="dxa"/>
            <w:tcBorders>
              <w:top w:val="nil"/>
              <w:left w:val="nil"/>
              <w:bottom w:val="single" w:sz="4" w:space="0" w:color="auto"/>
              <w:right w:val="single" w:sz="4" w:space="0" w:color="auto"/>
            </w:tcBorders>
            <w:vAlign w:val="center"/>
            <w:hideMark/>
          </w:tcPr>
          <w:p w14:paraId="6F928A17"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Useful supporting source.</w:t>
            </w:r>
          </w:p>
        </w:tc>
      </w:tr>
      <w:tr w:rsidR="00FB3CCF" w:rsidRPr="00FB3CCF" w14:paraId="1E91E7F0"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210942EC"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 xml:space="preserve">Ericsson and </w:t>
            </w:r>
            <w:proofErr w:type="spellStart"/>
            <w:r w:rsidRPr="00FB3CCF">
              <w:rPr>
                <w:rFonts w:ascii="Arial" w:hAnsi="Arial" w:cs="Arial"/>
                <w:sz w:val="21"/>
                <w:szCs w:val="21"/>
              </w:rPr>
              <w:t>Gregorson</w:t>
            </w:r>
            <w:proofErr w:type="spellEnd"/>
            <w:r w:rsidRPr="00FB3CCF">
              <w:rPr>
                <w:rFonts w:ascii="Arial" w:hAnsi="Arial" w:cs="Arial"/>
                <w:sz w:val="21"/>
                <w:szCs w:val="21"/>
              </w:rPr>
              <w:t xml:space="preserve"> (2018)</w:t>
            </w:r>
          </w:p>
        </w:tc>
        <w:tc>
          <w:tcPr>
            <w:tcW w:w="1978" w:type="dxa"/>
            <w:tcBorders>
              <w:top w:val="nil"/>
              <w:left w:val="nil"/>
              <w:bottom w:val="single" w:sz="4" w:space="0" w:color="auto"/>
              <w:right w:val="single" w:sz="4" w:space="0" w:color="auto"/>
            </w:tcBorders>
            <w:vAlign w:val="center"/>
            <w:hideMark/>
          </w:tcPr>
          <w:p w14:paraId="7B591F5D"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Quantitative risk assessment can clarify wave technology uncertainty.</w:t>
            </w:r>
          </w:p>
        </w:tc>
        <w:tc>
          <w:tcPr>
            <w:tcW w:w="1978" w:type="dxa"/>
            <w:tcBorders>
              <w:top w:val="nil"/>
              <w:left w:val="nil"/>
              <w:bottom w:val="single" w:sz="4" w:space="0" w:color="auto"/>
              <w:right w:val="single" w:sz="4" w:space="0" w:color="auto"/>
            </w:tcBorders>
            <w:vAlign w:val="center"/>
            <w:hideMark/>
          </w:tcPr>
          <w:p w14:paraId="25152581"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Quantitative risk study; finds some risks can be measured more clearly than assumed.</w:t>
            </w:r>
          </w:p>
        </w:tc>
        <w:tc>
          <w:tcPr>
            <w:tcW w:w="1978" w:type="dxa"/>
            <w:tcBorders>
              <w:top w:val="nil"/>
              <w:left w:val="nil"/>
              <w:bottom w:val="single" w:sz="4" w:space="0" w:color="auto"/>
              <w:right w:val="single" w:sz="4" w:space="0" w:color="auto"/>
            </w:tcBorders>
            <w:vAlign w:val="center"/>
            <w:hideMark/>
          </w:tcPr>
          <w:p w14:paraId="374C7CF0"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Technical orientation.</w:t>
            </w:r>
          </w:p>
        </w:tc>
        <w:tc>
          <w:tcPr>
            <w:tcW w:w="1978" w:type="dxa"/>
            <w:tcBorders>
              <w:top w:val="nil"/>
              <w:left w:val="nil"/>
              <w:bottom w:val="single" w:sz="4" w:space="0" w:color="auto"/>
              <w:right w:val="single" w:sz="4" w:space="0" w:color="auto"/>
            </w:tcBorders>
            <w:vAlign w:val="center"/>
            <w:hideMark/>
          </w:tcPr>
          <w:p w14:paraId="0C61CA13"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Useful for evidence development.</w:t>
            </w:r>
          </w:p>
        </w:tc>
      </w:tr>
      <w:tr w:rsidR="00FB3CCF" w:rsidRPr="00FB3CCF" w14:paraId="052E9270"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5E7B9C08"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Gross, Blyth and Heptonstall (2010)</w:t>
            </w:r>
          </w:p>
        </w:tc>
        <w:tc>
          <w:tcPr>
            <w:tcW w:w="1978" w:type="dxa"/>
            <w:tcBorders>
              <w:top w:val="nil"/>
              <w:left w:val="nil"/>
              <w:bottom w:val="single" w:sz="4" w:space="0" w:color="auto"/>
              <w:right w:val="single" w:sz="4" w:space="0" w:color="auto"/>
            </w:tcBorders>
            <w:vAlign w:val="center"/>
            <w:hideMark/>
          </w:tcPr>
          <w:p w14:paraId="471DC170"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Electricity investment policy must look beyond generation cost to risks and revenues.</w:t>
            </w:r>
          </w:p>
        </w:tc>
        <w:tc>
          <w:tcPr>
            <w:tcW w:w="1978" w:type="dxa"/>
            <w:tcBorders>
              <w:top w:val="nil"/>
              <w:left w:val="nil"/>
              <w:bottom w:val="single" w:sz="4" w:space="0" w:color="auto"/>
              <w:right w:val="single" w:sz="4" w:space="0" w:color="auto"/>
            </w:tcBorders>
            <w:vAlign w:val="center"/>
            <w:hideMark/>
          </w:tcPr>
          <w:p w14:paraId="5B92BA0E"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Conceptual policy analysis; finds risk structure shapes technology choice.</w:t>
            </w:r>
          </w:p>
        </w:tc>
        <w:tc>
          <w:tcPr>
            <w:tcW w:w="1978" w:type="dxa"/>
            <w:tcBorders>
              <w:top w:val="nil"/>
              <w:left w:val="nil"/>
              <w:bottom w:val="single" w:sz="4" w:space="0" w:color="auto"/>
              <w:right w:val="single" w:sz="4" w:space="0" w:color="auto"/>
            </w:tcBorders>
            <w:vAlign w:val="center"/>
            <w:hideMark/>
          </w:tcPr>
          <w:p w14:paraId="26F89928"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Not wave-specific.</w:t>
            </w:r>
          </w:p>
        </w:tc>
        <w:tc>
          <w:tcPr>
            <w:tcW w:w="1978" w:type="dxa"/>
            <w:tcBorders>
              <w:top w:val="nil"/>
              <w:left w:val="nil"/>
              <w:bottom w:val="single" w:sz="4" w:space="0" w:color="auto"/>
              <w:right w:val="single" w:sz="4" w:space="0" w:color="auto"/>
            </w:tcBorders>
            <w:vAlign w:val="center"/>
            <w:hideMark/>
          </w:tcPr>
          <w:p w14:paraId="2A1866DA"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Strong broad finance logic.</w:t>
            </w:r>
          </w:p>
        </w:tc>
      </w:tr>
      <w:tr w:rsidR="00FB3CCF" w:rsidRPr="00FB3CCF" w14:paraId="3BDDB2E4"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66B492F9" w14:textId="77777777" w:rsidR="00FB3CCF" w:rsidRPr="00FB3CCF" w:rsidRDefault="00FB3CCF" w:rsidP="00442932">
            <w:pPr>
              <w:jc w:val="center"/>
              <w:rPr>
                <w:rFonts w:ascii="Arial" w:hAnsi="Arial" w:cs="Arial"/>
                <w:sz w:val="21"/>
                <w:szCs w:val="21"/>
              </w:rPr>
            </w:pPr>
            <w:proofErr w:type="spellStart"/>
            <w:r w:rsidRPr="00FB3CCF">
              <w:rPr>
                <w:rFonts w:ascii="Arial" w:hAnsi="Arial" w:cs="Arial"/>
                <w:sz w:val="21"/>
                <w:szCs w:val="21"/>
              </w:rPr>
              <w:t>Kitzing</w:t>
            </w:r>
            <w:proofErr w:type="spellEnd"/>
            <w:r w:rsidRPr="00FB3CCF">
              <w:rPr>
                <w:rFonts w:ascii="Arial" w:hAnsi="Arial" w:cs="Arial"/>
                <w:sz w:val="21"/>
                <w:szCs w:val="21"/>
              </w:rPr>
              <w:t xml:space="preserve"> (2014)</w:t>
            </w:r>
          </w:p>
        </w:tc>
        <w:tc>
          <w:tcPr>
            <w:tcW w:w="1978" w:type="dxa"/>
            <w:tcBorders>
              <w:top w:val="nil"/>
              <w:left w:val="nil"/>
              <w:bottom w:val="single" w:sz="4" w:space="0" w:color="auto"/>
              <w:right w:val="single" w:sz="4" w:space="0" w:color="auto"/>
            </w:tcBorders>
            <w:vAlign w:val="center"/>
            <w:hideMark/>
          </w:tcPr>
          <w:p w14:paraId="387754D1"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Support instruments expose investors to different risk profiles.</w:t>
            </w:r>
          </w:p>
        </w:tc>
        <w:tc>
          <w:tcPr>
            <w:tcW w:w="1978" w:type="dxa"/>
            <w:tcBorders>
              <w:top w:val="nil"/>
              <w:left w:val="nil"/>
              <w:bottom w:val="single" w:sz="4" w:space="0" w:color="auto"/>
              <w:right w:val="single" w:sz="4" w:space="0" w:color="auto"/>
            </w:tcBorders>
            <w:vAlign w:val="center"/>
            <w:hideMark/>
          </w:tcPr>
          <w:p w14:paraId="54FDA127"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Comparative modelling; finds policy design directly shapes investor risk.</w:t>
            </w:r>
          </w:p>
        </w:tc>
        <w:tc>
          <w:tcPr>
            <w:tcW w:w="1978" w:type="dxa"/>
            <w:tcBorders>
              <w:top w:val="nil"/>
              <w:left w:val="nil"/>
              <w:bottom w:val="single" w:sz="4" w:space="0" w:color="auto"/>
              <w:right w:val="single" w:sz="4" w:space="0" w:color="auto"/>
            </w:tcBorders>
            <w:vAlign w:val="center"/>
            <w:hideMark/>
          </w:tcPr>
          <w:p w14:paraId="211C3D19"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Renewable-wide.</w:t>
            </w:r>
          </w:p>
        </w:tc>
        <w:tc>
          <w:tcPr>
            <w:tcW w:w="1978" w:type="dxa"/>
            <w:tcBorders>
              <w:top w:val="nil"/>
              <w:left w:val="nil"/>
              <w:bottom w:val="single" w:sz="4" w:space="0" w:color="auto"/>
              <w:right w:val="single" w:sz="4" w:space="0" w:color="auto"/>
            </w:tcBorders>
            <w:vAlign w:val="center"/>
            <w:hideMark/>
          </w:tcPr>
          <w:p w14:paraId="53609916"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Useful for risk allocation.</w:t>
            </w:r>
          </w:p>
        </w:tc>
      </w:tr>
      <w:tr w:rsidR="00FB3CCF" w:rsidRPr="00FB3CCF" w14:paraId="0258C6AE" w14:textId="77777777" w:rsidTr="00442932">
        <w:trPr>
          <w:trHeight w:val="1608"/>
          <w:jc w:val="center"/>
        </w:trPr>
        <w:tc>
          <w:tcPr>
            <w:tcW w:w="1978" w:type="dxa"/>
            <w:tcBorders>
              <w:top w:val="nil"/>
              <w:left w:val="single" w:sz="4" w:space="0" w:color="auto"/>
              <w:bottom w:val="single" w:sz="4" w:space="0" w:color="auto"/>
              <w:right w:val="single" w:sz="4" w:space="0" w:color="auto"/>
            </w:tcBorders>
            <w:vAlign w:val="center"/>
            <w:hideMark/>
          </w:tcPr>
          <w:p w14:paraId="43249CC2"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Nightingale et al. (2016)</w:t>
            </w:r>
          </w:p>
        </w:tc>
        <w:tc>
          <w:tcPr>
            <w:tcW w:w="1978" w:type="dxa"/>
            <w:tcBorders>
              <w:top w:val="nil"/>
              <w:left w:val="nil"/>
              <w:bottom w:val="single" w:sz="4" w:space="0" w:color="auto"/>
              <w:right w:val="single" w:sz="4" w:space="0" w:color="auto"/>
            </w:tcBorders>
            <w:vAlign w:val="center"/>
            <w:hideMark/>
          </w:tcPr>
          <w:p w14:paraId="6E9EA6B3"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Different financiers fund different stages and technologies.</w:t>
            </w:r>
          </w:p>
        </w:tc>
        <w:tc>
          <w:tcPr>
            <w:tcW w:w="1978" w:type="dxa"/>
            <w:tcBorders>
              <w:top w:val="nil"/>
              <w:left w:val="nil"/>
              <w:bottom w:val="single" w:sz="4" w:space="0" w:color="auto"/>
              <w:right w:val="single" w:sz="4" w:space="0" w:color="auto"/>
            </w:tcBorders>
            <w:vAlign w:val="center"/>
            <w:hideMark/>
          </w:tcPr>
          <w:p w14:paraId="576E1444"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Sector finance analysis; finds investor type matters to technology pathways.</w:t>
            </w:r>
          </w:p>
        </w:tc>
        <w:tc>
          <w:tcPr>
            <w:tcW w:w="1978" w:type="dxa"/>
            <w:tcBorders>
              <w:top w:val="nil"/>
              <w:left w:val="nil"/>
              <w:bottom w:val="single" w:sz="4" w:space="0" w:color="auto"/>
              <w:right w:val="single" w:sz="4" w:space="0" w:color="auto"/>
            </w:tcBorders>
            <w:vAlign w:val="center"/>
            <w:hideMark/>
          </w:tcPr>
          <w:p w14:paraId="350C5C7B"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Not wave-focused.</w:t>
            </w:r>
          </w:p>
        </w:tc>
        <w:tc>
          <w:tcPr>
            <w:tcW w:w="1978" w:type="dxa"/>
            <w:tcBorders>
              <w:top w:val="nil"/>
              <w:left w:val="nil"/>
              <w:bottom w:val="single" w:sz="4" w:space="0" w:color="auto"/>
              <w:right w:val="single" w:sz="4" w:space="0" w:color="auto"/>
            </w:tcBorders>
            <w:vAlign w:val="center"/>
            <w:hideMark/>
          </w:tcPr>
          <w:p w14:paraId="3644A41D" w14:textId="77777777" w:rsidR="00FB3CCF" w:rsidRPr="00FB3CCF" w:rsidRDefault="00FB3CCF" w:rsidP="00442932">
            <w:pPr>
              <w:jc w:val="center"/>
              <w:rPr>
                <w:rFonts w:ascii="Arial" w:hAnsi="Arial" w:cs="Arial"/>
                <w:sz w:val="21"/>
                <w:szCs w:val="21"/>
              </w:rPr>
            </w:pPr>
            <w:r w:rsidRPr="00FB3CCF">
              <w:rPr>
                <w:rFonts w:ascii="Arial" w:hAnsi="Arial" w:cs="Arial"/>
                <w:sz w:val="21"/>
                <w:szCs w:val="21"/>
              </w:rPr>
              <w:t>Important for stage-sensitive bankability.</w:t>
            </w:r>
          </w:p>
        </w:tc>
      </w:tr>
      <w:tr w:rsidR="00FB3CCF" w:rsidRPr="00FB3CCF" w14:paraId="4B35734A" w14:textId="77777777" w:rsidTr="00442932">
        <w:trPr>
          <w:trHeight w:val="317"/>
          <w:jc w:val="center"/>
        </w:trPr>
        <w:tc>
          <w:tcPr>
            <w:tcW w:w="7914" w:type="dxa"/>
            <w:gridSpan w:val="4"/>
            <w:tcBorders>
              <w:top w:val="nil"/>
              <w:left w:val="nil"/>
              <w:bottom w:val="nil"/>
              <w:right w:val="nil"/>
            </w:tcBorders>
            <w:vAlign w:val="center"/>
            <w:hideMark/>
          </w:tcPr>
          <w:p w14:paraId="22CAA208" w14:textId="77777777" w:rsidR="00FB3CCF" w:rsidRPr="00FB3CCF" w:rsidRDefault="00FB3CCF" w:rsidP="00442932">
            <w:pPr>
              <w:rPr>
                <w:rFonts w:ascii="Arial" w:hAnsi="Arial" w:cs="Arial"/>
                <w:sz w:val="21"/>
                <w:szCs w:val="21"/>
              </w:rPr>
            </w:pPr>
            <w:r w:rsidRPr="00FB3CCF">
              <w:rPr>
                <w:rFonts w:ascii="Arial" w:hAnsi="Arial" w:cs="Arial"/>
                <w:sz w:val="21"/>
                <w:szCs w:val="21"/>
              </w:rPr>
              <w:t>Source: Author’s synthesis based on the reviewed literature.</w:t>
            </w:r>
          </w:p>
        </w:tc>
        <w:tc>
          <w:tcPr>
            <w:tcW w:w="1978" w:type="dxa"/>
            <w:tcBorders>
              <w:top w:val="nil"/>
              <w:left w:val="nil"/>
              <w:bottom w:val="nil"/>
              <w:right w:val="nil"/>
            </w:tcBorders>
            <w:noWrap/>
            <w:vAlign w:val="bottom"/>
            <w:hideMark/>
          </w:tcPr>
          <w:p w14:paraId="52B6D5D0" w14:textId="77777777" w:rsidR="00FB3CCF" w:rsidRPr="00FB3CCF" w:rsidRDefault="00FB3CCF" w:rsidP="00442932">
            <w:pPr>
              <w:rPr>
                <w:rFonts w:ascii="Arial" w:hAnsi="Arial" w:cs="Arial"/>
                <w:sz w:val="21"/>
                <w:szCs w:val="21"/>
              </w:rPr>
            </w:pPr>
          </w:p>
        </w:tc>
      </w:tr>
    </w:tbl>
    <w:p w14:paraId="5C94B8D8" w14:textId="77777777" w:rsidR="00FB3CCF" w:rsidRPr="00FB3CCF" w:rsidRDefault="00FB3CCF" w:rsidP="00FB3CCF">
      <w:pPr>
        <w:spacing w:line="360" w:lineRule="auto"/>
        <w:jc w:val="both"/>
        <w:rPr>
          <w:rFonts w:ascii="Arial" w:hAnsi="Arial" w:cs="Arial"/>
          <w:b/>
          <w:bCs/>
        </w:rPr>
      </w:pPr>
    </w:p>
    <w:p w14:paraId="508423F0" w14:textId="77777777" w:rsidR="00FB3CCF" w:rsidRPr="00FB3CCF" w:rsidRDefault="00FB3CCF" w:rsidP="00FB3CCF">
      <w:pPr>
        <w:spacing w:line="360" w:lineRule="auto"/>
        <w:jc w:val="both"/>
        <w:rPr>
          <w:rFonts w:ascii="Arial" w:hAnsi="Arial" w:cs="Arial"/>
          <w:b/>
          <w:bCs/>
        </w:rPr>
      </w:pPr>
    </w:p>
    <w:p w14:paraId="7863967C" w14:textId="77777777" w:rsidR="00FB3CCF" w:rsidRPr="00FB3CCF" w:rsidRDefault="00FB3CCF" w:rsidP="00FB3CCF">
      <w:pPr>
        <w:spacing w:line="360" w:lineRule="auto"/>
        <w:jc w:val="both"/>
        <w:rPr>
          <w:rFonts w:ascii="Arial" w:hAnsi="Arial" w:cs="Arial"/>
          <w:b/>
          <w:bCs/>
        </w:rPr>
      </w:pPr>
    </w:p>
    <w:p w14:paraId="1F910D42" w14:textId="77777777" w:rsidR="00FB3CCF" w:rsidRPr="00FB3CCF" w:rsidRDefault="00FB3CCF" w:rsidP="00FB3CCF">
      <w:pPr>
        <w:spacing w:line="360" w:lineRule="auto"/>
        <w:jc w:val="both"/>
        <w:rPr>
          <w:rFonts w:ascii="Arial" w:hAnsi="Arial" w:cs="Arial"/>
          <w:b/>
          <w:bCs/>
        </w:rPr>
      </w:pPr>
    </w:p>
    <w:p w14:paraId="1AB65A58" w14:textId="77777777" w:rsidR="00FB3CCF" w:rsidRPr="00FB3CCF" w:rsidRDefault="00FB3CCF" w:rsidP="00FB3CCF">
      <w:pPr>
        <w:spacing w:line="360" w:lineRule="auto"/>
        <w:jc w:val="both"/>
        <w:rPr>
          <w:rFonts w:ascii="Arial" w:hAnsi="Arial" w:cs="Arial"/>
          <w:b/>
          <w:bCs/>
        </w:rPr>
      </w:pPr>
    </w:p>
    <w:p w14:paraId="60B4B2BD" w14:textId="77777777" w:rsidR="00FB3CCF" w:rsidRPr="00FB3CCF" w:rsidRDefault="00FB3CCF" w:rsidP="00FB3CCF">
      <w:pPr>
        <w:spacing w:line="360" w:lineRule="auto"/>
        <w:jc w:val="both"/>
        <w:rPr>
          <w:rFonts w:ascii="Arial" w:hAnsi="Arial" w:cs="Arial"/>
          <w:b/>
          <w:bCs/>
        </w:rPr>
      </w:pPr>
    </w:p>
    <w:p w14:paraId="0F39F586" w14:textId="77777777" w:rsidR="00FB3CCF" w:rsidRPr="00FB3CCF" w:rsidRDefault="00FB3CCF" w:rsidP="00FB3CCF">
      <w:pPr>
        <w:spacing w:line="360" w:lineRule="auto"/>
        <w:jc w:val="both"/>
        <w:rPr>
          <w:rFonts w:ascii="Arial" w:hAnsi="Arial" w:cs="Arial"/>
          <w:b/>
          <w:bCs/>
        </w:rPr>
      </w:pPr>
    </w:p>
    <w:p w14:paraId="3D8CC8A2" w14:textId="77777777" w:rsidR="00FB3CCF" w:rsidRPr="00FB3CCF" w:rsidRDefault="00FB3CCF" w:rsidP="00FB3CCF">
      <w:pPr>
        <w:spacing w:line="360" w:lineRule="auto"/>
        <w:jc w:val="both"/>
        <w:rPr>
          <w:rFonts w:ascii="Arial" w:hAnsi="Arial" w:cs="Arial"/>
          <w:b/>
          <w:bCs/>
        </w:rPr>
      </w:pPr>
    </w:p>
    <w:p w14:paraId="5CF9B61B" w14:textId="77777777" w:rsidR="00FB3CCF" w:rsidRPr="00FB3CCF" w:rsidRDefault="00FB3CCF" w:rsidP="00FB3CCF">
      <w:pPr>
        <w:spacing w:line="360" w:lineRule="auto"/>
        <w:jc w:val="both"/>
        <w:rPr>
          <w:rFonts w:ascii="Arial" w:hAnsi="Arial" w:cs="Arial"/>
          <w:b/>
          <w:bCs/>
        </w:rPr>
      </w:pPr>
    </w:p>
    <w:p w14:paraId="72CC200B" w14:textId="77777777" w:rsidR="00FB3CCF" w:rsidRPr="00FB3CCF" w:rsidRDefault="00FB3CCF" w:rsidP="00FB3CCF">
      <w:pPr>
        <w:spacing w:line="360" w:lineRule="auto"/>
        <w:jc w:val="both"/>
        <w:rPr>
          <w:rFonts w:ascii="Arial" w:hAnsi="Arial" w:cs="Arial"/>
          <w:b/>
          <w:bCs/>
        </w:rPr>
      </w:pPr>
    </w:p>
    <w:p w14:paraId="1BF637F7" w14:textId="77777777" w:rsidR="00FB3CCF" w:rsidRPr="00FB3CCF" w:rsidRDefault="00FB3CCF" w:rsidP="00FB3CCF">
      <w:pPr>
        <w:spacing w:line="360" w:lineRule="auto"/>
        <w:jc w:val="both"/>
        <w:rPr>
          <w:rFonts w:ascii="Arial" w:hAnsi="Arial" w:cs="Arial"/>
          <w:b/>
          <w:bCs/>
        </w:rPr>
      </w:pPr>
    </w:p>
    <w:p w14:paraId="4FCDBCD8" w14:textId="77777777" w:rsidR="00FB3CCF" w:rsidRPr="00FB3CCF" w:rsidRDefault="00FB3CCF" w:rsidP="00FB3CCF">
      <w:pPr>
        <w:spacing w:line="360" w:lineRule="auto"/>
        <w:jc w:val="both"/>
        <w:rPr>
          <w:rFonts w:ascii="Arial" w:hAnsi="Arial" w:cs="Arial"/>
          <w:b/>
          <w:bCs/>
        </w:rPr>
      </w:pPr>
    </w:p>
    <w:p w14:paraId="22D29A90" w14:textId="77777777" w:rsidR="00FB3CCF" w:rsidRPr="00FB3CCF" w:rsidRDefault="00FB3CCF" w:rsidP="00FB3CCF">
      <w:pPr>
        <w:spacing w:line="360" w:lineRule="auto"/>
        <w:jc w:val="both"/>
        <w:rPr>
          <w:rFonts w:ascii="Arial" w:hAnsi="Arial" w:cs="Arial"/>
          <w:b/>
          <w:bCs/>
        </w:rPr>
      </w:pPr>
    </w:p>
    <w:p w14:paraId="048055F7" w14:textId="77777777" w:rsidR="00FB3CCF" w:rsidRPr="00FB3CCF" w:rsidRDefault="00FB3CCF" w:rsidP="00FB3CCF">
      <w:pPr>
        <w:spacing w:line="360" w:lineRule="auto"/>
        <w:jc w:val="both"/>
        <w:rPr>
          <w:rFonts w:ascii="Arial" w:hAnsi="Arial" w:cs="Arial"/>
          <w:b/>
          <w:bCs/>
        </w:rPr>
      </w:pPr>
    </w:p>
    <w:p w14:paraId="4A6E9B6E" w14:textId="77777777" w:rsidR="00FB3CCF" w:rsidRPr="00FB3CCF" w:rsidRDefault="00FB3CCF" w:rsidP="00FB3CCF">
      <w:pPr>
        <w:spacing w:line="360" w:lineRule="auto"/>
        <w:jc w:val="both"/>
        <w:rPr>
          <w:rFonts w:ascii="Arial" w:hAnsi="Arial" w:cs="Arial"/>
          <w:b/>
          <w:bCs/>
        </w:rPr>
      </w:pPr>
    </w:p>
    <w:p w14:paraId="104D955E" w14:textId="77777777" w:rsidR="00FB3CCF" w:rsidRPr="00FB3CCF" w:rsidRDefault="00FB3CCF" w:rsidP="00FB3CCF">
      <w:pPr>
        <w:spacing w:line="360" w:lineRule="auto"/>
        <w:jc w:val="both"/>
        <w:rPr>
          <w:rFonts w:ascii="Arial" w:hAnsi="Arial" w:cs="Arial"/>
          <w:b/>
          <w:bCs/>
        </w:rPr>
      </w:pPr>
    </w:p>
    <w:p w14:paraId="0B67F8CA" w14:textId="77777777" w:rsidR="00FB3CCF" w:rsidRPr="00FB3CCF" w:rsidRDefault="00FB3CCF" w:rsidP="00FB3CCF">
      <w:pPr>
        <w:spacing w:line="360" w:lineRule="auto"/>
        <w:jc w:val="both"/>
        <w:rPr>
          <w:rFonts w:ascii="Arial" w:hAnsi="Arial" w:cs="Arial"/>
          <w:b/>
          <w:bCs/>
        </w:rPr>
      </w:pPr>
    </w:p>
    <w:p w14:paraId="2EC0155B" w14:textId="77777777" w:rsidR="00FB3CCF" w:rsidRPr="00FB3CCF" w:rsidRDefault="00FB3CCF" w:rsidP="00FB3CCF">
      <w:pPr>
        <w:spacing w:line="360" w:lineRule="auto"/>
        <w:jc w:val="both"/>
        <w:rPr>
          <w:rFonts w:ascii="Arial" w:hAnsi="Arial" w:cs="Arial"/>
          <w:b/>
          <w:bCs/>
        </w:rPr>
      </w:pPr>
    </w:p>
    <w:p w14:paraId="1A0011D6" w14:textId="77777777" w:rsidR="00FB3CCF" w:rsidRPr="00FB3CCF" w:rsidRDefault="00FB3CCF" w:rsidP="00FB3CCF">
      <w:pPr>
        <w:spacing w:line="360" w:lineRule="auto"/>
        <w:jc w:val="both"/>
        <w:rPr>
          <w:rFonts w:ascii="Arial" w:hAnsi="Arial" w:cs="Arial"/>
          <w:b/>
          <w:bCs/>
        </w:rPr>
      </w:pPr>
    </w:p>
    <w:p w14:paraId="0FB9070D" w14:textId="77777777" w:rsidR="00FB3CCF" w:rsidRPr="00FB3CCF" w:rsidRDefault="00FB3CCF" w:rsidP="00FB3CCF">
      <w:pPr>
        <w:spacing w:line="360" w:lineRule="auto"/>
        <w:jc w:val="both"/>
        <w:rPr>
          <w:rFonts w:ascii="Arial" w:hAnsi="Arial" w:cs="Arial"/>
          <w:b/>
          <w:bCs/>
        </w:rPr>
      </w:pPr>
    </w:p>
    <w:p w14:paraId="48503C10" w14:textId="77777777" w:rsidR="00FB3CCF" w:rsidRPr="00FB3CCF" w:rsidRDefault="00FB3CCF" w:rsidP="00FB3CCF">
      <w:pPr>
        <w:spacing w:line="360" w:lineRule="auto"/>
        <w:jc w:val="both"/>
        <w:rPr>
          <w:rFonts w:ascii="Arial" w:hAnsi="Arial" w:cs="Arial"/>
          <w:b/>
          <w:bCs/>
        </w:rPr>
      </w:pPr>
    </w:p>
    <w:p w14:paraId="491D1072" w14:textId="77777777" w:rsidR="00FB3CCF" w:rsidRPr="00FB3CCF" w:rsidRDefault="00FB3CCF" w:rsidP="00FB3CCF">
      <w:pPr>
        <w:spacing w:line="360" w:lineRule="auto"/>
        <w:jc w:val="both"/>
        <w:rPr>
          <w:rFonts w:ascii="Arial" w:hAnsi="Arial" w:cs="Arial"/>
          <w:b/>
          <w:bCs/>
        </w:rPr>
      </w:pPr>
    </w:p>
    <w:p w14:paraId="7B0CCF0F" w14:textId="77777777" w:rsidR="00FB3CCF" w:rsidRPr="00FB3CCF" w:rsidRDefault="00FB3CCF" w:rsidP="00FB3CCF">
      <w:pPr>
        <w:spacing w:line="360" w:lineRule="auto"/>
        <w:jc w:val="both"/>
        <w:rPr>
          <w:rFonts w:ascii="Arial" w:hAnsi="Arial" w:cs="Arial"/>
          <w:b/>
          <w:bCs/>
        </w:rPr>
      </w:pPr>
    </w:p>
    <w:p w14:paraId="35707700" w14:textId="77777777" w:rsidR="00FB3CCF" w:rsidRPr="00FB3CCF" w:rsidRDefault="00FB3CCF" w:rsidP="00FB3CCF">
      <w:pPr>
        <w:spacing w:line="360" w:lineRule="auto"/>
        <w:jc w:val="both"/>
        <w:rPr>
          <w:rFonts w:ascii="Arial" w:hAnsi="Arial" w:cs="Arial"/>
          <w:b/>
          <w:bCs/>
        </w:rPr>
      </w:pPr>
    </w:p>
    <w:p w14:paraId="3691FAEA" w14:textId="77777777" w:rsidR="00FB3CCF" w:rsidRPr="00FB3CCF" w:rsidRDefault="00FB3CCF" w:rsidP="00FB3CCF">
      <w:pPr>
        <w:spacing w:line="360" w:lineRule="auto"/>
        <w:jc w:val="both"/>
        <w:rPr>
          <w:rFonts w:ascii="Arial" w:hAnsi="Arial" w:cs="Arial"/>
          <w:b/>
          <w:bCs/>
        </w:rPr>
      </w:pPr>
    </w:p>
    <w:p w14:paraId="1953BA87"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Appendix F</w:t>
      </w:r>
    </w:p>
    <w:p w14:paraId="3C278683"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F1. Theme 6 “Governance, consenting, and non-technical barriers”</w:t>
      </w:r>
    </w:p>
    <w:tbl>
      <w:tblPr>
        <w:tblW w:w="9102" w:type="dxa"/>
        <w:jc w:val="center"/>
        <w:tblLook w:val="04A0" w:firstRow="1" w:lastRow="0" w:firstColumn="1" w:lastColumn="0" w:noHBand="0" w:noVBand="1"/>
      </w:tblPr>
      <w:tblGrid>
        <w:gridCol w:w="1781"/>
        <w:gridCol w:w="1959"/>
        <w:gridCol w:w="1873"/>
        <w:gridCol w:w="1724"/>
        <w:gridCol w:w="1765"/>
      </w:tblGrid>
      <w:tr w:rsidR="00FB3CCF" w:rsidRPr="00FB3CCF" w14:paraId="5BAFB197" w14:textId="77777777" w:rsidTr="00442932">
        <w:trPr>
          <w:trHeight w:val="1482"/>
          <w:jc w:val="center"/>
        </w:trPr>
        <w:tc>
          <w:tcPr>
            <w:tcW w:w="1817" w:type="dxa"/>
            <w:tcBorders>
              <w:top w:val="single" w:sz="4" w:space="0" w:color="auto"/>
              <w:left w:val="single" w:sz="4" w:space="0" w:color="auto"/>
              <w:bottom w:val="single" w:sz="4" w:space="0" w:color="auto"/>
              <w:right w:val="single" w:sz="4" w:space="0" w:color="auto"/>
            </w:tcBorders>
            <w:vAlign w:val="center"/>
            <w:hideMark/>
          </w:tcPr>
          <w:p w14:paraId="536035A4"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lastRenderedPageBreak/>
              <w:t>Source</w:t>
            </w:r>
          </w:p>
        </w:tc>
        <w:tc>
          <w:tcPr>
            <w:tcW w:w="1988" w:type="dxa"/>
            <w:tcBorders>
              <w:top w:val="single" w:sz="4" w:space="0" w:color="auto"/>
              <w:left w:val="nil"/>
              <w:bottom w:val="single" w:sz="4" w:space="0" w:color="auto"/>
              <w:right w:val="single" w:sz="4" w:space="0" w:color="auto"/>
            </w:tcBorders>
            <w:vAlign w:val="center"/>
            <w:hideMark/>
          </w:tcPr>
          <w:p w14:paraId="2CF6BD8E"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Core argument</w:t>
            </w:r>
          </w:p>
        </w:tc>
        <w:tc>
          <w:tcPr>
            <w:tcW w:w="1765" w:type="dxa"/>
            <w:tcBorders>
              <w:top w:val="single" w:sz="4" w:space="0" w:color="auto"/>
              <w:left w:val="nil"/>
              <w:bottom w:val="single" w:sz="4" w:space="0" w:color="auto"/>
              <w:right w:val="single" w:sz="4" w:space="0" w:color="auto"/>
            </w:tcBorders>
            <w:vAlign w:val="center"/>
            <w:hideMark/>
          </w:tcPr>
          <w:p w14:paraId="10D2B66C"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Method / Findings</w:t>
            </w:r>
          </w:p>
        </w:tc>
        <w:tc>
          <w:tcPr>
            <w:tcW w:w="1765" w:type="dxa"/>
            <w:tcBorders>
              <w:top w:val="single" w:sz="4" w:space="0" w:color="auto"/>
              <w:left w:val="nil"/>
              <w:bottom w:val="single" w:sz="4" w:space="0" w:color="auto"/>
              <w:right w:val="single" w:sz="4" w:space="0" w:color="auto"/>
            </w:tcBorders>
            <w:vAlign w:val="center"/>
            <w:hideMark/>
          </w:tcPr>
          <w:p w14:paraId="7EAD0BCC"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Critical Evaluation</w:t>
            </w:r>
          </w:p>
        </w:tc>
        <w:tc>
          <w:tcPr>
            <w:tcW w:w="1765" w:type="dxa"/>
            <w:tcBorders>
              <w:top w:val="single" w:sz="4" w:space="0" w:color="auto"/>
              <w:left w:val="nil"/>
              <w:bottom w:val="single" w:sz="4" w:space="0" w:color="auto"/>
              <w:right w:val="single" w:sz="4" w:space="0" w:color="auto"/>
            </w:tcBorders>
            <w:vAlign w:val="center"/>
            <w:hideMark/>
          </w:tcPr>
          <w:p w14:paraId="4FAA84A6" w14:textId="77777777" w:rsidR="00FB3CCF" w:rsidRPr="00FB3CCF" w:rsidRDefault="00FB3CCF" w:rsidP="00442932">
            <w:pPr>
              <w:jc w:val="center"/>
              <w:rPr>
                <w:rFonts w:ascii="Arial" w:hAnsi="Arial" w:cs="Arial"/>
                <w:b/>
                <w:bCs/>
                <w:sz w:val="20"/>
                <w:szCs w:val="20"/>
              </w:rPr>
            </w:pPr>
            <w:r w:rsidRPr="00FB3CCF">
              <w:rPr>
                <w:rFonts w:ascii="Arial" w:hAnsi="Arial" w:cs="Arial"/>
                <w:b/>
                <w:bCs/>
                <w:sz w:val="20"/>
                <w:szCs w:val="20"/>
              </w:rPr>
              <w:t>Relevance to the study</w:t>
            </w:r>
          </w:p>
        </w:tc>
      </w:tr>
      <w:tr w:rsidR="00FB3CCF" w:rsidRPr="00FB3CCF" w14:paraId="61FF5B0E"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7E3CCD2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Wright (2016)</w:t>
            </w:r>
          </w:p>
        </w:tc>
        <w:tc>
          <w:tcPr>
            <w:tcW w:w="1988" w:type="dxa"/>
            <w:tcBorders>
              <w:top w:val="nil"/>
              <w:left w:val="nil"/>
              <w:bottom w:val="single" w:sz="4" w:space="0" w:color="auto"/>
              <w:right w:val="single" w:sz="4" w:space="0" w:color="auto"/>
            </w:tcBorders>
            <w:vAlign w:val="center"/>
            <w:hideMark/>
          </w:tcPr>
          <w:p w14:paraId="7D979FE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Scottish marine governance creates important non-technical barriers for wave and tidal development.</w:t>
            </w:r>
          </w:p>
        </w:tc>
        <w:tc>
          <w:tcPr>
            <w:tcW w:w="1765" w:type="dxa"/>
            <w:tcBorders>
              <w:top w:val="nil"/>
              <w:left w:val="nil"/>
              <w:bottom w:val="single" w:sz="4" w:space="0" w:color="auto"/>
              <w:right w:val="single" w:sz="4" w:space="0" w:color="auto"/>
            </w:tcBorders>
            <w:vAlign w:val="center"/>
            <w:hideMark/>
          </w:tcPr>
          <w:p w14:paraId="3CDDF3B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Industry perspective; finds governance complexity affects project progress.</w:t>
            </w:r>
          </w:p>
        </w:tc>
        <w:tc>
          <w:tcPr>
            <w:tcW w:w="1765" w:type="dxa"/>
            <w:tcBorders>
              <w:top w:val="nil"/>
              <w:left w:val="nil"/>
              <w:bottom w:val="single" w:sz="4" w:space="0" w:color="auto"/>
              <w:right w:val="single" w:sz="4" w:space="0" w:color="auto"/>
            </w:tcBorders>
            <w:vAlign w:val="center"/>
            <w:hideMark/>
          </w:tcPr>
          <w:p w14:paraId="29DBF0D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direct evidence, though Scotland-focused.</w:t>
            </w:r>
          </w:p>
        </w:tc>
        <w:tc>
          <w:tcPr>
            <w:tcW w:w="1765" w:type="dxa"/>
            <w:tcBorders>
              <w:top w:val="nil"/>
              <w:left w:val="nil"/>
              <w:bottom w:val="single" w:sz="4" w:space="0" w:color="auto"/>
              <w:right w:val="single" w:sz="4" w:space="0" w:color="auto"/>
            </w:tcBorders>
            <w:vAlign w:val="center"/>
            <w:hideMark/>
          </w:tcPr>
          <w:p w14:paraId="75B2A8B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Core source on regulatory barriers.</w:t>
            </w:r>
          </w:p>
        </w:tc>
      </w:tr>
      <w:tr w:rsidR="00FB3CCF" w:rsidRPr="00FB3CCF" w14:paraId="3A2C2B6B"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1C551B8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O’Hagan et al. (2016)</w:t>
            </w:r>
          </w:p>
        </w:tc>
        <w:tc>
          <w:tcPr>
            <w:tcW w:w="1988" w:type="dxa"/>
            <w:tcBorders>
              <w:top w:val="nil"/>
              <w:left w:val="nil"/>
              <w:bottom w:val="single" w:sz="4" w:space="0" w:color="auto"/>
              <w:right w:val="single" w:sz="4" w:space="0" w:color="auto"/>
            </w:tcBorders>
            <w:vAlign w:val="center"/>
            <w:hideMark/>
          </w:tcPr>
          <w:p w14:paraId="080EC68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European wave progress has been slowed by administrative and practical non-technical barriers.</w:t>
            </w:r>
          </w:p>
        </w:tc>
        <w:tc>
          <w:tcPr>
            <w:tcW w:w="1765" w:type="dxa"/>
            <w:tcBorders>
              <w:top w:val="nil"/>
              <w:left w:val="nil"/>
              <w:bottom w:val="single" w:sz="4" w:space="0" w:color="auto"/>
              <w:right w:val="single" w:sz="4" w:space="0" w:color="auto"/>
            </w:tcBorders>
            <w:vAlign w:val="center"/>
            <w:hideMark/>
          </w:tcPr>
          <w:p w14:paraId="39E37F9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Sector review; finds progress depends on more than technology alone.</w:t>
            </w:r>
          </w:p>
        </w:tc>
        <w:tc>
          <w:tcPr>
            <w:tcW w:w="1765" w:type="dxa"/>
            <w:tcBorders>
              <w:top w:val="nil"/>
              <w:left w:val="nil"/>
              <w:bottom w:val="single" w:sz="4" w:space="0" w:color="auto"/>
              <w:right w:val="single" w:sz="4" w:space="0" w:color="auto"/>
            </w:tcBorders>
            <w:vAlign w:val="center"/>
            <w:hideMark/>
          </w:tcPr>
          <w:p w14:paraId="67A1929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 and comparative.</w:t>
            </w:r>
          </w:p>
        </w:tc>
        <w:tc>
          <w:tcPr>
            <w:tcW w:w="1765" w:type="dxa"/>
            <w:tcBorders>
              <w:top w:val="nil"/>
              <w:left w:val="nil"/>
              <w:bottom w:val="single" w:sz="4" w:space="0" w:color="auto"/>
              <w:right w:val="single" w:sz="4" w:space="0" w:color="auto"/>
            </w:tcBorders>
            <w:vAlign w:val="center"/>
            <w:hideMark/>
          </w:tcPr>
          <w:p w14:paraId="3C80F46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overview of wider non-technical constraints.</w:t>
            </w:r>
          </w:p>
        </w:tc>
      </w:tr>
      <w:tr w:rsidR="00FB3CCF" w:rsidRPr="00FB3CCF" w14:paraId="6B94041C"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4B8A7D3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Greaves et al. (2016)</w:t>
            </w:r>
          </w:p>
        </w:tc>
        <w:tc>
          <w:tcPr>
            <w:tcW w:w="1988" w:type="dxa"/>
            <w:tcBorders>
              <w:top w:val="nil"/>
              <w:left w:val="nil"/>
              <w:bottom w:val="single" w:sz="4" w:space="0" w:color="auto"/>
              <w:right w:val="single" w:sz="4" w:space="0" w:color="auto"/>
            </w:tcBorders>
            <w:vAlign w:val="center"/>
            <w:hideMark/>
          </w:tcPr>
          <w:p w14:paraId="1AF27C8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EIA experience from European wave test centres reveals recurring approval challenges.</w:t>
            </w:r>
          </w:p>
        </w:tc>
        <w:tc>
          <w:tcPr>
            <w:tcW w:w="1765" w:type="dxa"/>
            <w:tcBorders>
              <w:top w:val="nil"/>
              <w:left w:val="nil"/>
              <w:bottom w:val="single" w:sz="4" w:space="0" w:color="auto"/>
              <w:right w:val="single" w:sz="4" w:space="0" w:color="auto"/>
            </w:tcBorders>
            <w:vAlign w:val="center"/>
            <w:hideMark/>
          </w:tcPr>
          <w:p w14:paraId="63A0F15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Experience review; finds environmental assessment remains a practical hurdle.</w:t>
            </w:r>
          </w:p>
        </w:tc>
        <w:tc>
          <w:tcPr>
            <w:tcW w:w="1765" w:type="dxa"/>
            <w:tcBorders>
              <w:top w:val="nil"/>
              <w:left w:val="nil"/>
              <w:bottom w:val="single" w:sz="4" w:space="0" w:color="auto"/>
              <w:right w:val="single" w:sz="4" w:space="0" w:color="auto"/>
            </w:tcBorders>
            <w:vAlign w:val="center"/>
            <w:hideMark/>
          </w:tcPr>
          <w:p w14:paraId="305727F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Test-centre based rather than full commercial scale.</w:t>
            </w:r>
          </w:p>
        </w:tc>
        <w:tc>
          <w:tcPr>
            <w:tcW w:w="1765" w:type="dxa"/>
            <w:tcBorders>
              <w:top w:val="nil"/>
              <w:left w:val="nil"/>
              <w:bottom w:val="single" w:sz="4" w:space="0" w:color="auto"/>
              <w:right w:val="single" w:sz="4" w:space="0" w:color="auto"/>
            </w:tcBorders>
            <w:vAlign w:val="center"/>
            <w:hideMark/>
          </w:tcPr>
          <w:p w14:paraId="1AA5F42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approval process realities.</w:t>
            </w:r>
          </w:p>
        </w:tc>
      </w:tr>
      <w:tr w:rsidR="00FB3CCF" w:rsidRPr="00FB3CCF" w14:paraId="01437CFE"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286E89C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Harrington and Andina-</w:t>
            </w:r>
            <w:proofErr w:type="spellStart"/>
            <w:r w:rsidRPr="00FB3CCF">
              <w:rPr>
                <w:rFonts w:ascii="Arial" w:hAnsi="Arial" w:cs="Arial"/>
                <w:sz w:val="20"/>
                <w:szCs w:val="20"/>
              </w:rPr>
              <w:t>Pendás</w:t>
            </w:r>
            <w:proofErr w:type="spellEnd"/>
            <w:r w:rsidRPr="00FB3CCF">
              <w:rPr>
                <w:rFonts w:ascii="Arial" w:hAnsi="Arial" w:cs="Arial"/>
                <w:sz w:val="20"/>
                <w:szCs w:val="20"/>
              </w:rPr>
              <w:t xml:space="preserve"> (2008)</w:t>
            </w:r>
          </w:p>
        </w:tc>
        <w:tc>
          <w:tcPr>
            <w:tcW w:w="1988" w:type="dxa"/>
            <w:tcBorders>
              <w:top w:val="nil"/>
              <w:left w:val="nil"/>
              <w:bottom w:val="single" w:sz="4" w:space="0" w:color="auto"/>
              <w:right w:val="single" w:sz="4" w:space="0" w:color="auto"/>
            </w:tcBorders>
            <w:vAlign w:val="center"/>
            <w:hideMark/>
          </w:tcPr>
          <w:p w14:paraId="33A7740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Wave Hub planning consent required substantial environmental appraisal and stakeholder negotiation.</w:t>
            </w:r>
          </w:p>
        </w:tc>
        <w:tc>
          <w:tcPr>
            <w:tcW w:w="1765" w:type="dxa"/>
            <w:tcBorders>
              <w:top w:val="nil"/>
              <w:left w:val="nil"/>
              <w:bottom w:val="single" w:sz="4" w:space="0" w:color="auto"/>
              <w:right w:val="single" w:sz="4" w:space="0" w:color="auto"/>
            </w:tcBorders>
            <w:vAlign w:val="center"/>
            <w:hideMark/>
          </w:tcPr>
          <w:p w14:paraId="3A1AEBE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Case analysis; finds consent processes shape project development.</w:t>
            </w:r>
          </w:p>
        </w:tc>
        <w:tc>
          <w:tcPr>
            <w:tcW w:w="1765" w:type="dxa"/>
            <w:tcBorders>
              <w:top w:val="nil"/>
              <w:left w:val="nil"/>
              <w:bottom w:val="single" w:sz="4" w:space="0" w:color="auto"/>
              <w:right w:val="single" w:sz="4" w:space="0" w:color="auto"/>
            </w:tcBorders>
            <w:vAlign w:val="center"/>
            <w:hideMark/>
          </w:tcPr>
          <w:p w14:paraId="35D837E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One major case.</w:t>
            </w:r>
          </w:p>
        </w:tc>
        <w:tc>
          <w:tcPr>
            <w:tcW w:w="1765" w:type="dxa"/>
            <w:tcBorders>
              <w:top w:val="nil"/>
              <w:left w:val="nil"/>
              <w:bottom w:val="single" w:sz="4" w:space="0" w:color="auto"/>
              <w:right w:val="single" w:sz="4" w:space="0" w:color="auto"/>
            </w:tcBorders>
            <w:vAlign w:val="center"/>
            <w:hideMark/>
          </w:tcPr>
          <w:p w14:paraId="42E5B45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UK consent complexity.</w:t>
            </w:r>
          </w:p>
        </w:tc>
      </w:tr>
      <w:tr w:rsidR="00FB3CCF" w:rsidRPr="00FB3CCF" w14:paraId="1825CD1C"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151ECF8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Greaves et al. (2013)</w:t>
            </w:r>
          </w:p>
        </w:tc>
        <w:tc>
          <w:tcPr>
            <w:tcW w:w="1988" w:type="dxa"/>
            <w:tcBorders>
              <w:top w:val="nil"/>
              <w:left w:val="nil"/>
              <w:bottom w:val="single" w:sz="4" w:space="0" w:color="auto"/>
              <w:right w:val="single" w:sz="4" w:space="0" w:color="auto"/>
            </w:tcBorders>
            <w:vAlign w:val="center"/>
            <w:hideMark/>
          </w:tcPr>
          <w:p w14:paraId="5A0C2AC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Streamlining administrative processes is necessary for sector progress.</w:t>
            </w:r>
          </w:p>
        </w:tc>
        <w:tc>
          <w:tcPr>
            <w:tcW w:w="1765" w:type="dxa"/>
            <w:tcBorders>
              <w:top w:val="nil"/>
              <w:left w:val="nil"/>
              <w:bottom w:val="single" w:sz="4" w:space="0" w:color="auto"/>
              <w:right w:val="single" w:sz="4" w:space="0" w:color="auto"/>
            </w:tcBorders>
            <w:vAlign w:val="center"/>
            <w:hideMark/>
          </w:tcPr>
          <w:p w14:paraId="1FD3387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Policy/practice-oriented discussion; finds process burden slows deployment.</w:t>
            </w:r>
          </w:p>
        </w:tc>
        <w:tc>
          <w:tcPr>
            <w:tcW w:w="1765" w:type="dxa"/>
            <w:tcBorders>
              <w:top w:val="nil"/>
              <w:left w:val="nil"/>
              <w:bottom w:val="single" w:sz="4" w:space="0" w:color="auto"/>
              <w:right w:val="single" w:sz="4" w:space="0" w:color="auto"/>
            </w:tcBorders>
            <w:vAlign w:val="center"/>
            <w:hideMark/>
          </w:tcPr>
          <w:p w14:paraId="052995E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More reform-oriented than analytical.</w:t>
            </w:r>
          </w:p>
        </w:tc>
        <w:tc>
          <w:tcPr>
            <w:tcW w:w="1765" w:type="dxa"/>
            <w:tcBorders>
              <w:top w:val="nil"/>
              <w:left w:val="nil"/>
              <w:bottom w:val="single" w:sz="4" w:space="0" w:color="auto"/>
              <w:right w:val="single" w:sz="4" w:space="0" w:color="auto"/>
            </w:tcBorders>
            <w:vAlign w:val="center"/>
            <w:hideMark/>
          </w:tcPr>
          <w:p w14:paraId="2769927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procedural barriers.</w:t>
            </w:r>
          </w:p>
        </w:tc>
      </w:tr>
      <w:tr w:rsidR="00FB3CCF" w:rsidRPr="00FB3CCF" w14:paraId="160B443B"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7D3A5CC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Norris (2009)</w:t>
            </w:r>
          </w:p>
        </w:tc>
        <w:tc>
          <w:tcPr>
            <w:tcW w:w="1988" w:type="dxa"/>
            <w:tcBorders>
              <w:top w:val="nil"/>
              <w:left w:val="nil"/>
              <w:bottom w:val="single" w:sz="4" w:space="0" w:color="auto"/>
              <w:right w:val="single" w:sz="4" w:space="0" w:color="auto"/>
            </w:tcBorders>
            <w:vAlign w:val="center"/>
            <w:hideMark/>
          </w:tcPr>
          <w:p w14:paraId="4305FB3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EMEC helped develop targeted monitoring and more streamlined consents.</w:t>
            </w:r>
          </w:p>
        </w:tc>
        <w:tc>
          <w:tcPr>
            <w:tcW w:w="1765" w:type="dxa"/>
            <w:tcBorders>
              <w:top w:val="nil"/>
              <w:left w:val="nil"/>
              <w:bottom w:val="single" w:sz="4" w:space="0" w:color="auto"/>
              <w:right w:val="single" w:sz="4" w:space="0" w:color="auto"/>
            </w:tcBorders>
            <w:vAlign w:val="center"/>
            <w:hideMark/>
          </w:tcPr>
          <w:p w14:paraId="5783140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Test-centre experience; finds support infrastructure can reduce consenting friction.</w:t>
            </w:r>
          </w:p>
        </w:tc>
        <w:tc>
          <w:tcPr>
            <w:tcW w:w="1765" w:type="dxa"/>
            <w:tcBorders>
              <w:top w:val="nil"/>
              <w:left w:val="nil"/>
              <w:bottom w:val="single" w:sz="4" w:space="0" w:color="auto"/>
              <w:right w:val="single" w:sz="4" w:space="0" w:color="auto"/>
            </w:tcBorders>
            <w:vAlign w:val="center"/>
            <w:hideMark/>
          </w:tcPr>
          <w:p w14:paraId="5AA3CFA4"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Facility-specific.</w:t>
            </w:r>
          </w:p>
        </w:tc>
        <w:tc>
          <w:tcPr>
            <w:tcW w:w="1765" w:type="dxa"/>
            <w:tcBorders>
              <w:top w:val="nil"/>
              <w:left w:val="nil"/>
              <w:bottom w:val="single" w:sz="4" w:space="0" w:color="auto"/>
              <w:right w:val="single" w:sz="4" w:space="0" w:color="auto"/>
            </w:tcBorders>
            <w:vAlign w:val="center"/>
            <w:hideMark/>
          </w:tcPr>
          <w:p w14:paraId="5961BFE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enabling institutions.</w:t>
            </w:r>
          </w:p>
        </w:tc>
      </w:tr>
      <w:tr w:rsidR="00FB3CCF" w:rsidRPr="00FB3CCF" w14:paraId="3BF178C7"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494539F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lastRenderedPageBreak/>
              <w:t>Witt et al. (2012)</w:t>
            </w:r>
          </w:p>
        </w:tc>
        <w:tc>
          <w:tcPr>
            <w:tcW w:w="1988" w:type="dxa"/>
            <w:tcBorders>
              <w:top w:val="nil"/>
              <w:left w:val="nil"/>
              <w:bottom w:val="single" w:sz="4" w:space="0" w:color="auto"/>
              <w:right w:val="single" w:sz="4" w:space="0" w:color="auto"/>
            </w:tcBorders>
            <w:vAlign w:val="center"/>
            <w:hideMark/>
          </w:tcPr>
          <w:p w14:paraId="7FCD8AD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Biodiversity concerns and environmental evidence are central to wave energy approvals.</w:t>
            </w:r>
          </w:p>
        </w:tc>
        <w:tc>
          <w:tcPr>
            <w:tcW w:w="1765" w:type="dxa"/>
            <w:tcBorders>
              <w:top w:val="nil"/>
              <w:left w:val="nil"/>
              <w:bottom w:val="single" w:sz="4" w:space="0" w:color="auto"/>
              <w:right w:val="single" w:sz="4" w:space="0" w:color="auto"/>
            </w:tcBorders>
            <w:vAlign w:val="center"/>
            <w:hideMark/>
          </w:tcPr>
          <w:p w14:paraId="0B54AA0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Wave Hub-related assessment; finds ecological evidence requirements are substantial.</w:t>
            </w:r>
          </w:p>
        </w:tc>
        <w:tc>
          <w:tcPr>
            <w:tcW w:w="1765" w:type="dxa"/>
            <w:tcBorders>
              <w:top w:val="nil"/>
              <w:left w:val="nil"/>
              <w:bottom w:val="single" w:sz="4" w:space="0" w:color="auto"/>
              <w:right w:val="single" w:sz="4" w:space="0" w:color="auto"/>
            </w:tcBorders>
            <w:vAlign w:val="center"/>
            <w:hideMark/>
          </w:tcPr>
          <w:p w14:paraId="4A0BD0D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on environmental dimension, less on finance.</w:t>
            </w:r>
          </w:p>
        </w:tc>
        <w:tc>
          <w:tcPr>
            <w:tcW w:w="1765" w:type="dxa"/>
            <w:tcBorders>
              <w:top w:val="nil"/>
              <w:left w:val="nil"/>
              <w:bottom w:val="single" w:sz="4" w:space="0" w:color="auto"/>
              <w:right w:val="single" w:sz="4" w:space="0" w:color="auto"/>
            </w:tcBorders>
            <w:vAlign w:val="center"/>
            <w:hideMark/>
          </w:tcPr>
          <w:p w14:paraId="4257C37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for regulatory evidence burden.</w:t>
            </w:r>
          </w:p>
        </w:tc>
      </w:tr>
      <w:tr w:rsidR="00FB3CCF" w:rsidRPr="00FB3CCF" w14:paraId="217914E3"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39B3430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Simas et al. (2000/undated)</w:t>
            </w:r>
          </w:p>
        </w:tc>
        <w:tc>
          <w:tcPr>
            <w:tcW w:w="1988" w:type="dxa"/>
            <w:tcBorders>
              <w:top w:val="nil"/>
              <w:left w:val="nil"/>
              <w:bottom w:val="single" w:sz="4" w:space="0" w:color="auto"/>
              <w:right w:val="single" w:sz="4" w:space="0" w:color="auto"/>
            </w:tcBorders>
            <w:vAlign w:val="center"/>
            <w:hideMark/>
          </w:tcPr>
          <w:p w14:paraId="2D1E7FF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Ocean energy consenting is hindered by complex and diverse legal processes.</w:t>
            </w:r>
          </w:p>
        </w:tc>
        <w:tc>
          <w:tcPr>
            <w:tcW w:w="1765" w:type="dxa"/>
            <w:tcBorders>
              <w:top w:val="nil"/>
              <w:left w:val="nil"/>
              <w:bottom w:val="single" w:sz="4" w:space="0" w:color="auto"/>
              <w:right w:val="single" w:sz="4" w:space="0" w:color="auto"/>
            </w:tcBorders>
            <w:vAlign w:val="center"/>
            <w:hideMark/>
          </w:tcPr>
          <w:p w14:paraId="061FF13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Comparative review; finds lack of tailored frameworks slows progress.</w:t>
            </w:r>
          </w:p>
        </w:tc>
        <w:tc>
          <w:tcPr>
            <w:tcW w:w="1765" w:type="dxa"/>
            <w:tcBorders>
              <w:top w:val="nil"/>
              <w:left w:val="nil"/>
              <w:bottom w:val="single" w:sz="4" w:space="0" w:color="auto"/>
              <w:right w:val="single" w:sz="4" w:space="0" w:color="auto"/>
            </w:tcBorders>
            <w:vAlign w:val="center"/>
            <w:hideMark/>
          </w:tcPr>
          <w:p w14:paraId="12756D3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 European lens.</w:t>
            </w:r>
          </w:p>
        </w:tc>
        <w:tc>
          <w:tcPr>
            <w:tcW w:w="1765" w:type="dxa"/>
            <w:tcBorders>
              <w:top w:val="nil"/>
              <w:left w:val="nil"/>
              <w:bottom w:val="single" w:sz="4" w:space="0" w:color="auto"/>
              <w:right w:val="single" w:sz="4" w:space="0" w:color="auto"/>
            </w:tcBorders>
            <w:vAlign w:val="center"/>
            <w:hideMark/>
          </w:tcPr>
          <w:p w14:paraId="3DEBFDE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umbrella source on consenting complexity.</w:t>
            </w:r>
          </w:p>
        </w:tc>
      </w:tr>
      <w:tr w:rsidR="00FB3CCF" w:rsidRPr="00FB3CCF" w14:paraId="6AD88E81"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3D230D4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Mackie and </w:t>
            </w:r>
            <w:proofErr w:type="spellStart"/>
            <w:r w:rsidRPr="00FB3CCF">
              <w:rPr>
                <w:rFonts w:ascii="Arial" w:hAnsi="Arial" w:cs="Arial"/>
                <w:sz w:val="20"/>
                <w:szCs w:val="20"/>
              </w:rPr>
              <w:t>Velenturf</w:t>
            </w:r>
            <w:proofErr w:type="spellEnd"/>
            <w:r w:rsidRPr="00FB3CCF">
              <w:rPr>
                <w:rFonts w:ascii="Arial" w:hAnsi="Arial" w:cs="Arial"/>
                <w:sz w:val="20"/>
                <w:szCs w:val="20"/>
              </w:rPr>
              <w:t xml:space="preserve"> (2021)</w:t>
            </w:r>
          </w:p>
        </w:tc>
        <w:tc>
          <w:tcPr>
            <w:tcW w:w="1988" w:type="dxa"/>
            <w:tcBorders>
              <w:top w:val="nil"/>
              <w:left w:val="nil"/>
              <w:bottom w:val="single" w:sz="4" w:space="0" w:color="auto"/>
              <w:right w:val="single" w:sz="4" w:space="0" w:color="auto"/>
            </w:tcBorders>
            <w:vAlign w:val="center"/>
            <w:hideMark/>
          </w:tcPr>
          <w:p w14:paraId="04C0205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Decommissioning security requirements create long-tail financial and regulatory risk.</w:t>
            </w:r>
          </w:p>
        </w:tc>
        <w:tc>
          <w:tcPr>
            <w:tcW w:w="1765" w:type="dxa"/>
            <w:tcBorders>
              <w:top w:val="nil"/>
              <w:left w:val="nil"/>
              <w:bottom w:val="single" w:sz="4" w:space="0" w:color="auto"/>
              <w:right w:val="single" w:sz="4" w:space="0" w:color="auto"/>
            </w:tcBorders>
            <w:vAlign w:val="center"/>
            <w:hideMark/>
          </w:tcPr>
          <w:p w14:paraId="59A5D6D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Policy analysis; finds uncertainty around decommissioning finance can expose public and private actors.</w:t>
            </w:r>
          </w:p>
        </w:tc>
        <w:tc>
          <w:tcPr>
            <w:tcW w:w="1765" w:type="dxa"/>
            <w:tcBorders>
              <w:top w:val="nil"/>
              <w:left w:val="nil"/>
              <w:bottom w:val="single" w:sz="4" w:space="0" w:color="auto"/>
              <w:right w:val="single" w:sz="4" w:space="0" w:color="auto"/>
            </w:tcBorders>
            <w:vAlign w:val="center"/>
            <w:hideMark/>
          </w:tcPr>
          <w:p w14:paraId="4A2FCE25"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More offshore-renewables-wide than wave-specific.</w:t>
            </w:r>
          </w:p>
        </w:tc>
        <w:tc>
          <w:tcPr>
            <w:tcW w:w="1765" w:type="dxa"/>
            <w:tcBorders>
              <w:top w:val="nil"/>
              <w:left w:val="nil"/>
              <w:bottom w:val="single" w:sz="4" w:space="0" w:color="auto"/>
              <w:right w:val="single" w:sz="4" w:space="0" w:color="auto"/>
            </w:tcBorders>
            <w:vAlign w:val="center"/>
            <w:hideMark/>
          </w:tcPr>
          <w:p w14:paraId="27044BB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Important for hidden liability risk.</w:t>
            </w:r>
          </w:p>
        </w:tc>
      </w:tr>
      <w:tr w:rsidR="00FB3CCF" w:rsidRPr="00FB3CCF" w14:paraId="3DFD3079"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10DFD67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Simas et al. (2012)</w:t>
            </w:r>
          </w:p>
        </w:tc>
        <w:tc>
          <w:tcPr>
            <w:tcW w:w="1988" w:type="dxa"/>
            <w:tcBorders>
              <w:top w:val="nil"/>
              <w:left w:val="nil"/>
              <w:bottom w:val="single" w:sz="4" w:space="0" w:color="auto"/>
              <w:right w:val="single" w:sz="4" w:space="0" w:color="auto"/>
            </w:tcBorders>
            <w:vAlign w:val="center"/>
            <w:hideMark/>
          </w:tcPr>
          <w:p w14:paraId="7633406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Stakeholder engagement shapes the consenting process materially.</w:t>
            </w:r>
          </w:p>
        </w:tc>
        <w:tc>
          <w:tcPr>
            <w:tcW w:w="1765" w:type="dxa"/>
            <w:tcBorders>
              <w:top w:val="nil"/>
              <w:left w:val="nil"/>
              <w:bottom w:val="single" w:sz="4" w:space="0" w:color="auto"/>
              <w:right w:val="single" w:sz="4" w:space="0" w:color="auto"/>
            </w:tcBorders>
            <w:vAlign w:val="center"/>
            <w:hideMark/>
          </w:tcPr>
          <w:p w14:paraId="273AEA4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Survey-based analysis; finds sensitivities differ across stakeholder groups.</w:t>
            </w:r>
          </w:p>
        </w:tc>
        <w:tc>
          <w:tcPr>
            <w:tcW w:w="1765" w:type="dxa"/>
            <w:tcBorders>
              <w:top w:val="nil"/>
              <w:left w:val="nil"/>
              <w:bottom w:val="single" w:sz="4" w:space="0" w:color="auto"/>
              <w:right w:val="single" w:sz="4" w:space="0" w:color="auto"/>
            </w:tcBorders>
            <w:vAlign w:val="center"/>
            <w:hideMark/>
          </w:tcPr>
          <w:p w14:paraId="1A3AF32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Engagement-focused.</w:t>
            </w:r>
          </w:p>
        </w:tc>
        <w:tc>
          <w:tcPr>
            <w:tcW w:w="1765" w:type="dxa"/>
            <w:tcBorders>
              <w:top w:val="nil"/>
              <w:left w:val="nil"/>
              <w:bottom w:val="single" w:sz="4" w:space="0" w:color="auto"/>
              <w:right w:val="single" w:sz="4" w:space="0" w:color="auto"/>
            </w:tcBorders>
            <w:vAlign w:val="center"/>
            <w:hideMark/>
          </w:tcPr>
          <w:p w14:paraId="628FB41A"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legitimacy and approval risk.</w:t>
            </w:r>
          </w:p>
        </w:tc>
      </w:tr>
      <w:tr w:rsidR="00FB3CCF" w:rsidRPr="00FB3CCF" w14:paraId="0567E590"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3539626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Caine (2019)</w:t>
            </w:r>
          </w:p>
        </w:tc>
        <w:tc>
          <w:tcPr>
            <w:tcW w:w="1988" w:type="dxa"/>
            <w:tcBorders>
              <w:top w:val="nil"/>
              <w:left w:val="nil"/>
              <w:bottom w:val="single" w:sz="4" w:space="0" w:color="auto"/>
              <w:right w:val="single" w:sz="4" w:space="0" w:color="auto"/>
            </w:tcBorders>
            <w:vAlign w:val="center"/>
            <w:hideMark/>
          </w:tcPr>
          <w:p w14:paraId="7581F2F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Offshore renewable consenting can fail to assess cumulative impacts adequately.</w:t>
            </w:r>
          </w:p>
        </w:tc>
        <w:tc>
          <w:tcPr>
            <w:tcW w:w="1765" w:type="dxa"/>
            <w:tcBorders>
              <w:top w:val="nil"/>
              <w:left w:val="nil"/>
              <w:bottom w:val="single" w:sz="4" w:space="0" w:color="auto"/>
              <w:right w:val="single" w:sz="4" w:space="0" w:color="auto"/>
            </w:tcBorders>
            <w:vAlign w:val="center"/>
            <w:hideMark/>
          </w:tcPr>
          <w:p w14:paraId="155217B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Legal analysis; finds fragmented processes weaken impact assessment.</w:t>
            </w:r>
          </w:p>
        </w:tc>
        <w:tc>
          <w:tcPr>
            <w:tcW w:w="1765" w:type="dxa"/>
            <w:tcBorders>
              <w:top w:val="nil"/>
              <w:left w:val="nil"/>
              <w:bottom w:val="single" w:sz="4" w:space="0" w:color="auto"/>
              <w:right w:val="single" w:sz="4" w:space="0" w:color="auto"/>
            </w:tcBorders>
            <w:vAlign w:val="center"/>
            <w:hideMark/>
          </w:tcPr>
          <w:p w14:paraId="09648D3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Broader offshore scope.</w:t>
            </w:r>
          </w:p>
        </w:tc>
        <w:tc>
          <w:tcPr>
            <w:tcW w:w="1765" w:type="dxa"/>
            <w:tcBorders>
              <w:top w:val="nil"/>
              <w:left w:val="nil"/>
              <w:bottom w:val="single" w:sz="4" w:space="0" w:color="auto"/>
              <w:right w:val="single" w:sz="4" w:space="0" w:color="auto"/>
            </w:tcBorders>
            <w:vAlign w:val="center"/>
            <w:hideMark/>
          </w:tcPr>
          <w:p w14:paraId="718B3B1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regulatory complexity.</w:t>
            </w:r>
          </w:p>
        </w:tc>
      </w:tr>
      <w:tr w:rsidR="00FB3CCF" w:rsidRPr="00FB3CCF" w14:paraId="09191A16"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7DDE7BE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Leary and Esteban (2009)</w:t>
            </w:r>
          </w:p>
        </w:tc>
        <w:tc>
          <w:tcPr>
            <w:tcW w:w="1988" w:type="dxa"/>
            <w:tcBorders>
              <w:top w:val="nil"/>
              <w:left w:val="nil"/>
              <w:bottom w:val="single" w:sz="4" w:space="0" w:color="auto"/>
              <w:right w:val="single" w:sz="4" w:space="0" w:color="auto"/>
            </w:tcBorders>
            <w:vAlign w:val="center"/>
            <w:hideMark/>
          </w:tcPr>
          <w:p w14:paraId="5B45699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Regulatory uncertainty is a major barrier to ocean energy development.</w:t>
            </w:r>
          </w:p>
        </w:tc>
        <w:tc>
          <w:tcPr>
            <w:tcW w:w="1765" w:type="dxa"/>
            <w:tcBorders>
              <w:top w:val="nil"/>
              <w:left w:val="nil"/>
              <w:bottom w:val="single" w:sz="4" w:space="0" w:color="auto"/>
              <w:right w:val="single" w:sz="4" w:space="0" w:color="auto"/>
            </w:tcBorders>
            <w:vAlign w:val="center"/>
            <w:hideMark/>
          </w:tcPr>
          <w:p w14:paraId="10F1E4E3"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Legal-policy analysis; finds domestic regulation remains underdeveloped.</w:t>
            </w:r>
          </w:p>
        </w:tc>
        <w:tc>
          <w:tcPr>
            <w:tcW w:w="1765" w:type="dxa"/>
            <w:tcBorders>
              <w:top w:val="nil"/>
              <w:left w:val="nil"/>
              <w:bottom w:val="single" w:sz="4" w:space="0" w:color="auto"/>
              <w:right w:val="single" w:sz="4" w:space="0" w:color="auto"/>
            </w:tcBorders>
            <w:vAlign w:val="center"/>
            <w:hideMark/>
          </w:tcPr>
          <w:p w14:paraId="2AE6901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Early but influential.</w:t>
            </w:r>
          </w:p>
        </w:tc>
        <w:tc>
          <w:tcPr>
            <w:tcW w:w="1765" w:type="dxa"/>
            <w:tcBorders>
              <w:top w:val="nil"/>
              <w:left w:val="nil"/>
              <w:bottom w:val="single" w:sz="4" w:space="0" w:color="auto"/>
              <w:right w:val="single" w:sz="4" w:space="0" w:color="auto"/>
            </w:tcBorders>
            <w:vAlign w:val="center"/>
            <w:hideMark/>
          </w:tcPr>
          <w:p w14:paraId="6A31871C"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on regulatory uncertainty.</w:t>
            </w:r>
          </w:p>
        </w:tc>
      </w:tr>
      <w:tr w:rsidR="00FB3CCF" w:rsidRPr="00FB3CCF" w14:paraId="00DA7DE0"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230A7A7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Neumann et al. (2006)</w:t>
            </w:r>
          </w:p>
        </w:tc>
        <w:tc>
          <w:tcPr>
            <w:tcW w:w="1988" w:type="dxa"/>
            <w:tcBorders>
              <w:top w:val="nil"/>
              <w:left w:val="nil"/>
              <w:bottom w:val="single" w:sz="4" w:space="0" w:color="auto"/>
              <w:right w:val="single" w:sz="4" w:space="0" w:color="auto"/>
            </w:tcBorders>
            <w:vAlign w:val="center"/>
            <w:hideMark/>
          </w:tcPr>
          <w:p w14:paraId="6408CAB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Licensing and environmental issues are major non-technical barriers to commercial wave projects.</w:t>
            </w:r>
          </w:p>
        </w:tc>
        <w:tc>
          <w:tcPr>
            <w:tcW w:w="1765" w:type="dxa"/>
            <w:tcBorders>
              <w:top w:val="nil"/>
              <w:left w:val="nil"/>
              <w:bottom w:val="single" w:sz="4" w:space="0" w:color="auto"/>
              <w:right w:val="single" w:sz="4" w:space="0" w:color="auto"/>
            </w:tcBorders>
            <w:vAlign w:val="center"/>
            <w:hideMark/>
          </w:tcPr>
          <w:p w14:paraId="4056DEF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Experience review; finds permit complexity rises as projects move toward commercialization.</w:t>
            </w:r>
          </w:p>
        </w:tc>
        <w:tc>
          <w:tcPr>
            <w:tcW w:w="1765" w:type="dxa"/>
            <w:tcBorders>
              <w:top w:val="nil"/>
              <w:left w:val="nil"/>
              <w:bottom w:val="single" w:sz="4" w:space="0" w:color="auto"/>
              <w:right w:val="single" w:sz="4" w:space="0" w:color="auto"/>
            </w:tcBorders>
            <w:vAlign w:val="center"/>
            <w:hideMark/>
          </w:tcPr>
          <w:p w14:paraId="5FB4CB4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Early-stage evidence.</w:t>
            </w:r>
          </w:p>
        </w:tc>
        <w:tc>
          <w:tcPr>
            <w:tcW w:w="1765" w:type="dxa"/>
            <w:tcBorders>
              <w:top w:val="nil"/>
              <w:left w:val="nil"/>
              <w:bottom w:val="single" w:sz="4" w:space="0" w:color="auto"/>
              <w:right w:val="single" w:sz="4" w:space="0" w:color="auto"/>
            </w:tcBorders>
            <w:vAlign w:val="center"/>
            <w:hideMark/>
          </w:tcPr>
          <w:p w14:paraId="35E72DF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Important historical baseline.</w:t>
            </w:r>
          </w:p>
        </w:tc>
      </w:tr>
      <w:tr w:rsidR="00FB3CCF" w:rsidRPr="00FB3CCF" w14:paraId="6539AECA"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591BAF7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lastRenderedPageBreak/>
              <w:t>West, Bailey and Whitehead (2019)</w:t>
            </w:r>
          </w:p>
        </w:tc>
        <w:tc>
          <w:tcPr>
            <w:tcW w:w="1988" w:type="dxa"/>
            <w:tcBorders>
              <w:top w:val="nil"/>
              <w:left w:val="nil"/>
              <w:bottom w:val="single" w:sz="4" w:space="0" w:color="auto"/>
              <w:right w:val="single" w:sz="4" w:space="0" w:color="auto"/>
            </w:tcBorders>
            <w:vAlign w:val="center"/>
            <w:hideMark/>
          </w:tcPr>
          <w:p w14:paraId="16289307"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Stakeholder perceptions of Wave Hub show that local legitimacy cannot be assumed.</w:t>
            </w:r>
          </w:p>
        </w:tc>
        <w:tc>
          <w:tcPr>
            <w:tcW w:w="1765" w:type="dxa"/>
            <w:tcBorders>
              <w:top w:val="nil"/>
              <w:left w:val="nil"/>
              <w:bottom w:val="single" w:sz="4" w:space="0" w:color="auto"/>
              <w:right w:val="single" w:sz="4" w:space="0" w:color="auto"/>
            </w:tcBorders>
            <w:vAlign w:val="center"/>
            <w:hideMark/>
          </w:tcPr>
          <w:p w14:paraId="2D9D241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Stakeholder study; finds concerns about benefits and impacts remain salient.</w:t>
            </w:r>
          </w:p>
        </w:tc>
        <w:tc>
          <w:tcPr>
            <w:tcW w:w="1765" w:type="dxa"/>
            <w:tcBorders>
              <w:top w:val="nil"/>
              <w:left w:val="nil"/>
              <w:bottom w:val="single" w:sz="4" w:space="0" w:color="auto"/>
              <w:right w:val="single" w:sz="4" w:space="0" w:color="auto"/>
            </w:tcBorders>
            <w:vAlign w:val="center"/>
            <w:hideMark/>
          </w:tcPr>
          <w:p w14:paraId="007EA189"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Case-specific.</w:t>
            </w:r>
          </w:p>
        </w:tc>
        <w:tc>
          <w:tcPr>
            <w:tcW w:w="1765" w:type="dxa"/>
            <w:tcBorders>
              <w:top w:val="nil"/>
              <w:left w:val="nil"/>
              <w:bottom w:val="single" w:sz="4" w:space="0" w:color="auto"/>
              <w:right w:val="single" w:sz="4" w:space="0" w:color="auto"/>
            </w:tcBorders>
            <w:vAlign w:val="center"/>
            <w:hideMark/>
          </w:tcPr>
          <w:p w14:paraId="1507BF1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social acceptance and credibility.</w:t>
            </w:r>
          </w:p>
        </w:tc>
      </w:tr>
      <w:tr w:rsidR="00FB3CCF" w:rsidRPr="00FB3CCF" w14:paraId="4A6E0D9A"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70F368E3" w14:textId="77777777" w:rsidR="00FB3CCF" w:rsidRPr="00FB3CCF" w:rsidRDefault="00FB3CCF" w:rsidP="00442932">
            <w:pPr>
              <w:jc w:val="center"/>
              <w:rPr>
                <w:rFonts w:ascii="Arial" w:hAnsi="Arial" w:cs="Arial"/>
                <w:sz w:val="20"/>
                <w:szCs w:val="20"/>
              </w:rPr>
            </w:pPr>
            <w:proofErr w:type="spellStart"/>
            <w:r w:rsidRPr="00FB3CCF">
              <w:rPr>
                <w:rFonts w:ascii="Arial" w:hAnsi="Arial" w:cs="Arial"/>
                <w:sz w:val="20"/>
                <w:szCs w:val="20"/>
              </w:rPr>
              <w:t>Zeuschner</w:t>
            </w:r>
            <w:proofErr w:type="spellEnd"/>
            <w:r w:rsidRPr="00FB3CCF">
              <w:rPr>
                <w:rFonts w:ascii="Arial" w:hAnsi="Arial" w:cs="Arial"/>
                <w:sz w:val="20"/>
                <w:szCs w:val="20"/>
              </w:rPr>
              <w:t xml:space="preserve"> (2011)</w:t>
            </w:r>
          </w:p>
        </w:tc>
        <w:tc>
          <w:tcPr>
            <w:tcW w:w="1988" w:type="dxa"/>
            <w:tcBorders>
              <w:top w:val="nil"/>
              <w:left w:val="nil"/>
              <w:bottom w:val="single" w:sz="4" w:space="0" w:color="auto"/>
              <w:right w:val="single" w:sz="4" w:space="0" w:color="auto"/>
            </w:tcBorders>
            <w:vAlign w:val="center"/>
            <w:hideMark/>
          </w:tcPr>
          <w:p w14:paraId="450BCB78"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 xml:space="preserve">The Scottish consenting regime evolved to address offshore renewable </w:t>
            </w:r>
            <w:proofErr w:type="gramStart"/>
            <w:r w:rsidRPr="00FB3CCF">
              <w:rPr>
                <w:rFonts w:ascii="Arial" w:hAnsi="Arial" w:cs="Arial"/>
                <w:sz w:val="20"/>
                <w:szCs w:val="20"/>
              </w:rPr>
              <w:t>needs, but</w:t>
            </w:r>
            <w:proofErr w:type="gramEnd"/>
            <w:r w:rsidRPr="00FB3CCF">
              <w:rPr>
                <w:rFonts w:ascii="Arial" w:hAnsi="Arial" w:cs="Arial"/>
                <w:sz w:val="20"/>
                <w:szCs w:val="20"/>
              </w:rPr>
              <w:t xml:space="preserve"> remained demanding.</w:t>
            </w:r>
          </w:p>
        </w:tc>
        <w:tc>
          <w:tcPr>
            <w:tcW w:w="1765" w:type="dxa"/>
            <w:tcBorders>
              <w:top w:val="nil"/>
              <w:left w:val="nil"/>
              <w:bottom w:val="single" w:sz="4" w:space="0" w:color="auto"/>
              <w:right w:val="single" w:sz="4" w:space="0" w:color="auto"/>
            </w:tcBorders>
            <w:vAlign w:val="center"/>
            <w:hideMark/>
          </w:tcPr>
          <w:p w14:paraId="70898FE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Legal/policy review; finds regulatory development is ongoing.</w:t>
            </w:r>
          </w:p>
        </w:tc>
        <w:tc>
          <w:tcPr>
            <w:tcW w:w="1765" w:type="dxa"/>
            <w:tcBorders>
              <w:top w:val="nil"/>
              <w:left w:val="nil"/>
              <w:bottom w:val="single" w:sz="4" w:space="0" w:color="auto"/>
              <w:right w:val="single" w:sz="4" w:space="0" w:color="auto"/>
            </w:tcBorders>
            <w:vAlign w:val="center"/>
            <w:hideMark/>
          </w:tcPr>
          <w:p w14:paraId="6863BFC1"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Descriptive.</w:t>
            </w:r>
          </w:p>
        </w:tc>
        <w:tc>
          <w:tcPr>
            <w:tcW w:w="1765" w:type="dxa"/>
            <w:tcBorders>
              <w:top w:val="nil"/>
              <w:left w:val="nil"/>
              <w:bottom w:val="single" w:sz="4" w:space="0" w:color="auto"/>
              <w:right w:val="single" w:sz="4" w:space="0" w:color="auto"/>
            </w:tcBorders>
            <w:vAlign w:val="center"/>
            <w:hideMark/>
          </w:tcPr>
          <w:p w14:paraId="55C03996"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contextual source.</w:t>
            </w:r>
          </w:p>
        </w:tc>
      </w:tr>
      <w:tr w:rsidR="00FB3CCF" w:rsidRPr="00FB3CCF" w14:paraId="54EECA6D"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7B0CAC2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Peplinski et al. (2021)</w:t>
            </w:r>
          </w:p>
        </w:tc>
        <w:tc>
          <w:tcPr>
            <w:tcW w:w="1988" w:type="dxa"/>
            <w:tcBorders>
              <w:top w:val="nil"/>
              <w:left w:val="nil"/>
              <w:bottom w:val="single" w:sz="4" w:space="0" w:color="auto"/>
              <w:right w:val="single" w:sz="4" w:space="0" w:color="auto"/>
            </w:tcBorders>
            <w:vAlign w:val="center"/>
            <w:hideMark/>
          </w:tcPr>
          <w:p w14:paraId="3036356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Environmental permitting and compliance costs can be substantial.</w:t>
            </w:r>
          </w:p>
        </w:tc>
        <w:tc>
          <w:tcPr>
            <w:tcW w:w="1765" w:type="dxa"/>
            <w:tcBorders>
              <w:top w:val="nil"/>
              <w:left w:val="nil"/>
              <w:bottom w:val="single" w:sz="4" w:space="0" w:color="auto"/>
              <w:right w:val="single" w:sz="4" w:space="0" w:color="auto"/>
            </w:tcBorders>
            <w:vAlign w:val="center"/>
            <w:hideMark/>
          </w:tcPr>
          <w:p w14:paraId="2AAAADD2"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Cost analysis; finds permitting can take a significant share of project cost.</w:t>
            </w:r>
          </w:p>
        </w:tc>
        <w:tc>
          <w:tcPr>
            <w:tcW w:w="1765" w:type="dxa"/>
            <w:tcBorders>
              <w:top w:val="nil"/>
              <w:left w:val="nil"/>
              <w:bottom w:val="single" w:sz="4" w:space="0" w:color="auto"/>
              <w:right w:val="single" w:sz="4" w:space="0" w:color="auto"/>
            </w:tcBorders>
            <w:vAlign w:val="center"/>
            <w:hideMark/>
          </w:tcPr>
          <w:p w14:paraId="70DB141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U.S.-based, not UK-specific.</w:t>
            </w:r>
          </w:p>
        </w:tc>
        <w:tc>
          <w:tcPr>
            <w:tcW w:w="1765" w:type="dxa"/>
            <w:tcBorders>
              <w:top w:val="nil"/>
              <w:left w:val="nil"/>
              <w:bottom w:val="single" w:sz="4" w:space="0" w:color="auto"/>
              <w:right w:val="single" w:sz="4" w:space="0" w:color="auto"/>
            </w:tcBorders>
            <w:vAlign w:val="center"/>
            <w:hideMark/>
          </w:tcPr>
          <w:p w14:paraId="1F9FEA5E"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Strong supporting evidence on soft-cost burden.</w:t>
            </w:r>
          </w:p>
        </w:tc>
      </w:tr>
      <w:tr w:rsidR="00FB3CCF" w:rsidRPr="00FB3CCF" w14:paraId="156AE867" w14:textId="77777777" w:rsidTr="00442932">
        <w:trPr>
          <w:trHeight w:val="1957"/>
          <w:jc w:val="center"/>
        </w:trPr>
        <w:tc>
          <w:tcPr>
            <w:tcW w:w="1817" w:type="dxa"/>
            <w:tcBorders>
              <w:top w:val="nil"/>
              <w:left w:val="single" w:sz="4" w:space="0" w:color="auto"/>
              <w:bottom w:val="single" w:sz="4" w:space="0" w:color="auto"/>
              <w:right w:val="single" w:sz="4" w:space="0" w:color="auto"/>
            </w:tcBorders>
            <w:vAlign w:val="center"/>
            <w:hideMark/>
          </w:tcPr>
          <w:p w14:paraId="67D88CDD"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Smith et al. (2009)</w:t>
            </w:r>
          </w:p>
        </w:tc>
        <w:tc>
          <w:tcPr>
            <w:tcW w:w="1988" w:type="dxa"/>
            <w:tcBorders>
              <w:top w:val="nil"/>
              <w:left w:val="nil"/>
              <w:bottom w:val="single" w:sz="4" w:space="0" w:color="auto"/>
              <w:right w:val="single" w:sz="4" w:space="0" w:color="auto"/>
            </w:tcBorders>
            <w:vAlign w:val="center"/>
            <w:hideMark/>
          </w:tcPr>
          <w:p w14:paraId="79A0EF3F"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Wave Hub and related research infrastructure aimed to reduce development friction through support and coordination.</w:t>
            </w:r>
          </w:p>
        </w:tc>
        <w:tc>
          <w:tcPr>
            <w:tcW w:w="1765" w:type="dxa"/>
            <w:tcBorders>
              <w:top w:val="nil"/>
              <w:left w:val="nil"/>
              <w:bottom w:val="single" w:sz="4" w:space="0" w:color="auto"/>
              <w:right w:val="single" w:sz="4" w:space="0" w:color="auto"/>
            </w:tcBorders>
            <w:vAlign w:val="center"/>
            <w:hideMark/>
          </w:tcPr>
          <w:p w14:paraId="2E07327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Infrastructure case study; finds test centres can support commercialization ecosystems.</w:t>
            </w:r>
          </w:p>
        </w:tc>
        <w:tc>
          <w:tcPr>
            <w:tcW w:w="1765" w:type="dxa"/>
            <w:tcBorders>
              <w:top w:val="nil"/>
              <w:left w:val="nil"/>
              <w:bottom w:val="single" w:sz="4" w:space="0" w:color="auto"/>
              <w:right w:val="single" w:sz="4" w:space="0" w:color="auto"/>
            </w:tcBorders>
            <w:vAlign w:val="center"/>
            <w:hideMark/>
          </w:tcPr>
          <w:p w14:paraId="6528766B"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More enabling context than critique.</w:t>
            </w:r>
          </w:p>
        </w:tc>
        <w:tc>
          <w:tcPr>
            <w:tcW w:w="1765" w:type="dxa"/>
            <w:tcBorders>
              <w:top w:val="nil"/>
              <w:left w:val="nil"/>
              <w:bottom w:val="single" w:sz="4" w:space="0" w:color="auto"/>
              <w:right w:val="single" w:sz="4" w:space="0" w:color="auto"/>
            </w:tcBorders>
            <w:vAlign w:val="center"/>
            <w:hideMark/>
          </w:tcPr>
          <w:p w14:paraId="5C53C9A0" w14:textId="77777777" w:rsidR="00FB3CCF" w:rsidRPr="00FB3CCF" w:rsidRDefault="00FB3CCF" w:rsidP="00442932">
            <w:pPr>
              <w:jc w:val="center"/>
              <w:rPr>
                <w:rFonts w:ascii="Arial" w:hAnsi="Arial" w:cs="Arial"/>
                <w:sz w:val="20"/>
                <w:szCs w:val="20"/>
              </w:rPr>
            </w:pPr>
            <w:r w:rsidRPr="00FB3CCF">
              <w:rPr>
                <w:rFonts w:ascii="Arial" w:hAnsi="Arial" w:cs="Arial"/>
                <w:sz w:val="20"/>
                <w:szCs w:val="20"/>
              </w:rPr>
              <w:t>Useful on ecosystem support capacity.</w:t>
            </w:r>
          </w:p>
        </w:tc>
      </w:tr>
      <w:tr w:rsidR="00FB3CCF" w:rsidRPr="00FB3CCF" w14:paraId="49C1FA32" w14:textId="77777777" w:rsidTr="00442932">
        <w:trPr>
          <w:trHeight w:val="316"/>
          <w:jc w:val="center"/>
        </w:trPr>
        <w:tc>
          <w:tcPr>
            <w:tcW w:w="7337" w:type="dxa"/>
            <w:gridSpan w:val="4"/>
            <w:tcBorders>
              <w:top w:val="nil"/>
              <w:left w:val="nil"/>
              <w:bottom w:val="nil"/>
              <w:right w:val="nil"/>
            </w:tcBorders>
            <w:vAlign w:val="center"/>
            <w:hideMark/>
          </w:tcPr>
          <w:p w14:paraId="416272C3" w14:textId="77777777" w:rsidR="00FB3CCF" w:rsidRPr="00FB3CCF" w:rsidRDefault="00FB3CCF" w:rsidP="00442932">
            <w:pPr>
              <w:rPr>
                <w:rFonts w:ascii="Arial" w:hAnsi="Arial" w:cs="Arial"/>
                <w:sz w:val="20"/>
                <w:szCs w:val="20"/>
              </w:rPr>
            </w:pPr>
            <w:r w:rsidRPr="00FB3CCF">
              <w:rPr>
                <w:rFonts w:ascii="Arial" w:hAnsi="Arial" w:cs="Arial"/>
                <w:sz w:val="20"/>
                <w:szCs w:val="20"/>
              </w:rPr>
              <w:t>Source: Author’s synthesis based on the reviewed literature.</w:t>
            </w:r>
          </w:p>
        </w:tc>
        <w:tc>
          <w:tcPr>
            <w:tcW w:w="1765" w:type="dxa"/>
            <w:tcBorders>
              <w:top w:val="nil"/>
              <w:left w:val="nil"/>
              <w:bottom w:val="nil"/>
              <w:right w:val="nil"/>
            </w:tcBorders>
            <w:noWrap/>
            <w:vAlign w:val="bottom"/>
            <w:hideMark/>
          </w:tcPr>
          <w:p w14:paraId="78D97748" w14:textId="77777777" w:rsidR="00FB3CCF" w:rsidRPr="00FB3CCF" w:rsidRDefault="00FB3CCF" w:rsidP="00442932">
            <w:pPr>
              <w:rPr>
                <w:rFonts w:ascii="Arial" w:hAnsi="Arial" w:cs="Arial"/>
                <w:sz w:val="20"/>
                <w:szCs w:val="20"/>
              </w:rPr>
            </w:pPr>
          </w:p>
        </w:tc>
      </w:tr>
    </w:tbl>
    <w:p w14:paraId="31A81F5D" w14:textId="77777777" w:rsidR="00FB3CCF" w:rsidRPr="00FB3CCF" w:rsidRDefault="00FB3CCF" w:rsidP="00FB3CCF">
      <w:pPr>
        <w:spacing w:line="360" w:lineRule="auto"/>
        <w:jc w:val="both"/>
        <w:rPr>
          <w:rFonts w:ascii="Arial" w:hAnsi="Arial" w:cs="Arial"/>
          <w:b/>
          <w:bCs/>
        </w:rPr>
      </w:pPr>
    </w:p>
    <w:p w14:paraId="19C80C67" w14:textId="77777777" w:rsidR="00FB3CCF" w:rsidRPr="00FB3CCF" w:rsidRDefault="00FB3CCF" w:rsidP="00FB3CCF">
      <w:pPr>
        <w:spacing w:line="360" w:lineRule="auto"/>
        <w:jc w:val="both"/>
        <w:rPr>
          <w:rFonts w:ascii="Arial" w:hAnsi="Arial" w:cs="Arial"/>
          <w:b/>
          <w:bCs/>
        </w:rPr>
      </w:pPr>
    </w:p>
    <w:p w14:paraId="2A908830" w14:textId="77777777" w:rsidR="00FB3CCF" w:rsidRPr="00FB3CCF" w:rsidRDefault="00FB3CCF" w:rsidP="00FB3CCF">
      <w:pPr>
        <w:spacing w:line="360" w:lineRule="auto"/>
        <w:jc w:val="both"/>
        <w:rPr>
          <w:rFonts w:ascii="Arial" w:hAnsi="Arial" w:cs="Arial"/>
          <w:b/>
          <w:bCs/>
        </w:rPr>
      </w:pPr>
    </w:p>
    <w:p w14:paraId="05C558D5" w14:textId="77777777" w:rsidR="00FB3CCF" w:rsidRPr="00FB3CCF" w:rsidRDefault="00FB3CCF" w:rsidP="00FB3CCF">
      <w:pPr>
        <w:spacing w:line="360" w:lineRule="auto"/>
        <w:jc w:val="both"/>
        <w:rPr>
          <w:rFonts w:ascii="Arial" w:hAnsi="Arial" w:cs="Arial"/>
          <w:b/>
          <w:bCs/>
        </w:rPr>
      </w:pPr>
    </w:p>
    <w:p w14:paraId="7EED8A1D" w14:textId="77777777" w:rsidR="00FB3CCF" w:rsidRPr="00FB3CCF" w:rsidRDefault="00FB3CCF" w:rsidP="00FB3CCF">
      <w:pPr>
        <w:spacing w:line="360" w:lineRule="auto"/>
        <w:jc w:val="both"/>
        <w:rPr>
          <w:rFonts w:ascii="Arial" w:hAnsi="Arial" w:cs="Arial"/>
          <w:b/>
          <w:bCs/>
        </w:rPr>
      </w:pPr>
    </w:p>
    <w:p w14:paraId="79D87736" w14:textId="77777777" w:rsidR="00FB3CCF" w:rsidRPr="00FB3CCF" w:rsidRDefault="00FB3CCF" w:rsidP="00FB3CCF">
      <w:pPr>
        <w:spacing w:line="360" w:lineRule="auto"/>
        <w:jc w:val="both"/>
        <w:rPr>
          <w:rFonts w:ascii="Arial" w:hAnsi="Arial" w:cs="Arial"/>
          <w:b/>
          <w:bCs/>
        </w:rPr>
      </w:pPr>
    </w:p>
    <w:p w14:paraId="00625C6A" w14:textId="77777777" w:rsidR="00FB3CCF" w:rsidRPr="00FB3CCF" w:rsidRDefault="00FB3CCF" w:rsidP="00FB3CCF">
      <w:pPr>
        <w:spacing w:line="360" w:lineRule="auto"/>
        <w:jc w:val="both"/>
        <w:rPr>
          <w:rFonts w:ascii="Arial" w:hAnsi="Arial" w:cs="Arial"/>
          <w:b/>
          <w:bCs/>
        </w:rPr>
      </w:pPr>
    </w:p>
    <w:p w14:paraId="5880037B" w14:textId="77777777" w:rsidR="00FB3CCF" w:rsidRPr="00FB3CCF" w:rsidRDefault="00FB3CCF" w:rsidP="00FB3CCF">
      <w:pPr>
        <w:spacing w:line="360" w:lineRule="auto"/>
        <w:jc w:val="both"/>
        <w:rPr>
          <w:rFonts w:ascii="Arial" w:hAnsi="Arial" w:cs="Arial"/>
          <w:b/>
          <w:bCs/>
        </w:rPr>
      </w:pPr>
    </w:p>
    <w:p w14:paraId="42126FA2" w14:textId="77777777" w:rsidR="00FB3CCF" w:rsidRPr="00FB3CCF" w:rsidRDefault="00FB3CCF" w:rsidP="00FB3CCF">
      <w:pPr>
        <w:spacing w:line="360" w:lineRule="auto"/>
        <w:jc w:val="both"/>
        <w:rPr>
          <w:rFonts w:ascii="Arial" w:hAnsi="Arial" w:cs="Arial"/>
          <w:b/>
          <w:bCs/>
        </w:rPr>
      </w:pPr>
    </w:p>
    <w:p w14:paraId="58517BEE"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lastRenderedPageBreak/>
        <w:t>Appendix G</w:t>
      </w:r>
    </w:p>
    <w:p w14:paraId="490C50BF"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G1. Theme 1 Patterns and Contradictions: Bankability, investor confidence, and startup finance</w:t>
      </w:r>
    </w:p>
    <w:tbl>
      <w:tblPr>
        <w:tblW w:w="8760" w:type="dxa"/>
        <w:jc w:val="center"/>
        <w:tblLook w:val="04A0" w:firstRow="1" w:lastRow="0" w:firstColumn="1" w:lastColumn="0" w:noHBand="0" w:noVBand="1"/>
      </w:tblPr>
      <w:tblGrid>
        <w:gridCol w:w="2100"/>
        <w:gridCol w:w="2100"/>
        <w:gridCol w:w="2460"/>
        <w:gridCol w:w="2100"/>
      </w:tblGrid>
      <w:tr w:rsidR="00FB3CCF" w:rsidRPr="00FB3CCF" w14:paraId="03A6B586" w14:textId="77777777" w:rsidTr="00442932">
        <w:trPr>
          <w:trHeight w:val="1400"/>
          <w:jc w:val="center"/>
        </w:trPr>
        <w:tc>
          <w:tcPr>
            <w:tcW w:w="2100" w:type="dxa"/>
            <w:tcBorders>
              <w:top w:val="single" w:sz="4" w:space="0" w:color="auto"/>
              <w:left w:val="single" w:sz="4" w:space="0" w:color="auto"/>
              <w:bottom w:val="single" w:sz="4" w:space="0" w:color="auto"/>
              <w:right w:val="single" w:sz="4" w:space="0" w:color="auto"/>
            </w:tcBorders>
            <w:vAlign w:val="center"/>
            <w:hideMark/>
          </w:tcPr>
          <w:p w14:paraId="78828FD1"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Area</w:t>
            </w:r>
          </w:p>
        </w:tc>
        <w:tc>
          <w:tcPr>
            <w:tcW w:w="2100" w:type="dxa"/>
            <w:tcBorders>
              <w:top w:val="single" w:sz="4" w:space="0" w:color="auto"/>
              <w:left w:val="nil"/>
              <w:bottom w:val="single" w:sz="4" w:space="0" w:color="auto"/>
              <w:right w:val="single" w:sz="4" w:space="0" w:color="auto"/>
            </w:tcBorders>
            <w:vAlign w:val="center"/>
            <w:hideMark/>
          </w:tcPr>
          <w:p w14:paraId="43D43C5D"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 contradiction</w:t>
            </w:r>
          </w:p>
        </w:tc>
        <w:tc>
          <w:tcPr>
            <w:tcW w:w="2460" w:type="dxa"/>
            <w:tcBorders>
              <w:top w:val="single" w:sz="4" w:space="0" w:color="auto"/>
              <w:left w:val="nil"/>
              <w:bottom w:val="single" w:sz="4" w:space="0" w:color="auto"/>
              <w:right w:val="single" w:sz="4" w:space="0" w:color="auto"/>
            </w:tcBorders>
            <w:vAlign w:val="center"/>
            <w:hideMark/>
          </w:tcPr>
          <w:p w14:paraId="401C83CB"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Explanation</w:t>
            </w:r>
          </w:p>
        </w:tc>
        <w:tc>
          <w:tcPr>
            <w:tcW w:w="2100" w:type="dxa"/>
            <w:tcBorders>
              <w:top w:val="single" w:sz="4" w:space="0" w:color="auto"/>
              <w:left w:val="nil"/>
              <w:bottom w:val="single" w:sz="4" w:space="0" w:color="auto"/>
              <w:right w:val="single" w:sz="4" w:space="0" w:color="auto"/>
            </w:tcBorders>
            <w:vAlign w:val="center"/>
            <w:hideMark/>
          </w:tcPr>
          <w:p w14:paraId="20F8CB94"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Key References</w:t>
            </w:r>
          </w:p>
        </w:tc>
      </w:tr>
      <w:tr w:rsidR="00FB3CCF" w:rsidRPr="00FB3CCF" w14:paraId="15E20FD6" w14:textId="77777777" w:rsidTr="00442932">
        <w:trPr>
          <w:trHeight w:val="2080"/>
          <w:jc w:val="center"/>
        </w:trPr>
        <w:tc>
          <w:tcPr>
            <w:tcW w:w="2100" w:type="dxa"/>
            <w:tcBorders>
              <w:top w:val="nil"/>
              <w:left w:val="single" w:sz="4" w:space="0" w:color="auto"/>
              <w:bottom w:val="single" w:sz="4" w:space="0" w:color="auto"/>
              <w:right w:val="single" w:sz="4" w:space="0" w:color="auto"/>
            </w:tcBorders>
            <w:vAlign w:val="center"/>
            <w:hideMark/>
          </w:tcPr>
          <w:p w14:paraId="2D8E9778"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1</w:t>
            </w:r>
          </w:p>
        </w:tc>
        <w:tc>
          <w:tcPr>
            <w:tcW w:w="2100" w:type="dxa"/>
            <w:tcBorders>
              <w:top w:val="nil"/>
              <w:left w:val="nil"/>
              <w:bottom w:val="single" w:sz="4" w:space="0" w:color="auto"/>
              <w:right w:val="single" w:sz="4" w:space="0" w:color="auto"/>
            </w:tcBorders>
            <w:vAlign w:val="center"/>
            <w:hideMark/>
          </w:tcPr>
          <w:p w14:paraId="52559C80" w14:textId="77777777" w:rsidR="00FB3CCF" w:rsidRPr="00FB3CCF" w:rsidRDefault="00FB3CCF" w:rsidP="00442932">
            <w:pPr>
              <w:rPr>
                <w:rFonts w:ascii="Arial" w:hAnsi="Arial" w:cs="Arial"/>
                <w:sz w:val="20"/>
                <w:szCs w:val="20"/>
              </w:rPr>
            </w:pPr>
            <w:r w:rsidRPr="00FB3CCF">
              <w:rPr>
                <w:rFonts w:ascii="Arial" w:hAnsi="Arial" w:cs="Arial"/>
                <w:sz w:val="20"/>
                <w:szCs w:val="20"/>
              </w:rPr>
              <w:t>Finance depends on credible staged evidence</w:t>
            </w:r>
          </w:p>
        </w:tc>
        <w:tc>
          <w:tcPr>
            <w:tcW w:w="2460" w:type="dxa"/>
            <w:tcBorders>
              <w:top w:val="nil"/>
              <w:left w:val="nil"/>
              <w:bottom w:val="single" w:sz="4" w:space="0" w:color="auto"/>
              <w:right w:val="single" w:sz="4" w:space="0" w:color="auto"/>
            </w:tcBorders>
            <w:vAlign w:val="center"/>
            <w:hideMark/>
          </w:tcPr>
          <w:p w14:paraId="3961C666" w14:textId="77777777" w:rsidR="00FB3CCF" w:rsidRPr="00FB3CCF" w:rsidRDefault="00FB3CCF" w:rsidP="00442932">
            <w:pPr>
              <w:rPr>
                <w:rFonts w:ascii="Arial" w:hAnsi="Arial" w:cs="Arial"/>
                <w:sz w:val="20"/>
                <w:szCs w:val="20"/>
              </w:rPr>
            </w:pPr>
            <w:r w:rsidRPr="00FB3CCF">
              <w:rPr>
                <w:rFonts w:ascii="Arial" w:hAnsi="Arial" w:cs="Arial"/>
                <w:sz w:val="20"/>
                <w:szCs w:val="20"/>
              </w:rPr>
              <w:t>Access to finance depends less on headline capital need than on whether ventures can present stage-appropriate evidence of technical progress, commercial promise, and risk reduction.</w:t>
            </w:r>
          </w:p>
        </w:tc>
        <w:tc>
          <w:tcPr>
            <w:tcW w:w="2100" w:type="dxa"/>
            <w:tcBorders>
              <w:top w:val="nil"/>
              <w:left w:val="nil"/>
              <w:bottom w:val="single" w:sz="4" w:space="0" w:color="auto"/>
              <w:right w:val="single" w:sz="4" w:space="0" w:color="auto"/>
            </w:tcBorders>
            <w:vAlign w:val="center"/>
            <w:hideMark/>
          </w:tcPr>
          <w:p w14:paraId="7705001B" w14:textId="77777777" w:rsidR="00FB3CCF" w:rsidRPr="00FB3CCF" w:rsidRDefault="00FB3CCF" w:rsidP="00442932">
            <w:pPr>
              <w:rPr>
                <w:rFonts w:ascii="Arial" w:hAnsi="Arial" w:cs="Arial"/>
                <w:sz w:val="20"/>
                <w:szCs w:val="20"/>
              </w:rPr>
            </w:pPr>
            <w:r w:rsidRPr="00FB3CCF">
              <w:rPr>
                <w:rFonts w:ascii="Arial" w:hAnsi="Arial" w:cs="Arial"/>
                <w:sz w:val="20"/>
                <w:szCs w:val="20"/>
              </w:rPr>
              <w:t>Leete, Xu and Wheeler (2013); Bucher et al. (2016); McCoy and Schwartz (2022)</w:t>
            </w:r>
          </w:p>
        </w:tc>
      </w:tr>
      <w:tr w:rsidR="00FB3CCF" w:rsidRPr="00FB3CCF" w14:paraId="79DC9C02" w14:textId="77777777" w:rsidTr="00442932">
        <w:trPr>
          <w:trHeight w:val="1820"/>
          <w:jc w:val="center"/>
        </w:trPr>
        <w:tc>
          <w:tcPr>
            <w:tcW w:w="2100" w:type="dxa"/>
            <w:tcBorders>
              <w:top w:val="nil"/>
              <w:left w:val="single" w:sz="4" w:space="0" w:color="auto"/>
              <w:bottom w:val="single" w:sz="4" w:space="0" w:color="auto"/>
              <w:right w:val="single" w:sz="4" w:space="0" w:color="auto"/>
            </w:tcBorders>
            <w:vAlign w:val="center"/>
            <w:hideMark/>
          </w:tcPr>
          <w:p w14:paraId="1C863A2B"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2</w:t>
            </w:r>
          </w:p>
        </w:tc>
        <w:tc>
          <w:tcPr>
            <w:tcW w:w="2100" w:type="dxa"/>
            <w:tcBorders>
              <w:top w:val="nil"/>
              <w:left w:val="nil"/>
              <w:bottom w:val="single" w:sz="4" w:space="0" w:color="auto"/>
              <w:right w:val="single" w:sz="4" w:space="0" w:color="auto"/>
            </w:tcBorders>
            <w:vAlign w:val="center"/>
            <w:hideMark/>
          </w:tcPr>
          <w:p w14:paraId="64724AA7" w14:textId="77777777" w:rsidR="00FB3CCF" w:rsidRPr="00FB3CCF" w:rsidRDefault="00FB3CCF" w:rsidP="00442932">
            <w:pPr>
              <w:rPr>
                <w:rFonts w:ascii="Arial" w:hAnsi="Arial" w:cs="Arial"/>
                <w:sz w:val="20"/>
                <w:szCs w:val="20"/>
              </w:rPr>
            </w:pPr>
            <w:r w:rsidRPr="00FB3CCF">
              <w:rPr>
                <w:rFonts w:ascii="Arial" w:hAnsi="Arial" w:cs="Arial"/>
                <w:sz w:val="20"/>
                <w:szCs w:val="20"/>
              </w:rPr>
              <w:t>The public-to-private transition is the weakest point</w:t>
            </w:r>
          </w:p>
        </w:tc>
        <w:tc>
          <w:tcPr>
            <w:tcW w:w="2460" w:type="dxa"/>
            <w:tcBorders>
              <w:top w:val="nil"/>
              <w:left w:val="nil"/>
              <w:bottom w:val="single" w:sz="4" w:space="0" w:color="auto"/>
              <w:right w:val="single" w:sz="4" w:space="0" w:color="auto"/>
            </w:tcBorders>
            <w:vAlign w:val="center"/>
            <w:hideMark/>
          </w:tcPr>
          <w:p w14:paraId="0FA6CA01" w14:textId="77777777" w:rsidR="00FB3CCF" w:rsidRPr="00FB3CCF" w:rsidRDefault="00FB3CCF" w:rsidP="00442932">
            <w:pPr>
              <w:rPr>
                <w:rFonts w:ascii="Arial" w:hAnsi="Arial" w:cs="Arial"/>
                <w:sz w:val="20"/>
                <w:szCs w:val="20"/>
              </w:rPr>
            </w:pPr>
            <w:r w:rsidRPr="00FB3CCF">
              <w:rPr>
                <w:rFonts w:ascii="Arial" w:hAnsi="Arial" w:cs="Arial"/>
                <w:sz w:val="20"/>
                <w:szCs w:val="20"/>
              </w:rPr>
              <w:t>Many ventures can secure early support but struggle to move into larger-scale commercial finance.</w:t>
            </w:r>
          </w:p>
        </w:tc>
        <w:tc>
          <w:tcPr>
            <w:tcW w:w="2100" w:type="dxa"/>
            <w:tcBorders>
              <w:top w:val="nil"/>
              <w:left w:val="nil"/>
              <w:bottom w:val="single" w:sz="4" w:space="0" w:color="auto"/>
              <w:right w:val="single" w:sz="4" w:space="0" w:color="auto"/>
            </w:tcBorders>
            <w:vAlign w:val="center"/>
            <w:hideMark/>
          </w:tcPr>
          <w:p w14:paraId="0CA039F8" w14:textId="77777777" w:rsidR="00FB3CCF" w:rsidRPr="00FB3CCF" w:rsidRDefault="00FB3CCF" w:rsidP="00442932">
            <w:pPr>
              <w:rPr>
                <w:rFonts w:ascii="Arial" w:hAnsi="Arial" w:cs="Arial"/>
                <w:sz w:val="20"/>
                <w:szCs w:val="20"/>
              </w:rPr>
            </w:pPr>
            <w:r w:rsidRPr="00FB3CCF">
              <w:rPr>
                <w:rFonts w:ascii="Arial" w:hAnsi="Arial" w:cs="Arial"/>
                <w:sz w:val="20"/>
                <w:szCs w:val="20"/>
              </w:rPr>
              <w:t>Jeffrey et al. (2015); Bucher and Bryden (2016); Wiegele and Jones (2024)</w:t>
            </w:r>
          </w:p>
        </w:tc>
      </w:tr>
      <w:tr w:rsidR="00FB3CCF" w:rsidRPr="00FB3CCF" w14:paraId="7DC3CC60" w14:textId="77777777" w:rsidTr="00442932">
        <w:trPr>
          <w:trHeight w:val="1820"/>
          <w:jc w:val="center"/>
        </w:trPr>
        <w:tc>
          <w:tcPr>
            <w:tcW w:w="2100" w:type="dxa"/>
            <w:tcBorders>
              <w:top w:val="nil"/>
              <w:left w:val="single" w:sz="4" w:space="0" w:color="auto"/>
              <w:bottom w:val="single" w:sz="4" w:space="0" w:color="auto"/>
              <w:right w:val="single" w:sz="4" w:space="0" w:color="auto"/>
            </w:tcBorders>
            <w:vAlign w:val="center"/>
            <w:hideMark/>
          </w:tcPr>
          <w:p w14:paraId="1F59EC6B"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3</w:t>
            </w:r>
          </w:p>
        </w:tc>
        <w:tc>
          <w:tcPr>
            <w:tcW w:w="2100" w:type="dxa"/>
            <w:tcBorders>
              <w:top w:val="nil"/>
              <w:left w:val="nil"/>
              <w:bottom w:val="single" w:sz="4" w:space="0" w:color="auto"/>
              <w:right w:val="single" w:sz="4" w:space="0" w:color="auto"/>
            </w:tcBorders>
            <w:vAlign w:val="center"/>
            <w:hideMark/>
          </w:tcPr>
          <w:p w14:paraId="57CF89BB" w14:textId="77777777" w:rsidR="00FB3CCF" w:rsidRPr="00FB3CCF" w:rsidRDefault="00FB3CCF" w:rsidP="00442932">
            <w:pPr>
              <w:rPr>
                <w:rFonts w:ascii="Arial" w:hAnsi="Arial" w:cs="Arial"/>
                <w:sz w:val="20"/>
                <w:szCs w:val="20"/>
              </w:rPr>
            </w:pPr>
            <w:r w:rsidRPr="00FB3CCF">
              <w:rPr>
                <w:rFonts w:ascii="Arial" w:hAnsi="Arial" w:cs="Arial"/>
                <w:sz w:val="20"/>
                <w:szCs w:val="20"/>
              </w:rPr>
              <w:t>Policy credibility matters directly for bankability</w:t>
            </w:r>
          </w:p>
        </w:tc>
        <w:tc>
          <w:tcPr>
            <w:tcW w:w="2460" w:type="dxa"/>
            <w:tcBorders>
              <w:top w:val="nil"/>
              <w:left w:val="nil"/>
              <w:bottom w:val="single" w:sz="4" w:space="0" w:color="auto"/>
              <w:right w:val="single" w:sz="4" w:space="0" w:color="auto"/>
            </w:tcBorders>
            <w:vAlign w:val="center"/>
            <w:hideMark/>
          </w:tcPr>
          <w:p w14:paraId="4FE3A200" w14:textId="77777777" w:rsidR="00FB3CCF" w:rsidRPr="00FB3CCF" w:rsidRDefault="00FB3CCF" w:rsidP="00442932">
            <w:pPr>
              <w:rPr>
                <w:rFonts w:ascii="Arial" w:hAnsi="Arial" w:cs="Arial"/>
                <w:sz w:val="20"/>
                <w:szCs w:val="20"/>
              </w:rPr>
            </w:pPr>
            <w:r w:rsidRPr="00FB3CCF">
              <w:rPr>
                <w:rFonts w:ascii="Arial" w:hAnsi="Arial" w:cs="Arial"/>
                <w:sz w:val="20"/>
                <w:szCs w:val="20"/>
              </w:rPr>
              <w:t>Stable and predictable policy affects investor confidence by shaping both expected return and perceived risk.</w:t>
            </w:r>
          </w:p>
        </w:tc>
        <w:tc>
          <w:tcPr>
            <w:tcW w:w="2100" w:type="dxa"/>
            <w:tcBorders>
              <w:top w:val="nil"/>
              <w:left w:val="nil"/>
              <w:bottom w:val="single" w:sz="4" w:space="0" w:color="auto"/>
              <w:right w:val="single" w:sz="4" w:space="0" w:color="auto"/>
            </w:tcBorders>
            <w:vAlign w:val="center"/>
            <w:hideMark/>
          </w:tcPr>
          <w:p w14:paraId="6ACAB662" w14:textId="77777777" w:rsidR="00FB3CCF" w:rsidRPr="00FB3CCF" w:rsidRDefault="00FB3CCF" w:rsidP="00442932">
            <w:pPr>
              <w:rPr>
                <w:rFonts w:ascii="Arial" w:hAnsi="Arial" w:cs="Arial"/>
                <w:sz w:val="20"/>
                <w:szCs w:val="20"/>
              </w:rPr>
            </w:pPr>
            <w:proofErr w:type="spellStart"/>
            <w:r w:rsidRPr="00FB3CCF">
              <w:rPr>
                <w:rFonts w:ascii="Arial" w:hAnsi="Arial" w:cs="Arial"/>
                <w:sz w:val="20"/>
                <w:szCs w:val="20"/>
              </w:rPr>
              <w:t>Dinica</w:t>
            </w:r>
            <w:proofErr w:type="spellEnd"/>
            <w:r w:rsidRPr="00FB3CCF">
              <w:rPr>
                <w:rFonts w:ascii="Arial" w:hAnsi="Arial" w:cs="Arial"/>
                <w:sz w:val="20"/>
                <w:szCs w:val="20"/>
              </w:rPr>
              <w:t xml:space="preserve"> (2006); </w:t>
            </w:r>
            <w:proofErr w:type="spellStart"/>
            <w:r w:rsidRPr="00FB3CCF">
              <w:rPr>
                <w:rFonts w:ascii="Arial" w:hAnsi="Arial" w:cs="Arial"/>
                <w:sz w:val="20"/>
                <w:szCs w:val="20"/>
              </w:rPr>
              <w:t>Bürer</w:t>
            </w:r>
            <w:proofErr w:type="spellEnd"/>
            <w:r w:rsidRPr="00FB3CCF">
              <w:rPr>
                <w:rFonts w:ascii="Arial" w:hAnsi="Arial" w:cs="Arial"/>
                <w:sz w:val="20"/>
                <w:szCs w:val="20"/>
              </w:rPr>
              <w:t xml:space="preserve"> and </w:t>
            </w:r>
            <w:proofErr w:type="spellStart"/>
            <w:r w:rsidRPr="00FB3CCF">
              <w:rPr>
                <w:rFonts w:ascii="Arial" w:hAnsi="Arial" w:cs="Arial"/>
                <w:sz w:val="20"/>
                <w:szCs w:val="20"/>
              </w:rPr>
              <w:t>Wüstenhagen</w:t>
            </w:r>
            <w:proofErr w:type="spellEnd"/>
            <w:r w:rsidRPr="00FB3CCF">
              <w:rPr>
                <w:rFonts w:ascii="Arial" w:hAnsi="Arial" w:cs="Arial"/>
                <w:sz w:val="20"/>
                <w:szCs w:val="20"/>
              </w:rPr>
              <w:t xml:space="preserve"> (2009); Polzin et al. (2019)</w:t>
            </w:r>
          </w:p>
        </w:tc>
      </w:tr>
      <w:tr w:rsidR="00FB3CCF" w:rsidRPr="00FB3CCF" w14:paraId="6A7E1DB2" w14:textId="77777777" w:rsidTr="00442932">
        <w:trPr>
          <w:trHeight w:val="1820"/>
          <w:jc w:val="center"/>
        </w:trPr>
        <w:tc>
          <w:tcPr>
            <w:tcW w:w="2100" w:type="dxa"/>
            <w:tcBorders>
              <w:top w:val="nil"/>
              <w:left w:val="single" w:sz="4" w:space="0" w:color="auto"/>
              <w:bottom w:val="single" w:sz="4" w:space="0" w:color="auto"/>
              <w:right w:val="single" w:sz="4" w:space="0" w:color="auto"/>
            </w:tcBorders>
            <w:vAlign w:val="center"/>
            <w:hideMark/>
          </w:tcPr>
          <w:p w14:paraId="5B848BF7"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4</w:t>
            </w:r>
          </w:p>
        </w:tc>
        <w:tc>
          <w:tcPr>
            <w:tcW w:w="2100" w:type="dxa"/>
            <w:tcBorders>
              <w:top w:val="nil"/>
              <w:left w:val="nil"/>
              <w:bottom w:val="single" w:sz="4" w:space="0" w:color="auto"/>
              <w:right w:val="single" w:sz="4" w:space="0" w:color="auto"/>
            </w:tcBorders>
            <w:vAlign w:val="center"/>
            <w:hideMark/>
          </w:tcPr>
          <w:p w14:paraId="06FA5DC6" w14:textId="77777777" w:rsidR="00FB3CCF" w:rsidRPr="00FB3CCF" w:rsidRDefault="00FB3CCF" w:rsidP="00442932">
            <w:pPr>
              <w:rPr>
                <w:rFonts w:ascii="Arial" w:hAnsi="Arial" w:cs="Arial"/>
                <w:sz w:val="20"/>
                <w:szCs w:val="20"/>
              </w:rPr>
            </w:pPr>
            <w:r w:rsidRPr="00FB3CCF">
              <w:rPr>
                <w:rFonts w:ascii="Arial" w:hAnsi="Arial" w:cs="Arial"/>
                <w:sz w:val="20"/>
                <w:szCs w:val="20"/>
              </w:rPr>
              <w:t>Finance model fit matters as much as capital volume</w:t>
            </w:r>
          </w:p>
        </w:tc>
        <w:tc>
          <w:tcPr>
            <w:tcW w:w="2460" w:type="dxa"/>
            <w:tcBorders>
              <w:top w:val="nil"/>
              <w:left w:val="nil"/>
              <w:bottom w:val="single" w:sz="4" w:space="0" w:color="auto"/>
              <w:right w:val="single" w:sz="4" w:space="0" w:color="auto"/>
            </w:tcBorders>
            <w:vAlign w:val="center"/>
            <w:hideMark/>
          </w:tcPr>
          <w:p w14:paraId="4DEC1CA4" w14:textId="77777777" w:rsidR="00FB3CCF" w:rsidRPr="00FB3CCF" w:rsidRDefault="00FB3CCF" w:rsidP="00442932">
            <w:pPr>
              <w:rPr>
                <w:rFonts w:ascii="Arial" w:hAnsi="Arial" w:cs="Arial"/>
                <w:sz w:val="20"/>
                <w:szCs w:val="20"/>
              </w:rPr>
            </w:pPr>
            <w:r w:rsidRPr="00FB3CCF">
              <w:rPr>
                <w:rFonts w:ascii="Arial" w:hAnsi="Arial" w:cs="Arial"/>
                <w:sz w:val="20"/>
                <w:szCs w:val="20"/>
              </w:rPr>
              <w:t>The problem is not only insufficient capital, but mismatch between available finance models and long-horizon deep hardware ventures.</w:t>
            </w:r>
          </w:p>
        </w:tc>
        <w:tc>
          <w:tcPr>
            <w:tcW w:w="2100" w:type="dxa"/>
            <w:tcBorders>
              <w:top w:val="nil"/>
              <w:left w:val="nil"/>
              <w:bottom w:val="single" w:sz="4" w:space="0" w:color="auto"/>
              <w:right w:val="single" w:sz="4" w:space="0" w:color="auto"/>
            </w:tcBorders>
            <w:vAlign w:val="center"/>
            <w:hideMark/>
          </w:tcPr>
          <w:p w14:paraId="7613A3C1" w14:textId="77777777" w:rsidR="00FB3CCF" w:rsidRPr="00FB3CCF" w:rsidRDefault="00FB3CCF" w:rsidP="00442932">
            <w:pPr>
              <w:rPr>
                <w:rFonts w:ascii="Arial" w:hAnsi="Arial" w:cs="Arial"/>
                <w:sz w:val="20"/>
                <w:szCs w:val="20"/>
              </w:rPr>
            </w:pPr>
            <w:r w:rsidRPr="00FB3CCF">
              <w:rPr>
                <w:rFonts w:ascii="Arial" w:hAnsi="Arial" w:cs="Arial"/>
                <w:sz w:val="20"/>
                <w:szCs w:val="20"/>
              </w:rPr>
              <w:t xml:space="preserve">Gaddy et al. (2017); Owen et al. (2020); van der </w:t>
            </w:r>
            <w:proofErr w:type="spellStart"/>
            <w:r w:rsidRPr="00FB3CCF">
              <w:rPr>
                <w:rFonts w:ascii="Arial" w:hAnsi="Arial" w:cs="Arial"/>
                <w:sz w:val="20"/>
                <w:szCs w:val="20"/>
              </w:rPr>
              <w:t>Schans</w:t>
            </w:r>
            <w:proofErr w:type="spellEnd"/>
            <w:r w:rsidRPr="00FB3CCF">
              <w:rPr>
                <w:rFonts w:ascii="Arial" w:hAnsi="Arial" w:cs="Arial"/>
                <w:sz w:val="20"/>
                <w:szCs w:val="20"/>
              </w:rPr>
              <w:t>, Owen and Hussain (2025)</w:t>
            </w:r>
          </w:p>
        </w:tc>
      </w:tr>
      <w:tr w:rsidR="00FB3CCF" w:rsidRPr="00FB3CCF" w14:paraId="759D014E" w14:textId="77777777" w:rsidTr="00442932">
        <w:trPr>
          <w:trHeight w:val="1820"/>
          <w:jc w:val="center"/>
        </w:trPr>
        <w:tc>
          <w:tcPr>
            <w:tcW w:w="2100" w:type="dxa"/>
            <w:tcBorders>
              <w:top w:val="nil"/>
              <w:left w:val="single" w:sz="4" w:space="0" w:color="auto"/>
              <w:bottom w:val="single" w:sz="4" w:space="0" w:color="auto"/>
              <w:right w:val="single" w:sz="4" w:space="0" w:color="auto"/>
            </w:tcBorders>
            <w:vAlign w:val="center"/>
            <w:hideMark/>
          </w:tcPr>
          <w:p w14:paraId="034615CD"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5</w:t>
            </w:r>
          </w:p>
        </w:tc>
        <w:tc>
          <w:tcPr>
            <w:tcW w:w="2100" w:type="dxa"/>
            <w:tcBorders>
              <w:top w:val="nil"/>
              <w:left w:val="nil"/>
              <w:bottom w:val="single" w:sz="4" w:space="0" w:color="auto"/>
              <w:right w:val="single" w:sz="4" w:space="0" w:color="auto"/>
            </w:tcBorders>
            <w:vAlign w:val="center"/>
            <w:hideMark/>
          </w:tcPr>
          <w:p w14:paraId="32BF0EAC" w14:textId="77777777" w:rsidR="00FB3CCF" w:rsidRPr="00FB3CCF" w:rsidRDefault="00FB3CCF" w:rsidP="00442932">
            <w:pPr>
              <w:rPr>
                <w:rFonts w:ascii="Arial" w:hAnsi="Arial" w:cs="Arial"/>
                <w:sz w:val="20"/>
                <w:szCs w:val="20"/>
              </w:rPr>
            </w:pPr>
            <w:r w:rsidRPr="00FB3CCF">
              <w:rPr>
                <w:rFonts w:ascii="Arial" w:hAnsi="Arial" w:cs="Arial"/>
                <w:sz w:val="20"/>
                <w:szCs w:val="20"/>
              </w:rPr>
              <w:t>Information asymmetry and signalling remain central</w:t>
            </w:r>
          </w:p>
        </w:tc>
        <w:tc>
          <w:tcPr>
            <w:tcW w:w="2460" w:type="dxa"/>
            <w:tcBorders>
              <w:top w:val="nil"/>
              <w:left w:val="nil"/>
              <w:bottom w:val="single" w:sz="4" w:space="0" w:color="auto"/>
              <w:right w:val="single" w:sz="4" w:space="0" w:color="auto"/>
            </w:tcBorders>
            <w:vAlign w:val="center"/>
            <w:hideMark/>
          </w:tcPr>
          <w:p w14:paraId="66A2B4FA" w14:textId="77777777" w:rsidR="00FB3CCF" w:rsidRPr="00FB3CCF" w:rsidRDefault="00FB3CCF" w:rsidP="00442932">
            <w:pPr>
              <w:rPr>
                <w:rFonts w:ascii="Arial" w:hAnsi="Arial" w:cs="Arial"/>
                <w:sz w:val="20"/>
                <w:szCs w:val="20"/>
              </w:rPr>
            </w:pPr>
            <w:r w:rsidRPr="00FB3CCF">
              <w:rPr>
                <w:rFonts w:ascii="Arial" w:hAnsi="Arial" w:cs="Arial"/>
                <w:sz w:val="20"/>
                <w:szCs w:val="20"/>
              </w:rPr>
              <w:t>Investors rely on maturity signals and performance narratives, so weak signalling can worsen funding gaps.</w:t>
            </w:r>
          </w:p>
        </w:tc>
        <w:tc>
          <w:tcPr>
            <w:tcW w:w="2100" w:type="dxa"/>
            <w:tcBorders>
              <w:top w:val="nil"/>
              <w:left w:val="nil"/>
              <w:bottom w:val="single" w:sz="4" w:space="0" w:color="auto"/>
              <w:right w:val="single" w:sz="4" w:space="0" w:color="auto"/>
            </w:tcBorders>
            <w:vAlign w:val="center"/>
            <w:hideMark/>
          </w:tcPr>
          <w:p w14:paraId="0B05B929" w14:textId="77777777" w:rsidR="00FB3CCF" w:rsidRPr="00FB3CCF" w:rsidRDefault="00FB3CCF" w:rsidP="00442932">
            <w:pPr>
              <w:rPr>
                <w:rFonts w:ascii="Arial" w:hAnsi="Arial" w:cs="Arial"/>
                <w:sz w:val="20"/>
                <w:szCs w:val="20"/>
              </w:rPr>
            </w:pPr>
            <w:r w:rsidRPr="00FB3CCF">
              <w:rPr>
                <w:rFonts w:ascii="Arial" w:hAnsi="Arial" w:cs="Arial"/>
                <w:sz w:val="20"/>
                <w:szCs w:val="20"/>
              </w:rPr>
              <w:t>Bucher et al. (2016); Harrer and Owen (2022)</w:t>
            </w:r>
          </w:p>
        </w:tc>
      </w:tr>
      <w:tr w:rsidR="00FB3CCF" w:rsidRPr="00FB3CCF" w14:paraId="46215638" w14:textId="77777777" w:rsidTr="00442932">
        <w:trPr>
          <w:trHeight w:val="1820"/>
          <w:jc w:val="center"/>
        </w:trPr>
        <w:tc>
          <w:tcPr>
            <w:tcW w:w="2100" w:type="dxa"/>
            <w:tcBorders>
              <w:top w:val="nil"/>
              <w:left w:val="single" w:sz="4" w:space="0" w:color="auto"/>
              <w:bottom w:val="single" w:sz="4" w:space="0" w:color="auto"/>
              <w:right w:val="single" w:sz="4" w:space="0" w:color="auto"/>
            </w:tcBorders>
            <w:vAlign w:val="center"/>
            <w:hideMark/>
          </w:tcPr>
          <w:p w14:paraId="2347FC02"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lastRenderedPageBreak/>
              <w:t>Contradiction 1</w:t>
            </w:r>
          </w:p>
        </w:tc>
        <w:tc>
          <w:tcPr>
            <w:tcW w:w="2100" w:type="dxa"/>
            <w:tcBorders>
              <w:top w:val="nil"/>
              <w:left w:val="nil"/>
              <w:bottom w:val="single" w:sz="4" w:space="0" w:color="auto"/>
              <w:right w:val="single" w:sz="4" w:space="0" w:color="auto"/>
            </w:tcBorders>
            <w:vAlign w:val="center"/>
            <w:hideMark/>
          </w:tcPr>
          <w:p w14:paraId="1B9B9725" w14:textId="77777777" w:rsidR="00FB3CCF" w:rsidRPr="00FB3CCF" w:rsidRDefault="00FB3CCF" w:rsidP="00442932">
            <w:pPr>
              <w:rPr>
                <w:rFonts w:ascii="Arial" w:hAnsi="Arial" w:cs="Arial"/>
                <w:sz w:val="20"/>
                <w:szCs w:val="20"/>
              </w:rPr>
            </w:pPr>
            <w:r w:rsidRPr="00FB3CCF">
              <w:rPr>
                <w:rFonts w:ascii="Arial" w:hAnsi="Arial" w:cs="Arial"/>
                <w:sz w:val="20"/>
                <w:szCs w:val="20"/>
              </w:rPr>
              <w:t>Investor caution vs finance system failure</w:t>
            </w:r>
          </w:p>
        </w:tc>
        <w:tc>
          <w:tcPr>
            <w:tcW w:w="2460" w:type="dxa"/>
            <w:tcBorders>
              <w:top w:val="nil"/>
              <w:left w:val="nil"/>
              <w:bottom w:val="single" w:sz="4" w:space="0" w:color="auto"/>
              <w:right w:val="single" w:sz="4" w:space="0" w:color="auto"/>
            </w:tcBorders>
            <w:vAlign w:val="center"/>
            <w:hideMark/>
          </w:tcPr>
          <w:p w14:paraId="3B0225AE" w14:textId="77777777" w:rsidR="00FB3CCF" w:rsidRPr="00FB3CCF" w:rsidRDefault="00FB3CCF" w:rsidP="00442932">
            <w:pPr>
              <w:rPr>
                <w:rFonts w:ascii="Arial" w:hAnsi="Arial" w:cs="Arial"/>
                <w:sz w:val="20"/>
                <w:szCs w:val="20"/>
              </w:rPr>
            </w:pPr>
            <w:r w:rsidRPr="00FB3CCF">
              <w:rPr>
                <w:rFonts w:ascii="Arial" w:hAnsi="Arial" w:cs="Arial"/>
                <w:sz w:val="20"/>
                <w:szCs w:val="20"/>
              </w:rPr>
              <w:t>Some studies suggest investors are rationally cautious because risk is genuinely high, while others argue the finance system is poorly designed for such ventures.</w:t>
            </w:r>
          </w:p>
        </w:tc>
        <w:tc>
          <w:tcPr>
            <w:tcW w:w="2100" w:type="dxa"/>
            <w:tcBorders>
              <w:top w:val="nil"/>
              <w:left w:val="nil"/>
              <w:bottom w:val="single" w:sz="4" w:space="0" w:color="auto"/>
              <w:right w:val="single" w:sz="4" w:space="0" w:color="auto"/>
            </w:tcBorders>
            <w:vAlign w:val="center"/>
            <w:hideMark/>
          </w:tcPr>
          <w:p w14:paraId="5C6C69BD" w14:textId="77777777" w:rsidR="00FB3CCF" w:rsidRPr="00FB3CCF" w:rsidRDefault="00FB3CCF" w:rsidP="00442932">
            <w:pPr>
              <w:rPr>
                <w:rFonts w:ascii="Arial" w:hAnsi="Arial" w:cs="Arial"/>
                <w:sz w:val="20"/>
                <w:szCs w:val="20"/>
              </w:rPr>
            </w:pPr>
            <w:r w:rsidRPr="00FB3CCF">
              <w:rPr>
                <w:rFonts w:ascii="Arial" w:hAnsi="Arial" w:cs="Arial"/>
                <w:sz w:val="20"/>
                <w:szCs w:val="20"/>
              </w:rPr>
              <w:t>Leete, Xu and Wheeler (2013); Bucher et al. (2016); Gaddy et al. (2017)</w:t>
            </w:r>
          </w:p>
        </w:tc>
      </w:tr>
      <w:tr w:rsidR="00FB3CCF" w:rsidRPr="00FB3CCF" w14:paraId="783BBF7A" w14:textId="77777777" w:rsidTr="00442932">
        <w:trPr>
          <w:trHeight w:val="1820"/>
          <w:jc w:val="center"/>
        </w:trPr>
        <w:tc>
          <w:tcPr>
            <w:tcW w:w="2100" w:type="dxa"/>
            <w:tcBorders>
              <w:top w:val="nil"/>
              <w:left w:val="single" w:sz="4" w:space="0" w:color="auto"/>
              <w:bottom w:val="single" w:sz="4" w:space="0" w:color="auto"/>
              <w:right w:val="single" w:sz="4" w:space="0" w:color="auto"/>
            </w:tcBorders>
            <w:vAlign w:val="center"/>
            <w:hideMark/>
          </w:tcPr>
          <w:p w14:paraId="07F58507"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Contradiction 2</w:t>
            </w:r>
          </w:p>
        </w:tc>
        <w:tc>
          <w:tcPr>
            <w:tcW w:w="2100" w:type="dxa"/>
            <w:tcBorders>
              <w:top w:val="nil"/>
              <w:left w:val="nil"/>
              <w:bottom w:val="single" w:sz="4" w:space="0" w:color="auto"/>
              <w:right w:val="single" w:sz="4" w:space="0" w:color="auto"/>
            </w:tcBorders>
            <w:vAlign w:val="center"/>
            <w:hideMark/>
          </w:tcPr>
          <w:p w14:paraId="70FD197C" w14:textId="77777777" w:rsidR="00FB3CCF" w:rsidRPr="00FB3CCF" w:rsidRDefault="00FB3CCF" w:rsidP="00442932">
            <w:pPr>
              <w:rPr>
                <w:rFonts w:ascii="Arial" w:hAnsi="Arial" w:cs="Arial"/>
                <w:sz w:val="20"/>
                <w:szCs w:val="20"/>
              </w:rPr>
            </w:pPr>
            <w:r w:rsidRPr="00FB3CCF">
              <w:rPr>
                <w:rFonts w:ascii="Arial" w:hAnsi="Arial" w:cs="Arial"/>
                <w:sz w:val="20"/>
                <w:szCs w:val="20"/>
              </w:rPr>
              <w:t>More equity is not always the solution</w:t>
            </w:r>
          </w:p>
        </w:tc>
        <w:tc>
          <w:tcPr>
            <w:tcW w:w="2460" w:type="dxa"/>
            <w:tcBorders>
              <w:top w:val="nil"/>
              <w:left w:val="nil"/>
              <w:bottom w:val="single" w:sz="4" w:space="0" w:color="auto"/>
              <w:right w:val="single" w:sz="4" w:space="0" w:color="auto"/>
            </w:tcBorders>
            <w:vAlign w:val="center"/>
            <w:hideMark/>
          </w:tcPr>
          <w:p w14:paraId="38C78FE0" w14:textId="77777777" w:rsidR="00FB3CCF" w:rsidRPr="00FB3CCF" w:rsidRDefault="00FB3CCF" w:rsidP="00442932">
            <w:pPr>
              <w:rPr>
                <w:rFonts w:ascii="Arial" w:hAnsi="Arial" w:cs="Arial"/>
                <w:sz w:val="20"/>
                <w:szCs w:val="20"/>
              </w:rPr>
            </w:pPr>
            <w:r w:rsidRPr="00FB3CCF">
              <w:rPr>
                <w:rFonts w:ascii="Arial" w:hAnsi="Arial" w:cs="Arial"/>
                <w:sz w:val="20"/>
                <w:szCs w:val="20"/>
              </w:rPr>
              <w:t>Earlier assumptions often favour more private capital, but newer work suggests equity-backed firms do not necessarily progress faster.</w:t>
            </w:r>
          </w:p>
        </w:tc>
        <w:tc>
          <w:tcPr>
            <w:tcW w:w="2100" w:type="dxa"/>
            <w:tcBorders>
              <w:top w:val="nil"/>
              <w:left w:val="nil"/>
              <w:bottom w:val="single" w:sz="4" w:space="0" w:color="auto"/>
              <w:right w:val="single" w:sz="4" w:space="0" w:color="auto"/>
            </w:tcBorders>
            <w:vAlign w:val="center"/>
            <w:hideMark/>
          </w:tcPr>
          <w:p w14:paraId="5AE75885" w14:textId="77777777" w:rsidR="00FB3CCF" w:rsidRPr="00FB3CCF" w:rsidRDefault="00FB3CCF" w:rsidP="00442932">
            <w:pPr>
              <w:rPr>
                <w:rFonts w:ascii="Arial" w:hAnsi="Arial" w:cs="Arial"/>
                <w:sz w:val="20"/>
                <w:szCs w:val="20"/>
              </w:rPr>
            </w:pPr>
            <w:r w:rsidRPr="00FB3CCF">
              <w:rPr>
                <w:rFonts w:ascii="Arial" w:hAnsi="Arial" w:cs="Arial"/>
                <w:sz w:val="20"/>
                <w:szCs w:val="20"/>
              </w:rPr>
              <w:t>O’Reilly, Mac an Bhaird and Greene (2024); Owen (2021)</w:t>
            </w:r>
          </w:p>
        </w:tc>
      </w:tr>
      <w:tr w:rsidR="00FB3CCF" w:rsidRPr="00FB3CCF" w14:paraId="48AE3015" w14:textId="77777777" w:rsidTr="00442932">
        <w:trPr>
          <w:trHeight w:val="1820"/>
          <w:jc w:val="center"/>
        </w:trPr>
        <w:tc>
          <w:tcPr>
            <w:tcW w:w="2100" w:type="dxa"/>
            <w:tcBorders>
              <w:top w:val="nil"/>
              <w:left w:val="single" w:sz="4" w:space="0" w:color="auto"/>
              <w:bottom w:val="single" w:sz="4" w:space="0" w:color="auto"/>
              <w:right w:val="single" w:sz="4" w:space="0" w:color="auto"/>
            </w:tcBorders>
            <w:vAlign w:val="center"/>
            <w:hideMark/>
          </w:tcPr>
          <w:p w14:paraId="272DB15E"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Contradiction 3</w:t>
            </w:r>
          </w:p>
        </w:tc>
        <w:tc>
          <w:tcPr>
            <w:tcW w:w="2100" w:type="dxa"/>
            <w:tcBorders>
              <w:top w:val="nil"/>
              <w:left w:val="nil"/>
              <w:bottom w:val="single" w:sz="4" w:space="0" w:color="auto"/>
              <w:right w:val="single" w:sz="4" w:space="0" w:color="auto"/>
            </w:tcBorders>
            <w:vAlign w:val="center"/>
            <w:hideMark/>
          </w:tcPr>
          <w:p w14:paraId="1EFA3B57" w14:textId="77777777" w:rsidR="00FB3CCF" w:rsidRPr="00FB3CCF" w:rsidRDefault="00FB3CCF" w:rsidP="00442932">
            <w:pPr>
              <w:rPr>
                <w:rFonts w:ascii="Arial" w:hAnsi="Arial" w:cs="Arial"/>
                <w:sz w:val="20"/>
                <w:szCs w:val="20"/>
              </w:rPr>
            </w:pPr>
            <w:r w:rsidRPr="00FB3CCF">
              <w:rPr>
                <w:rFonts w:ascii="Arial" w:hAnsi="Arial" w:cs="Arial"/>
                <w:sz w:val="20"/>
                <w:szCs w:val="20"/>
              </w:rPr>
              <w:t>Cleantech lessons may not transfer cleanly to wave energy</w:t>
            </w:r>
          </w:p>
        </w:tc>
        <w:tc>
          <w:tcPr>
            <w:tcW w:w="2460" w:type="dxa"/>
            <w:tcBorders>
              <w:top w:val="nil"/>
              <w:left w:val="nil"/>
              <w:bottom w:val="single" w:sz="4" w:space="0" w:color="auto"/>
              <w:right w:val="single" w:sz="4" w:space="0" w:color="auto"/>
            </w:tcBorders>
            <w:vAlign w:val="center"/>
            <w:hideMark/>
          </w:tcPr>
          <w:p w14:paraId="00C34A6E" w14:textId="77777777" w:rsidR="00FB3CCF" w:rsidRPr="00FB3CCF" w:rsidRDefault="00FB3CCF" w:rsidP="00442932">
            <w:pPr>
              <w:rPr>
                <w:rFonts w:ascii="Arial" w:hAnsi="Arial" w:cs="Arial"/>
                <w:sz w:val="20"/>
                <w:szCs w:val="20"/>
              </w:rPr>
            </w:pPr>
            <w:r w:rsidRPr="00FB3CCF">
              <w:rPr>
                <w:rFonts w:ascii="Arial" w:hAnsi="Arial" w:cs="Arial"/>
                <w:sz w:val="20"/>
                <w:szCs w:val="20"/>
              </w:rPr>
              <w:t>Wave energy shares features with broader cleantech, but marine hardware conditions may make financing problems more severe or different in kind.</w:t>
            </w:r>
          </w:p>
        </w:tc>
        <w:tc>
          <w:tcPr>
            <w:tcW w:w="2100" w:type="dxa"/>
            <w:tcBorders>
              <w:top w:val="nil"/>
              <w:left w:val="nil"/>
              <w:bottom w:val="single" w:sz="4" w:space="0" w:color="auto"/>
              <w:right w:val="single" w:sz="4" w:space="0" w:color="auto"/>
            </w:tcBorders>
            <w:vAlign w:val="center"/>
            <w:hideMark/>
          </w:tcPr>
          <w:p w14:paraId="5F0B1EEC" w14:textId="77777777" w:rsidR="00FB3CCF" w:rsidRPr="00FB3CCF" w:rsidRDefault="00FB3CCF" w:rsidP="00442932">
            <w:pPr>
              <w:rPr>
                <w:rFonts w:ascii="Arial" w:hAnsi="Arial" w:cs="Arial"/>
                <w:sz w:val="20"/>
                <w:szCs w:val="20"/>
              </w:rPr>
            </w:pPr>
            <w:r w:rsidRPr="00FB3CCF">
              <w:rPr>
                <w:rFonts w:ascii="Arial" w:hAnsi="Arial" w:cs="Arial"/>
                <w:sz w:val="20"/>
                <w:szCs w:val="20"/>
              </w:rPr>
              <w:t>Owen et al. (2020); Cowling and Liu (2021); Wiegele and Jones (2024)</w:t>
            </w:r>
          </w:p>
        </w:tc>
      </w:tr>
      <w:tr w:rsidR="00FB3CCF" w:rsidRPr="00FB3CCF" w14:paraId="41FA8F71" w14:textId="77777777" w:rsidTr="00442932">
        <w:trPr>
          <w:trHeight w:val="1820"/>
          <w:jc w:val="center"/>
        </w:trPr>
        <w:tc>
          <w:tcPr>
            <w:tcW w:w="2100" w:type="dxa"/>
            <w:tcBorders>
              <w:top w:val="nil"/>
              <w:left w:val="single" w:sz="4" w:space="0" w:color="auto"/>
              <w:bottom w:val="single" w:sz="4" w:space="0" w:color="auto"/>
              <w:right w:val="single" w:sz="4" w:space="0" w:color="auto"/>
            </w:tcBorders>
            <w:vAlign w:val="center"/>
            <w:hideMark/>
          </w:tcPr>
          <w:p w14:paraId="5D776D98"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Contradiction 4</w:t>
            </w:r>
          </w:p>
        </w:tc>
        <w:tc>
          <w:tcPr>
            <w:tcW w:w="2100" w:type="dxa"/>
            <w:tcBorders>
              <w:top w:val="nil"/>
              <w:left w:val="nil"/>
              <w:bottom w:val="single" w:sz="4" w:space="0" w:color="auto"/>
              <w:right w:val="single" w:sz="4" w:space="0" w:color="auto"/>
            </w:tcBorders>
            <w:vAlign w:val="center"/>
            <w:hideMark/>
          </w:tcPr>
          <w:p w14:paraId="49B44380" w14:textId="77777777" w:rsidR="00FB3CCF" w:rsidRPr="00FB3CCF" w:rsidRDefault="00FB3CCF" w:rsidP="00442932">
            <w:pPr>
              <w:rPr>
                <w:rFonts w:ascii="Arial" w:hAnsi="Arial" w:cs="Arial"/>
                <w:sz w:val="20"/>
                <w:szCs w:val="20"/>
              </w:rPr>
            </w:pPr>
            <w:r w:rsidRPr="00FB3CCF">
              <w:rPr>
                <w:rFonts w:ascii="Arial" w:hAnsi="Arial" w:cs="Arial"/>
                <w:sz w:val="20"/>
                <w:szCs w:val="20"/>
              </w:rPr>
              <w:t>Bankability as venture issue vs ecosystem issue</w:t>
            </w:r>
          </w:p>
        </w:tc>
        <w:tc>
          <w:tcPr>
            <w:tcW w:w="2460" w:type="dxa"/>
            <w:tcBorders>
              <w:top w:val="nil"/>
              <w:left w:val="nil"/>
              <w:bottom w:val="single" w:sz="4" w:space="0" w:color="auto"/>
              <w:right w:val="single" w:sz="4" w:space="0" w:color="auto"/>
            </w:tcBorders>
            <w:vAlign w:val="center"/>
            <w:hideMark/>
          </w:tcPr>
          <w:p w14:paraId="238E52D4" w14:textId="77777777" w:rsidR="00FB3CCF" w:rsidRPr="00FB3CCF" w:rsidRDefault="00FB3CCF" w:rsidP="00442932">
            <w:pPr>
              <w:rPr>
                <w:rFonts w:ascii="Arial" w:hAnsi="Arial" w:cs="Arial"/>
                <w:sz w:val="20"/>
                <w:szCs w:val="20"/>
              </w:rPr>
            </w:pPr>
            <w:r w:rsidRPr="00FB3CCF">
              <w:rPr>
                <w:rFonts w:ascii="Arial" w:hAnsi="Arial" w:cs="Arial"/>
                <w:sz w:val="20"/>
                <w:szCs w:val="20"/>
              </w:rPr>
              <w:t>Some work implies bankability is mainly judged at firm level, while other studies show it is also shaped by wider policy and finance-system conditions.</w:t>
            </w:r>
          </w:p>
        </w:tc>
        <w:tc>
          <w:tcPr>
            <w:tcW w:w="2100" w:type="dxa"/>
            <w:tcBorders>
              <w:top w:val="nil"/>
              <w:left w:val="nil"/>
              <w:bottom w:val="single" w:sz="4" w:space="0" w:color="auto"/>
              <w:right w:val="single" w:sz="4" w:space="0" w:color="auto"/>
            </w:tcBorders>
            <w:vAlign w:val="center"/>
            <w:hideMark/>
          </w:tcPr>
          <w:p w14:paraId="260C53E0" w14:textId="77777777" w:rsidR="00FB3CCF" w:rsidRPr="00FB3CCF" w:rsidRDefault="00FB3CCF" w:rsidP="00442932">
            <w:pPr>
              <w:rPr>
                <w:rFonts w:ascii="Arial" w:hAnsi="Arial" w:cs="Arial"/>
                <w:sz w:val="20"/>
                <w:szCs w:val="20"/>
              </w:rPr>
            </w:pPr>
            <w:r w:rsidRPr="00FB3CCF">
              <w:rPr>
                <w:rFonts w:ascii="Arial" w:hAnsi="Arial" w:cs="Arial"/>
                <w:sz w:val="20"/>
                <w:szCs w:val="20"/>
              </w:rPr>
              <w:t>McCoy and Schwartz (2022); Geddes and Schmidt (2020); Hafner et al. (2020)</w:t>
            </w:r>
          </w:p>
        </w:tc>
      </w:tr>
      <w:tr w:rsidR="00FB3CCF" w:rsidRPr="00FB3CCF" w14:paraId="5B5FA71A" w14:textId="77777777" w:rsidTr="00442932">
        <w:trPr>
          <w:trHeight w:val="320"/>
          <w:jc w:val="center"/>
        </w:trPr>
        <w:tc>
          <w:tcPr>
            <w:tcW w:w="8760" w:type="dxa"/>
            <w:gridSpan w:val="4"/>
            <w:tcBorders>
              <w:top w:val="nil"/>
              <w:left w:val="nil"/>
              <w:bottom w:val="nil"/>
              <w:right w:val="nil"/>
            </w:tcBorders>
            <w:vAlign w:val="center"/>
            <w:hideMark/>
          </w:tcPr>
          <w:p w14:paraId="445DBE70" w14:textId="77777777" w:rsidR="00FB3CCF" w:rsidRPr="00FB3CCF" w:rsidRDefault="00FB3CCF" w:rsidP="00442932">
            <w:pPr>
              <w:rPr>
                <w:rFonts w:ascii="Arial" w:hAnsi="Arial" w:cs="Arial"/>
                <w:sz w:val="15"/>
                <w:szCs w:val="15"/>
              </w:rPr>
            </w:pPr>
            <w:r w:rsidRPr="00FB3CCF">
              <w:rPr>
                <w:rFonts w:ascii="Arial" w:hAnsi="Arial" w:cs="Arial"/>
                <w:sz w:val="15"/>
                <w:szCs w:val="15"/>
              </w:rPr>
              <w:t>Source: Author’s synthesis based on the reviewed literature.</w:t>
            </w:r>
          </w:p>
        </w:tc>
      </w:tr>
    </w:tbl>
    <w:p w14:paraId="7F9A772B" w14:textId="77777777" w:rsidR="00FB3CCF" w:rsidRPr="00FB3CCF" w:rsidRDefault="00FB3CCF" w:rsidP="00FB3CCF">
      <w:pPr>
        <w:spacing w:line="360" w:lineRule="auto"/>
        <w:jc w:val="both"/>
        <w:rPr>
          <w:rFonts w:ascii="Arial" w:hAnsi="Arial" w:cs="Arial"/>
          <w:sz w:val="15"/>
          <w:szCs w:val="15"/>
        </w:rPr>
      </w:pPr>
    </w:p>
    <w:p w14:paraId="63DAADF2" w14:textId="77777777" w:rsidR="00FB3CCF" w:rsidRPr="00FB3CCF" w:rsidRDefault="00FB3CCF" w:rsidP="00FB3CCF">
      <w:pPr>
        <w:spacing w:line="360" w:lineRule="auto"/>
        <w:jc w:val="both"/>
        <w:rPr>
          <w:rFonts w:ascii="Arial" w:hAnsi="Arial" w:cs="Arial"/>
        </w:rPr>
      </w:pPr>
    </w:p>
    <w:p w14:paraId="57500A62" w14:textId="77777777" w:rsidR="00FB3CCF" w:rsidRPr="00FB3CCF" w:rsidRDefault="00FB3CCF" w:rsidP="00FB3CCF">
      <w:pPr>
        <w:spacing w:line="360" w:lineRule="auto"/>
        <w:jc w:val="both"/>
        <w:rPr>
          <w:rFonts w:ascii="Arial" w:hAnsi="Arial" w:cs="Arial"/>
        </w:rPr>
      </w:pPr>
    </w:p>
    <w:p w14:paraId="34AB39E7" w14:textId="77777777" w:rsidR="00FB3CCF" w:rsidRPr="00FB3CCF" w:rsidRDefault="00FB3CCF" w:rsidP="00FB3CCF">
      <w:pPr>
        <w:spacing w:line="360" w:lineRule="auto"/>
        <w:jc w:val="both"/>
        <w:rPr>
          <w:rFonts w:ascii="Arial" w:hAnsi="Arial" w:cs="Arial"/>
        </w:rPr>
      </w:pPr>
    </w:p>
    <w:p w14:paraId="27D926C4" w14:textId="77777777" w:rsidR="00FB3CCF" w:rsidRPr="00FB3CCF" w:rsidRDefault="00FB3CCF" w:rsidP="00FB3CCF">
      <w:pPr>
        <w:spacing w:line="360" w:lineRule="auto"/>
        <w:jc w:val="both"/>
        <w:rPr>
          <w:rFonts w:ascii="Arial" w:hAnsi="Arial" w:cs="Arial"/>
        </w:rPr>
      </w:pPr>
    </w:p>
    <w:p w14:paraId="50B0EA7E" w14:textId="77777777" w:rsidR="00FB3CCF" w:rsidRPr="00FB3CCF" w:rsidRDefault="00FB3CCF" w:rsidP="00FB3CCF">
      <w:pPr>
        <w:spacing w:line="360" w:lineRule="auto"/>
        <w:jc w:val="both"/>
        <w:rPr>
          <w:rFonts w:ascii="Arial" w:hAnsi="Arial" w:cs="Arial"/>
          <w:sz w:val="22"/>
          <w:szCs w:val="22"/>
        </w:rPr>
      </w:pPr>
    </w:p>
    <w:p w14:paraId="2E20D3F1" w14:textId="77777777" w:rsidR="00FB3CCF" w:rsidRPr="00FB3CCF" w:rsidRDefault="00FB3CCF" w:rsidP="00FB3CCF">
      <w:pPr>
        <w:spacing w:line="360" w:lineRule="auto"/>
        <w:jc w:val="both"/>
        <w:rPr>
          <w:rFonts w:ascii="Arial" w:hAnsi="Arial" w:cs="Arial"/>
          <w:sz w:val="22"/>
          <w:szCs w:val="22"/>
        </w:rPr>
      </w:pPr>
    </w:p>
    <w:p w14:paraId="3C6F9B2B" w14:textId="77777777" w:rsidR="00FB3CCF" w:rsidRPr="00FB3CCF" w:rsidRDefault="00FB3CCF" w:rsidP="00FB3CCF">
      <w:pPr>
        <w:spacing w:line="360" w:lineRule="auto"/>
        <w:jc w:val="both"/>
        <w:rPr>
          <w:rFonts w:ascii="Arial" w:hAnsi="Arial" w:cs="Arial"/>
          <w:sz w:val="22"/>
          <w:szCs w:val="22"/>
        </w:rPr>
      </w:pPr>
    </w:p>
    <w:p w14:paraId="20A09990" w14:textId="77777777" w:rsidR="00FB3CCF" w:rsidRPr="00FB3CCF" w:rsidRDefault="00FB3CCF" w:rsidP="00FB3CCF">
      <w:pPr>
        <w:spacing w:line="360" w:lineRule="auto"/>
        <w:jc w:val="both"/>
        <w:rPr>
          <w:rFonts w:ascii="Arial" w:hAnsi="Arial" w:cs="Arial"/>
          <w:sz w:val="22"/>
          <w:szCs w:val="22"/>
        </w:rPr>
      </w:pPr>
    </w:p>
    <w:p w14:paraId="4C2FF417" w14:textId="77777777" w:rsidR="00FB3CCF" w:rsidRPr="00FB3CCF" w:rsidRDefault="00FB3CCF" w:rsidP="00FB3CCF">
      <w:pPr>
        <w:spacing w:line="360" w:lineRule="auto"/>
        <w:jc w:val="both"/>
        <w:rPr>
          <w:rFonts w:ascii="Arial" w:hAnsi="Arial" w:cs="Arial"/>
          <w:sz w:val="22"/>
          <w:szCs w:val="22"/>
        </w:rPr>
      </w:pPr>
    </w:p>
    <w:p w14:paraId="66B3FAD5" w14:textId="77777777" w:rsidR="00FB3CCF" w:rsidRPr="00FB3CCF" w:rsidRDefault="00FB3CCF" w:rsidP="00FB3CCF">
      <w:pPr>
        <w:spacing w:line="360" w:lineRule="auto"/>
        <w:jc w:val="both"/>
        <w:rPr>
          <w:rFonts w:ascii="Arial" w:hAnsi="Arial" w:cs="Arial"/>
          <w:sz w:val="22"/>
          <w:szCs w:val="22"/>
        </w:rPr>
      </w:pPr>
    </w:p>
    <w:p w14:paraId="21AAAD79" w14:textId="77777777" w:rsidR="00FB3CCF" w:rsidRPr="00FB3CCF" w:rsidRDefault="00FB3CCF" w:rsidP="00FB3CCF">
      <w:pPr>
        <w:spacing w:line="360" w:lineRule="auto"/>
        <w:jc w:val="both"/>
        <w:rPr>
          <w:rFonts w:ascii="Arial" w:hAnsi="Arial" w:cs="Arial"/>
          <w:sz w:val="22"/>
          <w:szCs w:val="22"/>
        </w:rPr>
      </w:pPr>
    </w:p>
    <w:p w14:paraId="2BCDCA9B" w14:textId="77777777" w:rsidR="00FB3CCF" w:rsidRPr="00FB3CCF" w:rsidRDefault="00FB3CCF" w:rsidP="00FB3CCF">
      <w:pPr>
        <w:spacing w:line="360" w:lineRule="auto"/>
        <w:jc w:val="both"/>
        <w:rPr>
          <w:rFonts w:ascii="Arial" w:hAnsi="Arial" w:cs="Arial"/>
          <w:sz w:val="22"/>
          <w:szCs w:val="22"/>
        </w:rPr>
      </w:pPr>
    </w:p>
    <w:p w14:paraId="10E2795F" w14:textId="77777777" w:rsidR="00FB3CCF" w:rsidRPr="00FB3CCF" w:rsidRDefault="00FB3CCF" w:rsidP="00FB3CCF">
      <w:pPr>
        <w:spacing w:line="360" w:lineRule="auto"/>
        <w:jc w:val="both"/>
        <w:rPr>
          <w:rFonts w:ascii="Arial" w:hAnsi="Arial" w:cs="Arial"/>
          <w:sz w:val="22"/>
          <w:szCs w:val="22"/>
        </w:rPr>
      </w:pPr>
    </w:p>
    <w:p w14:paraId="5B56FBEA" w14:textId="77777777" w:rsidR="00FB3CCF" w:rsidRPr="00FB3CCF" w:rsidRDefault="00FB3CCF" w:rsidP="00FB3CCF">
      <w:pPr>
        <w:spacing w:line="360" w:lineRule="auto"/>
        <w:jc w:val="both"/>
        <w:rPr>
          <w:rFonts w:ascii="Arial" w:hAnsi="Arial" w:cs="Arial"/>
          <w:sz w:val="22"/>
          <w:szCs w:val="22"/>
        </w:rPr>
      </w:pPr>
    </w:p>
    <w:p w14:paraId="330B2802" w14:textId="77777777" w:rsidR="00FB3CCF" w:rsidRPr="00FB3CCF" w:rsidRDefault="00FB3CCF" w:rsidP="00FB3CCF">
      <w:pPr>
        <w:spacing w:line="360" w:lineRule="auto"/>
        <w:jc w:val="both"/>
        <w:rPr>
          <w:rFonts w:ascii="Arial" w:hAnsi="Arial" w:cs="Arial"/>
          <w:sz w:val="22"/>
          <w:szCs w:val="22"/>
        </w:rPr>
      </w:pPr>
    </w:p>
    <w:p w14:paraId="4E0AB310"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Appendix H</w:t>
      </w:r>
    </w:p>
    <w:p w14:paraId="0B843A97"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H1. Theme 2 Patterns and Contradictions: Policy support, revenue certainty, and market formation</w:t>
      </w:r>
    </w:p>
    <w:tbl>
      <w:tblPr>
        <w:tblW w:w="9067" w:type="dxa"/>
        <w:jc w:val="center"/>
        <w:tblLook w:val="04A0" w:firstRow="1" w:lastRow="0" w:firstColumn="1" w:lastColumn="0" w:noHBand="0" w:noVBand="1"/>
      </w:tblPr>
      <w:tblGrid>
        <w:gridCol w:w="2100"/>
        <w:gridCol w:w="2100"/>
        <w:gridCol w:w="2460"/>
        <w:gridCol w:w="2407"/>
      </w:tblGrid>
      <w:tr w:rsidR="00FB3CCF" w:rsidRPr="00FB3CCF" w14:paraId="0EE5EDAD" w14:textId="77777777" w:rsidTr="00442932">
        <w:trPr>
          <w:trHeight w:val="1620"/>
          <w:jc w:val="center"/>
        </w:trPr>
        <w:tc>
          <w:tcPr>
            <w:tcW w:w="2100" w:type="dxa"/>
            <w:tcBorders>
              <w:top w:val="single" w:sz="4" w:space="0" w:color="auto"/>
              <w:left w:val="single" w:sz="4" w:space="0" w:color="auto"/>
              <w:bottom w:val="single" w:sz="4" w:space="0" w:color="auto"/>
              <w:right w:val="single" w:sz="4" w:space="0" w:color="auto"/>
            </w:tcBorders>
            <w:vAlign w:val="center"/>
            <w:hideMark/>
          </w:tcPr>
          <w:p w14:paraId="6AC87B29"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Area</w:t>
            </w:r>
          </w:p>
        </w:tc>
        <w:tc>
          <w:tcPr>
            <w:tcW w:w="2100" w:type="dxa"/>
            <w:tcBorders>
              <w:top w:val="single" w:sz="4" w:space="0" w:color="auto"/>
              <w:left w:val="nil"/>
              <w:bottom w:val="single" w:sz="4" w:space="0" w:color="auto"/>
              <w:right w:val="single" w:sz="4" w:space="0" w:color="auto"/>
            </w:tcBorders>
            <w:vAlign w:val="center"/>
            <w:hideMark/>
          </w:tcPr>
          <w:p w14:paraId="2829B89A"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 contradiction</w:t>
            </w:r>
          </w:p>
        </w:tc>
        <w:tc>
          <w:tcPr>
            <w:tcW w:w="2460" w:type="dxa"/>
            <w:tcBorders>
              <w:top w:val="single" w:sz="4" w:space="0" w:color="auto"/>
              <w:left w:val="nil"/>
              <w:bottom w:val="single" w:sz="4" w:space="0" w:color="auto"/>
              <w:right w:val="single" w:sz="4" w:space="0" w:color="auto"/>
            </w:tcBorders>
            <w:vAlign w:val="center"/>
            <w:hideMark/>
          </w:tcPr>
          <w:p w14:paraId="639BA437"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Explanation</w:t>
            </w:r>
          </w:p>
        </w:tc>
        <w:tc>
          <w:tcPr>
            <w:tcW w:w="2407" w:type="dxa"/>
            <w:tcBorders>
              <w:top w:val="single" w:sz="4" w:space="0" w:color="auto"/>
              <w:left w:val="nil"/>
              <w:bottom w:val="single" w:sz="4" w:space="0" w:color="auto"/>
              <w:right w:val="single" w:sz="4" w:space="0" w:color="auto"/>
            </w:tcBorders>
            <w:vAlign w:val="center"/>
            <w:hideMark/>
          </w:tcPr>
          <w:p w14:paraId="64F7BBA1"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Key References</w:t>
            </w:r>
          </w:p>
        </w:tc>
      </w:tr>
      <w:tr w:rsidR="00FB3CCF" w:rsidRPr="00FB3CCF" w14:paraId="51D1D058" w14:textId="77777777" w:rsidTr="00442932">
        <w:trPr>
          <w:trHeight w:val="1800"/>
          <w:jc w:val="center"/>
        </w:trPr>
        <w:tc>
          <w:tcPr>
            <w:tcW w:w="2100" w:type="dxa"/>
            <w:tcBorders>
              <w:top w:val="nil"/>
              <w:left w:val="single" w:sz="4" w:space="0" w:color="auto"/>
              <w:bottom w:val="single" w:sz="4" w:space="0" w:color="auto"/>
              <w:right w:val="single" w:sz="4" w:space="0" w:color="auto"/>
            </w:tcBorders>
            <w:vAlign w:val="center"/>
            <w:hideMark/>
          </w:tcPr>
          <w:p w14:paraId="25DBC5B0"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1</w:t>
            </w:r>
          </w:p>
        </w:tc>
        <w:tc>
          <w:tcPr>
            <w:tcW w:w="2100" w:type="dxa"/>
            <w:tcBorders>
              <w:top w:val="nil"/>
              <w:left w:val="nil"/>
              <w:bottom w:val="single" w:sz="4" w:space="0" w:color="auto"/>
              <w:right w:val="single" w:sz="4" w:space="0" w:color="auto"/>
            </w:tcBorders>
            <w:vAlign w:val="center"/>
            <w:hideMark/>
          </w:tcPr>
          <w:p w14:paraId="7B3BC17B" w14:textId="77777777" w:rsidR="00FB3CCF" w:rsidRPr="00FB3CCF" w:rsidRDefault="00FB3CCF" w:rsidP="00442932">
            <w:pPr>
              <w:rPr>
                <w:rFonts w:ascii="Arial" w:hAnsi="Arial" w:cs="Arial"/>
                <w:sz w:val="21"/>
                <w:szCs w:val="21"/>
              </w:rPr>
            </w:pPr>
            <w:r w:rsidRPr="00FB3CCF">
              <w:rPr>
                <w:rFonts w:ascii="Arial" w:hAnsi="Arial" w:cs="Arial"/>
                <w:sz w:val="21"/>
                <w:szCs w:val="21"/>
              </w:rPr>
              <w:t>Revenue support design strongly shapes viability</w:t>
            </w:r>
          </w:p>
        </w:tc>
        <w:tc>
          <w:tcPr>
            <w:tcW w:w="2460" w:type="dxa"/>
            <w:tcBorders>
              <w:top w:val="nil"/>
              <w:left w:val="nil"/>
              <w:bottom w:val="single" w:sz="4" w:space="0" w:color="auto"/>
              <w:right w:val="single" w:sz="4" w:space="0" w:color="auto"/>
            </w:tcBorders>
            <w:vAlign w:val="center"/>
            <w:hideMark/>
          </w:tcPr>
          <w:p w14:paraId="3E7A9600" w14:textId="77777777" w:rsidR="00FB3CCF" w:rsidRPr="00FB3CCF" w:rsidRDefault="00FB3CCF" w:rsidP="00442932">
            <w:pPr>
              <w:rPr>
                <w:rFonts w:ascii="Arial" w:hAnsi="Arial" w:cs="Arial"/>
                <w:sz w:val="21"/>
                <w:szCs w:val="21"/>
              </w:rPr>
            </w:pPr>
            <w:r w:rsidRPr="00FB3CCF">
              <w:rPr>
                <w:rFonts w:ascii="Arial" w:hAnsi="Arial" w:cs="Arial"/>
                <w:sz w:val="21"/>
                <w:szCs w:val="21"/>
              </w:rPr>
              <w:t>Support intensity and structure affect whether emerging technologies can appear commercially credible.</w:t>
            </w:r>
          </w:p>
        </w:tc>
        <w:tc>
          <w:tcPr>
            <w:tcW w:w="2407" w:type="dxa"/>
            <w:tcBorders>
              <w:top w:val="nil"/>
              <w:left w:val="nil"/>
              <w:bottom w:val="single" w:sz="4" w:space="0" w:color="auto"/>
              <w:right w:val="single" w:sz="4" w:space="0" w:color="auto"/>
            </w:tcBorders>
            <w:vAlign w:val="center"/>
            <w:hideMark/>
          </w:tcPr>
          <w:p w14:paraId="7FD963AD" w14:textId="77777777" w:rsidR="00FB3CCF" w:rsidRPr="00FB3CCF" w:rsidRDefault="00FB3CCF" w:rsidP="00442932">
            <w:pPr>
              <w:rPr>
                <w:rFonts w:ascii="Arial" w:hAnsi="Arial" w:cs="Arial"/>
                <w:sz w:val="21"/>
                <w:szCs w:val="21"/>
              </w:rPr>
            </w:pPr>
            <w:r w:rsidRPr="00FB3CCF">
              <w:rPr>
                <w:rFonts w:ascii="Arial" w:hAnsi="Arial" w:cs="Arial"/>
                <w:sz w:val="21"/>
                <w:szCs w:val="21"/>
              </w:rPr>
              <w:t>Allan et al. (2011); Allan, McGregor and Swales (2009)</w:t>
            </w:r>
          </w:p>
        </w:tc>
      </w:tr>
      <w:tr w:rsidR="00FB3CCF" w:rsidRPr="00FB3CCF" w14:paraId="2CECE4A6" w14:textId="77777777" w:rsidTr="00442932">
        <w:trPr>
          <w:trHeight w:val="1800"/>
          <w:jc w:val="center"/>
        </w:trPr>
        <w:tc>
          <w:tcPr>
            <w:tcW w:w="2100" w:type="dxa"/>
            <w:tcBorders>
              <w:top w:val="nil"/>
              <w:left w:val="single" w:sz="4" w:space="0" w:color="auto"/>
              <w:bottom w:val="single" w:sz="4" w:space="0" w:color="auto"/>
              <w:right w:val="single" w:sz="4" w:space="0" w:color="auto"/>
            </w:tcBorders>
            <w:vAlign w:val="center"/>
            <w:hideMark/>
          </w:tcPr>
          <w:p w14:paraId="79329A67"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2</w:t>
            </w:r>
          </w:p>
        </w:tc>
        <w:tc>
          <w:tcPr>
            <w:tcW w:w="2100" w:type="dxa"/>
            <w:tcBorders>
              <w:top w:val="nil"/>
              <w:left w:val="nil"/>
              <w:bottom w:val="single" w:sz="4" w:space="0" w:color="auto"/>
              <w:right w:val="single" w:sz="4" w:space="0" w:color="auto"/>
            </w:tcBorders>
            <w:vAlign w:val="center"/>
            <w:hideMark/>
          </w:tcPr>
          <w:p w14:paraId="255A6AD7" w14:textId="77777777" w:rsidR="00FB3CCF" w:rsidRPr="00FB3CCF" w:rsidRDefault="00FB3CCF" w:rsidP="00442932">
            <w:pPr>
              <w:rPr>
                <w:rFonts w:ascii="Arial" w:hAnsi="Arial" w:cs="Arial"/>
                <w:sz w:val="21"/>
                <w:szCs w:val="21"/>
              </w:rPr>
            </w:pPr>
            <w:r w:rsidRPr="00FB3CCF">
              <w:rPr>
                <w:rFonts w:ascii="Arial" w:hAnsi="Arial" w:cs="Arial"/>
                <w:sz w:val="21"/>
                <w:szCs w:val="21"/>
              </w:rPr>
              <w:t>Policy credibility matters as much as policy generosity</w:t>
            </w:r>
          </w:p>
        </w:tc>
        <w:tc>
          <w:tcPr>
            <w:tcW w:w="2460" w:type="dxa"/>
            <w:tcBorders>
              <w:top w:val="nil"/>
              <w:left w:val="nil"/>
              <w:bottom w:val="single" w:sz="4" w:space="0" w:color="auto"/>
              <w:right w:val="single" w:sz="4" w:space="0" w:color="auto"/>
            </w:tcBorders>
            <w:vAlign w:val="center"/>
            <w:hideMark/>
          </w:tcPr>
          <w:p w14:paraId="18C17287" w14:textId="77777777" w:rsidR="00FB3CCF" w:rsidRPr="00FB3CCF" w:rsidRDefault="00FB3CCF" w:rsidP="00442932">
            <w:pPr>
              <w:rPr>
                <w:rFonts w:ascii="Arial" w:hAnsi="Arial" w:cs="Arial"/>
                <w:sz w:val="21"/>
                <w:szCs w:val="21"/>
              </w:rPr>
            </w:pPr>
            <w:r w:rsidRPr="00FB3CCF">
              <w:rPr>
                <w:rFonts w:ascii="Arial" w:hAnsi="Arial" w:cs="Arial"/>
                <w:sz w:val="21"/>
                <w:szCs w:val="21"/>
              </w:rPr>
              <w:t>Investors respond not only to support levels but to stability, predictability, and risk allocation.</w:t>
            </w:r>
          </w:p>
        </w:tc>
        <w:tc>
          <w:tcPr>
            <w:tcW w:w="2407" w:type="dxa"/>
            <w:tcBorders>
              <w:top w:val="nil"/>
              <w:left w:val="nil"/>
              <w:bottom w:val="single" w:sz="4" w:space="0" w:color="auto"/>
              <w:right w:val="single" w:sz="4" w:space="0" w:color="auto"/>
            </w:tcBorders>
            <w:vAlign w:val="center"/>
            <w:hideMark/>
          </w:tcPr>
          <w:p w14:paraId="50537644"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Mitchell, Bauknecht and Connor (2006); </w:t>
            </w:r>
            <w:proofErr w:type="spellStart"/>
            <w:r w:rsidRPr="00FB3CCF">
              <w:rPr>
                <w:rFonts w:ascii="Arial" w:hAnsi="Arial" w:cs="Arial"/>
                <w:sz w:val="21"/>
                <w:szCs w:val="21"/>
              </w:rPr>
              <w:t>Kitzing</w:t>
            </w:r>
            <w:proofErr w:type="spellEnd"/>
            <w:r w:rsidRPr="00FB3CCF">
              <w:rPr>
                <w:rFonts w:ascii="Arial" w:hAnsi="Arial" w:cs="Arial"/>
                <w:sz w:val="21"/>
                <w:szCs w:val="21"/>
              </w:rPr>
              <w:t xml:space="preserve"> and Weber (2014); Polzin et al. (2019)</w:t>
            </w:r>
          </w:p>
        </w:tc>
      </w:tr>
      <w:tr w:rsidR="00FB3CCF" w:rsidRPr="00FB3CCF" w14:paraId="1429BA8E" w14:textId="77777777" w:rsidTr="00442932">
        <w:trPr>
          <w:trHeight w:val="1800"/>
          <w:jc w:val="center"/>
        </w:trPr>
        <w:tc>
          <w:tcPr>
            <w:tcW w:w="2100" w:type="dxa"/>
            <w:tcBorders>
              <w:top w:val="nil"/>
              <w:left w:val="single" w:sz="4" w:space="0" w:color="auto"/>
              <w:bottom w:val="single" w:sz="4" w:space="0" w:color="auto"/>
              <w:right w:val="single" w:sz="4" w:space="0" w:color="auto"/>
            </w:tcBorders>
            <w:vAlign w:val="center"/>
            <w:hideMark/>
          </w:tcPr>
          <w:p w14:paraId="170C74E5"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3</w:t>
            </w:r>
          </w:p>
        </w:tc>
        <w:tc>
          <w:tcPr>
            <w:tcW w:w="2100" w:type="dxa"/>
            <w:tcBorders>
              <w:top w:val="nil"/>
              <w:left w:val="nil"/>
              <w:bottom w:val="single" w:sz="4" w:space="0" w:color="auto"/>
              <w:right w:val="single" w:sz="4" w:space="0" w:color="auto"/>
            </w:tcBorders>
            <w:vAlign w:val="center"/>
            <w:hideMark/>
          </w:tcPr>
          <w:p w14:paraId="53ED3EB2" w14:textId="77777777" w:rsidR="00FB3CCF" w:rsidRPr="00FB3CCF" w:rsidRDefault="00FB3CCF" w:rsidP="00442932">
            <w:pPr>
              <w:rPr>
                <w:rFonts w:ascii="Arial" w:hAnsi="Arial" w:cs="Arial"/>
                <w:sz w:val="21"/>
                <w:szCs w:val="21"/>
              </w:rPr>
            </w:pPr>
            <w:r w:rsidRPr="00FB3CCF">
              <w:rPr>
                <w:rFonts w:ascii="Arial" w:hAnsi="Arial" w:cs="Arial"/>
                <w:sz w:val="21"/>
                <w:szCs w:val="21"/>
              </w:rPr>
              <w:t>UK policy often supported activity without securing market formation</w:t>
            </w:r>
          </w:p>
        </w:tc>
        <w:tc>
          <w:tcPr>
            <w:tcW w:w="2460" w:type="dxa"/>
            <w:tcBorders>
              <w:top w:val="nil"/>
              <w:left w:val="nil"/>
              <w:bottom w:val="single" w:sz="4" w:space="0" w:color="auto"/>
              <w:right w:val="single" w:sz="4" w:space="0" w:color="auto"/>
            </w:tcBorders>
            <w:vAlign w:val="center"/>
            <w:hideMark/>
          </w:tcPr>
          <w:p w14:paraId="4F8B13C5"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Policy encouraged </w:t>
            </w:r>
            <w:proofErr w:type="gramStart"/>
            <w:r w:rsidRPr="00FB3CCF">
              <w:rPr>
                <w:rFonts w:ascii="Arial" w:hAnsi="Arial" w:cs="Arial"/>
                <w:sz w:val="21"/>
                <w:szCs w:val="21"/>
              </w:rPr>
              <w:t>experimentation, but</w:t>
            </w:r>
            <w:proofErr w:type="gramEnd"/>
            <w:r w:rsidRPr="00FB3CCF">
              <w:rPr>
                <w:rFonts w:ascii="Arial" w:hAnsi="Arial" w:cs="Arial"/>
                <w:sz w:val="21"/>
                <w:szCs w:val="21"/>
              </w:rPr>
              <w:t xml:space="preserve"> did not always create a durable route to commercialization.</w:t>
            </w:r>
          </w:p>
        </w:tc>
        <w:tc>
          <w:tcPr>
            <w:tcW w:w="2407" w:type="dxa"/>
            <w:tcBorders>
              <w:top w:val="nil"/>
              <w:left w:val="nil"/>
              <w:bottom w:val="single" w:sz="4" w:space="0" w:color="auto"/>
              <w:right w:val="single" w:sz="4" w:space="0" w:color="auto"/>
            </w:tcBorders>
            <w:vAlign w:val="center"/>
            <w:hideMark/>
          </w:tcPr>
          <w:p w14:paraId="258255FE"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Watson and Fulcher (2010); Jeffrey, Jay and </w:t>
            </w:r>
            <w:proofErr w:type="spellStart"/>
            <w:r w:rsidRPr="00FB3CCF">
              <w:rPr>
                <w:rFonts w:ascii="Arial" w:hAnsi="Arial" w:cs="Arial"/>
                <w:sz w:val="21"/>
                <w:szCs w:val="21"/>
              </w:rPr>
              <w:t>Winskel</w:t>
            </w:r>
            <w:proofErr w:type="spellEnd"/>
            <w:r w:rsidRPr="00FB3CCF">
              <w:rPr>
                <w:rFonts w:ascii="Arial" w:hAnsi="Arial" w:cs="Arial"/>
                <w:sz w:val="21"/>
                <w:szCs w:val="21"/>
              </w:rPr>
              <w:t xml:space="preserve"> (2013); Willis et al. (2010)</w:t>
            </w:r>
          </w:p>
        </w:tc>
      </w:tr>
      <w:tr w:rsidR="00FB3CCF" w:rsidRPr="00FB3CCF" w14:paraId="23A76867" w14:textId="77777777" w:rsidTr="00442932">
        <w:trPr>
          <w:trHeight w:val="1800"/>
          <w:jc w:val="center"/>
        </w:trPr>
        <w:tc>
          <w:tcPr>
            <w:tcW w:w="2100" w:type="dxa"/>
            <w:tcBorders>
              <w:top w:val="nil"/>
              <w:left w:val="single" w:sz="4" w:space="0" w:color="auto"/>
              <w:bottom w:val="single" w:sz="4" w:space="0" w:color="auto"/>
              <w:right w:val="single" w:sz="4" w:space="0" w:color="auto"/>
            </w:tcBorders>
            <w:vAlign w:val="center"/>
            <w:hideMark/>
          </w:tcPr>
          <w:p w14:paraId="1FE6A5CA"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4</w:t>
            </w:r>
          </w:p>
        </w:tc>
        <w:tc>
          <w:tcPr>
            <w:tcW w:w="2100" w:type="dxa"/>
            <w:tcBorders>
              <w:top w:val="nil"/>
              <w:left w:val="nil"/>
              <w:bottom w:val="single" w:sz="4" w:space="0" w:color="auto"/>
              <w:right w:val="single" w:sz="4" w:space="0" w:color="auto"/>
            </w:tcBorders>
            <w:vAlign w:val="center"/>
            <w:hideMark/>
          </w:tcPr>
          <w:p w14:paraId="6E7305CE" w14:textId="77777777" w:rsidR="00FB3CCF" w:rsidRPr="00FB3CCF" w:rsidRDefault="00FB3CCF" w:rsidP="00442932">
            <w:pPr>
              <w:rPr>
                <w:rFonts w:ascii="Arial" w:hAnsi="Arial" w:cs="Arial"/>
                <w:sz w:val="21"/>
                <w:szCs w:val="21"/>
              </w:rPr>
            </w:pPr>
            <w:r w:rsidRPr="00FB3CCF">
              <w:rPr>
                <w:rFonts w:ascii="Arial" w:hAnsi="Arial" w:cs="Arial"/>
                <w:sz w:val="21"/>
                <w:szCs w:val="21"/>
              </w:rPr>
              <w:t>Budget and contract design can amplify uncertainty</w:t>
            </w:r>
          </w:p>
        </w:tc>
        <w:tc>
          <w:tcPr>
            <w:tcW w:w="2460" w:type="dxa"/>
            <w:tcBorders>
              <w:top w:val="nil"/>
              <w:left w:val="nil"/>
              <w:bottom w:val="single" w:sz="4" w:space="0" w:color="auto"/>
              <w:right w:val="single" w:sz="4" w:space="0" w:color="auto"/>
            </w:tcBorders>
            <w:vAlign w:val="center"/>
            <w:hideMark/>
          </w:tcPr>
          <w:p w14:paraId="4DB29E5B" w14:textId="77777777" w:rsidR="00FB3CCF" w:rsidRPr="00FB3CCF" w:rsidRDefault="00FB3CCF" w:rsidP="00442932">
            <w:pPr>
              <w:rPr>
                <w:rFonts w:ascii="Arial" w:hAnsi="Arial" w:cs="Arial"/>
                <w:sz w:val="21"/>
                <w:szCs w:val="21"/>
              </w:rPr>
            </w:pPr>
            <w:r w:rsidRPr="00FB3CCF">
              <w:rPr>
                <w:rFonts w:ascii="Arial" w:hAnsi="Arial" w:cs="Arial"/>
                <w:sz w:val="21"/>
                <w:szCs w:val="21"/>
              </w:rPr>
              <w:t>Support instruments may shift or repackage risk rather than remove it.</w:t>
            </w:r>
          </w:p>
        </w:tc>
        <w:tc>
          <w:tcPr>
            <w:tcW w:w="2407" w:type="dxa"/>
            <w:tcBorders>
              <w:top w:val="nil"/>
              <w:left w:val="nil"/>
              <w:bottom w:val="single" w:sz="4" w:space="0" w:color="auto"/>
              <w:right w:val="single" w:sz="4" w:space="0" w:color="auto"/>
            </w:tcBorders>
            <w:vAlign w:val="center"/>
            <w:hideMark/>
          </w:tcPr>
          <w:p w14:paraId="5871DFE6" w14:textId="77777777" w:rsidR="00FB3CCF" w:rsidRPr="00FB3CCF" w:rsidRDefault="00FB3CCF" w:rsidP="00442932">
            <w:pPr>
              <w:rPr>
                <w:rFonts w:ascii="Arial" w:hAnsi="Arial" w:cs="Arial"/>
                <w:sz w:val="21"/>
                <w:szCs w:val="21"/>
              </w:rPr>
            </w:pPr>
            <w:r w:rsidRPr="00FB3CCF">
              <w:rPr>
                <w:rFonts w:ascii="Arial" w:hAnsi="Arial" w:cs="Arial"/>
                <w:sz w:val="21"/>
                <w:szCs w:val="21"/>
              </w:rPr>
              <w:t>Lockwood (2016); Kozlov (2014); Bunn and Yusupov (2015)</w:t>
            </w:r>
          </w:p>
        </w:tc>
      </w:tr>
      <w:tr w:rsidR="00FB3CCF" w:rsidRPr="00FB3CCF" w14:paraId="458D0A87" w14:textId="77777777" w:rsidTr="00442932">
        <w:trPr>
          <w:trHeight w:val="1800"/>
          <w:jc w:val="center"/>
        </w:trPr>
        <w:tc>
          <w:tcPr>
            <w:tcW w:w="2100" w:type="dxa"/>
            <w:tcBorders>
              <w:top w:val="nil"/>
              <w:left w:val="single" w:sz="4" w:space="0" w:color="auto"/>
              <w:bottom w:val="single" w:sz="4" w:space="0" w:color="auto"/>
              <w:right w:val="single" w:sz="4" w:space="0" w:color="auto"/>
            </w:tcBorders>
            <w:vAlign w:val="center"/>
            <w:hideMark/>
          </w:tcPr>
          <w:p w14:paraId="685CF5D5"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lastRenderedPageBreak/>
              <w:t>Contradiction 1</w:t>
            </w:r>
          </w:p>
        </w:tc>
        <w:tc>
          <w:tcPr>
            <w:tcW w:w="2100" w:type="dxa"/>
            <w:tcBorders>
              <w:top w:val="nil"/>
              <w:left w:val="nil"/>
              <w:bottom w:val="single" w:sz="4" w:space="0" w:color="auto"/>
              <w:right w:val="single" w:sz="4" w:space="0" w:color="auto"/>
            </w:tcBorders>
            <w:vAlign w:val="center"/>
            <w:hideMark/>
          </w:tcPr>
          <w:p w14:paraId="514FD1FB" w14:textId="77777777" w:rsidR="00FB3CCF" w:rsidRPr="00FB3CCF" w:rsidRDefault="00FB3CCF" w:rsidP="00442932">
            <w:pPr>
              <w:rPr>
                <w:rFonts w:ascii="Arial" w:hAnsi="Arial" w:cs="Arial"/>
                <w:sz w:val="21"/>
                <w:szCs w:val="21"/>
              </w:rPr>
            </w:pPr>
            <w:r w:rsidRPr="00FB3CCF">
              <w:rPr>
                <w:rFonts w:ascii="Arial" w:hAnsi="Arial" w:cs="Arial"/>
                <w:sz w:val="21"/>
                <w:szCs w:val="21"/>
              </w:rPr>
              <w:t>Support exists, but bankability remains weak</w:t>
            </w:r>
          </w:p>
        </w:tc>
        <w:tc>
          <w:tcPr>
            <w:tcW w:w="2460" w:type="dxa"/>
            <w:tcBorders>
              <w:top w:val="nil"/>
              <w:left w:val="nil"/>
              <w:bottom w:val="single" w:sz="4" w:space="0" w:color="auto"/>
              <w:right w:val="single" w:sz="4" w:space="0" w:color="auto"/>
            </w:tcBorders>
            <w:vAlign w:val="center"/>
            <w:hideMark/>
          </w:tcPr>
          <w:p w14:paraId="7E376FB5" w14:textId="77777777" w:rsidR="00FB3CCF" w:rsidRPr="00FB3CCF" w:rsidRDefault="00FB3CCF" w:rsidP="00442932">
            <w:pPr>
              <w:rPr>
                <w:rFonts w:ascii="Arial" w:hAnsi="Arial" w:cs="Arial"/>
                <w:sz w:val="21"/>
                <w:szCs w:val="21"/>
              </w:rPr>
            </w:pPr>
            <w:r w:rsidRPr="00FB3CCF">
              <w:rPr>
                <w:rFonts w:ascii="Arial" w:hAnsi="Arial" w:cs="Arial"/>
                <w:sz w:val="21"/>
                <w:szCs w:val="21"/>
              </w:rPr>
              <w:t>Significant policy intervention did not consistently translate into financeable ventures.</w:t>
            </w:r>
          </w:p>
        </w:tc>
        <w:tc>
          <w:tcPr>
            <w:tcW w:w="2407" w:type="dxa"/>
            <w:tcBorders>
              <w:top w:val="nil"/>
              <w:left w:val="nil"/>
              <w:bottom w:val="single" w:sz="4" w:space="0" w:color="auto"/>
              <w:right w:val="single" w:sz="4" w:space="0" w:color="auto"/>
            </w:tcBorders>
            <w:vAlign w:val="center"/>
            <w:hideMark/>
          </w:tcPr>
          <w:p w14:paraId="2FC577AE"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Allan et al. (2011); Lockwood (2016); Jeffrey and </w:t>
            </w:r>
            <w:proofErr w:type="spellStart"/>
            <w:r w:rsidRPr="00FB3CCF">
              <w:rPr>
                <w:rFonts w:ascii="Arial" w:hAnsi="Arial" w:cs="Arial"/>
                <w:sz w:val="21"/>
                <w:szCs w:val="21"/>
              </w:rPr>
              <w:t>Winskel</w:t>
            </w:r>
            <w:proofErr w:type="spellEnd"/>
            <w:r w:rsidRPr="00FB3CCF">
              <w:rPr>
                <w:rFonts w:ascii="Arial" w:hAnsi="Arial" w:cs="Arial"/>
                <w:sz w:val="21"/>
                <w:szCs w:val="21"/>
              </w:rPr>
              <w:t xml:space="preserve"> (2009)</w:t>
            </w:r>
          </w:p>
        </w:tc>
      </w:tr>
      <w:tr w:rsidR="00FB3CCF" w:rsidRPr="00FB3CCF" w14:paraId="02E69BE8" w14:textId="77777777" w:rsidTr="00442932">
        <w:trPr>
          <w:trHeight w:val="1800"/>
          <w:jc w:val="center"/>
        </w:trPr>
        <w:tc>
          <w:tcPr>
            <w:tcW w:w="2100" w:type="dxa"/>
            <w:tcBorders>
              <w:top w:val="nil"/>
              <w:left w:val="single" w:sz="4" w:space="0" w:color="auto"/>
              <w:bottom w:val="single" w:sz="4" w:space="0" w:color="auto"/>
              <w:right w:val="single" w:sz="4" w:space="0" w:color="auto"/>
            </w:tcBorders>
            <w:vAlign w:val="center"/>
            <w:hideMark/>
          </w:tcPr>
          <w:p w14:paraId="4ED9BF59"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2</w:t>
            </w:r>
          </w:p>
        </w:tc>
        <w:tc>
          <w:tcPr>
            <w:tcW w:w="2100" w:type="dxa"/>
            <w:tcBorders>
              <w:top w:val="nil"/>
              <w:left w:val="nil"/>
              <w:bottom w:val="single" w:sz="4" w:space="0" w:color="auto"/>
              <w:right w:val="single" w:sz="4" w:space="0" w:color="auto"/>
            </w:tcBorders>
            <w:vAlign w:val="center"/>
            <w:hideMark/>
          </w:tcPr>
          <w:p w14:paraId="128E9F2A" w14:textId="77777777" w:rsidR="00FB3CCF" w:rsidRPr="00FB3CCF" w:rsidRDefault="00FB3CCF" w:rsidP="00442932">
            <w:pPr>
              <w:rPr>
                <w:rFonts w:ascii="Arial" w:hAnsi="Arial" w:cs="Arial"/>
                <w:sz w:val="21"/>
                <w:szCs w:val="21"/>
              </w:rPr>
            </w:pPr>
            <w:r w:rsidRPr="00FB3CCF">
              <w:rPr>
                <w:rFonts w:ascii="Arial" w:hAnsi="Arial" w:cs="Arial"/>
                <w:sz w:val="21"/>
                <w:szCs w:val="21"/>
              </w:rPr>
              <w:t>Policy ambition vs commercial readiness</w:t>
            </w:r>
          </w:p>
        </w:tc>
        <w:tc>
          <w:tcPr>
            <w:tcW w:w="2460" w:type="dxa"/>
            <w:tcBorders>
              <w:top w:val="nil"/>
              <w:left w:val="nil"/>
              <w:bottom w:val="single" w:sz="4" w:space="0" w:color="auto"/>
              <w:right w:val="single" w:sz="4" w:space="0" w:color="auto"/>
            </w:tcBorders>
            <w:vAlign w:val="center"/>
            <w:hideMark/>
          </w:tcPr>
          <w:p w14:paraId="047CBBF8" w14:textId="77777777" w:rsidR="00FB3CCF" w:rsidRPr="00FB3CCF" w:rsidRDefault="00FB3CCF" w:rsidP="00442932">
            <w:pPr>
              <w:rPr>
                <w:rFonts w:ascii="Arial" w:hAnsi="Arial" w:cs="Arial"/>
                <w:sz w:val="21"/>
                <w:szCs w:val="21"/>
              </w:rPr>
            </w:pPr>
            <w:r w:rsidRPr="00FB3CCF">
              <w:rPr>
                <w:rFonts w:ascii="Arial" w:hAnsi="Arial" w:cs="Arial"/>
                <w:sz w:val="21"/>
                <w:szCs w:val="21"/>
              </w:rPr>
              <w:t>Strategic ambition for ocean energy often outpaced the sector’s actual maturity.</w:t>
            </w:r>
          </w:p>
        </w:tc>
        <w:tc>
          <w:tcPr>
            <w:tcW w:w="2407" w:type="dxa"/>
            <w:tcBorders>
              <w:top w:val="nil"/>
              <w:left w:val="nil"/>
              <w:bottom w:val="single" w:sz="4" w:space="0" w:color="auto"/>
              <w:right w:val="single" w:sz="4" w:space="0" w:color="auto"/>
            </w:tcBorders>
            <w:vAlign w:val="center"/>
            <w:hideMark/>
          </w:tcPr>
          <w:p w14:paraId="4043C4ED"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Jeffrey and </w:t>
            </w:r>
            <w:proofErr w:type="spellStart"/>
            <w:r w:rsidRPr="00FB3CCF">
              <w:rPr>
                <w:rFonts w:ascii="Arial" w:hAnsi="Arial" w:cs="Arial"/>
                <w:sz w:val="21"/>
                <w:szCs w:val="21"/>
              </w:rPr>
              <w:t>Winskel</w:t>
            </w:r>
            <w:proofErr w:type="spellEnd"/>
            <w:r w:rsidRPr="00FB3CCF">
              <w:rPr>
                <w:rFonts w:ascii="Arial" w:hAnsi="Arial" w:cs="Arial"/>
                <w:sz w:val="21"/>
                <w:szCs w:val="21"/>
              </w:rPr>
              <w:t xml:space="preserve"> (2009); Watson and Fulcher (2010)</w:t>
            </w:r>
          </w:p>
        </w:tc>
      </w:tr>
      <w:tr w:rsidR="00FB3CCF" w:rsidRPr="00FB3CCF" w14:paraId="5CAF0F2E" w14:textId="77777777" w:rsidTr="00442932">
        <w:trPr>
          <w:trHeight w:val="1800"/>
          <w:jc w:val="center"/>
        </w:trPr>
        <w:tc>
          <w:tcPr>
            <w:tcW w:w="2100" w:type="dxa"/>
            <w:tcBorders>
              <w:top w:val="nil"/>
              <w:left w:val="single" w:sz="4" w:space="0" w:color="auto"/>
              <w:bottom w:val="single" w:sz="4" w:space="0" w:color="auto"/>
              <w:right w:val="single" w:sz="4" w:space="0" w:color="auto"/>
            </w:tcBorders>
            <w:vAlign w:val="center"/>
            <w:hideMark/>
          </w:tcPr>
          <w:p w14:paraId="63F7C4A8"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3</w:t>
            </w:r>
          </w:p>
        </w:tc>
        <w:tc>
          <w:tcPr>
            <w:tcW w:w="2100" w:type="dxa"/>
            <w:tcBorders>
              <w:top w:val="nil"/>
              <w:left w:val="nil"/>
              <w:bottom w:val="single" w:sz="4" w:space="0" w:color="auto"/>
              <w:right w:val="single" w:sz="4" w:space="0" w:color="auto"/>
            </w:tcBorders>
            <w:vAlign w:val="center"/>
            <w:hideMark/>
          </w:tcPr>
          <w:p w14:paraId="334055C6" w14:textId="77777777" w:rsidR="00FB3CCF" w:rsidRPr="00FB3CCF" w:rsidRDefault="00FB3CCF" w:rsidP="00442932">
            <w:pPr>
              <w:rPr>
                <w:rFonts w:ascii="Arial" w:hAnsi="Arial" w:cs="Arial"/>
                <w:sz w:val="21"/>
                <w:szCs w:val="21"/>
              </w:rPr>
            </w:pPr>
            <w:r w:rsidRPr="00FB3CCF">
              <w:rPr>
                <w:rFonts w:ascii="Arial" w:hAnsi="Arial" w:cs="Arial"/>
                <w:sz w:val="21"/>
                <w:szCs w:val="21"/>
              </w:rPr>
              <w:t>Mature-sector policy lessons do not transfer neatly</w:t>
            </w:r>
          </w:p>
        </w:tc>
        <w:tc>
          <w:tcPr>
            <w:tcW w:w="2460" w:type="dxa"/>
            <w:tcBorders>
              <w:top w:val="nil"/>
              <w:left w:val="nil"/>
              <w:bottom w:val="single" w:sz="4" w:space="0" w:color="auto"/>
              <w:right w:val="single" w:sz="4" w:space="0" w:color="auto"/>
            </w:tcBorders>
            <w:vAlign w:val="center"/>
            <w:hideMark/>
          </w:tcPr>
          <w:p w14:paraId="46275742" w14:textId="77777777" w:rsidR="00FB3CCF" w:rsidRPr="00FB3CCF" w:rsidRDefault="00FB3CCF" w:rsidP="00442932">
            <w:pPr>
              <w:rPr>
                <w:rFonts w:ascii="Arial" w:hAnsi="Arial" w:cs="Arial"/>
                <w:sz w:val="21"/>
                <w:szCs w:val="21"/>
              </w:rPr>
            </w:pPr>
            <w:r w:rsidRPr="00FB3CCF">
              <w:rPr>
                <w:rFonts w:ascii="Arial" w:hAnsi="Arial" w:cs="Arial"/>
                <w:sz w:val="21"/>
                <w:szCs w:val="21"/>
              </w:rPr>
              <w:t>Offshore wind policy success offers comparison, but wave energy faces different maturity and risk conditions.</w:t>
            </w:r>
          </w:p>
        </w:tc>
        <w:tc>
          <w:tcPr>
            <w:tcW w:w="2407" w:type="dxa"/>
            <w:tcBorders>
              <w:top w:val="nil"/>
              <w:left w:val="nil"/>
              <w:bottom w:val="single" w:sz="4" w:space="0" w:color="auto"/>
              <w:right w:val="single" w:sz="4" w:space="0" w:color="auto"/>
            </w:tcBorders>
            <w:vAlign w:val="center"/>
            <w:hideMark/>
          </w:tcPr>
          <w:p w14:paraId="6E4B6002" w14:textId="77777777" w:rsidR="00FB3CCF" w:rsidRPr="00FB3CCF" w:rsidRDefault="00FB3CCF" w:rsidP="00442932">
            <w:pPr>
              <w:rPr>
                <w:rFonts w:ascii="Arial" w:hAnsi="Arial" w:cs="Arial"/>
                <w:sz w:val="21"/>
                <w:szCs w:val="21"/>
              </w:rPr>
            </w:pPr>
            <w:proofErr w:type="spellStart"/>
            <w:r w:rsidRPr="00FB3CCF">
              <w:rPr>
                <w:rFonts w:ascii="Arial" w:hAnsi="Arial" w:cs="Arial"/>
                <w:sz w:val="21"/>
                <w:szCs w:val="21"/>
              </w:rPr>
              <w:t>Welisch</w:t>
            </w:r>
            <w:proofErr w:type="spellEnd"/>
            <w:r w:rsidRPr="00FB3CCF">
              <w:rPr>
                <w:rFonts w:ascii="Arial" w:hAnsi="Arial" w:cs="Arial"/>
                <w:sz w:val="21"/>
                <w:szCs w:val="21"/>
              </w:rPr>
              <w:t xml:space="preserve"> and </w:t>
            </w:r>
            <w:proofErr w:type="spellStart"/>
            <w:r w:rsidRPr="00FB3CCF">
              <w:rPr>
                <w:rFonts w:ascii="Arial" w:hAnsi="Arial" w:cs="Arial"/>
                <w:sz w:val="21"/>
                <w:szCs w:val="21"/>
              </w:rPr>
              <w:t>Poudineh</w:t>
            </w:r>
            <w:proofErr w:type="spellEnd"/>
            <w:r w:rsidRPr="00FB3CCF">
              <w:rPr>
                <w:rFonts w:ascii="Arial" w:hAnsi="Arial" w:cs="Arial"/>
                <w:sz w:val="21"/>
                <w:szCs w:val="21"/>
              </w:rPr>
              <w:t xml:space="preserve"> (2019); </w:t>
            </w:r>
            <w:proofErr w:type="spellStart"/>
            <w:r w:rsidRPr="00FB3CCF">
              <w:rPr>
                <w:rFonts w:ascii="Arial" w:hAnsi="Arial" w:cs="Arial"/>
                <w:sz w:val="21"/>
                <w:szCs w:val="21"/>
              </w:rPr>
              <w:t>Kitzing</w:t>
            </w:r>
            <w:proofErr w:type="spellEnd"/>
            <w:r w:rsidRPr="00FB3CCF">
              <w:rPr>
                <w:rFonts w:ascii="Arial" w:hAnsi="Arial" w:cs="Arial"/>
                <w:sz w:val="21"/>
                <w:szCs w:val="21"/>
              </w:rPr>
              <w:t xml:space="preserve"> and Weber (2014)</w:t>
            </w:r>
          </w:p>
        </w:tc>
      </w:tr>
      <w:tr w:rsidR="00FB3CCF" w:rsidRPr="00FB3CCF" w14:paraId="01B5937D" w14:textId="77777777" w:rsidTr="00442932">
        <w:trPr>
          <w:trHeight w:val="1800"/>
          <w:jc w:val="center"/>
        </w:trPr>
        <w:tc>
          <w:tcPr>
            <w:tcW w:w="2100" w:type="dxa"/>
            <w:tcBorders>
              <w:top w:val="nil"/>
              <w:left w:val="single" w:sz="4" w:space="0" w:color="auto"/>
              <w:bottom w:val="single" w:sz="4" w:space="0" w:color="auto"/>
              <w:right w:val="single" w:sz="4" w:space="0" w:color="auto"/>
            </w:tcBorders>
            <w:vAlign w:val="center"/>
            <w:hideMark/>
          </w:tcPr>
          <w:p w14:paraId="42E64B7A"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4</w:t>
            </w:r>
          </w:p>
        </w:tc>
        <w:tc>
          <w:tcPr>
            <w:tcW w:w="2100" w:type="dxa"/>
            <w:tcBorders>
              <w:top w:val="nil"/>
              <w:left w:val="nil"/>
              <w:bottom w:val="single" w:sz="4" w:space="0" w:color="auto"/>
              <w:right w:val="single" w:sz="4" w:space="0" w:color="auto"/>
            </w:tcBorders>
            <w:vAlign w:val="center"/>
            <w:hideMark/>
          </w:tcPr>
          <w:p w14:paraId="17EA5327" w14:textId="77777777" w:rsidR="00FB3CCF" w:rsidRPr="00FB3CCF" w:rsidRDefault="00FB3CCF" w:rsidP="00442932">
            <w:pPr>
              <w:rPr>
                <w:rFonts w:ascii="Arial" w:hAnsi="Arial" w:cs="Arial"/>
                <w:sz w:val="21"/>
                <w:szCs w:val="21"/>
              </w:rPr>
            </w:pPr>
            <w:r w:rsidRPr="00FB3CCF">
              <w:rPr>
                <w:rFonts w:ascii="Arial" w:hAnsi="Arial" w:cs="Arial"/>
                <w:sz w:val="21"/>
                <w:szCs w:val="21"/>
              </w:rPr>
              <w:t>More reform did not always mean less risk</w:t>
            </w:r>
          </w:p>
        </w:tc>
        <w:tc>
          <w:tcPr>
            <w:tcW w:w="2460" w:type="dxa"/>
            <w:tcBorders>
              <w:top w:val="nil"/>
              <w:left w:val="nil"/>
              <w:bottom w:val="single" w:sz="4" w:space="0" w:color="auto"/>
              <w:right w:val="single" w:sz="4" w:space="0" w:color="auto"/>
            </w:tcBorders>
            <w:vAlign w:val="center"/>
            <w:hideMark/>
          </w:tcPr>
          <w:p w14:paraId="1384ABC1"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Changes from ROCs to </w:t>
            </w:r>
            <w:proofErr w:type="spellStart"/>
            <w:r w:rsidRPr="00FB3CCF">
              <w:rPr>
                <w:rFonts w:ascii="Arial" w:hAnsi="Arial" w:cs="Arial"/>
                <w:sz w:val="21"/>
                <w:szCs w:val="21"/>
              </w:rPr>
              <w:t>CfDs</w:t>
            </w:r>
            <w:proofErr w:type="spellEnd"/>
            <w:r w:rsidRPr="00FB3CCF">
              <w:rPr>
                <w:rFonts w:ascii="Arial" w:hAnsi="Arial" w:cs="Arial"/>
                <w:sz w:val="21"/>
                <w:szCs w:val="21"/>
              </w:rPr>
              <w:t xml:space="preserve"> were presented as improvements yet often introduced new uncertainty for emerging technologies.</w:t>
            </w:r>
          </w:p>
        </w:tc>
        <w:tc>
          <w:tcPr>
            <w:tcW w:w="2407" w:type="dxa"/>
            <w:tcBorders>
              <w:top w:val="nil"/>
              <w:left w:val="nil"/>
              <w:bottom w:val="single" w:sz="4" w:space="0" w:color="auto"/>
              <w:right w:val="single" w:sz="4" w:space="0" w:color="auto"/>
            </w:tcBorders>
            <w:vAlign w:val="center"/>
            <w:hideMark/>
          </w:tcPr>
          <w:p w14:paraId="63BDC182" w14:textId="77777777" w:rsidR="00FB3CCF" w:rsidRPr="00FB3CCF" w:rsidRDefault="00FB3CCF" w:rsidP="00442932">
            <w:pPr>
              <w:rPr>
                <w:rFonts w:ascii="Arial" w:hAnsi="Arial" w:cs="Arial"/>
                <w:sz w:val="21"/>
                <w:szCs w:val="21"/>
              </w:rPr>
            </w:pPr>
            <w:r w:rsidRPr="00FB3CCF">
              <w:rPr>
                <w:rFonts w:ascii="Arial" w:hAnsi="Arial" w:cs="Arial"/>
                <w:sz w:val="21"/>
                <w:szCs w:val="21"/>
              </w:rPr>
              <w:t>Bunn and Yusupov (2015); Kozlov (2014); Lockwood (2016)</w:t>
            </w:r>
          </w:p>
        </w:tc>
      </w:tr>
      <w:tr w:rsidR="00FB3CCF" w:rsidRPr="00FB3CCF" w14:paraId="30DD2476" w14:textId="77777777" w:rsidTr="00442932">
        <w:trPr>
          <w:trHeight w:val="320"/>
          <w:jc w:val="center"/>
        </w:trPr>
        <w:tc>
          <w:tcPr>
            <w:tcW w:w="9067" w:type="dxa"/>
            <w:gridSpan w:val="4"/>
            <w:tcBorders>
              <w:top w:val="nil"/>
              <w:left w:val="nil"/>
              <w:bottom w:val="nil"/>
              <w:right w:val="nil"/>
            </w:tcBorders>
            <w:vAlign w:val="center"/>
            <w:hideMark/>
          </w:tcPr>
          <w:p w14:paraId="2DE7CE2B" w14:textId="77777777" w:rsidR="00FB3CCF" w:rsidRPr="00FB3CCF" w:rsidRDefault="00FB3CCF" w:rsidP="00442932">
            <w:pPr>
              <w:rPr>
                <w:rFonts w:ascii="Arial" w:hAnsi="Arial" w:cs="Arial"/>
                <w:sz w:val="15"/>
                <w:szCs w:val="15"/>
              </w:rPr>
            </w:pPr>
            <w:r w:rsidRPr="00FB3CCF">
              <w:rPr>
                <w:rFonts w:ascii="Arial" w:hAnsi="Arial" w:cs="Arial"/>
                <w:sz w:val="15"/>
                <w:szCs w:val="15"/>
              </w:rPr>
              <w:t>Source: Author’s synthesis based on the reviewed literature.</w:t>
            </w:r>
          </w:p>
        </w:tc>
      </w:tr>
    </w:tbl>
    <w:p w14:paraId="2ECC8F5F" w14:textId="77777777" w:rsidR="00FB3CCF" w:rsidRPr="00FB3CCF" w:rsidRDefault="00FB3CCF" w:rsidP="00FB3CCF">
      <w:pPr>
        <w:spacing w:line="360" w:lineRule="auto"/>
        <w:jc w:val="both"/>
        <w:rPr>
          <w:rFonts w:ascii="Arial" w:hAnsi="Arial" w:cs="Arial"/>
          <w:b/>
          <w:bCs/>
        </w:rPr>
      </w:pPr>
    </w:p>
    <w:p w14:paraId="78A4F471" w14:textId="77777777" w:rsidR="00FB3CCF" w:rsidRPr="00FB3CCF" w:rsidRDefault="00FB3CCF" w:rsidP="00FB3CCF">
      <w:pPr>
        <w:spacing w:line="360" w:lineRule="auto"/>
        <w:jc w:val="both"/>
        <w:rPr>
          <w:rFonts w:ascii="Arial" w:hAnsi="Arial" w:cs="Arial"/>
          <w:b/>
          <w:bCs/>
        </w:rPr>
      </w:pPr>
    </w:p>
    <w:p w14:paraId="6B429772" w14:textId="77777777" w:rsidR="00FB3CCF" w:rsidRPr="00FB3CCF" w:rsidRDefault="00FB3CCF" w:rsidP="00FB3CCF">
      <w:pPr>
        <w:spacing w:line="360" w:lineRule="auto"/>
        <w:jc w:val="both"/>
        <w:rPr>
          <w:rFonts w:ascii="Arial" w:hAnsi="Arial" w:cs="Arial"/>
          <w:b/>
          <w:bCs/>
        </w:rPr>
      </w:pPr>
    </w:p>
    <w:p w14:paraId="74B8EF1D" w14:textId="77777777" w:rsidR="00FB3CCF" w:rsidRPr="00FB3CCF" w:rsidRDefault="00FB3CCF" w:rsidP="00FB3CCF">
      <w:pPr>
        <w:spacing w:line="360" w:lineRule="auto"/>
        <w:jc w:val="both"/>
        <w:rPr>
          <w:rFonts w:ascii="Arial" w:hAnsi="Arial" w:cs="Arial"/>
          <w:b/>
          <w:bCs/>
        </w:rPr>
      </w:pPr>
    </w:p>
    <w:p w14:paraId="75BA31BB" w14:textId="77777777" w:rsidR="00FB3CCF" w:rsidRPr="00FB3CCF" w:rsidRDefault="00FB3CCF" w:rsidP="00FB3CCF">
      <w:pPr>
        <w:spacing w:line="360" w:lineRule="auto"/>
        <w:jc w:val="both"/>
        <w:rPr>
          <w:rFonts w:ascii="Arial" w:hAnsi="Arial" w:cs="Arial"/>
          <w:b/>
          <w:bCs/>
        </w:rPr>
      </w:pPr>
    </w:p>
    <w:p w14:paraId="0312B911" w14:textId="77777777" w:rsidR="00FB3CCF" w:rsidRPr="00FB3CCF" w:rsidRDefault="00FB3CCF" w:rsidP="00FB3CCF">
      <w:pPr>
        <w:spacing w:line="360" w:lineRule="auto"/>
        <w:jc w:val="both"/>
        <w:rPr>
          <w:rFonts w:ascii="Arial" w:hAnsi="Arial" w:cs="Arial"/>
          <w:b/>
          <w:bCs/>
        </w:rPr>
      </w:pPr>
    </w:p>
    <w:p w14:paraId="00526479" w14:textId="77777777" w:rsidR="00FB3CCF" w:rsidRPr="00FB3CCF" w:rsidRDefault="00FB3CCF" w:rsidP="00FB3CCF">
      <w:pPr>
        <w:spacing w:line="360" w:lineRule="auto"/>
        <w:jc w:val="both"/>
        <w:rPr>
          <w:rFonts w:ascii="Arial" w:hAnsi="Arial" w:cs="Arial"/>
          <w:b/>
          <w:bCs/>
        </w:rPr>
      </w:pPr>
    </w:p>
    <w:p w14:paraId="73E51846" w14:textId="77777777" w:rsidR="00FB3CCF" w:rsidRPr="00FB3CCF" w:rsidRDefault="00FB3CCF" w:rsidP="00FB3CCF">
      <w:pPr>
        <w:spacing w:line="360" w:lineRule="auto"/>
        <w:jc w:val="both"/>
        <w:rPr>
          <w:rFonts w:ascii="Arial" w:hAnsi="Arial" w:cs="Arial"/>
          <w:b/>
          <w:bCs/>
        </w:rPr>
      </w:pPr>
    </w:p>
    <w:p w14:paraId="36E12D9C" w14:textId="77777777" w:rsidR="00FB3CCF" w:rsidRPr="00FB3CCF" w:rsidRDefault="00FB3CCF" w:rsidP="00FB3CCF">
      <w:pPr>
        <w:spacing w:line="360" w:lineRule="auto"/>
        <w:jc w:val="both"/>
        <w:rPr>
          <w:rFonts w:ascii="Arial" w:hAnsi="Arial" w:cs="Arial"/>
          <w:b/>
          <w:bCs/>
        </w:rPr>
      </w:pPr>
    </w:p>
    <w:p w14:paraId="779F90CF" w14:textId="77777777" w:rsidR="00FB3CCF" w:rsidRPr="00FB3CCF" w:rsidRDefault="00FB3CCF" w:rsidP="00FB3CCF">
      <w:pPr>
        <w:spacing w:line="360" w:lineRule="auto"/>
        <w:jc w:val="both"/>
        <w:rPr>
          <w:rFonts w:ascii="Arial" w:hAnsi="Arial" w:cs="Arial"/>
          <w:b/>
          <w:bCs/>
        </w:rPr>
      </w:pPr>
    </w:p>
    <w:p w14:paraId="3F835EEB" w14:textId="77777777" w:rsidR="00FB3CCF" w:rsidRPr="00FB3CCF" w:rsidRDefault="00FB3CCF" w:rsidP="00FB3CCF">
      <w:pPr>
        <w:spacing w:line="360" w:lineRule="auto"/>
        <w:jc w:val="both"/>
        <w:rPr>
          <w:rFonts w:ascii="Arial" w:hAnsi="Arial" w:cs="Arial"/>
          <w:b/>
          <w:bCs/>
        </w:rPr>
      </w:pPr>
    </w:p>
    <w:p w14:paraId="2DDD31AB" w14:textId="77777777" w:rsidR="00FB3CCF" w:rsidRPr="00FB3CCF" w:rsidRDefault="00FB3CCF" w:rsidP="00FB3CCF">
      <w:pPr>
        <w:spacing w:line="360" w:lineRule="auto"/>
        <w:jc w:val="both"/>
        <w:rPr>
          <w:rFonts w:ascii="Arial" w:hAnsi="Arial" w:cs="Arial"/>
          <w:b/>
          <w:bCs/>
        </w:rPr>
      </w:pPr>
    </w:p>
    <w:p w14:paraId="19C72DDD" w14:textId="77777777" w:rsidR="00FB3CCF" w:rsidRPr="00FB3CCF" w:rsidRDefault="00FB3CCF" w:rsidP="00FB3CCF">
      <w:pPr>
        <w:spacing w:line="360" w:lineRule="auto"/>
        <w:jc w:val="both"/>
        <w:rPr>
          <w:rFonts w:ascii="Arial" w:hAnsi="Arial" w:cs="Arial"/>
          <w:b/>
          <w:bCs/>
        </w:rPr>
      </w:pPr>
    </w:p>
    <w:p w14:paraId="0937285E" w14:textId="77777777" w:rsidR="00FB3CCF" w:rsidRPr="00FB3CCF" w:rsidRDefault="00FB3CCF" w:rsidP="00FB3CCF">
      <w:pPr>
        <w:spacing w:line="360" w:lineRule="auto"/>
        <w:jc w:val="both"/>
        <w:rPr>
          <w:rFonts w:ascii="Arial" w:hAnsi="Arial" w:cs="Arial"/>
          <w:b/>
          <w:bCs/>
        </w:rPr>
      </w:pPr>
    </w:p>
    <w:p w14:paraId="241450A7" w14:textId="77777777" w:rsidR="00FB3CCF" w:rsidRPr="00FB3CCF" w:rsidRDefault="00FB3CCF" w:rsidP="00FB3CCF">
      <w:pPr>
        <w:spacing w:line="360" w:lineRule="auto"/>
        <w:jc w:val="both"/>
        <w:rPr>
          <w:rFonts w:ascii="Arial" w:hAnsi="Arial" w:cs="Arial"/>
          <w:b/>
          <w:bCs/>
        </w:rPr>
      </w:pPr>
    </w:p>
    <w:p w14:paraId="3A66DA7B" w14:textId="77777777" w:rsidR="00FB3CCF" w:rsidRPr="00FB3CCF" w:rsidRDefault="00FB3CCF" w:rsidP="00FB3CCF">
      <w:pPr>
        <w:spacing w:line="360" w:lineRule="auto"/>
        <w:jc w:val="both"/>
        <w:rPr>
          <w:rFonts w:ascii="Arial" w:hAnsi="Arial" w:cs="Arial"/>
          <w:b/>
          <w:bCs/>
        </w:rPr>
      </w:pPr>
    </w:p>
    <w:p w14:paraId="16D862EC" w14:textId="77777777" w:rsidR="00FB3CCF" w:rsidRPr="00FB3CCF" w:rsidRDefault="00FB3CCF" w:rsidP="00FB3CCF">
      <w:pPr>
        <w:spacing w:line="360" w:lineRule="auto"/>
        <w:jc w:val="both"/>
        <w:rPr>
          <w:rFonts w:ascii="Arial" w:hAnsi="Arial" w:cs="Arial"/>
          <w:b/>
          <w:bCs/>
        </w:rPr>
      </w:pPr>
    </w:p>
    <w:p w14:paraId="0657C118" w14:textId="77777777" w:rsidR="00FB3CCF" w:rsidRPr="00FB3CCF" w:rsidRDefault="00FB3CCF" w:rsidP="00FB3CCF">
      <w:pPr>
        <w:spacing w:line="360" w:lineRule="auto"/>
        <w:jc w:val="both"/>
        <w:rPr>
          <w:rFonts w:ascii="Arial" w:hAnsi="Arial" w:cs="Arial"/>
          <w:b/>
          <w:bCs/>
        </w:rPr>
      </w:pPr>
    </w:p>
    <w:p w14:paraId="6F976286" w14:textId="77777777" w:rsidR="00FB3CCF" w:rsidRPr="00FB3CCF" w:rsidRDefault="00FB3CCF" w:rsidP="00FB3CCF">
      <w:pPr>
        <w:spacing w:line="360" w:lineRule="auto"/>
        <w:jc w:val="both"/>
        <w:rPr>
          <w:rFonts w:ascii="Arial" w:hAnsi="Arial" w:cs="Arial"/>
          <w:b/>
          <w:bCs/>
        </w:rPr>
      </w:pPr>
    </w:p>
    <w:p w14:paraId="1DABA059" w14:textId="77777777" w:rsidR="00FB3CCF" w:rsidRPr="00FB3CCF" w:rsidRDefault="00FB3CCF" w:rsidP="00FB3CCF">
      <w:pPr>
        <w:spacing w:line="360" w:lineRule="auto"/>
        <w:jc w:val="both"/>
        <w:rPr>
          <w:rFonts w:ascii="Arial" w:hAnsi="Arial" w:cs="Arial"/>
          <w:b/>
          <w:bCs/>
        </w:rPr>
      </w:pPr>
    </w:p>
    <w:p w14:paraId="5C333EF0" w14:textId="77777777" w:rsidR="00FB3CCF" w:rsidRPr="00FB3CCF" w:rsidRDefault="00FB3CCF" w:rsidP="00FB3CCF">
      <w:pPr>
        <w:spacing w:line="360" w:lineRule="auto"/>
        <w:jc w:val="both"/>
        <w:rPr>
          <w:rFonts w:ascii="Arial" w:hAnsi="Arial" w:cs="Arial"/>
          <w:b/>
          <w:bCs/>
        </w:rPr>
      </w:pPr>
    </w:p>
    <w:p w14:paraId="35025767" w14:textId="77777777" w:rsidR="00FB3CCF" w:rsidRPr="00FB3CCF" w:rsidRDefault="00FB3CCF" w:rsidP="00FB3CCF">
      <w:pPr>
        <w:spacing w:line="360" w:lineRule="auto"/>
        <w:jc w:val="both"/>
        <w:rPr>
          <w:rFonts w:ascii="Arial" w:hAnsi="Arial" w:cs="Arial"/>
          <w:b/>
          <w:bCs/>
        </w:rPr>
      </w:pPr>
    </w:p>
    <w:p w14:paraId="35DFD892" w14:textId="77777777" w:rsidR="00FB3CCF" w:rsidRPr="00FB3CCF" w:rsidRDefault="00FB3CCF" w:rsidP="00FB3CCF">
      <w:pPr>
        <w:spacing w:line="360" w:lineRule="auto"/>
        <w:jc w:val="both"/>
        <w:rPr>
          <w:rFonts w:ascii="Arial" w:hAnsi="Arial" w:cs="Arial"/>
          <w:b/>
          <w:bCs/>
        </w:rPr>
      </w:pPr>
    </w:p>
    <w:p w14:paraId="67841DD2" w14:textId="77777777" w:rsidR="00FB3CCF" w:rsidRPr="00FB3CCF" w:rsidRDefault="00FB3CCF" w:rsidP="00FB3CCF">
      <w:pPr>
        <w:spacing w:line="360" w:lineRule="auto"/>
        <w:jc w:val="both"/>
        <w:rPr>
          <w:rFonts w:ascii="Arial" w:hAnsi="Arial" w:cs="Arial"/>
          <w:b/>
          <w:bCs/>
        </w:rPr>
      </w:pPr>
    </w:p>
    <w:p w14:paraId="5278F7C0"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Appendix I</w:t>
      </w:r>
    </w:p>
    <w:p w14:paraId="05C56143"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I1. Theme 3 Patterns and Contradictions: Innovation systems and ecosystem coordination</w:t>
      </w:r>
    </w:p>
    <w:tbl>
      <w:tblPr>
        <w:tblW w:w="9280" w:type="dxa"/>
        <w:jc w:val="center"/>
        <w:tblLook w:val="04A0" w:firstRow="1" w:lastRow="0" w:firstColumn="1" w:lastColumn="0" w:noHBand="0" w:noVBand="1"/>
      </w:tblPr>
      <w:tblGrid>
        <w:gridCol w:w="2100"/>
        <w:gridCol w:w="2100"/>
        <w:gridCol w:w="2560"/>
        <w:gridCol w:w="2520"/>
      </w:tblGrid>
      <w:tr w:rsidR="00FB3CCF" w:rsidRPr="00FB3CCF" w14:paraId="3AEC00C5" w14:textId="77777777" w:rsidTr="00442932">
        <w:trPr>
          <w:trHeight w:val="1620"/>
          <w:jc w:val="center"/>
        </w:trPr>
        <w:tc>
          <w:tcPr>
            <w:tcW w:w="2100" w:type="dxa"/>
            <w:tcBorders>
              <w:top w:val="single" w:sz="4" w:space="0" w:color="auto"/>
              <w:left w:val="single" w:sz="4" w:space="0" w:color="auto"/>
              <w:bottom w:val="single" w:sz="4" w:space="0" w:color="auto"/>
              <w:right w:val="single" w:sz="4" w:space="0" w:color="auto"/>
            </w:tcBorders>
            <w:vAlign w:val="center"/>
            <w:hideMark/>
          </w:tcPr>
          <w:p w14:paraId="0030F906"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Area</w:t>
            </w:r>
          </w:p>
        </w:tc>
        <w:tc>
          <w:tcPr>
            <w:tcW w:w="2100" w:type="dxa"/>
            <w:tcBorders>
              <w:top w:val="single" w:sz="4" w:space="0" w:color="auto"/>
              <w:left w:val="nil"/>
              <w:bottom w:val="single" w:sz="4" w:space="0" w:color="auto"/>
              <w:right w:val="single" w:sz="4" w:space="0" w:color="auto"/>
            </w:tcBorders>
            <w:vAlign w:val="center"/>
            <w:hideMark/>
          </w:tcPr>
          <w:p w14:paraId="71CDF8B3"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 contradiction</w:t>
            </w:r>
          </w:p>
        </w:tc>
        <w:tc>
          <w:tcPr>
            <w:tcW w:w="2560" w:type="dxa"/>
            <w:tcBorders>
              <w:top w:val="single" w:sz="4" w:space="0" w:color="auto"/>
              <w:left w:val="nil"/>
              <w:bottom w:val="single" w:sz="4" w:space="0" w:color="auto"/>
              <w:right w:val="single" w:sz="4" w:space="0" w:color="auto"/>
            </w:tcBorders>
            <w:vAlign w:val="center"/>
            <w:hideMark/>
          </w:tcPr>
          <w:p w14:paraId="05CADA9A"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Explanation</w:t>
            </w:r>
          </w:p>
        </w:tc>
        <w:tc>
          <w:tcPr>
            <w:tcW w:w="2520" w:type="dxa"/>
            <w:tcBorders>
              <w:top w:val="single" w:sz="4" w:space="0" w:color="auto"/>
              <w:left w:val="nil"/>
              <w:bottom w:val="single" w:sz="4" w:space="0" w:color="auto"/>
              <w:right w:val="single" w:sz="4" w:space="0" w:color="auto"/>
            </w:tcBorders>
            <w:vAlign w:val="center"/>
            <w:hideMark/>
          </w:tcPr>
          <w:p w14:paraId="5230F320"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Key supporting studies</w:t>
            </w:r>
          </w:p>
        </w:tc>
      </w:tr>
      <w:tr w:rsidR="00FB3CCF" w:rsidRPr="00FB3CCF" w14:paraId="3F9016D2" w14:textId="77777777" w:rsidTr="00442932">
        <w:trPr>
          <w:trHeight w:val="1700"/>
          <w:jc w:val="center"/>
        </w:trPr>
        <w:tc>
          <w:tcPr>
            <w:tcW w:w="2100" w:type="dxa"/>
            <w:tcBorders>
              <w:top w:val="nil"/>
              <w:left w:val="single" w:sz="4" w:space="0" w:color="auto"/>
              <w:bottom w:val="single" w:sz="4" w:space="0" w:color="auto"/>
              <w:right w:val="single" w:sz="4" w:space="0" w:color="auto"/>
            </w:tcBorders>
            <w:vAlign w:val="center"/>
            <w:hideMark/>
          </w:tcPr>
          <w:p w14:paraId="0AE65FDC"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1</w:t>
            </w:r>
          </w:p>
        </w:tc>
        <w:tc>
          <w:tcPr>
            <w:tcW w:w="2100" w:type="dxa"/>
            <w:tcBorders>
              <w:top w:val="nil"/>
              <w:left w:val="nil"/>
              <w:bottom w:val="single" w:sz="4" w:space="0" w:color="auto"/>
              <w:right w:val="single" w:sz="4" w:space="0" w:color="auto"/>
            </w:tcBorders>
            <w:vAlign w:val="center"/>
            <w:hideMark/>
          </w:tcPr>
          <w:p w14:paraId="42F829AD" w14:textId="77777777" w:rsidR="00FB3CCF" w:rsidRPr="00FB3CCF" w:rsidRDefault="00FB3CCF" w:rsidP="00442932">
            <w:pPr>
              <w:rPr>
                <w:rFonts w:ascii="Arial" w:hAnsi="Arial" w:cs="Arial"/>
                <w:sz w:val="21"/>
                <w:szCs w:val="21"/>
              </w:rPr>
            </w:pPr>
            <w:r w:rsidRPr="00FB3CCF">
              <w:rPr>
                <w:rFonts w:ascii="Arial" w:hAnsi="Arial" w:cs="Arial"/>
                <w:sz w:val="21"/>
                <w:szCs w:val="21"/>
              </w:rPr>
              <w:t>Bankability is ecosystem-bound, not firm-bound</w:t>
            </w:r>
          </w:p>
        </w:tc>
        <w:tc>
          <w:tcPr>
            <w:tcW w:w="2560" w:type="dxa"/>
            <w:tcBorders>
              <w:top w:val="nil"/>
              <w:left w:val="nil"/>
              <w:bottom w:val="single" w:sz="4" w:space="0" w:color="auto"/>
              <w:right w:val="single" w:sz="4" w:space="0" w:color="auto"/>
            </w:tcBorders>
            <w:vAlign w:val="center"/>
            <w:hideMark/>
          </w:tcPr>
          <w:p w14:paraId="4563B8E0" w14:textId="77777777" w:rsidR="00FB3CCF" w:rsidRPr="00FB3CCF" w:rsidRDefault="00FB3CCF" w:rsidP="00442932">
            <w:pPr>
              <w:rPr>
                <w:rFonts w:ascii="Arial" w:hAnsi="Arial" w:cs="Arial"/>
                <w:sz w:val="21"/>
                <w:szCs w:val="21"/>
              </w:rPr>
            </w:pPr>
            <w:r w:rsidRPr="00FB3CCF">
              <w:rPr>
                <w:rFonts w:ascii="Arial" w:hAnsi="Arial" w:cs="Arial"/>
                <w:sz w:val="21"/>
                <w:szCs w:val="21"/>
              </w:rPr>
              <w:t>Financing prospects depend on institutions, networks, learning, and support structures beyond the startup itself.</w:t>
            </w:r>
          </w:p>
        </w:tc>
        <w:tc>
          <w:tcPr>
            <w:tcW w:w="2520" w:type="dxa"/>
            <w:tcBorders>
              <w:top w:val="nil"/>
              <w:left w:val="nil"/>
              <w:bottom w:val="single" w:sz="4" w:space="0" w:color="auto"/>
              <w:right w:val="single" w:sz="4" w:space="0" w:color="auto"/>
            </w:tcBorders>
            <w:vAlign w:val="center"/>
            <w:hideMark/>
          </w:tcPr>
          <w:p w14:paraId="1DB839DA"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Hannon, van Diemen and Skea (2017); </w:t>
            </w:r>
            <w:proofErr w:type="spellStart"/>
            <w:r w:rsidRPr="00FB3CCF">
              <w:rPr>
                <w:rFonts w:ascii="Arial" w:hAnsi="Arial" w:cs="Arial"/>
                <w:sz w:val="21"/>
                <w:szCs w:val="21"/>
              </w:rPr>
              <w:t>Winskel</w:t>
            </w:r>
            <w:proofErr w:type="spellEnd"/>
            <w:r w:rsidRPr="00FB3CCF">
              <w:rPr>
                <w:rFonts w:ascii="Arial" w:hAnsi="Arial" w:cs="Arial"/>
                <w:sz w:val="21"/>
                <w:szCs w:val="21"/>
              </w:rPr>
              <w:t xml:space="preserve"> et al. (2006); </w:t>
            </w:r>
            <w:proofErr w:type="spellStart"/>
            <w:r w:rsidRPr="00FB3CCF">
              <w:rPr>
                <w:rFonts w:ascii="Arial" w:hAnsi="Arial" w:cs="Arial"/>
                <w:sz w:val="21"/>
                <w:szCs w:val="21"/>
              </w:rPr>
              <w:t>Corsatea</w:t>
            </w:r>
            <w:proofErr w:type="spellEnd"/>
            <w:r w:rsidRPr="00FB3CCF">
              <w:rPr>
                <w:rFonts w:ascii="Arial" w:hAnsi="Arial" w:cs="Arial"/>
                <w:sz w:val="21"/>
                <w:szCs w:val="21"/>
              </w:rPr>
              <w:t xml:space="preserve"> (2014)</w:t>
            </w:r>
          </w:p>
        </w:tc>
      </w:tr>
      <w:tr w:rsidR="00FB3CCF" w:rsidRPr="00FB3CCF" w14:paraId="6FDF7562" w14:textId="77777777" w:rsidTr="00442932">
        <w:trPr>
          <w:trHeight w:val="1700"/>
          <w:jc w:val="center"/>
        </w:trPr>
        <w:tc>
          <w:tcPr>
            <w:tcW w:w="2100" w:type="dxa"/>
            <w:tcBorders>
              <w:top w:val="nil"/>
              <w:left w:val="single" w:sz="4" w:space="0" w:color="auto"/>
              <w:bottom w:val="single" w:sz="4" w:space="0" w:color="auto"/>
              <w:right w:val="single" w:sz="4" w:space="0" w:color="auto"/>
            </w:tcBorders>
            <w:vAlign w:val="center"/>
            <w:hideMark/>
          </w:tcPr>
          <w:p w14:paraId="15C839BA"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lastRenderedPageBreak/>
              <w:t>Pattern 2</w:t>
            </w:r>
          </w:p>
        </w:tc>
        <w:tc>
          <w:tcPr>
            <w:tcW w:w="2100" w:type="dxa"/>
            <w:tcBorders>
              <w:top w:val="nil"/>
              <w:left w:val="nil"/>
              <w:bottom w:val="single" w:sz="4" w:space="0" w:color="auto"/>
              <w:right w:val="single" w:sz="4" w:space="0" w:color="auto"/>
            </w:tcBorders>
            <w:vAlign w:val="center"/>
            <w:hideMark/>
          </w:tcPr>
          <w:p w14:paraId="3D5B5A54" w14:textId="77777777" w:rsidR="00FB3CCF" w:rsidRPr="00FB3CCF" w:rsidRDefault="00FB3CCF" w:rsidP="00442932">
            <w:pPr>
              <w:rPr>
                <w:rFonts w:ascii="Arial" w:hAnsi="Arial" w:cs="Arial"/>
                <w:sz w:val="21"/>
                <w:szCs w:val="21"/>
              </w:rPr>
            </w:pPr>
            <w:r w:rsidRPr="00FB3CCF">
              <w:rPr>
                <w:rFonts w:ascii="Arial" w:hAnsi="Arial" w:cs="Arial"/>
                <w:sz w:val="21"/>
                <w:szCs w:val="21"/>
              </w:rPr>
              <w:t>Fragmentation weakens commercialization</w:t>
            </w:r>
          </w:p>
        </w:tc>
        <w:tc>
          <w:tcPr>
            <w:tcW w:w="2560" w:type="dxa"/>
            <w:tcBorders>
              <w:top w:val="nil"/>
              <w:left w:val="nil"/>
              <w:bottom w:val="single" w:sz="4" w:space="0" w:color="auto"/>
              <w:right w:val="single" w:sz="4" w:space="0" w:color="auto"/>
            </w:tcBorders>
            <w:vAlign w:val="center"/>
            <w:hideMark/>
          </w:tcPr>
          <w:p w14:paraId="74A52679" w14:textId="77777777" w:rsidR="00FB3CCF" w:rsidRPr="00FB3CCF" w:rsidRDefault="00FB3CCF" w:rsidP="00442932">
            <w:pPr>
              <w:rPr>
                <w:rFonts w:ascii="Arial" w:hAnsi="Arial" w:cs="Arial"/>
                <w:sz w:val="21"/>
                <w:szCs w:val="21"/>
              </w:rPr>
            </w:pPr>
            <w:r w:rsidRPr="00FB3CCF">
              <w:rPr>
                <w:rFonts w:ascii="Arial" w:hAnsi="Arial" w:cs="Arial"/>
                <w:sz w:val="21"/>
                <w:szCs w:val="21"/>
              </w:rPr>
              <w:t>Weak coordination, poor knowledge retention, and institutional misalignment slow sector progress.</w:t>
            </w:r>
          </w:p>
        </w:tc>
        <w:tc>
          <w:tcPr>
            <w:tcW w:w="2520" w:type="dxa"/>
            <w:tcBorders>
              <w:top w:val="nil"/>
              <w:left w:val="nil"/>
              <w:bottom w:val="single" w:sz="4" w:space="0" w:color="auto"/>
              <w:right w:val="single" w:sz="4" w:space="0" w:color="auto"/>
            </w:tcBorders>
            <w:vAlign w:val="center"/>
            <w:hideMark/>
          </w:tcPr>
          <w:p w14:paraId="7EC1E79D"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Hannon, van Diemen and Skea (2017); </w:t>
            </w:r>
            <w:proofErr w:type="spellStart"/>
            <w:r w:rsidRPr="00FB3CCF">
              <w:rPr>
                <w:rFonts w:ascii="Arial" w:hAnsi="Arial" w:cs="Arial"/>
                <w:sz w:val="21"/>
                <w:szCs w:val="21"/>
              </w:rPr>
              <w:t>Winskel</w:t>
            </w:r>
            <w:proofErr w:type="spellEnd"/>
            <w:r w:rsidRPr="00FB3CCF">
              <w:rPr>
                <w:rFonts w:ascii="Arial" w:hAnsi="Arial" w:cs="Arial"/>
                <w:sz w:val="21"/>
                <w:szCs w:val="21"/>
              </w:rPr>
              <w:t xml:space="preserve"> et al. (2014); Foxon et al. (2005)</w:t>
            </w:r>
          </w:p>
        </w:tc>
      </w:tr>
      <w:tr w:rsidR="00FB3CCF" w:rsidRPr="00FB3CCF" w14:paraId="1447A51F" w14:textId="77777777" w:rsidTr="00442932">
        <w:trPr>
          <w:trHeight w:val="1700"/>
          <w:jc w:val="center"/>
        </w:trPr>
        <w:tc>
          <w:tcPr>
            <w:tcW w:w="2100" w:type="dxa"/>
            <w:tcBorders>
              <w:top w:val="nil"/>
              <w:left w:val="single" w:sz="4" w:space="0" w:color="auto"/>
              <w:bottom w:val="single" w:sz="4" w:space="0" w:color="auto"/>
              <w:right w:val="single" w:sz="4" w:space="0" w:color="auto"/>
            </w:tcBorders>
            <w:vAlign w:val="center"/>
            <w:hideMark/>
          </w:tcPr>
          <w:p w14:paraId="6AA71A79"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3</w:t>
            </w:r>
          </w:p>
        </w:tc>
        <w:tc>
          <w:tcPr>
            <w:tcW w:w="2100" w:type="dxa"/>
            <w:tcBorders>
              <w:top w:val="nil"/>
              <w:left w:val="nil"/>
              <w:bottom w:val="single" w:sz="4" w:space="0" w:color="auto"/>
              <w:right w:val="single" w:sz="4" w:space="0" w:color="auto"/>
            </w:tcBorders>
            <w:vAlign w:val="center"/>
            <w:hideMark/>
          </w:tcPr>
          <w:p w14:paraId="27AF8720" w14:textId="77777777" w:rsidR="00FB3CCF" w:rsidRPr="00FB3CCF" w:rsidRDefault="00FB3CCF" w:rsidP="00442932">
            <w:pPr>
              <w:rPr>
                <w:rFonts w:ascii="Arial" w:hAnsi="Arial" w:cs="Arial"/>
                <w:sz w:val="21"/>
                <w:szCs w:val="21"/>
              </w:rPr>
            </w:pPr>
            <w:r w:rsidRPr="00FB3CCF">
              <w:rPr>
                <w:rFonts w:ascii="Arial" w:hAnsi="Arial" w:cs="Arial"/>
                <w:sz w:val="21"/>
                <w:szCs w:val="21"/>
              </w:rPr>
              <w:t>Social capital matters alongside financial capital</w:t>
            </w:r>
          </w:p>
        </w:tc>
        <w:tc>
          <w:tcPr>
            <w:tcW w:w="2560" w:type="dxa"/>
            <w:tcBorders>
              <w:top w:val="nil"/>
              <w:left w:val="nil"/>
              <w:bottom w:val="single" w:sz="4" w:space="0" w:color="auto"/>
              <w:right w:val="single" w:sz="4" w:space="0" w:color="auto"/>
            </w:tcBorders>
            <w:vAlign w:val="center"/>
            <w:hideMark/>
          </w:tcPr>
          <w:p w14:paraId="13DF9112" w14:textId="77777777" w:rsidR="00FB3CCF" w:rsidRPr="00FB3CCF" w:rsidRDefault="00FB3CCF" w:rsidP="00442932">
            <w:pPr>
              <w:rPr>
                <w:rFonts w:ascii="Arial" w:hAnsi="Arial" w:cs="Arial"/>
                <w:sz w:val="21"/>
                <w:szCs w:val="21"/>
              </w:rPr>
            </w:pPr>
            <w:r w:rsidRPr="00FB3CCF">
              <w:rPr>
                <w:rFonts w:ascii="Arial" w:hAnsi="Arial" w:cs="Arial"/>
                <w:sz w:val="21"/>
                <w:szCs w:val="21"/>
              </w:rPr>
              <w:t>Collaborative learning and network strength are important to sector development.</w:t>
            </w:r>
          </w:p>
        </w:tc>
        <w:tc>
          <w:tcPr>
            <w:tcW w:w="2520" w:type="dxa"/>
            <w:tcBorders>
              <w:top w:val="nil"/>
              <w:left w:val="nil"/>
              <w:bottom w:val="single" w:sz="4" w:space="0" w:color="auto"/>
              <w:right w:val="single" w:sz="4" w:space="0" w:color="auto"/>
            </w:tcBorders>
            <w:vAlign w:val="center"/>
            <w:hideMark/>
          </w:tcPr>
          <w:p w14:paraId="02CD2D18" w14:textId="77777777" w:rsidR="00FB3CCF" w:rsidRPr="00FB3CCF" w:rsidRDefault="00FB3CCF" w:rsidP="00442932">
            <w:pPr>
              <w:rPr>
                <w:rFonts w:ascii="Arial" w:hAnsi="Arial" w:cs="Arial"/>
                <w:sz w:val="21"/>
                <w:szCs w:val="21"/>
              </w:rPr>
            </w:pPr>
            <w:proofErr w:type="spellStart"/>
            <w:r w:rsidRPr="00FB3CCF">
              <w:rPr>
                <w:rFonts w:ascii="Arial" w:hAnsi="Arial" w:cs="Arial"/>
                <w:sz w:val="21"/>
                <w:szCs w:val="21"/>
              </w:rPr>
              <w:t>Winskel</w:t>
            </w:r>
            <w:proofErr w:type="spellEnd"/>
            <w:r w:rsidRPr="00FB3CCF">
              <w:rPr>
                <w:rFonts w:ascii="Arial" w:hAnsi="Arial" w:cs="Arial"/>
                <w:sz w:val="21"/>
                <w:szCs w:val="21"/>
              </w:rPr>
              <w:t xml:space="preserve"> (2007); </w:t>
            </w:r>
            <w:proofErr w:type="spellStart"/>
            <w:r w:rsidRPr="00FB3CCF">
              <w:rPr>
                <w:rFonts w:ascii="Arial" w:hAnsi="Arial" w:cs="Arial"/>
                <w:sz w:val="21"/>
                <w:szCs w:val="21"/>
              </w:rPr>
              <w:t>Winskel</w:t>
            </w:r>
            <w:proofErr w:type="spellEnd"/>
            <w:r w:rsidRPr="00FB3CCF">
              <w:rPr>
                <w:rFonts w:ascii="Arial" w:hAnsi="Arial" w:cs="Arial"/>
                <w:sz w:val="21"/>
                <w:szCs w:val="21"/>
              </w:rPr>
              <w:t xml:space="preserve"> et al. (2006)</w:t>
            </w:r>
          </w:p>
        </w:tc>
      </w:tr>
      <w:tr w:rsidR="00FB3CCF" w:rsidRPr="00FB3CCF" w14:paraId="671A87A2" w14:textId="77777777" w:rsidTr="00442932">
        <w:trPr>
          <w:trHeight w:val="1700"/>
          <w:jc w:val="center"/>
        </w:trPr>
        <w:tc>
          <w:tcPr>
            <w:tcW w:w="2100" w:type="dxa"/>
            <w:tcBorders>
              <w:top w:val="nil"/>
              <w:left w:val="single" w:sz="4" w:space="0" w:color="auto"/>
              <w:bottom w:val="single" w:sz="4" w:space="0" w:color="auto"/>
              <w:right w:val="single" w:sz="4" w:space="0" w:color="auto"/>
            </w:tcBorders>
            <w:vAlign w:val="center"/>
            <w:hideMark/>
          </w:tcPr>
          <w:p w14:paraId="1B9660F8"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4</w:t>
            </w:r>
          </w:p>
        </w:tc>
        <w:tc>
          <w:tcPr>
            <w:tcW w:w="2100" w:type="dxa"/>
            <w:tcBorders>
              <w:top w:val="nil"/>
              <w:left w:val="nil"/>
              <w:bottom w:val="single" w:sz="4" w:space="0" w:color="auto"/>
              <w:right w:val="single" w:sz="4" w:space="0" w:color="auto"/>
            </w:tcBorders>
            <w:vAlign w:val="center"/>
            <w:hideMark/>
          </w:tcPr>
          <w:p w14:paraId="7312D83E" w14:textId="77777777" w:rsidR="00FB3CCF" w:rsidRPr="00FB3CCF" w:rsidRDefault="00FB3CCF" w:rsidP="00442932">
            <w:pPr>
              <w:rPr>
                <w:rFonts w:ascii="Arial" w:hAnsi="Arial" w:cs="Arial"/>
                <w:sz w:val="21"/>
                <w:szCs w:val="21"/>
              </w:rPr>
            </w:pPr>
            <w:r w:rsidRPr="00FB3CCF">
              <w:rPr>
                <w:rFonts w:ascii="Arial" w:hAnsi="Arial" w:cs="Arial"/>
                <w:sz w:val="21"/>
                <w:szCs w:val="21"/>
              </w:rPr>
              <w:t>Market formation is a missing system function</w:t>
            </w:r>
          </w:p>
        </w:tc>
        <w:tc>
          <w:tcPr>
            <w:tcW w:w="2560" w:type="dxa"/>
            <w:tcBorders>
              <w:top w:val="nil"/>
              <w:left w:val="nil"/>
              <w:bottom w:val="single" w:sz="4" w:space="0" w:color="auto"/>
              <w:right w:val="single" w:sz="4" w:space="0" w:color="auto"/>
            </w:tcBorders>
            <w:vAlign w:val="center"/>
            <w:hideMark/>
          </w:tcPr>
          <w:p w14:paraId="34FEADAC" w14:textId="77777777" w:rsidR="00FB3CCF" w:rsidRPr="00FB3CCF" w:rsidRDefault="00FB3CCF" w:rsidP="00442932">
            <w:pPr>
              <w:rPr>
                <w:rFonts w:ascii="Arial" w:hAnsi="Arial" w:cs="Arial"/>
                <w:sz w:val="21"/>
                <w:szCs w:val="21"/>
              </w:rPr>
            </w:pPr>
            <w:r w:rsidRPr="00FB3CCF">
              <w:rPr>
                <w:rFonts w:ascii="Arial" w:hAnsi="Arial" w:cs="Arial"/>
                <w:sz w:val="21"/>
                <w:szCs w:val="21"/>
              </w:rPr>
              <w:t>Emerging sectors need deliberate shaping of markets, not only technology support.</w:t>
            </w:r>
          </w:p>
        </w:tc>
        <w:tc>
          <w:tcPr>
            <w:tcW w:w="2520" w:type="dxa"/>
            <w:tcBorders>
              <w:top w:val="nil"/>
              <w:left w:val="nil"/>
              <w:bottom w:val="single" w:sz="4" w:space="0" w:color="auto"/>
              <w:right w:val="single" w:sz="4" w:space="0" w:color="auto"/>
            </w:tcBorders>
            <w:vAlign w:val="center"/>
            <w:hideMark/>
          </w:tcPr>
          <w:p w14:paraId="29596F96" w14:textId="77777777" w:rsidR="00FB3CCF" w:rsidRPr="00FB3CCF" w:rsidRDefault="00FB3CCF" w:rsidP="00442932">
            <w:pPr>
              <w:rPr>
                <w:rFonts w:ascii="Arial" w:hAnsi="Arial" w:cs="Arial"/>
                <w:sz w:val="21"/>
                <w:szCs w:val="21"/>
              </w:rPr>
            </w:pPr>
            <w:r w:rsidRPr="00FB3CCF">
              <w:rPr>
                <w:rFonts w:ascii="Arial" w:hAnsi="Arial" w:cs="Arial"/>
                <w:sz w:val="21"/>
                <w:szCs w:val="21"/>
              </w:rPr>
              <w:t>Gallagher et al. (2012); Dewald and Truffer (2017); Negro (2007)</w:t>
            </w:r>
          </w:p>
        </w:tc>
      </w:tr>
      <w:tr w:rsidR="00FB3CCF" w:rsidRPr="00FB3CCF" w14:paraId="13B8BD46" w14:textId="77777777" w:rsidTr="00442932">
        <w:trPr>
          <w:trHeight w:val="1700"/>
          <w:jc w:val="center"/>
        </w:trPr>
        <w:tc>
          <w:tcPr>
            <w:tcW w:w="2100" w:type="dxa"/>
            <w:tcBorders>
              <w:top w:val="nil"/>
              <w:left w:val="single" w:sz="4" w:space="0" w:color="auto"/>
              <w:bottom w:val="single" w:sz="4" w:space="0" w:color="auto"/>
              <w:right w:val="single" w:sz="4" w:space="0" w:color="auto"/>
            </w:tcBorders>
            <w:vAlign w:val="center"/>
            <w:hideMark/>
          </w:tcPr>
          <w:p w14:paraId="7FD25041"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1</w:t>
            </w:r>
          </w:p>
        </w:tc>
        <w:tc>
          <w:tcPr>
            <w:tcW w:w="2100" w:type="dxa"/>
            <w:tcBorders>
              <w:top w:val="nil"/>
              <w:left w:val="nil"/>
              <w:bottom w:val="single" w:sz="4" w:space="0" w:color="auto"/>
              <w:right w:val="single" w:sz="4" w:space="0" w:color="auto"/>
            </w:tcBorders>
            <w:vAlign w:val="center"/>
            <w:hideMark/>
          </w:tcPr>
          <w:p w14:paraId="425DB7DD" w14:textId="77777777" w:rsidR="00FB3CCF" w:rsidRPr="00FB3CCF" w:rsidRDefault="00FB3CCF" w:rsidP="00442932">
            <w:pPr>
              <w:rPr>
                <w:rFonts w:ascii="Arial" w:hAnsi="Arial" w:cs="Arial"/>
                <w:sz w:val="21"/>
                <w:szCs w:val="21"/>
              </w:rPr>
            </w:pPr>
            <w:r w:rsidRPr="00FB3CCF">
              <w:rPr>
                <w:rFonts w:ascii="Arial" w:hAnsi="Arial" w:cs="Arial"/>
                <w:sz w:val="21"/>
                <w:szCs w:val="21"/>
              </w:rPr>
              <w:t>Strong resource potential vs weak commercialization</w:t>
            </w:r>
          </w:p>
        </w:tc>
        <w:tc>
          <w:tcPr>
            <w:tcW w:w="2560" w:type="dxa"/>
            <w:tcBorders>
              <w:top w:val="nil"/>
              <w:left w:val="nil"/>
              <w:bottom w:val="single" w:sz="4" w:space="0" w:color="auto"/>
              <w:right w:val="single" w:sz="4" w:space="0" w:color="auto"/>
            </w:tcBorders>
            <w:vAlign w:val="center"/>
            <w:hideMark/>
          </w:tcPr>
          <w:p w14:paraId="2063627E" w14:textId="77777777" w:rsidR="00FB3CCF" w:rsidRPr="00FB3CCF" w:rsidRDefault="00FB3CCF" w:rsidP="00442932">
            <w:pPr>
              <w:rPr>
                <w:rFonts w:ascii="Arial" w:hAnsi="Arial" w:cs="Arial"/>
                <w:sz w:val="21"/>
                <w:szCs w:val="21"/>
              </w:rPr>
            </w:pPr>
            <w:r w:rsidRPr="00FB3CCF">
              <w:rPr>
                <w:rFonts w:ascii="Arial" w:hAnsi="Arial" w:cs="Arial"/>
                <w:sz w:val="21"/>
                <w:szCs w:val="21"/>
              </w:rPr>
              <w:t>The UK retains major wave energy potential, yet commercial progress remains limited.</w:t>
            </w:r>
          </w:p>
        </w:tc>
        <w:tc>
          <w:tcPr>
            <w:tcW w:w="2520" w:type="dxa"/>
            <w:tcBorders>
              <w:top w:val="nil"/>
              <w:left w:val="nil"/>
              <w:bottom w:val="single" w:sz="4" w:space="0" w:color="auto"/>
              <w:right w:val="single" w:sz="4" w:space="0" w:color="auto"/>
            </w:tcBorders>
            <w:vAlign w:val="center"/>
            <w:hideMark/>
          </w:tcPr>
          <w:p w14:paraId="1FC64102" w14:textId="77777777" w:rsidR="00FB3CCF" w:rsidRPr="00FB3CCF" w:rsidRDefault="00FB3CCF" w:rsidP="00442932">
            <w:pPr>
              <w:rPr>
                <w:rFonts w:ascii="Arial" w:hAnsi="Arial" w:cs="Arial"/>
                <w:sz w:val="21"/>
                <w:szCs w:val="21"/>
              </w:rPr>
            </w:pPr>
            <w:r w:rsidRPr="00FB3CCF">
              <w:rPr>
                <w:rFonts w:ascii="Arial" w:hAnsi="Arial" w:cs="Arial"/>
                <w:sz w:val="21"/>
                <w:szCs w:val="21"/>
              </w:rPr>
              <w:t>Jin and Greaves (2021); Lawrence et al. (2013)</w:t>
            </w:r>
          </w:p>
        </w:tc>
      </w:tr>
      <w:tr w:rsidR="00FB3CCF" w:rsidRPr="00FB3CCF" w14:paraId="4B078A2D" w14:textId="77777777" w:rsidTr="00442932">
        <w:trPr>
          <w:trHeight w:val="1700"/>
          <w:jc w:val="center"/>
        </w:trPr>
        <w:tc>
          <w:tcPr>
            <w:tcW w:w="2100" w:type="dxa"/>
            <w:tcBorders>
              <w:top w:val="nil"/>
              <w:left w:val="single" w:sz="4" w:space="0" w:color="auto"/>
              <w:bottom w:val="single" w:sz="4" w:space="0" w:color="auto"/>
              <w:right w:val="single" w:sz="4" w:space="0" w:color="auto"/>
            </w:tcBorders>
            <w:vAlign w:val="center"/>
            <w:hideMark/>
          </w:tcPr>
          <w:p w14:paraId="3141EE36"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2</w:t>
            </w:r>
          </w:p>
        </w:tc>
        <w:tc>
          <w:tcPr>
            <w:tcW w:w="2100" w:type="dxa"/>
            <w:tcBorders>
              <w:top w:val="nil"/>
              <w:left w:val="nil"/>
              <w:bottom w:val="single" w:sz="4" w:space="0" w:color="auto"/>
              <w:right w:val="single" w:sz="4" w:space="0" w:color="auto"/>
            </w:tcBorders>
            <w:vAlign w:val="center"/>
            <w:hideMark/>
          </w:tcPr>
          <w:p w14:paraId="495C67E8" w14:textId="77777777" w:rsidR="00FB3CCF" w:rsidRPr="00FB3CCF" w:rsidRDefault="00FB3CCF" w:rsidP="00442932">
            <w:pPr>
              <w:rPr>
                <w:rFonts w:ascii="Arial" w:hAnsi="Arial" w:cs="Arial"/>
                <w:sz w:val="21"/>
                <w:szCs w:val="21"/>
              </w:rPr>
            </w:pPr>
            <w:r w:rsidRPr="00FB3CCF">
              <w:rPr>
                <w:rFonts w:ascii="Arial" w:hAnsi="Arial" w:cs="Arial"/>
                <w:sz w:val="21"/>
                <w:szCs w:val="21"/>
              </w:rPr>
              <w:t>Public support vs poor outcomes</w:t>
            </w:r>
          </w:p>
        </w:tc>
        <w:tc>
          <w:tcPr>
            <w:tcW w:w="2560" w:type="dxa"/>
            <w:tcBorders>
              <w:top w:val="nil"/>
              <w:left w:val="nil"/>
              <w:bottom w:val="single" w:sz="4" w:space="0" w:color="auto"/>
              <w:right w:val="single" w:sz="4" w:space="0" w:color="auto"/>
            </w:tcBorders>
            <w:vAlign w:val="center"/>
            <w:hideMark/>
          </w:tcPr>
          <w:p w14:paraId="790B0466" w14:textId="77777777" w:rsidR="00FB3CCF" w:rsidRPr="00FB3CCF" w:rsidRDefault="00FB3CCF" w:rsidP="00442932">
            <w:pPr>
              <w:rPr>
                <w:rFonts w:ascii="Arial" w:hAnsi="Arial" w:cs="Arial"/>
                <w:sz w:val="21"/>
                <w:szCs w:val="21"/>
              </w:rPr>
            </w:pPr>
            <w:r w:rsidRPr="00FB3CCF">
              <w:rPr>
                <w:rFonts w:ascii="Arial" w:hAnsi="Arial" w:cs="Arial"/>
                <w:sz w:val="21"/>
                <w:szCs w:val="21"/>
              </w:rPr>
              <w:t>Considerable support and infrastructure did not generate sustained sector success.</w:t>
            </w:r>
          </w:p>
        </w:tc>
        <w:tc>
          <w:tcPr>
            <w:tcW w:w="2520" w:type="dxa"/>
            <w:tcBorders>
              <w:top w:val="nil"/>
              <w:left w:val="nil"/>
              <w:bottom w:val="single" w:sz="4" w:space="0" w:color="auto"/>
              <w:right w:val="single" w:sz="4" w:space="0" w:color="auto"/>
            </w:tcBorders>
            <w:vAlign w:val="center"/>
            <w:hideMark/>
          </w:tcPr>
          <w:p w14:paraId="36B4A415" w14:textId="77777777" w:rsidR="00FB3CCF" w:rsidRPr="00FB3CCF" w:rsidRDefault="00FB3CCF" w:rsidP="00442932">
            <w:pPr>
              <w:rPr>
                <w:rFonts w:ascii="Arial" w:hAnsi="Arial" w:cs="Arial"/>
                <w:sz w:val="21"/>
                <w:szCs w:val="21"/>
              </w:rPr>
            </w:pPr>
            <w:r w:rsidRPr="00FB3CCF">
              <w:rPr>
                <w:rFonts w:ascii="Arial" w:hAnsi="Arial" w:cs="Arial"/>
                <w:sz w:val="21"/>
                <w:szCs w:val="21"/>
              </w:rPr>
              <w:t>Hannon, van Diemen and Skea (2017); Kingston (2017)</w:t>
            </w:r>
          </w:p>
        </w:tc>
      </w:tr>
      <w:tr w:rsidR="00FB3CCF" w:rsidRPr="00FB3CCF" w14:paraId="73F99C96" w14:textId="77777777" w:rsidTr="00442932">
        <w:trPr>
          <w:trHeight w:val="1700"/>
          <w:jc w:val="center"/>
        </w:trPr>
        <w:tc>
          <w:tcPr>
            <w:tcW w:w="2100" w:type="dxa"/>
            <w:tcBorders>
              <w:top w:val="nil"/>
              <w:left w:val="single" w:sz="4" w:space="0" w:color="auto"/>
              <w:bottom w:val="single" w:sz="4" w:space="0" w:color="auto"/>
              <w:right w:val="single" w:sz="4" w:space="0" w:color="auto"/>
            </w:tcBorders>
            <w:vAlign w:val="center"/>
            <w:hideMark/>
          </w:tcPr>
          <w:p w14:paraId="7B4CC44C"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3</w:t>
            </w:r>
          </w:p>
        </w:tc>
        <w:tc>
          <w:tcPr>
            <w:tcW w:w="2100" w:type="dxa"/>
            <w:tcBorders>
              <w:top w:val="nil"/>
              <w:left w:val="nil"/>
              <w:bottom w:val="single" w:sz="4" w:space="0" w:color="auto"/>
              <w:right w:val="single" w:sz="4" w:space="0" w:color="auto"/>
            </w:tcBorders>
            <w:vAlign w:val="center"/>
            <w:hideMark/>
          </w:tcPr>
          <w:p w14:paraId="4B13A3A6" w14:textId="77777777" w:rsidR="00FB3CCF" w:rsidRPr="00FB3CCF" w:rsidRDefault="00FB3CCF" w:rsidP="00442932">
            <w:pPr>
              <w:rPr>
                <w:rFonts w:ascii="Arial" w:hAnsi="Arial" w:cs="Arial"/>
                <w:sz w:val="21"/>
                <w:szCs w:val="21"/>
              </w:rPr>
            </w:pPr>
            <w:r w:rsidRPr="00FB3CCF">
              <w:rPr>
                <w:rFonts w:ascii="Arial" w:hAnsi="Arial" w:cs="Arial"/>
                <w:sz w:val="21"/>
                <w:szCs w:val="21"/>
              </w:rPr>
              <w:t>Expectations vs practical readiness</w:t>
            </w:r>
          </w:p>
        </w:tc>
        <w:tc>
          <w:tcPr>
            <w:tcW w:w="2560" w:type="dxa"/>
            <w:tcBorders>
              <w:top w:val="nil"/>
              <w:left w:val="nil"/>
              <w:bottom w:val="single" w:sz="4" w:space="0" w:color="auto"/>
              <w:right w:val="single" w:sz="4" w:space="0" w:color="auto"/>
            </w:tcBorders>
            <w:vAlign w:val="center"/>
            <w:hideMark/>
          </w:tcPr>
          <w:p w14:paraId="4B7A03E0" w14:textId="77777777" w:rsidR="00FB3CCF" w:rsidRPr="00FB3CCF" w:rsidRDefault="00FB3CCF" w:rsidP="00442932">
            <w:pPr>
              <w:rPr>
                <w:rFonts w:ascii="Arial" w:hAnsi="Arial" w:cs="Arial"/>
                <w:sz w:val="21"/>
                <w:szCs w:val="21"/>
              </w:rPr>
            </w:pPr>
            <w:r w:rsidRPr="00FB3CCF">
              <w:rPr>
                <w:rFonts w:ascii="Arial" w:hAnsi="Arial" w:cs="Arial"/>
                <w:sz w:val="21"/>
                <w:szCs w:val="21"/>
              </w:rPr>
              <w:t>High expectations and strategic narratives often moved faster than technical and commercial readiness.</w:t>
            </w:r>
          </w:p>
        </w:tc>
        <w:tc>
          <w:tcPr>
            <w:tcW w:w="2520" w:type="dxa"/>
            <w:tcBorders>
              <w:top w:val="nil"/>
              <w:left w:val="nil"/>
              <w:bottom w:val="single" w:sz="4" w:space="0" w:color="auto"/>
              <w:right w:val="single" w:sz="4" w:space="0" w:color="auto"/>
            </w:tcBorders>
            <w:vAlign w:val="center"/>
            <w:hideMark/>
          </w:tcPr>
          <w:p w14:paraId="22F389C9"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Iskandarova and </w:t>
            </w:r>
            <w:proofErr w:type="spellStart"/>
            <w:r w:rsidRPr="00FB3CCF">
              <w:rPr>
                <w:rFonts w:ascii="Arial" w:hAnsi="Arial" w:cs="Arial"/>
                <w:sz w:val="21"/>
                <w:szCs w:val="21"/>
              </w:rPr>
              <w:t>Simakova</w:t>
            </w:r>
            <w:proofErr w:type="spellEnd"/>
            <w:r w:rsidRPr="00FB3CCF">
              <w:rPr>
                <w:rFonts w:ascii="Arial" w:hAnsi="Arial" w:cs="Arial"/>
                <w:sz w:val="21"/>
                <w:szCs w:val="21"/>
              </w:rPr>
              <w:t xml:space="preserve"> (2012); Jin and Greaves (2021)</w:t>
            </w:r>
          </w:p>
        </w:tc>
      </w:tr>
      <w:tr w:rsidR="00FB3CCF" w:rsidRPr="00FB3CCF" w14:paraId="792A3F37" w14:textId="77777777" w:rsidTr="00442932">
        <w:trPr>
          <w:trHeight w:val="1700"/>
          <w:jc w:val="center"/>
        </w:trPr>
        <w:tc>
          <w:tcPr>
            <w:tcW w:w="2100" w:type="dxa"/>
            <w:tcBorders>
              <w:top w:val="nil"/>
              <w:left w:val="single" w:sz="4" w:space="0" w:color="auto"/>
              <w:bottom w:val="single" w:sz="4" w:space="0" w:color="auto"/>
              <w:right w:val="single" w:sz="4" w:space="0" w:color="auto"/>
            </w:tcBorders>
            <w:vAlign w:val="center"/>
            <w:hideMark/>
          </w:tcPr>
          <w:p w14:paraId="49F92C04"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4</w:t>
            </w:r>
          </w:p>
        </w:tc>
        <w:tc>
          <w:tcPr>
            <w:tcW w:w="2100" w:type="dxa"/>
            <w:tcBorders>
              <w:top w:val="nil"/>
              <w:left w:val="nil"/>
              <w:bottom w:val="single" w:sz="4" w:space="0" w:color="auto"/>
              <w:right w:val="single" w:sz="4" w:space="0" w:color="auto"/>
            </w:tcBorders>
            <w:vAlign w:val="center"/>
            <w:hideMark/>
          </w:tcPr>
          <w:p w14:paraId="771A6327" w14:textId="77777777" w:rsidR="00FB3CCF" w:rsidRPr="00FB3CCF" w:rsidRDefault="00FB3CCF" w:rsidP="00442932">
            <w:pPr>
              <w:rPr>
                <w:rFonts w:ascii="Arial" w:hAnsi="Arial" w:cs="Arial"/>
                <w:sz w:val="21"/>
                <w:szCs w:val="21"/>
              </w:rPr>
            </w:pPr>
            <w:r w:rsidRPr="00FB3CCF">
              <w:rPr>
                <w:rFonts w:ascii="Arial" w:hAnsi="Arial" w:cs="Arial"/>
                <w:sz w:val="21"/>
                <w:szCs w:val="21"/>
              </w:rPr>
              <w:t>Strong systems theory, weaker finance connection</w:t>
            </w:r>
          </w:p>
        </w:tc>
        <w:tc>
          <w:tcPr>
            <w:tcW w:w="2560" w:type="dxa"/>
            <w:tcBorders>
              <w:top w:val="nil"/>
              <w:left w:val="nil"/>
              <w:bottom w:val="single" w:sz="4" w:space="0" w:color="auto"/>
              <w:right w:val="single" w:sz="4" w:space="0" w:color="auto"/>
            </w:tcBorders>
            <w:vAlign w:val="center"/>
            <w:hideMark/>
          </w:tcPr>
          <w:p w14:paraId="4A5AB6DE" w14:textId="77777777" w:rsidR="00FB3CCF" w:rsidRPr="00FB3CCF" w:rsidRDefault="00FB3CCF" w:rsidP="00442932">
            <w:pPr>
              <w:rPr>
                <w:rFonts w:ascii="Arial" w:hAnsi="Arial" w:cs="Arial"/>
                <w:sz w:val="21"/>
                <w:szCs w:val="21"/>
              </w:rPr>
            </w:pPr>
            <w:r w:rsidRPr="00FB3CCF">
              <w:rPr>
                <w:rFonts w:ascii="Arial" w:hAnsi="Arial" w:cs="Arial"/>
                <w:sz w:val="21"/>
                <w:szCs w:val="21"/>
              </w:rPr>
              <w:t>Innovation systems studies explain coordination failures well but often link them only indirectly to actual financing decisions.</w:t>
            </w:r>
          </w:p>
        </w:tc>
        <w:tc>
          <w:tcPr>
            <w:tcW w:w="2520" w:type="dxa"/>
            <w:tcBorders>
              <w:top w:val="nil"/>
              <w:left w:val="nil"/>
              <w:bottom w:val="single" w:sz="4" w:space="0" w:color="auto"/>
              <w:right w:val="single" w:sz="4" w:space="0" w:color="auto"/>
            </w:tcBorders>
            <w:vAlign w:val="center"/>
            <w:hideMark/>
          </w:tcPr>
          <w:p w14:paraId="15264B7A"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Gallagher et al. (2012); </w:t>
            </w:r>
            <w:proofErr w:type="spellStart"/>
            <w:r w:rsidRPr="00FB3CCF">
              <w:rPr>
                <w:rFonts w:ascii="Arial" w:hAnsi="Arial" w:cs="Arial"/>
                <w:sz w:val="21"/>
                <w:szCs w:val="21"/>
              </w:rPr>
              <w:t>Suurs</w:t>
            </w:r>
            <w:proofErr w:type="spellEnd"/>
            <w:r w:rsidRPr="00FB3CCF">
              <w:rPr>
                <w:rFonts w:ascii="Arial" w:hAnsi="Arial" w:cs="Arial"/>
                <w:sz w:val="21"/>
                <w:szCs w:val="21"/>
              </w:rPr>
              <w:t xml:space="preserve"> and Hekkert (2009); </w:t>
            </w:r>
            <w:proofErr w:type="spellStart"/>
            <w:r w:rsidRPr="00FB3CCF">
              <w:rPr>
                <w:rFonts w:ascii="Arial" w:hAnsi="Arial" w:cs="Arial"/>
                <w:sz w:val="21"/>
                <w:szCs w:val="21"/>
              </w:rPr>
              <w:t>Corsatea</w:t>
            </w:r>
            <w:proofErr w:type="spellEnd"/>
            <w:r w:rsidRPr="00FB3CCF">
              <w:rPr>
                <w:rFonts w:ascii="Arial" w:hAnsi="Arial" w:cs="Arial"/>
                <w:sz w:val="21"/>
                <w:szCs w:val="21"/>
              </w:rPr>
              <w:t xml:space="preserve"> (2014)</w:t>
            </w:r>
          </w:p>
        </w:tc>
      </w:tr>
      <w:tr w:rsidR="00FB3CCF" w:rsidRPr="00FB3CCF" w14:paraId="69D3BAAB" w14:textId="77777777" w:rsidTr="00442932">
        <w:trPr>
          <w:trHeight w:val="320"/>
          <w:jc w:val="center"/>
        </w:trPr>
        <w:tc>
          <w:tcPr>
            <w:tcW w:w="9280" w:type="dxa"/>
            <w:gridSpan w:val="4"/>
            <w:tcBorders>
              <w:top w:val="nil"/>
              <w:left w:val="nil"/>
              <w:bottom w:val="nil"/>
              <w:right w:val="nil"/>
            </w:tcBorders>
            <w:vAlign w:val="center"/>
            <w:hideMark/>
          </w:tcPr>
          <w:p w14:paraId="64C80E26" w14:textId="77777777" w:rsidR="00FB3CCF" w:rsidRPr="00FB3CCF" w:rsidRDefault="00FB3CCF" w:rsidP="00442932">
            <w:pPr>
              <w:rPr>
                <w:rFonts w:ascii="Arial" w:hAnsi="Arial" w:cs="Arial"/>
                <w:sz w:val="15"/>
                <w:szCs w:val="15"/>
              </w:rPr>
            </w:pPr>
            <w:r w:rsidRPr="00FB3CCF">
              <w:rPr>
                <w:rFonts w:ascii="Arial" w:hAnsi="Arial" w:cs="Arial"/>
                <w:sz w:val="15"/>
                <w:szCs w:val="15"/>
              </w:rPr>
              <w:t>Source: Author’s synthesis based on the reviewed literature.</w:t>
            </w:r>
          </w:p>
        </w:tc>
      </w:tr>
    </w:tbl>
    <w:p w14:paraId="7AAD1D6A" w14:textId="77777777" w:rsidR="00FB3CCF" w:rsidRPr="00FB3CCF" w:rsidRDefault="00FB3CCF" w:rsidP="00FB3CCF">
      <w:pPr>
        <w:spacing w:line="360" w:lineRule="auto"/>
        <w:jc w:val="both"/>
        <w:rPr>
          <w:rFonts w:ascii="Arial" w:hAnsi="Arial" w:cs="Arial"/>
          <w:b/>
          <w:bCs/>
        </w:rPr>
      </w:pPr>
    </w:p>
    <w:p w14:paraId="5E4E6FE8" w14:textId="77777777" w:rsidR="00FB3CCF" w:rsidRPr="00FB3CCF" w:rsidRDefault="00FB3CCF" w:rsidP="00FB3CCF">
      <w:pPr>
        <w:spacing w:line="360" w:lineRule="auto"/>
        <w:jc w:val="both"/>
        <w:rPr>
          <w:rFonts w:ascii="Arial" w:hAnsi="Arial" w:cs="Arial"/>
          <w:b/>
          <w:bCs/>
        </w:rPr>
      </w:pPr>
    </w:p>
    <w:p w14:paraId="0227EFA0" w14:textId="77777777" w:rsidR="00FB3CCF" w:rsidRPr="00FB3CCF" w:rsidRDefault="00FB3CCF" w:rsidP="00FB3CCF">
      <w:pPr>
        <w:spacing w:line="360" w:lineRule="auto"/>
        <w:jc w:val="both"/>
        <w:rPr>
          <w:rFonts w:ascii="Arial" w:hAnsi="Arial" w:cs="Arial"/>
          <w:b/>
          <w:bCs/>
        </w:rPr>
      </w:pPr>
    </w:p>
    <w:p w14:paraId="51208685" w14:textId="77777777" w:rsidR="00FB3CCF" w:rsidRPr="00FB3CCF" w:rsidRDefault="00FB3CCF" w:rsidP="00FB3CCF">
      <w:pPr>
        <w:spacing w:line="360" w:lineRule="auto"/>
        <w:jc w:val="both"/>
        <w:rPr>
          <w:rFonts w:ascii="Arial" w:hAnsi="Arial" w:cs="Arial"/>
          <w:b/>
          <w:bCs/>
        </w:rPr>
      </w:pPr>
    </w:p>
    <w:p w14:paraId="67D57B67" w14:textId="77777777" w:rsidR="00FB3CCF" w:rsidRPr="00FB3CCF" w:rsidRDefault="00FB3CCF" w:rsidP="00FB3CCF">
      <w:pPr>
        <w:spacing w:line="360" w:lineRule="auto"/>
        <w:jc w:val="both"/>
        <w:rPr>
          <w:rFonts w:ascii="Arial" w:hAnsi="Arial" w:cs="Arial"/>
          <w:b/>
          <w:bCs/>
        </w:rPr>
      </w:pPr>
    </w:p>
    <w:p w14:paraId="03EBFC28" w14:textId="77777777" w:rsidR="00FB3CCF" w:rsidRPr="00FB3CCF" w:rsidRDefault="00FB3CCF" w:rsidP="00FB3CCF">
      <w:pPr>
        <w:spacing w:line="360" w:lineRule="auto"/>
        <w:jc w:val="both"/>
        <w:rPr>
          <w:rFonts w:ascii="Arial" w:hAnsi="Arial" w:cs="Arial"/>
          <w:b/>
          <w:bCs/>
        </w:rPr>
      </w:pPr>
    </w:p>
    <w:p w14:paraId="0F3546ED" w14:textId="77777777" w:rsidR="00FB3CCF" w:rsidRPr="00FB3CCF" w:rsidRDefault="00FB3CCF" w:rsidP="00FB3CCF">
      <w:pPr>
        <w:spacing w:line="360" w:lineRule="auto"/>
        <w:jc w:val="both"/>
        <w:rPr>
          <w:rFonts w:ascii="Arial" w:hAnsi="Arial" w:cs="Arial"/>
          <w:b/>
          <w:bCs/>
        </w:rPr>
      </w:pPr>
    </w:p>
    <w:p w14:paraId="09EEB503" w14:textId="77777777" w:rsidR="00FB3CCF" w:rsidRPr="00FB3CCF" w:rsidRDefault="00FB3CCF" w:rsidP="00FB3CCF">
      <w:pPr>
        <w:spacing w:line="360" w:lineRule="auto"/>
        <w:jc w:val="both"/>
        <w:rPr>
          <w:rFonts w:ascii="Arial" w:hAnsi="Arial" w:cs="Arial"/>
          <w:b/>
          <w:bCs/>
        </w:rPr>
      </w:pPr>
    </w:p>
    <w:p w14:paraId="25A2EF6F" w14:textId="77777777" w:rsidR="00FB3CCF" w:rsidRPr="00FB3CCF" w:rsidRDefault="00FB3CCF" w:rsidP="00FB3CCF">
      <w:pPr>
        <w:spacing w:line="360" w:lineRule="auto"/>
        <w:jc w:val="both"/>
        <w:rPr>
          <w:rFonts w:ascii="Arial" w:hAnsi="Arial" w:cs="Arial"/>
          <w:b/>
          <w:bCs/>
        </w:rPr>
      </w:pPr>
    </w:p>
    <w:p w14:paraId="76C849C4" w14:textId="77777777" w:rsidR="00FB3CCF" w:rsidRPr="00FB3CCF" w:rsidRDefault="00FB3CCF" w:rsidP="00FB3CCF">
      <w:pPr>
        <w:spacing w:line="360" w:lineRule="auto"/>
        <w:jc w:val="both"/>
        <w:rPr>
          <w:rFonts w:ascii="Arial" w:hAnsi="Arial" w:cs="Arial"/>
          <w:b/>
          <w:bCs/>
        </w:rPr>
      </w:pPr>
    </w:p>
    <w:p w14:paraId="7CC2D93D" w14:textId="77777777" w:rsidR="00FB3CCF" w:rsidRPr="00FB3CCF" w:rsidRDefault="00FB3CCF" w:rsidP="00FB3CCF">
      <w:pPr>
        <w:spacing w:line="360" w:lineRule="auto"/>
        <w:jc w:val="both"/>
        <w:rPr>
          <w:rFonts w:ascii="Arial" w:hAnsi="Arial" w:cs="Arial"/>
          <w:b/>
          <w:bCs/>
        </w:rPr>
      </w:pPr>
    </w:p>
    <w:p w14:paraId="5A14EEB9" w14:textId="77777777" w:rsidR="00FB3CCF" w:rsidRPr="00FB3CCF" w:rsidRDefault="00FB3CCF" w:rsidP="00FB3CCF">
      <w:pPr>
        <w:spacing w:line="360" w:lineRule="auto"/>
        <w:jc w:val="both"/>
        <w:rPr>
          <w:rFonts w:ascii="Arial" w:hAnsi="Arial" w:cs="Arial"/>
          <w:b/>
          <w:bCs/>
        </w:rPr>
      </w:pPr>
    </w:p>
    <w:p w14:paraId="701708E5" w14:textId="77777777" w:rsidR="00FB3CCF" w:rsidRPr="00FB3CCF" w:rsidRDefault="00FB3CCF" w:rsidP="00FB3CCF">
      <w:pPr>
        <w:spacing w:line="360" w:lineRule="auto"/>
        <w:jc w:val="both"/>
        <w:rPr>
          <w:rFonts w:ascii="Arial" w:hAnsi="Arial" w:cs="Arial"/>
          <w:b/>
          <w:bCs/>
        </w:rPr>
      </w:pPr>
    </w:p>
    <w:p w14:paraId="3EBD234A" w14:textId="77777777" w:rsidR="00FB3CCF" w:rsidRPr="00FB3CCF" w:rsidRDefault="00FB3CCF" w:rsidP="00FB3CCF">
      <w:pPr>
        <w:spacing w:line="360" w:lineRule="auto"/>
        <w:jc w:val="both"/>
        <w:rPr>
          <w:rFonts w:ascii="Arial" w:hAnsi="Arial" w:cs="Arial"/>
          <w:b/>
          <w:bCs/>
        </w:rPr>
      </w:pPr>
    </w:p>
    <w:p w14:paraId="78FFAF83" w14:textId="77777777" w:rsidR="00FB3CCF" w:rsidRPr="00FB3CCF" w:rsidRDefault="00FB3CCF" w:rsidP="00FB3CCF">
      <w:pPr>
        <w:spacing w:line="360" w:lineRule="auto"/>
        <w:jc w:val="both"/>
        <w:rPr>
          <w:rFonts w:ascii="Arial" w:hAnsi="Arial" w:cs="Arial"/>
          <w:b/>
          <w:bCs/>
        </w:rPr>
      </w:pPr>
    </w:p>
    <w:p w14:paraId="03FD286F" w14:textId="77777777" w:rsidR="00FB3CCF" w:rsidRPr="00FB3CCF" w:rsidRDefault="00FB3CCF" w:rsidP="00FB3CCF">
      <w:pPr>
        <w:spacing w:line="360" w:lineRule="auto"/>
        <w:jc w:val="both"/>
        <w:rPr>
          <w:rFonts w:ascii="Arial" w:hAnsi="Arial" w:cs="Arial"/>
          <w:b/>
          <w:bCs/>
        </w:rPr>
      </w:pPr>
    </w:p>
    <w:p w14:paraId="2204D6C2" w14:textId="77777777" w:rsidR="00FB3CCF" w:rsidRPr="00FB3CCF" w:rsidRDefault="00FB3CCF" w:rsidP="00FB3CCF">
      <w:pPr>
        <w:spacing w:line="360" w:lineRule="auto"/>
        <w:jc w:val="both"/>
        <w:rPr>
          <w:rFonts w:ascii="Arial" w:hAnsi="Arial" w:cs="Arial"/>
          <w:b/>
          <w:bCs/>
        </w:rPr>
      </w:pPr>
    </w:p>
    <w:p w14:paraId="2EAF9F4D" w14:textId="77777777" w:rsidR="00FB3CCF" w:rsidRPr="00FB3CCF" w:rsidRDefault="00FB3CCF" w:rsidP="00FB3CCF">
      <w:pPr>
        <w:spacing w:line="360" w:lineRule="auto"/>
        <w:jc w:val="both"/>
        <w:rPr>
          <w:rFonts w:ascii="Arial" w:hAnsi="Arial" w:cs="Arial"/>
          <w:b/>
          <w:bCs/>
        </w:rPr>
      </w:pPr>
    </w:p>
    <w:p w14:paraId="227F2A1C" w14:textId="77777777" w:rsidR="00FB3CCF" w:rsidRPr="00FB3CCF" w:rsidRDefault="00FB3CCF" w:rsidP="00FB3CCF">
      <w:pPr>
        <w:spacing w:line="360" w:lineRule="auto"/>
        <w:jc w:val="both"/>
        <w:rPr>
          <w:rFonts w:ascii="Arial" w:hAnsi="Arial" w:cs="Arial"/>
          <w:b/>
          <w:bCs/>
        </w:rPr>
      </w:pPr>
    </w:p>
    <w:p w14:paraId="037F458C" w14:textId="77777777" w:rsidR="00FB3CCF" w:rsidRPr="00FB3CCF" w:rsidRDefault="00FB3CCF" w:rsidP="00FB3CCF">
      <w:pPr>
        <w:spacing w:line="360" w:lineRule="auto"/>
        <w:jc w:val="both"/>
        <w:rPr>
          <w:rFonts w:ascii="Arial" w:hAnsi="Arial" w:cs="Arial"/>
          <w:b/>
          <w:bCs/>
        </w:rPr>
      </w:pPr>
    </w:p>
    <w:p w14:paraId="449BC960" w14:textId="77777777" w:rsidR="00FB3CCF" w:rsidRPr="00FB3CCF" w:rsidRDefault="00FB3CCF" w:rsidP="00FB3CCF">
      <w:pPr>
        <w:spacing w:line="360" w:lineRule="auto"/>
        <w:jc w:val="both"/>
        <w:rPr>
          <w:rFonts w:ascii="Arial" w:hAnsi="Arial" w:cs="Arial"/>
          <w:b/>
          <w:bCs/>
        </w:rPr>
      </w:pPr>
    </w:p>
    <w:p w14:paraId="27894696" w14:textId="77777777" w:rsidR="00FB3CCF" w:rsidRPr="00FB3CCF" w:rsidRDefault="00FB3CCF" w:rsidP="00FB3CCF">
      <w:pPr>
        <w:spacing w:line="360" w:lineRule="auto"/>
        <w:jc w:val="both"/>
        <w:rPr>
          <w:rFonts w:ascii="Arial" w:hAnsi="Arial" w:cs="Arial"/>
          <w:b/>
          <w:bCs/>
        </w:rPr>
      </w:pPr>
    </w:p>
    <w:p w14:paraId="5865B2BF" w14:textId="77777777" w:rsidR="00FB3CCF" w:rsidRPr="00FB3CCF" w:rsidRDefault="00FB3CCF" w:rsidP="00FB3CCF">
      <w:pPr>
        <w:spacing w:line="360" w:lineRule="auto"/>
        <w:jc w:val="both"/>
        <w:rPr>
          <w:rFonts w:ascii="Arial" w:hAnsi="Arial" w:cs="Arial"/>
          <w:b/>
          <w:bCs/>
        </w:rPr>
      </w:pPr>
    </w:p>
    <w:p w14:paraId="50872373" w14:textId="77777777" w:rsidR="00FB3CCF" w:rsidRPr="00FB3CCF" w:rsidRDefault="00FB3CCF" w:rsidP="00FB3CCF">
      <w:pPr>
        <w:spacing w:line="360" w:lineRule="auto"/>
        <w:jc w:val="both"/>
        <w:rPr>
          <w:rFonts w:ascii="Arial" w:hAnsi="Arial" w:cs="Arial"/>
          <w:b/>
          <w:bCs/>
        </w:rPr>
      </w:pPr>
    </w:p>
    <w:p w14:paraId="6B67D95A" w14:textId="77777777" w:rsidR="00FB3CCF" w:rsidRPr="00FB3CCF" w:rsidRDefault="00FB3CCF" w:rsidP="00FB3CCF">
      <w:pPr>
        <w:spacing w:line="360" w:lineRule="auto"/>
        <w:jc w:val="both"/>
        <w:rPr>
          <w:rFonts w:ascii="Arial" w:hAnsi="Arial" w:cs="Arial"/>
          <w:b/>
          <w:bCs/>
        </w:rPr>
      </w:pPr>
    </w:p>
    <w:p w14:paraId="0A0A4517"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Appendix J</w:t>
      </w:r>
    </w:p>
    <w:p w14:paraId="47092C57"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J1. Theme 4 Patterns and Contradictions: Techno-economic readiness and commercialisation pathways</w:t>
      </w:r>
    </w:p>
    <w:tbl>
      <w:tblPr>
        <w:tblW w:w="10240" w:type="dxa"/>
        <w:jc w:val="center"/>
        <w:tblLook w:val="04A0" w:firstRow="1" w:lastRow="0" w:firstColumn="1" w:lastColumn="0" w:noHBand="0" w:noVBand="1"/>
      </w:tblPr>
      <w:tblGrid>
        <w:gridCol w:w="2560"/>
        <w:gridCol w:w="2560"/>
        <w:gridCol w:w="2560"/>
        <w:gridCol w:w="2560"/>
      </w:tblGrid>
      <w:tr w:rsidR="00FB3CCF" w:rsidRPr="00FB3CCF" w14:paraId="27018D4C" w14:textId="77777777" w:rsidTr="00442932">
        <w:trPr>
          <w:trHeight w:val="1820"/>
          <w:jc w:val="center"/>
        </w:trPr>
        <w:tc>
          <w:tcPr>
            <w:tcW w:w="2560" w:type="dxa"/>
            <w:tcBorders>
              <w:top w:val="single" w:sz="4" w:space="0" w:color="auto"/>
              <w:left w:val="single" w:sz="4" w:space="0" w:color="auto"/>
              <w:bottom w:val="single" w:sz="4" w:space="0" w:color="auto"/>
              <w:right w:val="single" w:sz="4" w:space="0" w:color="auto"/>
            </w:tcBorders>
            <w:vAlign w:val="center"/>
            <w:hideMark/>
          </w:tcPr>
          <w:p w14:paraId="45F6ED28"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lastRenderedPageBreak/>
              <w:t>Area</w:t>
            </w:r>
          </w:p>
        </w:tc>
        <w:tc>
          <w:tcPr>
            <w:tcW w:w="2560" w:type="dxa"/>
            <w:tcBorders>
              <w:top w:val="single" w:sz="4" w:space="0" w:color="auto"/>
              <w:left w:val="nil"/>
              <w:bottom w:val="single" w:sz="4" w:space="0" w:color="auto"/>
              <w:right w:val="single" w:sz="4" w:space="0" w:color="auto"/>
            </w:tcBorders>
            <w:vAlign w:val="center"/>
            <w:hideMark/>
          </w:tcPr>
          <w:p w14:paraId="2CF4F26C"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 contradiction</w:t>
            </w:r>
          </w:p>
        </w:tc>
        <w:tc>
          <w:tcPr>
            <w:tcW w:w="2560" w:type="dxa"/>
            <w:tcBorders>
              <w:top w:val="single" w:sz="4" w:space="0" w:color="auto"/>
              <w:left w:val="nil"/>
              <w:bottom w:val="single" w:sz="4" w:space="0" w:color="auto"/>
              <w:right w:val="single" w:sz="4" w:space="0" w:color="auto"/>
            </w:tcBorders>
            <w:vAlign w:val="center"/>
            <w:hideMark/>
          </w:tcPr>
          <w:p w14:paraId="4C04D95F"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Explanation</w:t>
            </w:r>
          </w:p>
        </w:tc>
        <w:tc>
          <w:tcPr>
            <w:tcW w:w="2560" w:type="dxa"/>
            <w:tcBorders>
              <w:top w:val="single" w:sz="4" w:space="0" w:color="auto"/>
              <w:left w:val="nil"/>
              <w:bottom w:val="single" w:sz="4" w:space="0" w:color="auto"/>
              <w:right w:val="single" w:sz="4" w:space="0" w:color="auto"/>
            </w:tcBorders>
            <w:vAlign w:val="center"/>
            <w:hideMark/>
          </w:tcPr>
          <w:p w14:paraId="7113FDEE"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Key supporting studies</w:t>
            </w:r>
          </w:p>
        </w:tc>
      </w:tr>
      <w:tr w:rsidR="00FB3CCF" w:rsidRPr="00FB3CCF" w14:paraId="21936F86" w14:textId="77777777" w:rsidTr="00442932">
        <w:trPr>
          <w:trHeight w:val="1820"/>
          <w:jc w:val="center"/>
        </w:trPr>
        <w:tc>
          <w:tcPr>
            <w:tcW w:w="2560" w:type="dxa"/>
            <w:tcBorders>
              <w:top w:val="nil"/>
              <w:left w:val="single" w:sz="4" w:space="0" w:color="auto"/>
              <w:bottom w:val="single" w:sz="4" w:space="0" w:color="auto"/>
              <w:right w:val="single" w:sz="4" w:space="0" w:color="auto"/>
            </w:tcBorders>
            <w:vAlign w:val="center"/>
            <w:hideMark/>
          </w:tcPr>
          <w:p w14:paraId="01965D6D"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1</w:t>
            </w:r>
          </w:p>
        </w:tc>
        <w:tc>
          <w:tcPr>
            <w:tcW w:w="2560" w:type="dxa"/>
            <w:tcBorders>
              <w:top w:val="nil"/>
              <w:left w:val="nil"/>
              <w:bottom w:val="single" w:sz="4" w:space="0" w:color="auto"/>
              <w:right w:val="single" w:sz="4" w:space="0" w:color="auto"/>
            </w:tcBorders>
            <w:vAlign w:val="center"/>
            <w:hideMark/>
          </w:tcPr>
          <w:p w14:paraId="008AD6A6" w14:textId="77777777" w:rsidR="00FB3CCF" w:rsidRPr="00FB3CCF" w:rsidRDefault="00FB3CCF" w:rsidP="00442932">
            <w:pPr>
              <w:rPr>
                <w:rFonts w:ascii="Arial" w:hAnsi="Arial" w:cs="Arial"/>
                <w:sz w:val="21"/>
                <w:szCs w:val="21"/>
              </w:rPr>
            </w:pPr>
            <w:r w:rsidRPr="00FB3CCF">
              <w:rPr>
                <w:rFonts w:ascii="Arial" w:hAnsi="Arial" w:cs="Arial"/>
                <w:sz w:val="21"/>
                <w:szCs w:val="21"/>
              </w:rPr>
              <w:t>Deployment and iteration are essential to maturity</w:t>
            </w:r>
          </w:p>
        </w:tc>
        <w:tc>
          <w:tcPr>
            <w:tcW w:w="2560" w:type="dxa"/>
            <w:tcBorders>
              <w:top w:val="nil"/>
              <w:left w:val="nil"/>
              <w:bottom w:val="single" w:sz="4" w:space="0" w:color="auto"/>
              <w:right w:val="single" w:sz="4" w:space="0" w:color="auto"/>
            </w:tcBorders>
            <w:vAlign w:val="center"/>
            <w:hideMark/>
          </w:tcPr>
          <w:p w14:paraId="69594CAF" w14:textId="77777777" w:rsidR="00FB3CCF" w:rsidRPr="00FB3CCF" w:rsidRDefault="00FB3CCF" w:rsidP="00442932">
            <w:pPr>
              <w:rPr>
                <w:rFonts w:ascii="Arial" w:hAnsi="Arial" w:cs="Arial"/>
                <w:sz w:val="21"/>
                <w:szCs w:val="21"/>
              </w:rPr>
            </w:pPr>
            <w:r w:rsidRPr="00FB3CCF">
              <w:rPr>
                <w:rFonts w:ascii="Arial" w:hAnsi="Arial" w:cs="Arial"/>
                <w:sz w:val="21"/>
                <w:szCs w:val="21"/>
              </w:rPr>
              <w:t>Repeated deployment generates learning, cost reduction, and stronger technical evidence.</w:t>
            </w:r>
          </w:p>
        </w:tc>
        <w:tc>
          <w:tcPr>
            <w:tcW w:w="2560" w:type="dxa"/>
            <w:tcBorders>
              <w:top w:val="nil"/>
              <w:left w:val="nil"/>
              <w:bottom w:val="single" w:sz="4" w:space="0" w:color="auto"/>
              <w:right w:val="single" w:sz="4" w:space="0" w:color="auto"/>
            </w:tcBorders>
            <w:vAlign w:val="center"/>
            <w:hideMark/>
          </w:tcPr>
          <w:p w14:paraId="21DFCBA0" w14:textId="77777777" w:rsidR="00FB3CCF" w:rsidRPr="00FB3CCF" w:rsidRDefault="00FB3CCF" w:rsidP="00442932">
            <w:pPr>
              <w:rPr>
                <w:rFonts w:ascii="Arial" w:hAnsi="Arial" w:cs="Arial"/>
                <w:sz w:val="21"/>
                <w:szCs w:val="21"/>
              </w:rPr>
            </w:pPr>
            <w:r w:rsidRPr="00FB3CCF">
              <w:rPr>
                <w:rFonts w:ascii="Arial" w:hAnsi="Arial" w:cs="Arial"/>
                <w:sz w:val="21"/>
                <w:szCs w:val="21"/>
              </w:rPr>
              <w:t>MacGillivray, Jeffrey and Wallace (2015); MacGillivray et al. (2014)</w:t>
            </w:r>
          </w:p>
        </w:tc>
      </w:tr>
      <w:tr w:rsidR="00FB3CCF" w:rsidRPr="00FB3CCF" w14:paraId="28D8C8EE" w14:textId="77777777" w:rsidTr="00442932">
        <w:trPr>
          <w:trHeight w:val="1820"/>
          <w:jc w:val="center"/>
        </w:trPr>
        <w:tc>
          <w:tcPr>
            <w:tcW w:w="2560" w:type="dxa"/>
            <w:tcBorders>
              <w:top w:val="nil"/>
              <w:left w:val="single" w:sz="4" w:space="0" w:color="auto"/>
              <w:bottom w:val="single" w:sz="4" w:space="0" w:color="auto"/>
              <w:right w:val="single" w:sz="4" w:space="0" w:color="auto"/>
            </w:tcBorders>
            <w:vAlign w:val="center"/>
            <w:hideMark/>
          </w:tcPr>
          <w:p w14:paraId="302A3C93"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2</w:t>
            </w:r>
          </w:p>
        </w:tc>
        <w:tc>
          <w:tcPr>
            <w:tcW w:w="2560" w:type="dxa"/>
            <w:tcBorders>
              <w:top w:val="nil"/>
              <w:left w:val="nil"/>
              <w:bottom w:val="single" w:sz="4" w:space="0" w:color="auto"/>
              <w:right w:val="single" w:sz="4" w:space="0" w:color="auto"/>
            </w:tcBorders>
            <w:vAlign w:val="center"/>
            <w:hideMark/>
          </w:tcPr>
          <w:p w14:paraId="5F62A586" w14:textId="77777777" w:rsidR="00FB3CCF" w:rsidRPr="00FB3CCF" w:rsidRDefault="00FB3CCF" w:rsidP="00442932">
            <w:pPr>
              <w:rPr>
                <w:rFonts w:ascii="Arial" w:hAnsi="Arial" w:cs="Arial"/>
                <w:sz w:val="21"/>
                <w:szCs w:val="21"/>
              </w:rPr>
            </w:pPr>
            <w:r w:rsidRPr="00FB3CCF">
              <w:rPr>
                <w:rFonts w:ascii="Arial" w:hAnsi="Arial" w:cs="Arial"/>
                <w:sz w:val="21"/>
                <w:szCs w:val="21"/>
              </w:rPr>
              <w:t>Techno-economic evidence remains weak and uneven</w:t>
            </w:r>
          </w:p>
        </w:tc>
        <w:tc>
          <w:tcPr>
            <w:tcW w:w="2560" w:type="dxa"/>
            <w:tcBorders>
              <w:top w:val="nil"/>
              <w:left w:val="nil"/>
              <w:bottom w:val="single" w:sz="4" w:space="0" w:color="auto"/>
              <w:right w:val="single" w:sz="4" w:space="0" w:color="auto"/>
            </w:tcBorders>
            <w:vAlign w:val="center"/>
            <w:hideMark/>
          </w:tcPr>
          <w:p w14:paraId="6674E284" w14:textId="77777777" w:rsidR="00FB3CCF" w:rsidRPr="00FB3CCF" w:rsidRDefault="00FB3CCF" w:rsidP="00442932">
            <w:pPr>
              <w:rPr>
                <w:rFonts w:ascii="Arial" w:hAnsi="Arial" w:cs="Arial"/>
                <w:sz w:val="21"/>
                <w:szCs w:val="21"/>
              </w:rPr>
            </w:pPr>
            <w:r w:rsidRPr="00FB3CCF">
              <w:rPr>
                <w:rFonts w:ascii="Arial" w:hAnsi="Arial" w:cs="Arial"/>
                <w:sz w:val="21"/>
                <w:szCs w:val="21"/>
              </w:rPr>
              <w:t>Costs, performance, and reliability remain uncertain, making commercialization hard to justify.</w:t>
            </w:r>
          </w:p>
        </w:tc>
        <w:tc>
          <w:tcPr>
            <w:tcW w:w="2560" w:type="dxa"/>
            <w:tcBorders>
              <w:top w:val="nil"/>
              <w:left w:val="nil"/>
              <w:bottom w:val="single" w:sz="4" w:space="0" w:color="auto"/>
              <w:right w:val="single" w:sz="4" w:space="0" w:color="auto"/>
            </w:tcBorders>
            <w:vAlign w:val="center"/>
            <w:hideMark/>
          </w:tcPr>
          <w:p w14:paraId="2D22BDD1"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Guo and Ringwood (2021); </w:t>
            </w:r>
            <w:proofErr w:type="spellStart"/>
            <w:r w:rsidRPr="00FB3CCF">
              <w:rPr>
                <w:rFonts w:ascii="Arial" w:hAnsi="Arial" w:cs="Arial"/>
                <w:sz w:val="21"/>
                <w:szCs w:val="21"/>
              </w:rPr>
              <w:t>Astariz</w:t>
            </w:r>
            <w:proofErr w:type="spellEnd"/>
            <w:r w:rsidRPr="00FB3CCF">
              <w:rPr>
                <w:rFonts w:ascii="Arial" w:hAnsi="Arial" w:cs="Arial"/>
                <w:sz w:val="21"/>
                <w:szCs w:val="21"/>
              </w:rPr>
              <w:t xml:space="preserve"> and Iglesias (2015); Ruiz-Minguela et al. (2022)</w:t>
            </w:r>
          </w:p>
        </w:tc>
      </w:tr>
      <w:tr w:rsidR="00FB3CCF" w:rsidRPr="00FB3CCF" w14:paraId="1C73933E" w14:textId="77777777" w:rsidTr="00442932">
        <w:trPr>
          <w:trHeight w:val="1820"/>
          <w:jc w:val="center"/>
        </w:trPr>
        <w:tc>
          <w:tcPr>
            <w:tcW w:w="2560" w:type="dxa"/>
            <w:tcBorders>
              <w:top w:val="nil"/>
              <w:left w:val="single" w:sz="4" w:space="0" w:color="auto"/>
              <w:bottom w:val="single" w:sz="4" w:space="0" w:color="auto"/>
              <w:right w:val="single" w:sz="4" w:space="0" w:color="auto"/>
            </w:tcBorders>
            <w:vAlign w:val="center"/>
            <w:hideMark/>
          </w:tcPr>
          <w:p w14:paraId="1FA10950"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3</w:t>
            </w:r>
          </w:p>
        </w:tc>
        <w:tc>
          <w:tcPr>
            <w:tcW w:w="2560" w:type="dxa"/>
            <w:tcBorders>
              <w:top w:val="nil"/>
              <w:left w:val="nil"/>
              <w:bottom w:val="single" w:sz="4" w:space="0" w:color="auto"/>
              <w:right w:val="single" w:sz="4" w:space="0" w:color="auto"/>
            </w:tcBorders>
            <w:vAlign w:val="center"/>
            <w:hideMark/>
          </w:tcPr>
          <w:p w14:paraId="7FEEF409" w14:textId="77777777" w:rsidR="00FB3CCF" w:rsidRPr="00FB3CCF" w:rsidRDefault="00FB3CCF" w:rsidP="00442932">
            <w:pPr>
              <w:rPr>
                <w:rFonts w:ascii="Arial" w:hAnsi="Arial" w:cs="Arial"/>
                <w:sz w:val="21"/>
                <w:szCs w:val="21"/>
              </w:rPr>
            </w:pPr>
            <w:r w:rsidRPr="00FB3CCF">
              <w:rPr>
                <w:rFonts w:ascii="Arial" w:hAnsi="Arial" w:cs="Arial"/>
                <w:sz w:val="21"/>
                <w:szCs w:val="21"/>
              </w:rPr>
              <w:t>TRL alone is not enough</w:t>
            </w:r>
          </w:p>
        </w:tc>
        <w:tc>
          <w:tcPr>
            <w:tcW w:w="2560" w:type="dxa"/>
            <w:tcBorders>
              <w:top w:val="nil"/>
              <w:left w:val="nil"/>
              <w:bottom w:val="single" w:sz="4" w:space="0" w:color="auto"/>
              <w:right w:val="single" w:sz="4" w:space="0" w:color="auto"/>
            </w:tcBorders>
            <w:vAlign w:val="center"/>
            <w:hideMark/>
          </w:tcPr>
          <w:p w14:paraId="0D150365" w14:textId="77777777" w:rsidR="00FB3CCF" w:rsidRPr="00FB3CCF" w:rsidRDefault="00FB3CCF" w:rsidP="00442932">
            <w:pPr>
              <w:rPr>
                <w:rFonts w:ascii="Arial" w:hAnsi="Arial" w:cs="Arial"/>
                <w:sz w:val="21"/>
                <w:szCs w:val="21"/>
              </w:rPr>
            </w:pPr>
            <w:r w:rsidRPr="00FB3CCF">
              <w:rPr>
                <w:rFonts w:ascii="Arial" w:hAnsi="Arial" w:cs="Arial"/>
                <w:sz w:val="21"/>
                <w:szCs w:val="21"/>
              </w:rPr>
              <w:t>Readiness must be matched with performance and economic evidence to be meaningful for commercialization.</w:t>
            </w:r>
          </w:p>
        </w:tc>
        <w:tc>
          <w:tcPr>
            <w:tcW w:w="2560" w:type="dxa"/>
            <w:tcBorders>
              <w:top w:val="nil"/>
              <w:left w:val="nil"/>
              <w:bottom w:val="single" w:sz="4" w:space="0" w:color="auto"/>
              <w:right w:val="single" w:sz="4" w:space="0" w:color="auto"/>
            </w:tcBorders>
            <w:vAlign w:val="center"/>
            <w:hideMark/>
          </w:tcPr>
          <w:p w14:paraId="7A2FF269"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Weber (2012); Weber, Costello and Ringwood (2013); </w:t>
            </w:r>
            <w:proofErr w:type="spellStart"/>
            <w:r w:rsidRPr="00FB3CCF">
              <w:rPr>
                <w:rFonts w:ascii="Arial" w:hAnsi="Arial" w:cs="Arial"/>
                <w:sz w:val="21"/>
                <w:szCs w:val="21"/>
              </w:rPr>
              <w:t>Têtu</w:t>
            </w:r>
            <w:proofErr w:type="spellEnd"/>
            <w:r w:rsidRPr="00FB3CCF">
              <w:rPr>
                <w:rFonts w:ascii="Arial" w:hAnsi="Arial" w:cs="Arial"/>
                <w:sz w:val="21"/>
                <w:szCs w:val="21"/>
              </w:rPr>
              <w:t xml:space="preserve"> and Fernández </w:t>
            </w:r>
            <w:proofErr w:type="spellStart"/>
            <w:r w:rsidRPr="00FB3CCF">
              <w:rPr>
                <w:rFonts w:ascii="Arial" w:hAnsi="Arial" w:cs="Arial"/>
                <w:sz w:val="21"/>
                <w:szCs w:val="21"/>
              </w:rPr>
              <w:t>Chozas</w:t>
            </w:r>
            <w:proofErr w:type="spellEnd"/>
            <w:r w:rsidRPr="00FB3CCF">
              <w:rPr>
                <w:rFonts w:ascii="Arial" w:hAnsi="Arial" w:cs="Arial"/>
                <w:sz w:val="21"/>
                <w:szCs w:val="21"/>
              </w:rPr>
              <w:t xml:space="preserve"> (2021)</w:t>
            </w:r>
          </w:p>
        </w:tc>
      </w:tr>
      <w:tr w:rsidR="00FB3CCF" w:rsidRPr="00FB3CCF" w14:paraId="2E37AC42" w14:textId="77777777" w:rsidTr="00442932">
        <w:trPr>
          <w:trHeight w:val="1820"/>
          <w:jc w:val="center"/>
        </w:trPr>
        <w:tc>
          <w:tcPr>
            <w:tcW w:w="2560" w:type="dxa"/>
            <w:tcBorders>
              <w:top w:val="nil"/>
              <w:left w:val="single" w:sz="4" w:space="0" w:color="auto"/>
              <w:bottom w:val="single" w:sz="4" w:space="0" w:color="auto"/>
              <w:right w:val="single" w:sz="4" w:space="0" w:color="auto"/>
            </w:tcBorders>
            <w:vAlign w:val="center"/>
            <w:hideMark/>
          </w:tcPr>
          <w:p w14:paraId="18E476FC"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4</w:t>
            </w:r>
          </w:p>
        </w:tc>
        <w:tc>
          <w:tcPr>
            <w:tcW w:w="2560" w:type="dxa"/>
            <w:tcBorders>
              <w:top w:val="nil"/>
              <w:left w:val="nil"/>
              <w:bottom w:val="single" w:sz="4" w:space="0" w:color="auto"/>
              <w:right w:val="single" w:sz="4" w:space="0" w:color="auto"/>
            </w:tcBorders>
            <w:vAlign w:val="center"/>
            <w:hideMark/>
          </w:tcPr>
          <w:p w14:paraId="0FB563A3" w14:textId="77777777" w:rsidR="00FB3CCF" w:rsidRPr="00FB3CCF" w:rsidRDefault="00FB3CCF" w:rsidP="00442932">
            <w:pPr>
              <w:rPr>
                <w:rFonts w:ascii="Arial" w:hAnsi="Arial" w:cs="Arial"/>
                <w:sz w:val="21"/>
                <w:szCs w:val="21"/>
              </w:rPr>
            </w:pPr>
            <w:r w:rsidRPr="00FB3CCF">
              <w:rPr>
                <w:rFonts w:ascii="Arial" w:hAnsi="Arial" w:cs="Arial"/>
                <w:sz w:val="21"/>
                <w:szCs w:val="21"/>
              </w:rPr>
              <w:t>Reliability, O&amp;M, and site conditions matter materially</w:t>
            </w:r>
          </w:p>
        </w:tc>
        <w:tc>
          <w:tcPr>
            <w:tcW w:w="2560" w:type="dxa"/>
            <w:tcBorders>
              <w:top w:val="nil"/>
              <w:left w:val="nil"/>
              <w:bottom w:val="single" w:sz="4" w:space="0" w:color="auto"/>
              <w:right w:val="single" w:sz="4" w:space="0" w:color="auto"/>
            </w:tcBorders>
            <w:vAlign w:val="center"/>
            <w:hideMark/>
          </w:tcPr>
          <w:p w14:paraId="3CBC1FA2" w14:textId="77777777" w:rsidR="00FB3CCF" w:rsidRPr="00FB3CCF" w:rsidRDefault="00FB3CCF" w:rsidP="00442932">
            <w:pPr>
              <w:rPr>
                <w:rFonts w:ascii="Arial" w:hAnsi="Arial" w:cs="Arial"/>
                <w:sz w:val="21"/>
                <w:szCs w:val="21"/>
              </w:rPr>
            </w:pPr>
            <w:r w:rsidRPr="00FB3CCF">
              <w:rPr>
                <w:rFonts w:ascii="Arial" w:hAnsi="Arial" w:cs="Arial"/>
                <w:sz w:val="21"/>
                <w:szCs w:val="21"/>
              </w:rPr>
              <w:t>Commercial viability is highly sensitive to maintenance conditions, site characteristics, and operational performance.</w:t>
            </w:r>
          </w:p>
        </w:tc>
        <w:tc>
          <w:tcPr>
            <w:tcW w:w="2560" w:type="dxa"/>
            <w:tcBorders>
              <w:top w:val="nil"/>
              <w:left w:val="nil"/>
              <w:bottom w:val="single" w:sz="4" w:space="0" w:color="auto"/>
              <w:right w:val="single" w:sz="4" w:space="0" w:color="auto"/>
            </w:tcBorders>
            <w:vAlign w:val="center"/>
            <w:hideMark/>
          </w:tcPr>
          <w:p w14:paraId="18166544" w14:textId="77777777" w:rsidR="00FB3CCF" w:rsidRPr="00FB3CCF" w:rsidRDefault="00FB3CCF" w:rsidP="00442932">
            <w:pPr>
              <w:rPr>
                <w:rFonts w:ascii="Arial" w:hAnsi="Arial" w:cs="Arial"/>
                <w:sz w:val="21"/>
                <w:szCs w:val="21"/>
              </w:rPr>
            </w:pPr>
            <w:r w:rsidRPr="00FB3CCF">
              <w:rPr>
                <w:rFonts w:ascii="Arial" w:hAnsi="Arial" w:cs="Arial"/>
                <w:sz w:val="21"/>
                <w:szCs w:val="21"/>
              </w:rPr>
              <w:t>Gray et al. (2017); O’Connor, Lewis and Dalton (2013b); Bertram et al. (2020)</w:t>
            </w:r>
          </w:p>
        </w:tc>
      </w:tr>
      <w:tr w:rsidR="00FB3CCF" w:rsidRPr="00FB3CCF" w14:paraId="26AB57C7" w14:textId="77777777" w:rsidTr="00442932">
        <w:trPr>
          <w:trHeight w:val="1820"/>
          <w:jc w:val="center"/>
        </w:trPr>
        <w:tc>
          <w:tcPr>
            <w:tcW w:w="2560" w:type="dxa"/>
            <w:tcBorders>
              <w:top w:val="nil"/>
              <w:left w:val="single" w:sz="4" w:space="0" w:color="auto"/>
              <w:bottom w:val="single" w:sz="4" w:space="0" w:color="auto"/>
              <w:right w:val="single" w:sz="4" w:space="0" w:color="auto"/>
            </w:tcBorders>
            <w:vAlign w:val="center"/>
            <w:hideMark/>
          </w:tcPr>
          <w:p w14:paraId="28D82F8D"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5</w:t>
            </w:r>
          </w:p>
        </w:tc>
        <w:tc>
          <w:tcPr>
            <w:tcW w:w="2560" w:type="dxa"/>
            <w:tcBorders>
              <w:top w:val="nil"/>
              <w:left w:val="nil"/>
              <w:bottom w:val="single" w:sz="4" w:space="0" w:color="auto"/>
              <w:right w:val="single" w:sz="4" w:space="0" w:color="auto"/>
            </w:tcBorders>
            <w:vAlign w:val="center"/>
            <w:hideMark/>
          </w:tcPr>
          <w:p w14:paraId="08A50A52" w14:textId="77777777" w:rsidR="00FB3CCF" w:rsidRPr="00FB3CCF" w:rsidRDefault="00FB3CCF" w:rsidP="00442932">
            <w:pPr>
              <w:rPr>
                <w:rFonts w:ascii="Arial" w:hAnsi="Arial" w:cs="Arial"/>
                <w:sz w:val="21"/>
                <w:szCs w:val="21"/>
              </w:rPr>
            </w:pPr>
            <w:r w:rsidRPr="00FB3CCF">
              <w:rPr>
                <w:rFonts w:ascii="Arial" w:hAnsi="Arial" w:cs="Arial"/>
                <w:sz w:val="21"/>
                <w:szCs w:val="21"/>
              </w:rPr>
              <w:t>Alternative pathways may matter</w:t>
            </w:r>
          </w:p>
        </w:tc>
        <w:tc>
          <w:tcPr>
            <w:tcW w:w="2560" w:type="dxa"/>
            <w:tcBorders>
              <w:top w:val="nil"/>
              <w:left w:val="nil"/>
              <w:bottom w:val="single" w:sz="4" w:space="0" w:color="auto"/>
              <w:right w:val="single" w:sz="4" w:space="0" w:color="auto"/>
            </w:tcBorders>
            <w:vAlign w:val="center"/>
            <w:hideMark/>
          </w:tcPr>
          <w:p w14:paraId="3E8993F3" w14:textId="77777777" w:rsidR="00FB3CCF" w:rsidRPr="00FB3CCF" w:rsidRDefault="00FB3CCF" w:rsidP="00442932">
            <w:pPr>
              <w:rPr>
                <w:rFonts w:ascii="Arial" w:hAnsi="Arial" w:cs="Arial"/>
                <w:sz w:val="21"/>
                <w:szCs w:val="21"/>
              </w:rPr>
            </w:pPr>
            <w:r w:rsidRPr="00FB3CCF">
              <w:rPr>
                <w:rFonts w:ascii="Arial" w:hAnsi="Arial" w:cs="Arial"/>
                <w:sz w:val="21"/>
                <w:szCs w:val="21"/>
              </w:rPr>
              <w:t>Niche applications and flexible commercialization routes may offer more realistic near-term progress than immediate utility-scale competition.</w:t>
            </w:r>
          </w:p>
        </w:tc>
        <w:tc>
          <w:tcPr>
            <w:tcW w:w="2560" w:type="dxa"/>
            <w:tcBorders>
              <w:top w:val="nil"/>
              <w:left w:val="nil"/>
              <w:bottom w:val="single" w:sz="4" w:space="0" w:color="auto"/>
              <w:right w:val="single" w:sz="4" w:space="0" w:color="auto"/>
            </w:tcBorders>
            <w:vAlign w:val="center"/>
            <w:hideMark/>
          </w:tcPr>
          <w:p w14:paraId="3EFDB8E7" w14:textId="77777777" w:rsidR="00FB3CCF" w:rsidRPr="00FB3CCF" w:rsidRDefault="00FB3CCF" w:rsidP="00442932">
            <w:pPr>
              <w:rPr>
                <w:rFonts w:ascii="Arial" w:hAnsi="Arial" w:cs="Arial"/>
                <w:sz w:val="21"/>
                <w:szCs w:val="21"/>
              </w:rPr>
            </w:pPr>
            <w:r w:rsidRPr="00FB3CCF">
              <w:rPr>
                <w:rFonts w:ascii="Arial" w:hAnsi="Arial" w:cs="Arial"/>
                <w:sz w:val="21"/>
                <w:szCs w:val="21"/>
              </w:rPr>
              <w:t>Renzi et al. (2021); Magagna et al. (2014)</w:t>
            </w:r>
          </w:p>
        </w:tc>
      </w:tr>
      <w:tr w:rsidR="00FB3CCF" w:rsidRPr="00FB3CCF" w14:paraId="33213A99" w14:textId="77777777" w:rsidTr="00442932">
        <w:trPr>
          <w:trHeight w:val="1820"/>
          <w:jc w:val="center"/>
        </w:trPr>
        <w:tc>
          <w:tcPr>
            <w:tcW w:w="2560" w:type="dxa"/>
            <w:tcBorders>
              <w:top w:val="nil"/>
              <w:left w:val="single" w:sz="4" w:space="0" w:color="auto"/>
              <w:bottom w:val="single" w:sz="4" w:space="0" w:color="auto"/>
              <w:right w:val="single" w:sz="4" w:space="0" w:color="auto"/>
            </w:tcBorders>
            <w:vAlign w:val="center"/>
            <w:hideMark/>
          </w:tcPr>
          <w:p w14:paraId="16532950"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1</w:t>
            </w:r>
          </w:p>
        </w:tc>
        <w:tc>
          <w:tcPr>
            <w:tcW w:w="2560" w:type="dxa"/>
            <w:tcBorders>
              <w:top w:val="nil"/>
              <w:left w:val="nil"/>
              <w:bottom w:val="single" w:sz="4" w:space="0" w:color="auto"/>
              <w:right w:val="single" w:sz="4" w:space="0" w:color="auto"/>
            </w:tcBorders>
            <w:vAlign w:val="center"/>
            <w:hideMark/>
          </w:tcPr>
          <w:p w14:paraId="0F64A880" w14:textId="77777777" w:rsidR="00FB3CCF" w:rsidRPr="00FB3CCF" w:rsidRDefault="00FB3CCF" w:rsidP="00442932">
            <w:pPr>
              <w:rPr>
                <w:rFonts w:ascii="Arial" w:hAnsi="Arial" w:cs="Arial"/>
                <w:sz w:val="21"/>
                <w:szCs w:val="21"/>
              </w:rPr>
            </w:pPr>
            <w:r w:rsidRPr="00FB3CCF">
              <w:rPr>
                <w:rFonts w:ascii="Arial" w:hAnsi="Arial" w:cs="Arial"/>
                <w:sz w:val="21"/>
                <w:szCs w:val="21"/>
              </w:rPr>
              <w:t>Learning needs finance, but finance needs learning evidence</w:t>
            </w:r>
          </w:p>
        </w:tc>
        <w:tc>
          <w:tcPr>
            <w:tcW w:w="2560" w:type="dxa"/>
            <w:tcBorders>
              <w:top w:val="nil"/>
              <w:left w:val="nil"/>
              <w:bottom w:val="single" w:sz="4" w:space="0" w:color="auto"/>
              <w:right w:val="single" w:sz="4" w:space="0" w:color="auto"/>
            </w:tcBorders>
            <w:vAlign w:val="center"/>
            <w:hideMark/>
          </w:tcPr>
          <w:p w14:paraId="23A0E016" w14:textId="77777777" w:rsidR="00FB3CCF" w:rsidRPr="00FB3CCF" w:rsidRDefault="00FB3CCF" w:rsidP="00442932">
            <w:pPr>
              <w:rPr>
                <w:rFonts w:ascii="Arial" w:hAnsi="Arial" w:cs="Arial"/>
                <w:sz w:val="21"/>
                <w:szCs w:val="21"/>
              </w:rPr>
            </w:pPr>
            <w:r w:rsidRPr="00FB3CCF">
              <w:rPr>
                <w:rFonts w:ascii="Arial" w:hAnsi="Arial" w:cs="Arial"/>
                <w:sz w:val="21"/>
                <w:szCs w:val="21"/>
              </w:rPr>
              <w:t>Technologies require deployment funding to improve, yet funders often want stronger evidence before investing.</w:t>
            </w:r>
          </w:p>
        </w:tc>
        <w:tc>
          <w:tcPr>
            <w:tcW w:w="2560" w:type="dxa"/>
            <w:tcBorders>
              <w:top w:val="nil"/>
              <w:left w:val="nil"/>
              <w:bottom w:val="single" w:sz="4" w:space="0" w:color="auto"/>
              <w:right w:val="single" w:sz="4" w:space="0" w:color="auto"/>
            </w:tcBorders>
            <w:vAlign w:val="center"/>
            <w:hideMark/>
          </w:tcPr>
          <w:p w14:paraId="6DC17E90" w14:textId="77777777" w:rsidR="00FB3CCF" w:rsidRPr="00FB3CCF" w:rsidRDefault="00FB3CCF" w:rsidP="00442932">
            <w:pPr>
              <w:rPr>
                <w:rFonts w:ascii="Arial" w:hAnsi="Arial" w:cs="Arial"/>
                <w:sz w:val="21"/>
                <w:szCs w:val="21"/>
              </w:rPr>
            </w:pPr>
            <w:r w:rsidRPr="00FB3CCF">
              <w:rPr>
                <w:rFonts w:ascii="Arial" w:hAnsi="Arial" w:cs="Arial"/>
                <w:sz w:val="21"/>
                <w:szCs w:val="21"/>
              </w:rPr>
              <w:t>MacGillivray et al. (2014); MacGillivray, Jeffrey and Wallace (2015); Guo and Ringwood (2021)</w:t>
            </w:r>
          </w:p>
        </w:tc>
      </w:tr>
      <w:tr w:rsidR="00FB3CCF" w:rsidRPr="00FB3CCF" w14:paraId="47E3326F" w14:textId="77777777" w:rsidTr="00442932">
        <w:trPr>
          <w:trHeight w:val="1820"/>
          <w:jc w:val="center"/>
        </w:trPr>
        <w:tc>
          <w:tcPr>
            <w:tcW w:w="2560" w:type="dxa"/>
            <w:tcBorders>
              <w:top w:val="nil"/>
              <w:left w:val="single" w:sz="4" w:space="0" w:color="auto"/>
              <w:bottom w:val="single" w:sz="4" w:space="0" w:color="auto"/>
              <w:right w:val="single" w:sz="4" w:space="0" w:color="auto"/>
            </w:tcBorders>
            <w:vAlign w:val="center"/>
            <w:hideMark/>
          </w:tcPr>
          <w:p w14:paraId="1CD1C2CC"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lastRenderedPageBreak/>
              <w:t>Contradiction 2</w:t>
            </w:r>
          </w:p>
        </w:tc>
        <w:tc>
          <w:tcPr>
            <w:tcW w:w="2560" w:type="dxa"/>
            <w:tcBorders>
              <w:top w:val="nil"/>
              <w:left w:val="nil"/>
              <w:bottom w:val="single" w:sz="4" w:space="0" w:color="auto"/>
              <w:right w:val="single" w:sz="4" w:space="0" w:color="auto"/>
            </w:tcBorders>
            <w:vAlign w:val="center"/>
            <w:hideMark/>
          </w:tcPr>
          <w:p w14:paraId="362ABCF7" w14:textId="77777777" w:rsidR="00FB3CCF" w:rsidRPr="00FB3CCF" w:rsidRDefault="00FB3CCF" w:rsidP="00442932">
            <w:pPr>
              <w:rPr>
                <w:rFonts w:ascii="Arial" w:hAnsi="Arial" w:cs="Arial"/>
                <w:sz w:val="21"/>
                <w:szCs w:val="21"/>
              </w:rPr>
            </w:pPr>
            <w:r w:rsidRPr="00FB3CCF">
              <w:rPr>
                <w:rFonts w:ascii="Arial" w:hAnsi="Arial" w:cs="Arial"/>
                <w:sz w:val="21"/>
                <w:szCs w:val="21"/>
              </w:rPr>
              <w:t>Technical promise vs commercial immaturity</w:t>
            </w:r>
          </w:p>
        </w:tc>
        <w:tc>
          <w:tcPr>
            <w:tcW w:w="2560" w:type="dxa"/>
            <w:tcBorders>
              <w:top w:val="nil"/>
              <w:left w:val="nil"/>
              <w:bottom w:val="single" w:sz="4" w:space="0" w:color="auto"/>
              <w:right w:val="single" w:sz="4" w:space="0" w:color="auto"/>
            </w:tcBorders>
            <w:vAlign w:val="center"/>
            <w:hideMark/>
          </w:tcPr>
          <w:p w14:paraId="20A013B1" w14:textId="77777777" w:rsidR="00FB3CCF" w:rsidRPr="00FB3CCF" w:rsidRDefault="00FB3CCF" w:rsidP="00442932">
            <w:pPr>
              <w:rPr>
                <w:rFonts w:ascii="Arial" w:hAnsi="Arial" w:cs="Arial"/>
                <w:sz w:val="21"/>
                <w:szCs w:val="21"/>
              </w:rPr>
            </w:pPr>
            <w:r w:rsidRPr="00FB3CCF">
              <w:rPr>
                <w:rFonts w:ascii="Arial" w:hAnsi="Arial" w:cs="Arial"/>
                <w:sz w:val="21"/>
                <w:szCs w:val="21"/>
              </w:rPr>
              <w:t>Strong resource and engineering potential persists, but commercial readiness remains weak.</w:t>
            </w:r>
          </w:p>
        </w:tc>
        <w:tc>
          <w:tcPr>
            <w:tcW w:w="2560" w:type="dxa"/>
            <w:tcBorders>
              <w:top w:val="nil"/>
              <w:left w:val="nil"/>
              <w:bottom w:val="single" w:sz="4" w:space="0" w:color="auto"/>
              <w:right w:val="single" w:sz="4" w:space="0" w:color="auto"/>
            </w:tcBorders>
            <w:vAlign w:val="center"/>
            <w:hideMark/>
          </w:tcPr>
          <w:p w14:paraId="38203D7A" w14:textId="77777777" w:rsidR="00FB3CCF" w:rsidRPr="00FB3CCF" w:rsidRDefault="00FB3CCF" w:rsidP="00442932">
            <w:pPr>
              <w:rPr>
                <w:rFonts w:ascii="Arial" w:hAnsi="Arial" w:cs="Arial"/>
                <w:sz w:val="21"/>
                <w:szCs w:val="21"/>
              </w:rPr>
            </w:pPr>
            <w:r w:rsidRPr="00FB3CCF">
              <w:rPr>
                <w:rFonts w:ascii="Arial" w:hAnsi="Arial" w:cs="Arial"/>
                <w:sz w:val="21"/>
                <w:szCs w:val="21"/>
              </w:rPr>
              <w:t>Guo and Ringwood (2021); Uihlein and Magagna (2016); Magagna and Uihlein (2015)</w:t>
            </w:r>
          </w:p>
        </w:tc>
      </w:tr>
      <w:tr w:rsidR="00FB3CCF" w:rsidRPr="00FB3CCF" w14:paraId="6F4CD0B9" w14:textId="77777777" w:rsidTr="00442932">
        <w:trPr>
          <w:trHeight w:val="1820"/>
          <w:jc w:val="center"/>
        </w:trPr>
        <w:tc>
          <w:tcPr>
            <w:tcW w:w="2560" w:type="dxa"/>
            <w:tcBorders>
              <w:top w:val="nil"/>
              <w:left w:val="single" w:sz="4" w:space="0" w:color="auto"/>
              <w:bottom w:val="single" w:sz="4" w:space="0" w:color="auto"/>
              <w:right w:val="single" w:sz="4" w:space="0" w:color="auto"/>
            </w:tcBorders>
            <w:vAlign w:val="center"/>
            <w:hideMark/>
          </w:tcPr>
          <w:p w14:paraId="7212A03E"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3</w:t>
            </w:r>
          </w:p>
        </w:tc>
        <w:tc>
          <w:tcPr>
            <w:tcW w:w="2560" w:type="dxa"/>
            <w:tcBorders>
              <w:top w:val="nil"/>
              <w:left w:val="nil"/>
              <w:bottom w:val="single" w:sz="4" w:space="0" w:color="auto"/>
              <w:right w:val="single" w:sz="4" w:space="0" w:color="auto"/>
            </w:tcBorders>
            <w:vAlign w:val="center"/>
            <w:hideMark/>
          </w:tcPr>
          <w:p w14:paraId="4F9A5525" w14:textId="77777777" w:rsidR="00FB3CCF" w:rsidRPr="00FB3CCF" w:rsidRDefault="00FB3CCF" w:rsidP="00442932">
            <w:pPr>
              <w:rPr>
                <w:rFonts w:ascii="Arial" w:hAnsi="Arial" w:cs="Arial"/>
                <w:sz w:val="21"/>
                <w:szCs w:val="21"/>
              </w:rPr>
            </w:pPr>
            <w:r w:rsidRPr="00FB3CCF">
              <w:rPr>
                <w:rFonts w:ascii="Arial" w:hAnsi="Arial" w:cs="Arial"/>
                <w:sz w:val="21"/>
                <w:szCs w:val="21"/>
              </w:rPr>
              <w:t>Incremental learning vs radical innovation</w:t>
            </w:r>
          </w:p>
        </w:tc>
        <w:tc>
          <w:tcPr>
            <w:tcW w:w="2560" w:type="dxa"/>
            <w:tcBorders>
              <w:top w:val="nil"/>
              <w:left w:val="nil"/>
              <w:bottom w:val="single" w:sz="4" w:space="0" w:color="auto"/>
              <w:right w:val="single" w:sz="4" w:space="0" w:color="auto"/>
            </w:tcBorders>
            <w:vAlign w:val="center"/>
            <w:hideMark/>
          </w:tcPr>
          <w:p w14:paraId="6EC1588F" w14:textId="77777777" w:rsidR="00FB3CCF" w:rsidRPr="00FB3CCF" w:rsidRDefault="00FB3CCF" w:rsidP="00442932">
            <w:pPr>
              <w:rPr>
                <w:rFonts w:ascii="Arial" w:hAnsi="Arial" w:cs="Arial"/>
                <w:sz w:val="21"/>
                <w:szCs w:val="21"/>
              </w:rPr>
            </w:pPr>
            <w:r w:rsidRPr="00FB3CCF">
              <w:rPr>
                <w:rFonts w:ascii="Arial" w:hAnsi="Arial" w:cs="Arial"/>
                <w:sz w:val="21"/>
                <w:szCs w:val="21"/>
              </w:rPr>
              <w:t>Some studies support deployment-led cost reduction, while others argue radical innovation may offer more value.</w:t>
            </w:r>
          </w:p>
        </w:tc>
        <w:tc>
          <w:tcPr>
            <w:tcW w:w="2560" w:type="dxa"/>
            <w:tcBorders>
              <w:top w:val="nil"/>
              <w:left w:val="nil"/>
              <w:bottom w:val="single" w:sz="4" w:space="0" w:color="auto"/>
              <w:right w:val="single" w:sz="4" w:space="0" w:color="auto"/>
            </w:tcBorders>
            <w:vAlign w:val="center"/>
            <w:hideMark/>
          </w:tcPr>
          <w:p w14:paraId="0A6F6A47" w14:textId="77777777" w:rsidR="00FB3CCF" w:rsidRPr="00FB3CCF" w:rsidRDefault="00FB3CCF" w:rsidP="00442932">
            <w:pPr>
              <w:rPr>
                <w:rFonts w:ascii="Arial" w:hAnsi="Arial" w:cs="Arial"/>
                <w:sz w:val="21"/>
                <w:szCs w:val="21"/>
              </w:rPr>
            </w:pPr>
            <w:r w:rsidRPr="00FB3CCF">
              <w:rPr>
                <w:rFonts w:ascii="Arial" w:hAnsi="Arial" w:cs="Arial"/>
                <w:sz w:val="21"/>
                <w:szCs w:val="21"/>
              </w:rPr>
              <w:t>MacGillivray et al. (2014); Kerr et al. (2021)</w:t>
            </w:r>
          </w:p>
        </w:tc>
      </w:tr>
      <w:tr w:rsidR="00FB3CCF" w:rsidRPr="00FB3CCF" w14:paraId="39B26471" w14:textId="77777777" w:rsidTr="00442932">
        <w:trPr>
          <w:trHeight w:val="1820"/>
          <w:jc w:val="center"/>
        </w:trPr>
        <w:tc>
          <w:tcPr>
            <w:tcW w:w="2560" w:type="dxa"/>
            <w:tcBorders>
              <w:top w:val="nil"/>
              <w:left w:val="single" w:sz="4" w:space="0" w:color="auto"/>
              <w:bottom w:val="single" w:sz="4" w:space="0" w:color="auto"/>
              <w:right w:val="single" w:sz="4" w:space="0" w:color="auto"/>
            </w:tcBorders>
            <w:vAlign w:val="center"/>
            <w:hideMark/>
          </w:tcPr>
          <w:p w14:paraId="70F04C7B"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4</w:t>
            </w:r>
          </w:p>
        </w:tc>
        <w:tc>
          <w:tcPr>
            <w:tcW w:w="2560" w:type="dxa"/>
            <w:tcBorders>
              <w:top w:val="nil"/>
              <w:left w:val="nil"/>
              <w:bottom w:val="single" w:sz="4" w:space="0" w:color="auto"/>
              <w:right w:val="single" w:sz="4" w:space="0" w:color="auto"/>
            </w:tcBorders>
            <w:vAlign w:val="center"/>
            <w:hideMark/>
          </w:tcPr>
          <w:p w14:paraId="4DB2ED83" w14:textId="77777777" w:rsidR="00FB3CCF" w:rsidRPr="00FB3CCF" w:rsidRDefault="00FB3CCF" w:rsidP="00442932">
            <w:pPr>
              <w:rPr>
                <w:rFonts w:ascii="Arial" w:hAnsi="Arial" w:cs="Arial"/>
                <w:sz w:val="21"/>
                <w:szCs w:val="21"/>
              </w:rPr>
            </w:pPr>
            <w:r w:rsidRPr="00FB3CCF">
              <w:rPr>
                <w:rFonts w:ascii="Arial" w:hAnsi="Arial" w:cs="Arial"/>
                <w:sz w:val="21"/>
                <w:szCs w:val="21"/>
              </w:rPr>
              <w:t>Economic models offer guidance, but also reinforce uncertainty</w:t>
            </w:r>
          </w:p>
        </w:tc>
        <w:tc>
          <w:tcPr>
            <w:tcW w:w="2560" w:type="dxa"/>
            <w:tcBorders>
              <w:top w:val="nil"/>
              <w:left w:val="nil"/>
              <w:bottom w:val="single" w:sz="4" w:space="0" w:color="auto"/>
              <w:right w:val="single" w:sz="4" w:space="0" w:color="auto"/>
            </w:tcBorders>
            <w:vAlign w:val="center"/>
            <w:hideMark/>
          </w:tcPr>
          <w:p w14:paraId="644EAAE8" w14:textId="77777777" w:rsidR="00FB3CCF" w:rsidRPr="00FB3CCF" w:rsidRDefault="00FB3CCF" w:rsidP="00442932">
            <w:pPr>
              <w:rPr>
                <w:rFonts w:ascii="Arial" w:hAnsi="Arial" w:cs="Arial"/>
                <w:sz w:val="21"/>
                <w:szCs w:val="21"/>
              </w:rPr>
            </w:pPr>
            <w:r w:rsidRPr="00FB3CCF">
              <w:rPr>
                <w:rFonts w:ascii="Arial" w:hAnsi="Arial" w:cs="Arial"/>
                <w:sz w:val="21"/>
                <w:szCs w:val="21"/>
              </w:rPr>
              <w:t>Modelling clarifies targets and constraints, yet future costs and pathways remain highly assumption dependent.</w:t>
            </w:r>
          </w:p>
        </w:tc>
        <w:tc>
          <w:tcPr>
            <w:tcW w:w="2560" w:type="dxa"/>
            <w:tcBorders>
              <w:top w:val="nil"/>
              <w:left w:val="nil"/>
              <w:bottom w:val="single" w:sz="4" w:space="0" w:color="auto"/>
              <w:right w:val="single" w:sz="4" w:space="0" w:color="auto"/>
            </w:tcBorders>
            <w:vAlign w:val="center"/>
            <w:hideMark/>
          </w:tcPr>
          <w:p w14:paraId="38FF6AD6" w14:textId="77777777" w:rsidR="00FB3CCF" w:rsidRPr="00FB3CCF" w:rsidRDefault="00FB3CCF" w:rsidP="00442932">
            <w:pPr>
              <w:rPr>
                <w:rFonts w:ascii="Arial" w:hAnsi="Arial" w:cs="Arial"/>
                <w:sz w:val="21"/>
                <w:szCs w:val="21"/>
              </w:rPr>
            </w:pPr>
            <w:r w:rsidRPr="00FB3CCF">
              <w:rPr>
                <w:rFonts w:ascii="Arial" w:hAnsi="Arial" w:cs="Arial"/>
                <w:sz w:val="21"/>
                <w:szCs w:val="21"/>
              </w:rPr>
              <w:t>Stegman et al. (2017); Andres et al. (2017); Ruiz-Minguela et al. (2022)</w:t>
            </w:r>
          </w:p>
        </w:tc>
      </w:tr>
      <w:tr w:rsidR="00FB3CCF" w:rsidRPr="00FB3CCF" w14:paraId="7B702133" w14:textId="77777777" w:rsidTr="00442932">
        <w:trPr>
          <w:trHeight w:val="320"/>
          <w:jc w:val="center"/>
        </w:trPr>
        <w:tc>
          <w:tcPr>
            <w:tcW w:w="10240" w:type="dxa"/>
            <w:gridSpan w:val="4"/>
            <w:tcBorders>
              <w:top w:val="nil"/>
              <w:left w:val="nil"/>
              <w:bottom w:val="nil"/>
              <w:right w:val="nil"/>
            </w:tcBorders>
            <w:vAlign w:val="center"/>
            <w:hideMark/>
          </w:tcPr>
          <w:p w14:paraId="0BC40E95" w14:textId="77777777" w:rsidR="00FB3CCF" w:rsidRPr="00FB3CCF" w:rsidRDefault="00FB3CCF" w:rsidP="00442932">
            <w:pPr>
              <w:rPr>
                <w:rFonts w:ascii="Arial" w:hAnsi="Arial" w:cs="Arial"/>
                <w:sz w:val="15"/>
                <w:szCs w:val="15"/>
              </w:rPr>
            </w:pPr>
            <w:r w:rsidRPr="00FB3CCF">
              <w:rPr>
                <w:rFonts w:ascii="Arial" w:hAnsi="Arial" w:cs="Arial"/>
                <w:sz w:val="15"/>
                <w:szCs w:val="15"/>
              </w:rPr>
              <w:t>Source: Author’s synthesis based on the reviewed literature.</w:t>
            </w:r>
          </w:p>
        </w:tc>
      </w:tr>
    </w:tbl>
    <w:p w14:paraId="17B68EC7" w14:textId="77777777" w:rsidR="00FB3CCF" w:rsidRPr="00FB3CCF" w:rsidRDefault="00FB3CCF" w:rsidP="00FB3CCF">
      <w:pPr>
        <w:spacing w:line="360" w:lineRule="auto"/>
        <w:jc w:val="both"/>
        <w:rPr>
          <w:rFonts w:ascii="Arial" w:hAnsi="Arial" w:cs="Arial"/>
          <w:b/>
          <w:bCs/>
        </w:rPr>
      </w:pPr>
    </w:p>
    <w:p w14:paraId="51901553" w14:textId="77777777" w:rsidR="00FB3CCF" w:rsidRPr="00FB3CCF" w:rsidRDefault="00FB3CCF" w:rsidP="00FB3CCF">
      <w:pPr>
        <w:spacing w:line="360" w:lineRule="auto"/>
        <w:jc w:val="both"/>
        <w:rPr>
          <w:rFonts w:ascii="Arial" w:hAnsi="Arial" w:cs="Arial"/>
          <w:b/>
          <w:bCs/>
        </w:rPr>
      </w:pPr>
    </w:p>
    <w:p w14:paraId="1F8EF15D" w14:textId="77777777" w:rsidR="00FB3CCF" w:rsidRPr="00FB3CCF" w:rsidRDefault="00FB3CCF" w:rsidP="00FB3CCF">
      <w:pPr>
        <w:spacing w:line="360" w:lineRule="auto"/>
        <w:jc w:val="both"/>
        <w:rPr>
          <w:rFonts w:ascii="Arial" w:hAnsi="Arial" w:cs="Arial"/>
          <w:b/>
          <w:bCs/>
        </w:rPr>
      </w:pPr>
    </w:p>
    <w:p w14:paraId="49CE38F4" w14:textId="77777777" w:rsidR="00FB3CCF" w:rsidRPr="00FB3CCF" w:rsidRDefault="00FB3CCF" w:rsidP="00FB3CCF">
      <w:pPr>
        <w:spacing w:line="360" w:lineRule="auto"/>
        <w:jc w:val="both"/>
        <w:rPr>
          <w:rFonts w:ascii="Arial" w:hAnsi="Arial" w:cs="Arial"/>
          <w:b/>
          <w:bCs/>
        </w:rPr>
      </w:pPr>
    </w:p>
    <w:p w14:paraId="076BBD03" w14:textId="77777777" w:rsidR="00FB3CCF" w:rsidRPr="00FB3CCF" w:rsidRDefault="00FB3CCF" w:rsidP="00FB3CCF">
      <w:pPr>
        <w:spacing w:line="360" w:lineRule="auto"/>
        <w:jc w:val="both"/>
        <w:rPr>
          <w:rFonts w:ascii="Arial" w:hAnsi="Arial" w:cs="Arial"/>
          <w:b/>
          <w:bCs/>
        </w:rPr>
      </w:pPr>
    </w:p>
    <w:p w14:paraId="4B3EE3CC" w14:textId="77777777" w:rsidR="00FB3CCF" w:rsidRPr="00FB3CCF" w:rsidRDefault="00FB3CCF" w:rsidP="00FB3CCF">
      <w:pPr>
        <w:spacing w:line="360" w:lineRule="auto"/>
        <w:jc w:val="both"/>
        <w:rPr>
          <w:rFonts w:ascii="Arial" w:hAnsi="Arial" w:cs="Arial"/>
          <w:b/>
          <w:bCs/>
        </w:rPr>
      </w:pPr>
    </w:p>
    <w:p w14:paraId="46B5DC6E" w14:textId="77777777" w:rsidR="00FB3CCF" w:rsidRPr="00FB3CCF" w:rsidRDefault="00FB3CCF" w:rsidP="00FB3CCF">
      <w:pPr>
        <w:spacing w:line="360" w:lineRule="auto"/>
        <w:jc w:val="both"/>
        <w:rPr>
          <w:rFonts w:ascii="Arial" w:hAnsi="Arial" w:cs="Arial"/>
          <w:b/>
          <w:bCs/>
        </w:rPr>
      </w:pPr>
    </w:p>
    <w:p w14:paraId="49D64133" w14:textId="77777777" w:rsidR="00FB3CCF" w:rsidRPr="00FB3CCF" w:rsidRDefault="00FB3CCF" w:rsidP="00FB3CCF">
      <w:pPr>
        <w:spacing w:line="360" w:lineRule="auto"/>
        <w:jc w:val="both"/>
        <w:rPr>
          <w:rFonts w:ascii="Arial" w:hAnsi="Arial" w:cs="Arial"/>
          <w:b/>
          <w:bCs/>
        </w:rPr>
      </w:pPr>
    </w:p>
    <w:p w14:paraId="3B90282E" w14:textId="77777777" w:rsidR="00FB3CCF" w:rsidRPr="00FB3CCF" w:rsidRDefault="00FB3CCF" w:rsidP="00FB3CCF">
      <w:pPr>
        <w:spacing w:line="360" w:lineRule="auto"/>
        <w:jc w:val="both"/>
        <w:rPr>
          <w:rFonts w:ascii="Arial" w:hAnsi="Arial" w:cs="Arial"/>
          <w:b/>
          <w:bCs/>
        </w:rPr>
      </w:pPr>
    </w:p>
    <w:p w14:paraId="246240B5" w14:textId="77777777" w:rsidR="00FB3CCF" w:rsidRPr="00FB3CCF" w:rsidRDefault="00FB3CCF" w:rsidP="00FB3CCF">
      <w:pPr>
        <w:spacing w:line="360" w:lineRule="auto"/>
        <w:jc w:val="both"/>
        <w:rPr>
          <w:rFonts w:ascii="Arial" w:hAnsi="Arial" w:cs="Arial"/>
          <w:b/>
          <w:bCs/>
        </w:rPr>
      </w:pPr>
    </w:p>
    <w:p w14:paraId="68592AFB" w14:textId="77777777" w:rsidR="00FB3CCF" w:rsidRPr="00FB3CCF" w:rsidRDefault="00FB3CCF" w:rsidP="00FB3CCF">
      <w:pPr>
        <w:spacing w:line="360" w:lineRule="auto"/>
        <w:jc w:val="both"/>
        <w:rPr>
          <w:rFonts w:ascii="Arial" w:hAnsi="Arial" w:cs="Arial"/>
          <w:b/>
          <w:bCs/>
        </w:rPr>
      </w:pPr>
    </w:p>
    <w:p w14:paraId="3FD2C71C" w14:textId="77777777" w:rsidR="00FB3CCF" w:rsidRPr="00FB3CCF" w:rsidRDefault="00FB3CCF" w:rsidP="00FB3CCF">
      <w:pPr>
        <w:spacing w:line="360" w:lineRule="auto"/>
        <w:jc w:val="both"/>
        <w:rPr>
          <w:rFonts w:ascii="Arial" w:hAnsi="Arial" w:cs="Arial"/>
          <w:b/>
          <w:bCs/>
        </w:rPr>
      </w:pPr>
    </w:p>
    <w:p w14:paraId="142D548B" w14:textId="77777777" w:rsidR="00FB3CCF" w:rsidRPr="00FB3CCF" w:rsidRDefault="00FB3CCF" w:rsidP="00FB3CCF">
      <w:pPr>
        <w:spacing w:line="360" w:lineRule="auto"/>
        <w:jc w:val="both"/>
        <w:rPr>
          <w:rFonts w:ascii="Arial" w:hAnsi="Arial" w:cs="Arial"/>
          <w:b/>
          <w:bCs/>
        </w:rPr>
      </w:pPr>
    </w:p>
    <w:p w14:paraId="2A110408" w14:textId="77777777" w:rsidR="00FB3CCF" w:rsidRPr="00FB3CCF" w:rsidRDefault="00FB3CCF" w:rsidP="00FB3CCF">
      <w:pPr>
        <w:spacing w:line="360" w:lineRule="auto"/>
        <w:jc w:val="both"/>
        <w:rPr>
          <w:rFonts w:ascii="Arial" w:hAnsi="Arial" w:cs="Arial"/>
          <w:b/>
          <w:bCs/>
        </w:rPr>
      </w:pPr>
    </w:p>
    <w:p w14:paraId="69D46ED6" w14:textId="77777777" w:rsidR="00FB3CCF" w:rsidRPr="00FB3CCF" w:rsidRDefault="00FB3CCF" w:rsidP="00FB3CCF">
      <w:pPr>
        <w:spacing w:line="360" w:lineRule="auto"/>
        <w:jc w:val="both"/>
        <w:rPr>
          <w:rFonts w:ascii="Arial" w:hAnsi="Arial" w:cs="Arial"/>
          <w:b/>
          <w:bCs/>
        </w:rPr>
      </w:pPr>
    </w:p>
    <w:p w14:paraId="15ACEFF8"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Appendix K</w:t>
      </w:r>
    </w:p>
    <w:p w14:paraId="267EC9F9"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K1. Theme 5 Patterns and Contradictions: Risk, due diligence, and staged investment</w:t>
      </w:r>
    </w:p>
    <w:tbl>
      <w:tblPr>
        <w:tblW w:w="9322" w:type="dxa"/>
        <w:jc w:val="center"/>
        <w:tblLook w:val="04A0" w:firstRow="1" w:lastRow="0" w:firstColumn="1" w:lastColumn="0" w:noHBand="0" w:noVBand="1"/>
      </w:tblPr>
      <w:tblGrid>
        <w:gridCol w:w="2330"/>
        <w:gridCol w:w="2330"/>
        <w:gridCol w:w="2330"/>
        <w:gridCol w:w="2332"/>
      </w:tblGrid>
      <w:tr w:rsidR="00FB3CCF" w:rsidRPr="00FB3CCF" w14:paraId="7EF73D73" w14:textId="77777777" w:rsidTr="00442932">
        <w:trPr>
          <w:trHeight w:val="1457"/>
          <w:jc w:val="center"/>
        </w:trPr>
        <w:tc>
          <w:tcPr>
            <w:tcW w:w="2330" w:type="dxa"/>
            <w:tcBorders>
              <w:top w:val="single" w:sz="4" w:space="0" w:color="auto"/>
              <w:left w:val="single" w:sz="4" w:space="0" w:color="auto"/>
              <w:bottom w:val="single" w:sz="4" w:space="0" w:color="auto"/>
              <w:right w:val="single" w:sz="4" w:space="0" w:color="auto"/>
            </w:tcBorders>
            <w:vAlign w:val="center"/>
            <w:hideMark/>
          </w:tcPr>
          <w:p w14:paraId="691716DE"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Area</w:t>
            </w:r>
          </w:p>
        </w:tc>
        <w:tc>
          <w:tcPr>
            <w:tcW w:w="2330" w:type="dxa"/>
            <w:tcBorders>
              <w:top w:val="single" w:sz="4" w:space="0" w:color="auto"/>
              <w:left w:val="nil"/>
              <w:bottom w:val="single" w:sz="4" w:space="0" w:color="auto"/>
              <w:right w:val="single" w:sz="4" w:space="0" w:color="auto"/>
            </w:tcBorders>
            <w:vAlign w:val="center"/>
            <w:hideMark/>
          </w:tcPr>
          <w:p w14:paraId="35D53271"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 contradiction</w:t>
            </w:r>
          </w:p>
        </w:tc>
        <w:tc>
          <w:tcPr>
            <w:tcW w:w="2330" w:type="dxa"/>
            <w:tcBorders>
              <w:top w:val="single" w:sz="4" w:space="0" w:color="auto"/>
              <w:left w:val="nil"/>
              <w:bottom w:val="single" w:sz="4" w:space="0" w:color="auto"/>
              <w:right w:val="single" w:sz="4" w:space="0" w:color="auto"/>
            </w:tcBorders>
            <w:vAlign w:val="center"/>
            <w:hideMark/>
          </w:tcPr>
          <w:p w14:paraId="4EFCF330"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Explanation</w:t>
            </w:r>
          </w:p>
        </w:tc>
        <w:tc>
          <w:tcPr>
            <w:tcW w:w="2330" w:type="dxa"/>
            <w:tcBorders>
              <w:top w:val="single" w:sz="4" w:space="0" w:color="auto"/>
              <w:left w:val="nil"/>
              <w:bottom w:val="single" w:sz="4" w:space="0" w:color="auto"/>
              <w:right w:val="single" w:sz="4" w:space="0" w:color="auto"/>
            </w:tcBorders>
            <w:vAlign w:val="center"/>
            <w:hideMark/>
          </w:tcPr>
          <w:p w14:paraId="590A65FB"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Key supporting studies</w:t>
            </w:r>
          </w:p>
        </w:tc>
      </w:tr>
      <w:tr w:rsidR="00FB3CCF" w:rsidRPr="00FB3CCF" w14:paraId="742993B0" w14:textId="77777777" w:rsidTr="00442932">
        <w:trPr>
          <w:trHeight w:val="1457"/>
          <w:jc w:val="center"/>
        </w:trPr>
        <w:tc>
          <w:tcPr>
            <w:tcW w:w="2330" w:type="dxa"/>
            <w:tcBorders>
              <w:top w:val="nil"/>
              <w:left w:val="single" w:sz="4" w:space="0" w:color="auto"/>
              <w:bottom w:val="single" w:sz="4" w:space="0" w:color="auto"/>
              <w:right w:val="single" w:sz="4" w:space="0" w:color="auto"/>
            </w:tcBorders>
            <w:vAlign w:val="center"/>
            <w:hideMark/>
          </w:tcPr>
          <w:p w14:paraId="6DFD5ADD"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1</w:t>
            </w:r>
          </w:p>
        </w:tc>
        <w:tc>
          <w:tcPr>
            <w:tcW w:w="2330" w:type="dxa"/>
            <w:tcBorders>
              <w:top w:val="nil"/>
              <w:left w:val="nil"/>
              <w:bottom w:val="single" w:sz="4" w:space="0" w:color="auto"/>
              <w:right w:val="single" w:sz="4" w:space="0" w:color="auto"/>
            </w:tcBorders>
            <w:vAlign w:val="center"/>
            <w:hideMark/>
          </w:tcPr>
          <w:p w14:paraId="2B93B451" w14:textId="77777777" w:rsidR="00FB3CCF" w:rsidRPr="00FB3CCF" w:rsidRDefault="00FB3CCF" w:rsidP="00442932">
            <w:pPr>
              <w:rPr>
                <w:rFonts w:ascii="Arial" w:hAnsi="Arial" w:cs="Arial"/>
                <w:sz w:val="20"/>
                <w:szCs w:val="20"/>
              </w:rPr>
            </w:pPr>
            <w:r w:rsidRPr="00FB3CCF">
              <w:rPr>
                <w:rFonts w:ascii="Arial" w:hAnsi="Arial" w:cs="Arial"/>
                <w:sz w:val="20"/>
                <w:szCs w:val="20"/>
              </w:rPr>
              <w:t>LCOE alone is insufficient</w:t>
            </w:r>
          </w:p>
        </w:tc>
        <w:tc>
          <w:tcPr>
            <w:tcW w:w="2330" w:type="dxa"/>
            <w:tcBorders>
              <w:top w:val="nil"/>
              <w:left w:val="nil"/>
              <w:bottom w:val="single" w:sz="4" w:space="0" w:color="auto"/>
              <w:right w:val="single" w:sz="4" w:space="0" w:color="auto"/>
            </w:tcBorders>
            <w:vAlign w:val="center"/>
            <w:hideMark/>
          </w:tcPr>
          <w:p w14:paraId="5C794DC8" w14:textId="77777777" w:rsidR="00FB3CCF" w:rsidRPr="00FB3CCF" w:rsidRDefault="00FB3CCF" w:rsidP="00442932">
            <w:pPr>
              <w:rPr>
                <w:rFonts w:ascii="Arial" w:hAnsi="Arial" w:cs="Arial"/>
                <w:sz w:val="20"/>
                <w:szCs w:val="20"/>
              </w:rPr>
            </w:pPr>
            <w:r w:rsidRPr="00FB3CCF">
              <w:rPr>
                <w:rFonts w:ascii="Arial" w:hAnsi="Arial" w:cs="Arial"/>
                <w:sz w:val="20"/>
                <w:szCs w:val="20"/>
              </w:rPr>
              <w:t>Investment attractiveness depends on wider technical, operational, and market risks, not cost only.</w:t>
            </w:r>
          </w:p>
        </w:tc>
        <w:tc>
          <w:tcPr>
            <w:tcW w:w="2330" w:type="dxa"/>
            <w:tcBorders>
              <w:top w:val="nil"/>
              <w:left w:val="nil"/>
              <w:bottom w:val="single" w:sz="4" w:space="0" w:color="auto"/>
              <w:right w:val="single" w:sz="4" w:space="0" w:color="auto"/>
            </w:tcBorders>
            <w:vAlign w:val="center"/>
            <w:hideMark/>
          </w:tcPr>
          <w:p w14:paraId="34A9E100" w14:textId="77777777" w:rsidR="00FB3CCF" w:rsidRPr="00FB3CCF" w:rsidRDefault="00FB3CCF" w:rsidP="00442932">
            <w:pPr>
              <w:rPr>
                <w:rFonts w:ascii="Arial" w:hAnsi="Arial" w:cs="Arial"/>
                <w:sz w:val="20"/>
                <w:szCs w:val="20"/>
              </w:rPr>
            </w:pPr>
            <w:r w:rsidRPr="00FB3CCF">
              <w:rPr>
                <w:rFonts w:ascii="Arial" w:hAnsi="Arial" w:cs="Arial"/>
                <w:sz w:val="20"/>
                <w:szCs w:val="20"/>
              </w:rPr>
              <w:t>Andres et al. (2017); Hutcheson, Andres and Jeffrey (2016)</w:t>
            </w:r>
          </w:p>
        </w:tc>
      </w:tr>
      <w:tr w:rsidR="00FB3CCF" w:rsidRPr="00FB3CCF" w14:paraId="1D43EDDF" w14:textId="77777777" w:rsidTr="00442932">
        <w:trPr>
          <w:trHeight w:val="1457"/>
          <w:jc w:val="center"/>
        </w:trPr>
        <w:tc>
          <w:tcPr>
            <w:tcW w:w="2330" w:type="dxa"/>
            <w:tcBorders>
              <w:top w:val="nil"/>
              <w:left w:val="single" w:sz="4" w:space="0" w:color="auto"/>
              <w:bottom w:val="single" w:sz="4" w:space="0" w:color="auto"/>
              <w:right w:val="single" w:sz="4" w:space="0" w:color="auto"/>
            </w:tcBorders>
            <w:vAlign w:val="center"/>
            <w:hideMark/>
          </w:tcPr>
          <w:p w14:paraId="7A13CD35"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2</w:t>
            </w:r>
          </w:p>
        </w:tc>
        <w:tc>
          <w:tcPr>
            <w:tcW w:w="2330" w:type="dxa"/>
            <w:tcBorders>
              <w:top w:val="nil"/>
              <w:left w:val="nil"/>
              <w:bottom w:val="single" w:sz="4" w:space="0" w:color="auto"/>
              <w:right w:val="single" w:sz="4" w:space="0" w:color="auto"/>
            </w:tcBorders>
            <w:vAlign w:val="center"/>
            <w:hideMark/>
          </w:tcPr>
          <w:p w14:paraId="64B45746" w14:textId="77777777" w:rsidR="00FB3CCF" w:rsidRPr="00FB3CCF" w:rsidRDefault="00FB3CCF" w:rsidP="00442932">
            <w:pPr>
              <w:rPr>
                <w:rFonts w:ascii="Arial" w:hAnsi="Arial" w:cs="Arial"/>
                <w:sz w:val="20"/>
                <w:szCs w:val="20"/>
              </w:rPr>
            </w:pPr>
            <w:r w:rsidRPr="00FB3CCF">
              <w:rPr>
                <w:rFonts w:ascii="Arial" w:hAnsi="Arial" w:cs="Arial"/>
                <w:sz w:val="20"/>
                <w:szCs w:val="20"/>
              </w:rPr>
              <w:t>Due diligence is whole-system, not device-only</w:t>
            </w:r>
          </w:p>
        </w:tc>
        <w:tc>
          <w:tcPr>
            <w:tcW w:w="2330" w:type="dxa"/>
            <w:tcBorders>
              <w:top w:val="nil"/>
              <w:left w:val="nil"/>
              <w:bottom w:val="single" w:sz="4" w:space="0" w:color="auto"/>
              <w:right w:val="single" w:sz="4" w:space="0" w:color="auto"/>
            </w:tcBorders>
            <w:vAlign w:val="center"/>
            <w:hideMark/>
          </w:tcPr>
          <w:p w14:paraId="7584FD5B" w14:textId="77777777" w:rsidR="00FB3CCF" w:rsidRPr="00FB3CCF" w:rsidRDefault="00FB3CCF" w:rsidP="00442932">
            <w:pPr>
              <w:rPr>
                <w:rFonts w:ascii="Arial" w:hAnsi="Arial" w:cs="Arial"/>
                <w:sz w:val="20"/>
                <w:szCs w:val="20"/>
              </w:rPr>
            </w:pPr>
            <w:r w:rsidRPr="00FB3CCF">
              <w:rPr>
                <w:rFonts w:ascii="Arial" w:hAnsi="Arial" w:cs="Arial"/>
                <w:sz w:val="20"/>
                <w:szCs w:val="20"/>
              </w:rPr>
              <w:t>Grid, logistics, permits, and developer capability affect financeability alongside technology performance.</w:t>
            </w:r>
          </w:p>
        </w:tc>
        <w:tc>
          <w:tcPr>
            <w:tcW w:w="2330" w:type="dxa"/>
            <w:tcBorders>
              <w:top w:val="nil"/>
              <w:left w:val="nil"/>
              <w:bottom w:val="single" w:sz="4" w:space="0" w:color="auto"/>
              <w:right w:val="single" w:sz="4" w:space="0" w:color="auto"/>
            </w:tcBorders>
            <w:vAlign w:val="center"/>
            <w:hideMark/>
          </w:tcPr>
          <w:p w14:paraId="09F87F9A" w14:textId="77777777" w:rsidR="00FB3CCF" w:rsidRPr="00FB3CCF" w:rsidRDefault="00FB3CCF" w:rsidP="00442932">
            <w:pPr>
              <w:rPr>
                <w:rFonts w:ascii="Arial" w:hAnsi="Arial" w:cs="Arial"/>
                <w:sz w:val="20"/>
                <w:szCs w:val="20"/>
              </w:rPr>
            </w:pPr>
            <w:r w:rsidRPr="00FB3CCF">
              <w:rPr>
                <w:rFonts w:ascii="Arial" w:hAnsi="Arial" w:cs="Arial"/>
                <w:sz w:val="20"/>
                <w:szCs w:val="20"/>
              </w:rPr>
              <w:t>Wilson, Rowley and Watson (2011)</w:t>
            </w:r>
          </w:p>
        </w:tc>
      </w:tr>
      <w:tr w:rsidR="00FB3CCF" w:rsidRPr="00FB3CCF" w14:paraId="192B50B0" w14:textId="77777777" w:rsidTr="00442932">
        <w:trPr>
          <w:trHeight w:val="1457"/>
          <w:jc w:val="center"/>
        </w:trPr>
        <w:tc>
          <w:tcPr>
            <w:tcW w:w="2330" w:type="dxa"/>
            <w:tcBorders>
              <w:top w:val="nil"/>
              <w:left w:val="single" w:sz="4" w:space="0" w:color="auto"/>
              <w:bottom w:val="single" w:sz="4" w:space="0" w:color="auto"/>
              <w:right w:val="single" w:sz="4" w:space="0" w:color="auto"/>
            </w:tcBorders>
            <w:vAlign w:val="center"/>
            <w:hideMark/>
          </w:tcPr>
          <w:p w14:paraId="52093CF5"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3</w:t>
            </w:r>
          </w:p>
        </w:tc>
        <w:tc>
          <w:tcPr>
            <w:tcW w:w="2330" w:type="dxa"/>
            <w:tcBorders>
              <w:top w:val="nil"/>
              <w:left w:val="nil"/>
              <w:bottom w:val="single" w:sz="4" w:space="0" w:color="auto"/>
              <w:right w:val="single" w:sz="4" w:space="0" w:color="auto"/>
            </w:tcBorders>
            <w:vAlign w:val="center"/>
            <w:hideMark/>
          </w:tcPr>
          <w:p w14:paraId="47745EA4" w14:textId="77777777" w:rsidR="00FB3CCF" w:rsidRPr="00FB3CCF" w:rsidRDefault="00FB3CCF" w:rsidP="00442932">
            <w:pPr>
              <w:rPr>
                <w:rFonts w:ascii="Arial" w:hAnsi="Arial" w:cs="Arial"/>
                <w:sz w:val="20"/>
                <w:szCs w:val="20"/>
              </w:rPr>
            </w:pPr>
            <w:r w:rsidRPr="00FB3CCF">
              <w:rPr>
                <w:rFonts w:ascii="Arial" w:hAnsi="Arial" w:cs="Arial"/>
                <w:sz w:val="20"/>
                <w:szCs w:val="20"/>
              </w:rPr>
              <w:t>Uncertainty analysis materially shapes project attractiveness</w:t>
            </w:r>
          </w:p>
        </w:tc>
        <w:tc>
          <w:tcPr>
            <w:tcW w:w="2330" w:type="dxa"/>
            <w:tcBorders>
              <w:top w:val="nil"/>
              <w:left w:val="nil"/>
              <w:bottom w:val="single" w:sz="4" w:space="0" w:color="auto"/>
              <w:right w:val="single" w:sz="4" w:space="0" w:color="auto"/>
            </w:tcBorders>
            <w:vAlign w:val="center"/>
            <w:hideMark/>
          </w:tcPr>
          <w:p w14:paraId="565F9909" w14:textId="77777777" w:rsidR="00FB3CCF" w:rsidRPr="00FB3CCF" w:rsidRDefault="00FB3CCF" w:rsidP="00442932">
            <w:pPr>
              <w:rPr>
                <w:rFonts w:ascii="Arial" w:hAnsi="Arial" w:cs="Arial"/>
                <w:sz w:val="20"/>
                <w:szCs w:val="20"/>
              </w:rPr>
            </w:pPr>
            <w:r w:rsidRPr="00FB3CCF">
              <w:rPr>
                <w:rFonts w:ascii="Arial" w:hAnsi="Arial" w:cs="Arial"/>
                <w:sz w:val="20"/>
                <w:szCs w:val="20"/>
              </w:rPr>
              <w:t>Better handling of uncertainty can change yield, return, and risk estimates.</w:t>
            </w:r>
          </w:p>
        </w:tc>
        <w:tc>
          <w:tcPr>
            <w:tcW w:w="2330" w:type="dxa"/>
            <w:tcBorders>
              <w:top w:val="nil"/>
              <w:left w:val="nil"/>
              <w:bottom w:val="single" w:sz="4" w:space="0" w:color="auto"/>
              <w:right w:val="single" w:sz="4" w:space="0" w:color="auto"/>
            </w:tcBorders>
            <w:vAlign w:val="center"/>
            <w:hideMark/>
          </w:tcPr>
          <w:p w14:paraId="2C7ED7D8" w14:textId="77777777" w:rsidR="00FB3CCF" w:rsidRPr="00FB3CCF" w:rsidRDefault="00FB3CCF" w:rsidP="00442932">
            <w:pPr>
              <w:rPr>
                <w:rFonts w:ascii="Arial" w:hAnsi="Arial" w:cs="Arial"/>
                <w:sz w:val="20"/>
                <w:szCs w:val="20"/>
              </w:rPr>
            </w:pPr>
            <w:r w:rsidRPr="00FB3CCF">
              <w:rPr>
                <w:rFonts w:ascii="Arial" w:hAnsi="Arial" w:cs="Arial"/>
                <w:sz w:val="20"/>
                <w:szCs w:val="20"/>
              </w:rPr>
              <w:t>Guanche et al. (2014); Shah et al. (2017); Shah (2018)</w:t>
            </w:r>
          </w:p>
        </w:tc>
      </w:tr>
      <w:tr w:rsidR="00FB3CCF" w:rsidRPr="00FB3CCF" w14:paraId="445CF36A" w14:textId="77777777" w:rsidTr="00442932">
        <w:trPr>
          <w:trHeight w:val="1457"/>
          <w:jc w:val="center"/>
        </w:trPr>
        <w:tc>
          <w:tcPr>
            <w:tcW w:w="2330" w:type="dxa"/>
            <w:tcBorders>
              <w:top w:val="nil"/>
              <w:left w:val="single" w:sz="4" w:space="0" w:color="auto"/>
              <w:bottom w:val="single" w:sz="4" w:space="0" w:color="auto"/>
              <w:right w:val="single" w:sz="4" w:space="0" w:color="auto"/>
            </w:tcBorders>
            <w:vAlign w:val="center"/>
            <w:hideMark/>
          </w:tcPr>
          <w:p w14:paraId="2DC333E6"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4</w:t>
            </w:r>
          </w:p>
        </w:tc>
        <w:tc>
          <w:tcPr>
            <w:tcW w:w="2330" w:type="dxa"/>
            <w:tcBorders>
              <w:top w:val="nil"/>
              <w:left w:val="nil"/>
              <w:bottom w:val="single" w:sz="4" w:space="0" w:color="auto"/>
              <w:right w:val="single" w:sz="4" w:space="0" w:color="auto"/>
            </w:tcBorders>
            <w:vAlign w:val="center"/>
            <w:hideMark/>
          </w:tcPr>
          <w:p w14:paraId="34AACEBB" w14:textId="77777777" w:rsidR="00FB3CCF" w:rsidRPr="00FB3CCF" w:rsidRDefault="00FB3CCF" w:rsidP="00442932">
            <w:pPr>
              <w:rPr>
                <w:rFonts w:ascii="Arial" w:hAnsi="Arial" w:cs="Arial"/>
                <w:sz w:val="20"/>
                <w:szCs w:val="20"/>
              </w:rPr>
            </w:pPr>
            <w:r w:rsidRPr="00FB3CCF">
              <w:rPr>
                <w:rFonts w:ascii="Arial" w:hAnsi="Arial" w:cs="Arial"/>
                <w:sz w:val="20"/>
                <w:szCs w:val="20"/>
              </w:rPr>
              <w:t>Investor timing matters under uncertainty</w:t>
            </w:r>
          </w:p>
        </w:tc>
        <w:tc>
          <w:tcPr>
            <w:tcW w:w="2330" w:type="dxa"/>
            <w:tcBorders>
              <w:top w:val="nil"/>
              <w:left w:val="nil"/>
              <w:bottom w:val="single" w:sz="4" w:space="0" w:color="auto"/>
              <w:right w:val="single" w:sz="4" w:space="0" w:color="auto"/>
            </w:tcBorders>
            <w:vAlign w:val="center"/>
            <w:hideMark/>
          </w:tcPr>
          <w:p w14:paraId="17C99D0D" w14:textId="77777777" w:rsidR="00FB3CCF" w:rsidRPr="00FB3CCF" w:rsidRDefault="00FB3CCF" w:rsidP="00442932">
            <w:pPr>
              <w:rPr>
                <w:rFonts w:ascii="Arial" w:hAnsi="Arial" w:cs="Arial"/>
                <w:sz w:val="20"/>
                <w:szCs w:val="20"/>
              </w:rPr>
            </w:pPr>
            <w:r w:rsidRPr="00FB3CCF">
              <w:rPr>
                <w:rFonts w:ascii="Arial" w:hAnsi="Arial" w:cs="Arial"/>
                <w:sz w:val="20"/>
                <w:szCs w:val="20"/>
              </w:rPr>
              <w:t>Delaying investment can be economically rational when risks remain unresolved.</w:t>
            </w:r>
          </w:p>
        </w:tc>
        <w:tc>
          <w:tcPr>
            <w:tcW w:w="2330" w:type="dxa"/>
            <w:tcBorders>
              <w:top w:val="nil"/>
              <w:left w:val="nil"/>
              <w:bottom w:val="single" w:sz="4" w:space="0" w:color="auto"/>
              <w:right w:val="single" w:sz="4" w:space="0" w:color="auto"/>
            </w:tcBorders>
            <w:vAlign w:val="center"/>
            <w:hideMark/>
          </w:tcPr>
          <w:p w14:paraId="2C9AA948" w14:textId="77777777" w:rsidR="00FB3CCF" w:rsidRPr="00FB3CCF" w:rsidRDefault="00FB3CCF" w:rsidP="00442932">
            <w:pPr>
              <w:rPr>
                <w:rFonts w:ascii="Arial" w:hAnsi="Arial" w:cs="Arial"/>
                <w:sz w:val="20"/>
                <w:szCs w:val="20"/>
              </w:rPr>
            </w:pPr>
            <w:r w:rsidRPr="00FB3CCF">
              <w:rPr>
                <w:rFonts w:ascii="Arial" w:hAnsi="Arial" w:cs="Arial"/>
                <w:sz w:val="20"/>
                <w:szCs w:val="20"/>
              </w:rPr>
              <w:t>MacDougall (2017); MacDougall (2018)</w:t>
            </w:r>
          </w:p>
        </w:tc>
      </w:tr>
      <w:tr w:rsidR="00FB3CCF" w:rsidRPr="00FB3CCF" w14:paraId="635F4806" w14:textId="77777777" w:rsidTr="00442932">
        <w:trPr>
          <w:trHeight w:val="1457"/>
          <w:jc w:val="center"/>
        </w:trPr>
        <w:tc>
          <w:tcPr>
            <w:tcW w:w="2330" w:type="dxa"/>
            <w:tcBorders>
              <w:top w:val="nil"/>
              <w:left w:val="single" w:sz="4" w:space="0" w:color="auto"/>
              <w:bottom w:val="single" w:sz="4" w:space="0" w:color="auto"/>
              <w:right w:val="single" w:sz="4" w:space="0" w:color="auto"/>
            </w:tcBorders>
            <w:vAlign w:val="center"/>
            <w:hideMark/>
          </w:tcPr>
          <w:p w14:paraId="3CF3158E"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Pattern 5</w:t>
            </w:r>
          </w:p>
        </w:tc>
        <w:tc>
          <w:tcPr>
            <w:tcW w:w="2330" w:type="dxa"/>
            <w:tcBorders>
              <w:top w:val="nil"/>
              <w:left w:val="nil"/>
              <w:bottom w:val="single" w:sz="4" w:space="0" w:color="auto"/>
              <w:right w:val="single" w:sz="4" w:space="0" w:color="auto"/>
            </w:tcBorders>
            <w:vAlign w:val="center"/>
            <w:hideMark/>
          </w:tcPr>
          <w:p w14:paraId="548EBF94" w14:textId="77777777" w:rsidR="00FB3CCF" w:rsidRPr="00FB3CCF" w:rsidRDefault="00FB3CCF" w:rsidP="00442932">
            <w:pPr>
              <w:rPr>
                <w:rFonts w:ascii="Arial" w:hAnsi="Arial" w:cs="Arial"/>
                <w:sz w:val="20"/>
                <w:szCs w:val="20"/>
              </w:rPr>
            </w:pPr>
            <w:r w:rsidRPr="00FB3CCF">
              <w:rPr>
                <w:rFonts w:ascii="Arial" w:hAnsi="Arial" w:cs="Arial"/>
                <w:sz w:val="20"/>
                <w:szCs w:val="20"/>
              </w:rPr>
              <w:t>Risk is layered and heterogeneous</w:t>
            </w:r>
          </w:p>
        </w:tc>
        <w:tc>
          <w:tcPr>
            <w:tcW w:w="2330" w:type="dxa"/>
            <w:tcBorders>
              <w:top w:val="nil"/>
              <w:left w:val="nil"/>
              <w:bottom w:val="single" w:sz="4" w:space="0" w:color="auto"/>
              <w:right w:val="single" w:sz="4" w:space="0" w:color="auto"/>
            </w:tcBorders>
            <w:vAlign w:val="center"/>
            <w:hideMark/>
          </w:tcPr>
          <w:p w14:paraId="03586630" w14:textId="77777777" w:rsidR="00FB3CCF" w:rsidRPr="00FB3CCF" w:rsidRDefault="00FB3CCF" w:rsidP="00442932">
            <w:pPr>
              <w:rPr>
                <w:rFonts w:ascii="Arial" w:hAnsi="Arial" w:cs="Arial"/>
                <w:sz w:val="20"/>
                <w:szCs w:val="20"/>
              </w:rPr>
            </w:pPr>
            <w:r w:rsidRPr="00FB3CCF">
              <w:rPr>
                <w:rFonts w:ascii="Arial" w:hAnsi="Arial" w:cs="Arial"/>
                <w:sz w:val="20"/>
                <w:szCs w:val="20"/>
              </w:rPr>
              <w:t>Technical, market, policy, and institutional risks interact rather than operating separately.</w:t>
            </w:r>
          </w:p>
        </w:tc>
        <w:tc>
          <w:tcPr>
            <w:tcW w:w="2330" w:type="dxa"/>
            <w:tcBorders>
              <w:top w:val="nil"/>
              <w:left w:val="nil"/>
              <w:bottom w:val="single" w:sz="4" w:space="0" w:color="auto"/>
              <w:right w:val="single" w:sz="4" w:space="0" w:color="auto"/>
            </w:tcBorders>
            <w:vAlign w:val="center"/>
            <w:hideMark/>
          </w:tcPr>
          <w:p w14:paraId="7154F59C" w14:textId="77777777" w:rsidR="00FB3CCF" w:rsidRPr="00FB3CCF" w:rsidRDefault="00FB3CCF" w:rsidP="00442932">
            <w:pPr>
              <w:rPr>
                <w:rFonts w:ascii="Arial" w:hAnsi="Arial" w:cs="Arial"/>
                <w:sz w:val="20"/>
                <w:szCs w:val="20"/>
              </w:rPr>
            </w:pPr>
            <w:r w:rsidRPr="00FB3CCF">
              <w:rPr>
                <w:rFonts w:ascii="Arial" w:hAnsi="Arial" w:cs="Arial"/>
                <w:sz w:val="20"/>
                <w:szCs w:val="20"/>
              </w:rPr>
              <w:t>Jude et al. (2017); Gross, Blyth and Heptonstall (2010)</w:t>
            </w:r>
          </w:p>
        </w:tc>
      </w:tr>
      <w:tr w:rsidR="00FB3CCF" w:rsidRPr="00FB3CCF" w14:paraId="3CF9E6A8" w14:textId="77777777" w:rsidTr="00442932">
        <w:trPr>
          <w:trHeight w:val="1457"/>
          <w:jc w:val="center"/>
        </w:trPr>
        <w:tc>
          <w:tcPr>
            <w:tcW w:w="2330" w:type="dxa"/>
            <w:tcBorders>
              <w:top w:val="nil"/>
              <w:left w:val="single" w:sz="4" w:space="0" w:color="auto"/>
              <w:bottom w:val="single" w:sz="4" w:space="0" w:color="auto"/>
              <w:right w:val="single" w:sz="4" w:space="0" w:color="auto"/>
            </w:tcBorders>
            <w:vAlign w:val="center"/>
            <w:hideMark/>
          </w:tcPr>
          <w:p w14:paraId="595AECAA"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Contradiction 1</w:t>
            </w:r>
          </w:p>
        </w:tc>
        <w:tc>
          <w:tcPr>
            <w:tcW w:w="2330" w:type="dxa"/>
            <w:tcBorders>
              <w:top w:val="nil"/>
              <w:left w:val="nil"/>
              <w:bottom w:val="single" w:sz="4" w:space="0" w:color="auto"/>
              <w:right w:val="single" w:sz="4" w:space="0" w:color="auto"/>
            </w:tcBorders>
            <w:vAlign w:val="center"/>
            <w:hideMark/>
          </w:tcPr>
          <w:p w14:paraId="10361179" w14:textId="77777777" w:rsidR="00FB3CCF" w:rsidRPr="00FB3CCF" w:rsidRDefault="00FB3CCF" w:rsidP="00442932">
            <w:pPr>
              <w:rPr>
                <w:rFonts w:ascii="Arial" w:hAnsi="Arial" w:cs="Arial"/>
                <w:sz w:val="20"/>
                <w:szCs w:val="20"/>
              </w:rPr>
            </w:pPr>
            <w:r w:rsidRPr="00FB3CCF">
              <w:rPr>
                <w:rFonts w:ascii="Arial" w:hAnsi="Arial" w:cs="Arial"/>
                <w:sz w:val="20"/>
                <w:szCs w:val="20"/>
              </w:rPr>
              <w:t>Better modelling may reduce ambiguity, but not remove risk</w:t>
            </w:r>
          </w:p>
        </w:tc>
        <w:tc>
          <w:tcPr>
            <w:tcW w:w="2330" w:type="dxa"/>
            <w:tcBorders>
              <w:top w:val="nil"/>
              <w:left w:val="nil"/>
              <w:bottom w:val="single" w:sz="4" w:space="0" w:color="auto"/>
              <w:right w:val="single" w:sz="4" w:space="0" w:color="auto"/>
            </w:tcBorders>
            <w:vAlign w:val="center"/>
            <w:hideMark/>
          </w:tcPr>
          <w:p w14:paraId="05490F06" w14:textId="77777777" w:rsidR="00FB3CCF" w:rsidRPr="00FB3CCF" w:rsidRDefault="00FB3CCF" w:rsidP="00442932">
            <w:pPr>
              <w:rPr>
                <w:rFonts w:ascii="Arial" w:hAnsi="Arial" w:cs="Arial"/>
                <w:sz w:val="20"/>
                <w:szCs w:val="20"/>
              </w:rPr>
            </w:pPr>
            <w:r w:rsidRPr="00FB3CCF">
              <w:rPr>
                <w:rFonts w:ascii="Arial" w:hAnsi="Arial" w:cs="Arial"/>
                <w:sz w:val="20"/>
                <w:szCs w:val="20"/>
              </w:rPr>
              <w:t>Improved appraisal methods can clarify uncertainty, yet high underlying risk may still deter finance.</w:t>
            </w:r>
          </w:p>
        </w:tc>
        <w:tc>
          <w:tcPr>
            <w:tcW w:w="2330" w:type="dxa"/>
            <w:tcBorders>
              <w:top w:val="nil"/>
              <w:left w:val="nil"/>
              <w:bottom w:val="single" w:sz="4" w:space="0" w:color="auto"/>
              <w:right w:val="single" w:sz="4" w:space="0" w:color="auto"/>
            </w:tcBorders>
            <w:vAlign w:val="center"/>
            <w:hideMark/>
          </w:tcPr>
          <w:p w14:paraId="5ED21845" w14:textId="77777777" w:rsidR="00FB3CCF" w:rsidRPr="00FB3CCF" w:rsidRDefault="00FB3CCF" w:rsidP="00442932">
            <w:pPr>
              <w:rPr>
                <w:rFonts w:ascii="Arial" w:hAnsi="Arial" w:cs="Arial"/>
                <w:sz w:val="20"/>
                <w:szCs w:val="20"/>
              </w:rPr>
            </w:pPr>
            <w:r w:rsidRPr="00FB3CCF">
              <w:rPr>
                <w:rFonts w:ascii="Arial" w:hAnsi="Arial" w:cs="Arial"/>
                <w:sz w:val="20"/>
                <w:szCs w:val="20"/>
              </w:rPr>
              <w:t>Shah et al. (2017); Guanche et al. (2014)</w:t>
            </w:r>
          </w:p>
        </w:tc>
      </w:tr>
      <w:tr w:rsidR="00FB3CCF" w:rsidRPr="00FB3CCF" w14:paraId="11771C99" w14:textId="77777777" w:rsidTr="00442932">
        <w:trPr>
          <w:trHeight w:val="1457"/>
          <w:jc w:val="center"/>
        </w:trPr>
        <w:tc>
          <w:tcPr>
            <w:tcW w:w="2330" w:type="dxa"/>
            <w:tcBorders>
              <w:top w:val="nil"/>
              <w:left w:val="single" w:sz="4" w:space="0" w:color="auto"/>
              <w:bottom w:val="single" w:sz="4" w:space="0" w:color="auto"/>
              <w:right w:val="single" w:sz="4" w:space="0" w:color="auto"/>
            </w:tcBorders>
            <w:vAlign w:val="center"/>
            <w:hideMark/>
          </w:tcPr>
          <w:p w14:paraId="5A12A1D5"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lastRenderedPageBreak/>
              <w:t>Contradiction 2</w:t>
            </w:r>
          </w:p>
        </w:tc>
        <w:tc>
          <w:tcPr>
            <w:tcW w:w="2330" w:type="dxa"/>
            <w:tcBorders>
              <w:top w:val="nil"/>
              <w:left w:val="nil"/>
              <w:bottom w:val="single" w:sz="4" w:space="0" w:color="auto"/>
              <w:right w:val="single" w:sz="4" w:space="0" w:color="auto"/>
            </w:tcBorders>
            <w:vAlign w:val="center"/>
            <w:hideMark/>
          </w:tcPr>
          <w:p w14:paraId="17D74A50" w14:textId="77777777" w:rsidR="00FB3CCF" w:rsidRPr="00FB3CCF" w:rsidRDefault="00FB3CCF" w:rsidP="00442932">
            <w:pPr>
              <w:rPr>
                <w:rFonts w:ascii="Arial" w:hAnsi="Arial" w:cs="Arial"/>
                <w:sz w:val="20"/>
                <w:szCs w:val="20"/>
              </w:rPr>
            </w:pPr>
            <w:r w:rsidRPr="00FB3CCF">
              <w:rPr>
                <w:rFonts w:ascii="Arial" w:hAnsi="Arial" w:cs="Arial"/>
                <w:sz w:val="20"/>
                <w:szCs w:val="20"/>
              </w:rPr>
              <w:t>Strong appraisal frameworks, weak behavioural evidence</w:t>
            </w:r>
          </w:p>
        </w:tc>
        <w:tc>
          <w:tcPr>
            <w:tcW w:w="2330" w:type="dxa"/>
            <w:tcBorders>
              <w:top w:val="nil"/>
              <w:left w:val="nil"/>
              <w:bottom w:val="single" w:sz="4" w:space="0" w:color="auto"/>
              <w:right w:val="single" w:sz="4" w:space="0" w:color="auto"/>
            </w:tcBorders>
            <w:vAlign w:val="center"/>
            <w:hideMark/>
          </w:tcPr>
          <w:p w14:paraId="394AA20D" w14:textId="77777777" w:rsidR="00FB3CCF" w:rsidRPr="00FB3CCF" w:rsidRDefault="00FB3CCF" w:rsidP="00442932">
            <w:pPr>
              <w:rPr>
                <w:rFonts w:ascii="Arial" w:hAnsi="Arial" w:cs="Arial"/>
                <w:sz w:val="20"/>
                <w:szCs w:val="20"/>
              </w:rPr>
            </w:pPr>
            <w:r w:rsidRPr="00FB3CCF">
              <w:rPr>
                <w:rFonts w:ascii="Arial" w:hAnsi="Arial" w:cs="Arial"/>
                <w:sz w:val="20"/>
                <w:szCs w:val="20"/>
              </w:rPr>
              <w:t>The literature explains how risk should be assessed better than how investors actually assess it in practice.</w:t>
            </w:r>
          </w:p>
        </w:tc>
        <w:tc>
          <w:tcPr>
            <w:tcW w:w="2330" w:type="dxa"/>
            <w:tcBorders>
              <w:top w:val="nil"/>
              <w:left w:val="nil"/>
              <w:bottom w:val="single" w:sz="4" w:space="0" w:color="auto"/>
              <w:right w:val="single" w:sz="4" w:space="0" w:color="auto"/>
            </w:tcBorders>
            <w:vAlign w:val="center"/>
            <w:hideMark/>
          </w:tcPr>
          <w:p w14:paraId="7F378F08" w14:textId="77777777" w:rsidR="00FB3CCF" w:rsidRPr="00FB3CCF" w:rsidRDefault="00FB3CCF" w:rsidP="00442932">
            <w:pPr>
              <w:rPr>
                <w:rFonts w:ascii="Arial" w:hAnsi="Arial" w:cs="Arial"/>
                <w:sz w:val="20"/>
                <w:szCs w:val="20"/>
              </w:rPr>
            </w:pPr>
            <w:r w:rsidRPr="00FB3CCF">
              <w:rPr>
                <w:rFonts w:ascii="Arial" w:hAnsi="Arial" w:cs="Arial"/>
                <w:sz w:val="20"/>
                <w:szCs w:val="20"/>
              </w:rPr>
              <w:t>Wilson, Rowley and Watson (2011); Stallard, Ricci and Parque Tecnológico (2009)</w:t>
            </w:r>
          </w:p>
        </w:tc>
      </w:tr>
      <w:tr w:rsidR="00FB3CCF" w:rsidRPr="00FB3CCF" w14:paraId="20F39BD0" w14:textId="77777777" w:rsidTr="00442932">
        <w:trPr>
          <w:trHeight w:val="1457"/>
          <w:jc w:val="center"/>
        </w:trPr>
        <w:tc>
          <w:tcPr>
            <w:tcW w:w="2330" w:type="dxa"/>
            <w:tcBorders>
              <w:top w:val="nil"/>
              <w:left w:val="single" w:sz="4" w:space="0" w:color="auto"/>
              <w:bottom w:val="single" w:sz="4" w:space="0" w:color="auto"/>
              <w:right w:val="single" w:sz="4" w:space="0" w:color="auto"/>
            </w:tcBorders>
            <w:vAlign w:val="center"/>
            <w:hideMark/>
          </w:tcPr>
          <w:p w14:paraId="2190C245"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Contradiction 3</w:t>
            </w:r>
          </w:p>
        </w:tc>
        <w:tc>
          <w:tcPr>
            <w:tcW w:w="2330" w:type="dxa"/>
            <w:tcBorders>
              <w:top w:val="nil"/>
              <w:left w:val="nil"/>
              <w:bottom w:val="single" w:sz="4" w:space="0" w:color="auto"/>
              <w:right w:val="single" w:sz="4" w:space="0" w:color="auto"/>
            </w:tcBorders>
            <w:vAlign w:val="center"/>
            <w:hideMark/>
          </w:tcPr>
          <w:p w14:paraId="49799CBE" w14:textId="77777777" w:rsidR="00FB3CCF" w:rsidRPr="00FB3CCF" w:rsidRDefault="00FB3CCF" w:rsidP="00442932">
            <w:pPr>
              <w:rPr>
                <w:rFonts w:ascii="Arial" w:hAnsi="Arial" w:cs="Arial"/>
                <w:sz w:val="20"/>
                <w:szCs w:val="20"/>
              </w:rPr>
            </w:pPr>
            <w:r w:rsidRPr="00FB3CCF">
              <w:rPr>
                <w:rFonts w:ascii="Arial" w:hAnsi="Arial" w:cs="Arial"/>
                <w:sz w:val="20"/>
                <w:szCs w:val="20"/>
              </w:rPr>
              <w:t>Rational delay can protect investors but stall sector progress</w:t>
            </w:r>
          </w:p>
        </w:tc>
        <w:tc>
          <w:tcPr>
            <w:tcW w:w="2330" w:type="dxa"/>
            <w:tcBorders>
              <w:top w:val="nil"/>
              <w:left w:val="nil"/>
              <w:bottom w:val="single" w:sz="4" w:space="0" w:color="auto"/>
              <w:right w:val="single" w:sz="4" w:space="0" w:color="auto"/>
            </w:tcBorders>
            <w:vAlign w:val="center"/>
            <w:hideMark/>
          </w:tcPr>
          <w:p w14:paraId="597F1065" w14:textId="77777777" w:rsidR="00FB3CCF" w:rsidRPr="00FB3CCF" w:rsidRDefault="00FB3CCF" w:rsidP="00442932">
            <w:pPr>
              <w:rPr>
                <w:rFonts w:ascii="Arial" w:hAnsi="Arial" w:cs="Arial"/>
                <w:sz w:val="20"/>
                <w:szCs w:val="20"/>
              </w:rPr>
            </w:pPr>
            <w:r w:rsidRPr="00FB3CCF">
              <w:rPr>
                <w:rFonts w:ascii="Arial" w:hAnsi="Arial" w:cs="Arial"/>
                <w:sz w:val="20"/>
                <w:szCs w:val="20"/>
              </w:rPr>
              <w:t xml:space="preserve">Waiting may be financially sensible for </w:t>
            </w:r>
            <w:proofErr w:type="gramStart"/>
            <w:r w:rsidRPr="00FB3CCF">
              <w:rPr>
                <w:rFonts w:ascii="Arial" w:hAnsi="Arial" w:cs="Arial"/>
                <w:sz w:val="20"/>
                <w:szCs w:val="20"/>
              </w:rPr>
              <w:t>investors, but</w:t>
            </w:r>
            <w:proofErr w:type="gramEnd"/>
            <w:r w:rsidRPr="00FB3CCF">
              <w:rPr>
                <w:rFonts w:ascii="Arial" w:hAnsi="Arial" w:cs="Arial"/>
                <w:sz w:val="20"/>
                <w:szCs w:val="20"/>
              </w:rPr>
              <w:t xml:space="preserve"> damaging for commercialization and learning.</w:t>
            </w:r>
          </w:p>
        </w:tc>
        <w:tc>
          <w:tcPr>
            <w:tcW w:w="2330" w:type="dxa"/>
            <w:tcBorders>
              <w:top w:val="nil"/>
              <w:left w:val="nil"/>
              <w:bottom w:val="single" w:sz="4" w:space="0" w:color="auto"/>
              <w:right w:val="single" w:sz="4" w:space="0" w:color="auto"/>
            </w:tcBorders>
            <w:vAlign w:val="center"/>
            <w:hideMark/>
          </w:tcPr>
          <w:p w14:paraId="7AA4D7B1" w14:textId="77777777" w:rsidR="00FB3CCF" w:rsidRPr="00FB3CCF" w:rsidRDefault="00FB3CCF" w:rsidP="00442932">
            <w:pPr>
              <w:rPr>
                <w:rFonts w:ascii="Arial" w:hAnsi="Arial" w:cs="Arial"/>
                <w:sz w:val="20"/>
                <w:szCs w:val="20"/>
              </w:rPr>
            </w:pPr>
            <w:r w:rsidRPr="00FB3CCF">
              <w:rPr>
                <w:rFonts w:ascii="Arial" w:hAnsi="Arial" w:cs="Arial"/>
                <w:sz w:val="20"/>
                <w:szCs w:val="20"/>
              </w:rPr>
              <w:t>MacDougall (2018); Gross, Blyth and Heptonstall (2010)</w:t>
            </w:r>
          </w:p>
        </w:tc>
      </w:tr>
      <w:tr w:rsidR="00FB3CCF" w:rsidRPr="00FB3CCF" w14:paraId="58762FE9" w14:textId="77777777" w:rsidTr="00442932">
        <w:trPr>
          <w:trHeight w:val="1595"/>
          <w:jc w:val="center"/>
        </w:trPr>
        <w:tc>
          <w:tcPr>
            <w:tcW w:w="2330" w:type="dxa"/>
            <w:tcBorders>
              <w:top w:val="nil"/>
              <w:left w:val="single" w:sz="4" w:space="0" w:color="auto"/>
              <w:bottom w:val="single" w:sz="4" w:space="0" w:color="auto"/>
              <w:right w:val="single" w:sz="4" w:space="0" w:color="auto"/>
            </w:tcBorders>
            <w:vAlign w:val="center"/>
            <w:hideMark/>
          </w:tcPr>
          <w:p w14:paraId="3CAD2D70" w14:textId="77777777" w:rsidR="00FB3CCF" w:rsidRPr="00FB3CCF" w:rsidRDefault="00FB3CCF" w:rsidP="00442932">
            <w:pPr>
              <w:rPr>
                <w:rFonts w:ascii="Arial" w:hAnsi="Arial" w:cs="Arial"/>
                <w:b/>
                <w:bCs/>
                <w:sz w:val="20"/>
                <w:szCs w:val="20"/>
              </w:rPr>
            </w:pPr>
            <w:r w:rsidRPr="00FB3CCF">
              <w:rPr>
                <w:rFonts w:ascii="Arial" w:hAnsi="Arial" w:cs="Arial"/>
                <w:b/>
                <w:bCs/>
                <w:sz w:val="20"/>
                <w:szCs w:val="20"/>
              </w:rPr>
              <w:t>Contradiction 4</w:t>
            </w:r>
          </w:p>
        </w:tc>
        <w:tc>
          <w:tcPr>
            <w:tcW w:w="2330" w:type="dxa"/>
            <w:tcBorders>
              <w:top w:val="nil"/>
              <w:left w:val="nil"/>
              <w:bottom w:val="single" w:sz="4" w:space="0" w:color="auto"/>
              <w:right w:val="single" w:sz="4" w:space="0" w:color="auto"/>
            </w:tcBorders>
            <w:vAlign w:val="center"/>
            <w:hideMark/>
          </w:tcPr>
          <w:p w14:paraId="5AB50857" w14:textId="77777777" w:rsidR="00FB3CCF" w:rsidRPr="00FB3CCF" w:rsidRDefault="00FB3CCF" w:rsidP="00442932">
            <w:pPr>
              <w:rPr>
                <w:rFonts w:ascii="Arial" w:hAnsi="Arial" w:cs="Arial"/>
                <w:sz w:val="20"/>
                <w:szCs w:val="20"/>
              </w:rPr>
            </w:pPr>
            <w:r w:rsidRPr="00FB3CCF">
              <w:rPr>
                <w:rFonts w:ascii="Arial" w:hAnsi="Arial" w:cs="Arial"/>
                <w:sz w:val="20"/>
                <w:szCs w:val="20"/>
              </w:rPr>
              <w:t>Broad renewable finance logic is useful, but not wave-specific</w:t>
            </w:r>
          </w:p>
        </w:tc>
        <w:tc>
          <w:tcPr>
            <w:tcW w:w="2330" w:type="dxa"/>
            <w:tcBorders>
              <w:top w:val="nil"/>
              <w:left w:val="nil"/>
              <w:bottom w:val="single" w:sz="4" w:space="0" w:color="auto"/>
              <w:right w:val="single" w:sz="4" w:space="0" w:color="auto"/>
            </w:tcBorders>
            <w:vAlign w:val="center"/>
            <w:hideMark/>
          </w:tcPr>
          <w:p w14:paraId="6E0DC599" w14:textId="77777777" w:rsidR="00FB3CCF" w:rsidRPr="00FB3CCF" w:rsidRDefault="00FB3CCF" w:rsidP="00442932">
            <w:pPr>
              <w:rPr>
                <w:rFonts w:ascii="Arial" w:hAnsi="Arial" w:cs="Arial"/>
                <w:sz w:val="20"/>
                <w:szCs w:val="20"/>
              </w:rPr>
            </w:pPr>
            <w:r w:rsidRPr="00FB3CCF">
              <w:rPr>
                <w:rFonts w:ascii="Arial" w:hAnsi="Arial" w:cs="Arial"/>
                <w:sz w:val="20"/>
                <w:szCs w:val="20"/>
              </w:rPr>
              <w:t xml:space="preserve">General studies on policy risk and financier heterogeneity help </w:t>
            </w:r>
            <w:proofErr w:type="gramStart"/>
            <w:r w:rsidRPr="00FB3CCF">
              <w:rPr>
                <w:rFonts w:ascii="Arial" w:hAnsi="Arial" w:cs="Arial"/>
                <w:sz w:val="20"/>
                <w:szCs w:val="20"/>
              </w:rPr>
              <w:t>interpretation, but</w:t>
            </w:r>
            <w:proofErr w:type="gramEnd"/>
            <w:r w:rsidRPr="00FB3CCF">
              <w:rPr>
                <w:rFonts w:ascii="Arial" w:hAnsi="Arial" w:cs="Arial"/>
                <w:sz w:val="20"/>
                <w:szCs w:val="20"/>
              </w:rPr>
              <w:t xml:space="preserve"> may not fully capture marine energy conditions.</w:t>
            </w:r>
          </w:p>
        </w:tc>
        <w:tc>
          <w:tcPr>
            <w:tcW w:w="2330" w:type="dxa"/>
            <w:tcBorders>
              <w:top w:val="nil"/>
              <w:left w:val="nil"/>
              <w:bottom w:val="single" w:sz="4" w:space="0" w:color="auto"/>
              <w:right w:val="single" w:sz="4" w:space="0" w:color="auto"/>
            </w:tcBorders>
            <w:vAlign w:val="center"/>
            <w:hideMark/>
          </w:tcPr>
          <w:p w14:paraId="2162702D" w14:textId="77777777" w:rsidR="00FB3CCF" w:rsidRPr="00FB3CCF" w:rsidRDefault="00FB3CCF" w:rsidP="00442932">
            <w:pPr>
              <w:rPr>
                <w:rFonts w:ascii="Arial" w:hAnsi="Arial" w:cs="Arial"/>
                <w:sz w:val="20"/>
                <w:szCs w:val="20"/>
              </w:rPr>
            </w:pPr>
            <w:proofErr w:type="spellStart"/>
            <w:r w:rsidRPr="00FB3CCF">
              <w:rPr>
                <w:rFonts w:ascii="Arial" w:hAnsi="Arial" w:cs="Arial"/>
                <w:sz w:val="20"/>
                <w:szCs w:val="20"/>
              </w:rPr>
              <w:t>Kitzing</w:t>
            </w:r>
            <w:proofErr w:type="spellEnd"/>
            <w:r w:rsidRPr="00FB3CCF">
              <w:rPr>
                <w:rFonts w:ascii="Arial" w:hAnsi="Arial" w:cs="Arial"/>
                <w:sz w:val="20"/>
                <w:szCs w:val="20"/>
              </w:rPr>
              <w:t xml:space="preserve"> (2014); Nightingale et al. (2016)</w:t>
            </w:r>
          </w:p>
        </w:tc>
      </w:tr>
      <w:tr w:rsidR="00FB3CCF" w:rsidRPr="00FB3CCF" w14:paraId="58B0A5FC" w14:textId="77777777" w:rsidTr="00442932">
        <w:trPr>
          <w:trHeight w:val="315"/>
          <w:jc w:val="center"/>
        </w:trPr>
        <w:tc>
          <w:tcPr>
            <w:tcW w:w="9322" w:type="dxa"/>
            <w:gridSpan w:val="4"/>
            <w:tcBorders>
              <w:top w:val="nil"/>
              <w:left w:val="nil"/>
              <w:bottom w:val="nil"/>
              <w:right w:val="nil"/>
            </w:tcBorders>
            <w:vAlign w:val="center"/>
            <w:hideMark/>
          </w:tcPr>
          <w:p w14:paraId="4918D503" w14:textId="77777777" w:rsidR="00FB3CCF" w:rsidRPr="00FB3CCF" w:rsidRDefault="00FB3CCF" w:rsidP="00442932">
            <w:pPr>
              <w:rPr>
                <w:rFonts w:ascii="Arial" w:hAnsi="Arial" w:cs="Arial"/>
                <w:sz w:val="20"/>
                <w:szCs w:val="20"/>
              </w:rPr>
            </w:pPr>
            <w:r w:rsidRPr="00FB3CCF">
              <w:rPr>
                <w:rFonts w:ascii="Arial" w:hAnsi="Arial" w:cs="Arial"/>
                <w:sz w:val="20"/>
                <w:szCs w:val="20"/>
              </w:rPr>
              <w:t>Source: Author’s synthesis based on the reviewed literature.</w:t>
            </w:r>
          </w:p>
        </w:tc>
      </w:tr>
    </w:tbl>
    <w:p w14:paraId="0BDCA2D8" w14:textId="77777777" w:rsidR="00FB3CCF" w:rsidRPr="00FB3CCF" w:rsidRDefault="00FB3CCF" w:rsidP="00FB3CCF">
      <w:pPr>
        <w:spacing w:line="360" w:lineRule="auto"/>
        <w:jc w:val="both"/>
        <w:rPr>
          <w:rFonts w:ascii="Arial" w:hAnsi="Arial" w:cs="Arial"/>
          <w:b/>
          <w:bCs/>
        </w:rPr>
      </w:pPr>
    </w:p>
    <w:p w14:paraId="2A5FFA55" w14:textId="77777777" w:rsidR="00FB3CCF" w:rsidRPr="00FB3CCF" w:rsidRDefault="00FB3CCF" w:rsidP="00FB3CCF">
      <w:pPr>
        <w:spacing w:line="360" w:lineRule="auto"/>
        <w:jc w:val="both"/>
        <w:rPr>
          <w:rFonts w:ascii="Arial" w:hAnsi="Arial" w:cs="Arial"/>
          <w:b/>
          <w:bCs/>
        </w:rPr>
      </w:pPr>
    </w:p>
    <w:p w14:paraId="3F135BC1" w14:textId="77777777" w:rsidR="00FB3CCF" w:rsidRPr="00FB3CCF" w:rsidRDefault="00FB3CCF" w:rsidP="00FB3CCF">
      <w:pPr>
        <w:spacing w:line="360" w:lineRule="auto"/>
        <w:jc w:val="both"/>
        <w:rPr>
          <w:rFonts w:ascii="Arial" w:hAnsi="Arial" w:cs="Arial"/>
          <w:b/>
          <w:bCs/>
        </w:rPr>
      </w:pPr>
    </w:p>
    <w:p w14:paraId="64B3E2E3" w14:textId="77777777" w:rsidR="00FB3CCF" w:rsidRPr="00FB3CCF" w:rsidRDefault="00FB3CCF" w:rsidP="00FB3CCF">
      <w:pPr>
        <w:spacing w:line="360" w:lineRule="auto"/>
        <w:jc w:val="both"/>
        <w:rPr>
          <w:rFonts w:ascii="Arial" w:hAnsi="Arial" w:cs="Arial"/>
          <w:b/>
          <w:bCs/>
        </w:rPr>
      </w:pPr>
    </w:p>
    <w:p w14:paraId="64140E42" w14:textId="77777777" w:rsidR="00FB3CCF" w:rsidRPr="00FB3CCF" w:rsidRDefault="00FB3CCF" w:rsidP="00FB3CCF">
      <w:pPr>
        <w:spacing w:line="360" w:lineRule="auto"/>
        <w:jc w:val="both"/>
        <w:rPr>
          <w:rFonts w:ascii="Arial" w:hAnsi="Arial" w:cs="Arial"/>
          <w:b/>
          <w:bCs/>
        </w:rPr>
      </w:pPr>
    </w:p>
    <w:p w14:paraId="7073D41D" w14:textId="77777777" w:rsidR="00FB3CCF" w:rsidRPr="00FB3CCF" w:rsidRDefault="00FB3CCF" w:rsidP="00FB3CCF">
      <w:pPr>
        <w:spacing w:line="360" w:lineRule="auto"/>
        <w:jc w:val="both"/>
        <w:rPr>
          <w:rFonts w:ascii="Arial" w:hAnsi="Arial" w:cs="Arial"/>
          <w:b/>
          <w:bCs/>
        </w:rPr>
      </w:pPr>
    </w:p>
    <w:p w14:paraId="269D4A15" w14:textId="77777777" w:rsidR="00FB3CCF" w:rsidRPr="00FB3CCF" w:rsidRDefault="00FB3CCF" w:rsidP="00FB3CCF">
      <w:pPr>
        <w:spacing w:line="360" w:lineRule="auto"/>
        <w:jc w:val="both"/>
        <w:rPr>
          <w:rFonts w:ascii="Arial" w:hAnsi="Arial" w:cs="Arial"/>
          <w:b/>
          <w:bCs/>
        </w:rPr>
      </w:pPr>
    </w:p>
    <w:p w14:paraId="7B2FD088" w14:textId="77777777" w:rsidR="00FB3CCF" w:rsidRPr="00FB3CCF" w:rsidRDefault="00FB3CCF" w:rsidP="00FB3CCF">
      <w:pPr>
        <w:spacing w:line="360" w:lineRule="auto"/>
        <w:jc w:val="both"/>
        <w:rPr>
          <w:rFonts w:ascii="Arial" w:hAnsi="Arial" w:cs="Arial"/>
          <w:b/>
          <w:bCs/>
        </w:rPr>
      </w:pPr>
    </w:p>
    <w:p w14:paraId="745FE77E" w14:textId="77777777" w:rsidR="00FB3CCF" w:rsidRPr="00FB3CCF" w:rsidRDefault="00FB3CCF" w:rsidP="00FB3CCF">
      <w:pPr>
        <w:spacing w:line="360" w:lineRule="auto"/>
        <w:jc w:val="both"/>
        <w:rPr>
          <w:rFonts w:ascii="Arial" w:hAnsi="Arial" w:cs="Arial"/>
          <w:b/>
          <w:bCs/>
        </w:rPr>
      </w:pPr>
    </w:p>
    <w:p w14:paraId="1E40B0CE" w14:textId="77777777" w:rsidR="00FB3CCF" w:rsidRPr="00FB3CCF" w:rsidRDefault="00FB3CCF" w:rsidP="00FB3CCF">
      <w:pPr>
        <w:spacing w:line="360" w:lineRule="auto"/>
        <w:jc w:val="both"/>
        <w:rPr>
          <w:rFonts w:ascii="Arial" w:hAnsi="Arial" w:cs="Arial"/>
          <w:b/>
          <w:bCs/>
        </w:rPr>
      </w:pPr>
    </w:p>
    <w:p w14:paraId="32CB9532" w14:textId="77777777" w:rsidR="00FB3CCF" w:rsidRPr="00FB3CCF" w:rsidRDefault="00FB3CCF" w:rsidP="00FB3CCF">
      <w:pPr>
        <w:spacing w:line="360" w:lineRule="auto"/>
        <w:jc w:val="both"/>
        <w:rPr>
          <w:rFonts w:ascii="Arial" w:hAnsi="Arial" w:cs="Arial"/>
          <w:b/>
          <w:bCs/>
        </w:rPr>
      </w:pPr>
    </w:p>
    <w:p w14:paraId="47276825" w14:textId="77777777" w:rsidR="00FB3CCF" w:rsidRPr="00FB3CCF" w:rsidRDefault="00FB3CCF" w:rsidP="00FB3CCF">
      <w:pPr>
        <w:spacing w:line="360" w:lineRule="auto"/>
        <w:jc w:val="both"/>
        <w:rPr>
          <w:rFonts w:ascii="Arial" w:hAnsi="Arial" w:cs="Arial"/>
          <w:b/>
          <w:bCs/>
        </w:rPr>
      </w:pPr>
    </w:p>
    <w:p w14:paraId="4DD32A22" w14:textId="77777777" w:rsidR="00FB3CCF" w:rsidRPr="00FB3CCF" w:rsidRDefault="00FB3CCF" w:rsidP="00FB3CCF">
      <w:pPr>
        <w:spacing w:line="360" w:lineRule="auto"/>
        <w:jc w:val="both"/>
        <w:rPr>
          <w:rFonts w:ascii="Arial" w:hAnsi="Arial" w:cs="Arial"/>
          <w:b/>
          <w:bCs/>
        </w:rPr>
      </w:pPr>
    </w:p>
    <w:p w14:paraId="39043A43" w14:textId="77777777" w:rsidR="00FB3CCF" w:rsidRPr="00FB3CCF" w:rsidRDefault="00FB3CCF" w:rsidP="00FB3CCF">
      <w:pPr>
        <w:spacing w:line="360" w:lineRule="auto"/>
        <w:jc w:val="both"/>
        <w:rPr>
          <w:rFonts w:ascii="Arial" w:hAnsi="Arial" w:cs="Arial"/>
          <w:b/>
          <w:bCs/>
        </w:rPr>
      </w:pPr>
    </w:p>
    <w:p w14:paraId="723BE2FF" w14:textId="77777777" w:rsidR="00FB3CCF" w:rsidRPr="00FB3CCF" w:rsidRDefault="00FB3CCF" w:rsidP="00FB3CCF">
      <w:pPr>
        <w:spacing w:line="360" w:lineRule="auto"/>
        <w:jc w:val="both"/>
        <w:rPr>
          <w:rFonts w:ascii="Arial" w:hAnsi="Arial" w:cs="Arial"/>
          <w:b/>
          <w:bCs/>
        </w:rPr>
      </w:pPr>
    </w:p>
    <w:p w14:paraId="7E80357D" w14:textId="77777777" w:rsidR="00FB3CCF" w:rsidRPr="00FB3CCF" w:rsidRDefault="00FB3CCF" w:rsidP="00FB3CCF">
      <w:pPr>
        <w:spacing w:line="360" w:lineRule="auto"/>
        <w:jc w:val="both"/>
        <w:rPr>
          <w:rFonts w:ascii="Arial" w:hAnsi="Arial" w:cs="Arial"/>
          <w:b/>
          <w:bCs/>
        </w:rPr>
      </w:pPr>
    </w:p>
    <w:p w14:paraId="1790E8FC" w14:textId="77777777" w:rsidR="00FB3CCF" w:rsidRPr="00FB3CCF" w:rsidRDefault="00FB3CCF" w:rsidP="00FB3CCF">
      <w:pPr>
        <w:spacing w:line="360" w:lineRule="auto"/>
        <w:jc w:val="both"/>
        <w:rPr>
          <w:rFonts w:ascii="Arial" w:hAnsi="Arial" w:cs="Arial"/>
          <w:b/>
          <w:bCs/>
        </w:rPr>
      </w:pPr>
    </w:p>
    <w:p w14:paraId="2D46C6AB" w14:textId="77777777" w:rsidR="00FB3CCF" w:rsidRPr="00FB3CCF" w:rsidRDefault="00FB3CCF" w:rsidP="00FB3CCF">
      <w:pPr>
        <w:spacing w:line="360" w:lineRule="auto"/>
        <w:jc w:val="both"/>
        <w:rPr>
          <w:rFonts w:ascii="Arial" w:hAnsi="Arial" w:cs="Arial"/>
          <w:b/>
          <w:bCs/>
        </w:rPr>
      </w:pPr>
    </w:p>
    <w:p w14:paraId="0F404DAA" w14:textId="77777777" w:rsidR="00FB3CCF" w:rsidRPr="00FB3CCF" w:rsidRDefault="00FB3CCF" w:rsidP="00FB3CCF">
      <w:pPr>
        <w:spacing w:line="360" w:lineRule="auto"/>
        <w:jc w:val="both"/>
        <w:rPr>
          <w:rFonts w:ascii="Arial" w:hAnsi="Arial" w:cs="Arial"/>
          <w:b/>
          <w:bCs/>
        </w:rPr>
      </w:pPr>
    </w:p>
    <w:p w14:paraId="30F0276F" w14:textId="77777777" w:rsidR="00FB3CCF" w:rsidRPr="00FB3CCF" w:rsidRDefault="00FB3CCF" w:rsidP="00FB3CCF">
      <w:pPr>
        <w:spacing w:line="360" w:lineRule="auto"/>
        <w:jc w:val="both"/>
        <w:rPr>
          <w:rFonts w:ascii="Arial" w:hAnsi="Arial" w:cs="Arial"/>
          <w:b/>
          <w:bCs/>
        </w:rPr>
      </w:pPr>
    </w:p>
    <w:p w14:paraId="08259B67" w14:textId="77777777" w:rsidR="00FB3CCF" w:rsidRPr="00FB3CCF" w:rsidRDefault="00FB3CCF" w:rsidP="00FB3CCF">
      <w:pPr>
        <w:spacing w:line="360" w:lineRule="auto"/>
        <w:jc w:val="both"/>
        <w:rPr>
          <w:rFonts w:ascii="Arial" w:hAnsi="Arial" w:cs="Arial"/>
          <w:b/>
          <w:bCs/>
        </w:rPr>
      </w:pPr>
    </w:p>
    <w:p w14:paraId="25C77C3C" w14:textId="77777777" w:rsidR="00FB3CCF" w:rsidRPr="00FB3CCF" w:rsidRDefault="00FB3CCF" w:rsidP="00FB3CCF">
      <w:pPr>
        <w:spacing w:line="360" w:lineRule="auto"/>
        <w:jc w:val="both"/>
        <w:rPr>
          <w:rFonts w:ascii="Arial" w:hAnsi="Arial" w:cs="Arial"/>
          <w:b/>
          <w:bCs/>
        </w:rPr>
      </w:pPr>
    </w:p>
    <w:p w14:paraId="70F5DE03" w14:textId="77777777" w:rsidR="00FB3CCF" w:rsidRPr="00FB3CCF" w:rsidRDefault="00FB3CCF" w:rsidP="00FB3CCF">
      <w:pPr>
        <w:spacing w:line="360" w:lineRule="auto"/>
        <w:jc w:val="both"/>
        <w:rPr>
          <w:rFonts w:ascii="Arial" w:hAnsi="Arial" w:cs="Arial"/>
          <w:b/>
          <w:bCs/>
        </w:rPr>
      </w:pPr>
    </w:p>
    <w:p w14:paraId="23531F97" w14:textId="77777777" w:rsidR="00FB3CCF" w:rsidRPr="00FB3CCF" w:rsidRDefault="00FB3CCF" w:rsidP="00FB3CCF">
      <w:pPr>
        <w:spacing w:line="360" w:lineRule="auto"/>
        <w:jc w:val="both"/>
        <w:rPr>
          <w:rFonts w:ascii="Arial" w:hAnsi="Arial" w:cs="Arial"/>
          <w:b/>
          <w:bCs/>
        </w:rPr>
      </w:pPr>
    </w:p>
    <w:p w14:paraId="46EF9921" w14:textId="77777777" w:rsidR="00FB3CCF" w:rsidRPr="00FB3CCF" w:rsidRDefault="00FB3CCF" w:rsidP="00FB3CCF">
      <w:pPr>
        <w:spacing w:line="360" w:lineRule="auto"/>
        <w:jc w:val="both"/>
        <w:rPr>
          <w:rFonts w:ascii="Arial" w:hAnsi="Arial" w:cs="Arial"/>
          <w:b/>
          <w:bCs/>
        </w:rPr>
      </w:pPr>
    </w:p>
    <w:p w14:paraId="70D26672"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Appendix L</w:t>
      </w:r>
    </w:p>
    <w:p w14:paraId="52B10CFD" w14:textId="77777777" w:rsidR="00FB3CCF" w:rsidRPr="00FB3CCF" w:rsidRDefault="00FB3CCF" w:rsidP="00FB3CCF">
      <w:pPr>
        <w:spacing w:line="360" w:lineRule="auto"/>
        <w:jc w:val="both"/>
        <w:rPr>
          <w:rFonts w:ascii="Arial" w:hAnsi="Arial" w:cs="Arial"/>
          <w:b/>
          <w:bCs/>
        </w:rPr>
      </w:pPr>
      <w:r w:rsidRPr="00FB3CCF">
        <w:rPr>
          <w:rFonts w:ascii="Arial" w:hAnsi="Arial" w:cs="Arial"/>
          <w:b/>
          <w:bCs/>
        </w:rPr>
        <w:t>Table L1. Theme 6 Patterns and Contradictions: Governance, consenting, and non-technical barriers</w:t>
      </w:r>
    </w:p>
    <w:tbl>
      <w:tblPr>
        <w:tblW w:w="9720" w:type="dxa"/>
        <w:jc w:val="center"/>
        <w:tblLook w:val="04A0" w:firstRow="1" w:lastRow="0" w:firstColumn="1" w:lastColumn="0" w:noHBand="0" w:noVBand="1"/>
      </w:tblPr>
      <w:tblGrid>
        <w:gridCol w:w="2100"/>
        <w:gridCol w:w="2540"/>
        <w:gridCol w:w="2540"/>
        <w:gridCol w:w="2540"/>
      </w:tblGrid>
      <w:tr w:rsidR="00FB3CCF" w:rsidRPr="00FB3CCF" w14:paraId="72E3DFE6" w14:textId="77777777" w:rsidTr="00442932">
        <w:trPr>
          <w:trHeight w:val="1720"/>
          <w:jc w:val="center"/>
        </w:trPr>
        <w:tc>
          <w:tcPr>
            <w:tcW w:w="2100" w:type="dxa"/>
            <w:tcBorders>
              <w:top w:val="single" w:sz="4" w:space="0" w:color="auto"/>
              <w:left w:val="single" w:sz="4" w:space="0" w:color="auto"/>
              <w:bottom w:val="single" w:sz="4" w:space="0" w:color="auto"/>
              <w:right w:val="single" w:sz="4" w:space="0" w:color="auto"/>
            </w:tcBorders>
            <w:vAlign w:val="center"/>
            <w:hideMark/>
          </w:tcPr>
          <w:p w14:paraId="6D4C1D33"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Area</w:t>
            </w:r>
          </w:p>
        </w:tc>
        <w:tc>
          <w:tcPr>
            <w:tcW w:w="2540" w:type="dxa"/>
            <w:tcBorders>
              <w:top w:val="single" w:sz="4" w:space="0" w:color="auto"/>
              <w:left w:val="nil"/>
              <w:bottom w:val="single" w:sz="4" w:space="0" w:color="auto"/>
              <w:right w:val="single" w:sz="4" w:space="0" w:color="auto"/>
            </w:tcBorders>
            <w:vAlign w:val="center"/>
            <w:hideMark/>
          </w:tcPr>
          <w:p w14:paraId="1C091ED2"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 contradiction</w:t>
            </w:r>
          </w:p>
        </w:tc>
        <w:tc>
          <w:tcPr>
            <w:tcW w:w="2540" w:type="dxa"/>
            <w:tcBorders>
              <w:top w:val="single" w:sz="4" w:space="0" w:color="auto"/>
              <w:left w:val="nil"/>
              <w:bottom w:val="single" w:sz="4" w:space="0" w:color="auto"/>
              <w:right w:val="single" w:sz="4" w:space="0" w:color="auto"/>
            </w:tcBorders>
            <w:vAlign w:val="center"/>
            <w:hideMark/>
          </w:tcPr>
          <w:p w14:paraId="24F02A58"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Explanation</w:t>
            </w:r>
          </w:p>
        </w:tc>
        <w:tc>
          <w:tcPr>
            <w:tcW w:w="2540" w:type="dxa"/>
            <w:tcBorders>
              <w:top w:val="single" w:sz="4" w:space="0" w:color="auto"/>
              <w:left w:val="nil"/>
              <w:bottom w:val="single" w:sz="4" w:space="0" w:color="auto"/>
              <w:right w:val="single" w:sz="4" w:space="0" w:color="auto"/>
            </w:tcBorders>
            <w:vAlign w:val="center"/>
            <w:hideMark/>
          </w:tcPr>
          <w:p w14:paraId="2C953375"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Key supporting studies</w:t>
            </w:r>
          </w:p>
        </w:tc>
      </w:tr>
      <w:tr w:rsidR="00FB3CCF" w:rsidRPr="00FB3CCF" w14:paraId="6932AD56" w14:textId="77777777" w:rsidTr="00442932">
        <w:trPr>
          <w:trHeight w:val="1720"/>
          <w:jc w:val="center"/>
        </w:trPr>
        <w:tc>
          <w:tcPr>
            <w:tcW w:w="2100" w:type="dxa"/>
            <w:tcBorders>
              <w:top w:val="nil"/>
              <w:left w:val="single" w:sz="4" w:space="0" w:color="auto"/>
              <w:bottom w:val="single" w:sz="4" w:space="0" w:color="auto"/>
              <w:right w:val="single" w:sz="4" w:space="0" w:color="auto"/>
            </w:tcBorders>
            <w:vAlign w:val="center"/>
            <w:hideMark/>
          </w:tcPr>
          <w:p w14:paraId="2B1176F0"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1</w:t>
            </w:r>
          </w:p>
        </w:tc>
        <w:tc>
          <w:tcPr>
            <w:tcW w:w="2540" w:type="dxa"/>
            <w:tcBorders>
              <w:top w:val="nil"/>
              <w:left w:val="nil"/>
              <w:bottom w:val="single" w:sz="4" w:space="0" w:color="auto"/>
              <w:right w:val="single" w:sz="4" w:space="0" w:color="auto"/>
            </w:tcBorders>
            <w:vAlign w:val="center"/>
            <w:hideMark/>
          </w:tcPr>
          <w:p w14:paraId="580C9CBE" w14:textId="77777777" w:rsidR="00FB3CCF" w:rsidRPr="00FB3CCF" w:rsidRDefault="00FB3CCF" w:rsidP="00442932">
            <w:pPr>
              <w:rPr>
                <w:rFonts w:ascii="Arial" w:hAnsi="Arial" w:cs="Arial"/>
                <w:sz w:val="21"/>
                <w:szCs w:val="21"/>
              </w:rPr>
            </w:pPr>
            <w:r w:rsidRPr="00FB3CCF">
              <w:rPr>
                <w:rFonts w:ascii="Arial" w:hAnsi="Arial" w:cs="Arial"/>
                <w:sz w:val="21"/>
                <w:szCs w:val="21"/>
              </w:rPr>
              <w:t>Consenting is a major non-technical barrier</w:t>
            </w:r>
          </w:p>
        </w:tc>
        <w:tc>
          <w:tcPr>
            <w:tcW w:w="2540" w:type="dxa"/>
            <w:tcBorders>
              <w:top w:val="nil"/>
              <w:left w:val="nil"/>
              <w:bottom w:val="single" w:sz="4" w:space="0" w:color="auto"/>
              <w:right w:val="single" w:sz="4" w:space="0" w:color="auto"/>
            </w:tcBorders>
            <w:vAlign w:val="center"/>
            <w:hideMark/>
          </w:tcPr>
          <w:p w14:paraId="76E610C4" w14:textId="77777777" w:rsidR="00FB3CCF" w:rsidRPr="00FB3CCF" w:rsidRDefault="00FB3CCF" w:rsidP="00442932">
            <w:pPr>
              <w:rPr>
                <w:rFonts w:ascii="Arial" w:hAnsi="Arial" w:cs="Arial"/>
                <w:sz w:val="21"/>
                <w:szCs w:val="21"/>
              </w:rPr>
            </w:pPr>
            <w:r w:rsidRPr="00FB3CCF">
              <w:rPr>
                <w:rFonts w:ascii="Arial" w:hAnsi="Arial" w:cs="Arial"/>
                <w:sz w:val="21"/>
                <w:szCs w:val="21"/>
              </w:rPr>
              <w:t>Licensing, EIA, and regulatory approvals add delay, uncertainty, and cost.</w:t>
            </w:r>
          </w:p>
        </w:tc>
        <w:tc>
          <w:tcPr>
            <w:tcW w:w="2540" w:type="dxa"/>
            <w:tcBorders>
              <w:top w:val="nil"/>
              <w:left w:val="nil"/>
              <w:bottom w:val="single" w:sz="4" w:space="0" w:color="auto"/>
              <w:right w:val="single" w:sz="4" w:space="0" w:color="auto"/>
            </w:tcBorders>
            <w:vAlign w:val="center"/>
            <w:hideMark/>
          </w:tcPr>
          <w:p w14:paraId="731E370C" w14:textId="77777777" w:rsidR="00FB3CCF" w:rsidRPr="00FB3CCF" w:rsidRDefault="00FB3CCF" w:rsidP="00442932">
            <w:pPr>
              <w:rPr>
                <w:rFonts w:ascii="Arial" w:hAnsi="Arial" w:cs="Arial"/>
                <w:sz w:val="21"/>
                <w:szCs w:val="21"/>
              </w:rPr>
            </w:pPr>
            <w:r w:rsidRPr="00FB3CCF">
              <w:rPr>
                <w:rFonts w:ascii="Arial" w:hAnsi="Arial" w:cs="Arial"/>
                <w:sz w:val="21"/>
                <w:szCs w:val="21"/>
              </w:rPr>
              <w:t>Wright (2016); Leary and Esteban (2009); Neumann et al. (2006)</w:t>
            </w:r>
          </w:p>
        </w:tc>
      </w:tr>
      <w:tr w:rsidR="00FB3CCF" w:rsidRPr="00FB3CCF" w14:paraId="4A9DD36E" w14:textId="77777777" w:rsidTr="00442932">
        <w:trPr>
          <w:trHeight w:val="1720"/>
          <w:jc w:val="center"/>
        </w:trPr>
        <w:tc>
          <w:tcPr>
            <w:tcW w:w="2100" w:type="dxa"/>
            <w:tcBorders>
              <w:top w:val="nil"/>
              <w:left w:val="single" w:sz="4" w:space="0" w:color="auto"/>
              <w:bottom w:val="single" w:sz="4" w:space="0" w:color="auto"/>
              <w:right w:val="single" w:sz="4" w:space="0" w:color="auto"/>
            </w:tcBorders>
            <w:vAlign w:val="center"/>
            <w:hideMark/>
          </w:tcPr>
          <w:p w14:paraId="58309E52"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2</w:t>
            </w:r>
          </w:p>
        </w:tc>
        <w:tc>
          <w:tcPr>
            <w:tcW w:w="2540" w:type="dxa"/>
            <w:tcBorders>
              <w:top w:val="nil"/>
              <w:left w:val="nil"/>
              <w:bottom w:val="single" w:sz="4" w:space="0" w:color="auto"/>
              <w:right w:val="single" w:sz="4" w:space="0" w:color="auto"/>
            </w:tcBorders>
            <w:vAlign w:val="center"/>
            <w:hideMark/>
          </w:tcPr>
          <w:p w14:paraId="5C36A713" w14:textId="77777777" w:rsidR="00FB3CCF" w:rsidRPr="00FB3CCF" w:rsidRDefault="00FB3CCF" w:rsidP="00442932">
            <w:pPr>
              <w:rPr>
                <w:rFonts w:ascii="Arial" w:hAnsi="Arial" w:cs="Arial"/>
                <w:sz w:val="21"/>
                <w:szCs w:val="21"/>
              </w:rPr>
            </w:pPr>
            <w:r w:rsidRPr="00FB3CCF">
              <w:rPr>
                <w:rFonts w:ascii="Arial" w:hAnsi="Arial" w:cs="Arial"/>
                <w:sz w:val="21"/>
                <w:szCs w:val="21"/>
              </w:rPr>
              <w:t>Environmental evidence requirements are substantial</w:t>
            </w:r>
          </w:p>
        </w:tc>
        <w:tc>
          <w:tcPr>
            <w:tcW w:w="2540" w:type="dxa"/>
            <w:tcBorders>
              <w:top w:val="nil"/>
              <w:left w:val="nil"/>
              <w:bottom w:val="single" w:sz="4" w:space="0" w:color="auto"/>
              <w:right w:val="single" w:sz="4" w:space="0" w:color="auto"/>
            </w:tcBorders>
            <w:vAlign w:val="center"/>
            <w:hideMark/>
          </w:tcPr>
          <w:p w14:paraId="37B46456" w14:textId="77777777" w:rsidR="00FB3CCF" w:rsidRPr="00FB3CCF" w:rsidRDefault="00FB3CCF" w:rsidP="00442932">
            <w:pPr>
              <w:rPr>
                <w:rFonts w:ascii="Arial" w:hAnsi="Arial" w:cs="Arial"/>
                <w:sz w:val="21"/>
                <w:szCs w:val="21"/>
              </w:rPr>
            </w:pPr>
            <w:r w:rsidRPr="00FB3CCF">
              <w:rPr>
                <w:rFonts w:ascii="Arial" w:hAnsi="Arial" w:cs="Arial"/>
                <w:sz w:val="21"/>
                <w:szCs w:val="21"/>
              </w:rPr>
              <w:t>Monitoring and biodiversity assessment create real evidential burdens for developers.</w:t>
            </w:r>
          </w:p>
        </w:tc>
        <w:tc>
          <w:tcPr>
            <w:tcW w:w="2540" w:type="dxa"/>
            <w:tcBorders>
              <w:top w:val="nil"/>
              <w:left w:val="nil"/>
              <w:bottom w:val="single" w:sz="4" w:space="0" w:color="auto"/>
              <w:right w:val="single" w:sz="4" w:space="0" w:color="auto"/>
            </w:tcBorders>
            <w:vAlign w:val="center"/>
            <w:hideMark/>
          </w:tcPr>
          <w:p w14:paraId="1E7A0851" w14:textId="77777777" w:rsidR="00FB3CCF" w:rsidRPr="00FB3CCF" w:rsidRDefault="00FB3CCF" w:rsidP="00442932">
            <w:pPr>
              <w:rPr>
                <w:rFonts w:ascii="Arial" w:hAnsi="Arial" w:cs="Arial"/>
                <w:sz w:val="21"/>
                <w:szCs w:val="21"/>
              </w:rPr>
            </w:pPr>
            <w:r w:rsidRPr="00FB3CCF">
              <w:rPr>
                <w:rFonts w:ascii="Arial" w:hAnsi="Arial" w:cs="Arial"/>
                <w:sz w:val="21"/>
                <w:szCs w:val="21"/>
              </w:rPr>
              <w:t>Greaves et al. (2016); Witt et al. (2012); Harrington and Andina-</w:t>
            </w:r>
            <w:proofErr w:type="spellStart"/>
            <w:r w:rsidRPr="00FB3CCF">
              <w:rPr>
                <w:rFonts w:ascii="Arial" w:hAnsi="Arial" w:cs="Arial"/>
                <w:sz w:val="21"/>
                <w:szCs w:val="21"/>
              </w:rPr>
              <w:t>Pendás</w:t>
            </w:r>
            <w:proofErr w:type="spellEnd"/>
            <w:r w:rsidRPr="00FB3CCF">
              <w:rPr>
                <w:rFonts w:ascii="Arial" w:hAnsi="Arial" w:cs="Arial"/>
                <w:sz w:val="21"/>
                <w:szCs w:val="21"/>
              </w:rPr>
              <w:t xml:space="preserve"> (2008)</w:t>
            </w:r>
          </w:p>
        </w:tc>
      </w:tr>
      <w:tr w:rsidR="00FB3CCF" w:rsidRPr="00FB3CCF" w14:paraId="2F0CF13A" w14:textId="77777777" w:rsidTr="00442932">
        <w:trPr>
          <w:trHeight w:val="1720"/>
          <w:jc w:val="center"/>
        </w:trPr>
        <w:tc>
          <w:tcPr>
            <w:tcW w:w="2100" w:type="dxa"/>
            <w:tcBorders>
              <w:top w:val="nil"/>
              <w:left w:val="single" w:sz="4" w:space="0" w:color="auto"/>
              <w:bottom w:val="single" w:sz="4" w:space="0" w:color="auto"/>
              <w:right w:val="single" w:sz="4" w:space="0" w:color="auto"/>
            </w:tcBorders>
            <w:vAlign w:val="center"/>
            <w:hideMark/>
          </w:tcPr>
          <w:p w14:paraId="23C51228"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lastRenderedPageBreak/>
              <w:t>Pattern 3</w:t>
            </w:r>
          </w:p>
        </w:tc>
        <w:tc>
          <w:tcPr>
            <w:tcW w:w="2540" w:type="dxa"/>
            <w:tcBorders>
              <w:top w:val="nil"/>
              <w:left w:val="nil"/>
              <w:bottom w:val="single" w:sz="4" w:space="0" w:color="auto"/>
              <w:right w:val="single" w:sz="4" w:space="0" w:color="auto"/>
            </w:tcBorders>
            <w:vAlign w:val="center"/>
            <w:hideMark/>
          </w:tcPr>
          <w:p w14:paraId="5A565149" w14:textId="77777777" w:rsidR="00FB3CCF" w:rsidRPr="00FB3CCF" w:rsidRDefault="00FB3CCF" w:rsidP="00442932">
            <w:pPr>
              <w:rPr>
                <w:rFonts w:ascii="Arial" w:hAnsi="Arial" w:cs="Arial"/>
                <w:sz w:val="21"/>
                <w:szCs w:val="21"/>
              </w:rPr>
            </w:pPr>
            <w:r w:rsidRPr="00FB3CCF">
              <w:rPr>
                <w:rFonts w:ascii="Arial" w:hAnsi="Arial" w:cs="Arial"/>
                <w:sz w:val="21"/>
                <w:szCs w:val="21"/>
              </w:rPr>
              <w:t>Stakeholder legitimacy affects development prospects</w:t>
            </w:r>
          </w:p>
        </w:tc>
        <w:tc>
          <w:tcPr>
            <w:tcW w:w="2540" w:type="dxa"/>
            <w:tcBorders>
              <w:top w:val="nil"/>
              <w:left w:val="nil"/>
              <w:bottom w:val="single" w:sz="4" w:space="0" w:color="auto"/>
              <w:right w:val="single" w:sz="4" w:space="0" w:color="auto"/>
            </w:tcBorders>
            <w:vAlign w:val="center"/>
            <w:hideMark/>
          </w:tcPr>
          <w:p w14:paraId="3C7945AC" w14:textId="77777777" w:rsidR="00FB3CCF" w:rsidRPr="00FB3CCF" w:rsidRDefault="00FB3CCF" w:rsidP="00442932">
            <w:pPr>
              <w:rPr>
                <w:rFonts w:ascii="Arial" w:hAnsi="Arial" w:cs="Arial"/>
                <w:sz w:val="21"/>
                <w:szCs w:val="21"/>
              </w:rPr>
            </w:pPr>
            <w:r w:rsidRPr="00FB3CCF">
              <w:rPr>
                <w:rFonts w:ascii="Arial" w:hAnsi="Arial" w:cs="Arial"/>
                <w:sz w:val="21"/>
                <w:szCs w:val="21"/>
              </w:rPr>
              <w:t>Public and stakeholder perceptions influence approval risk and project credibility.</w:t>
            </w:r>
          </w:p>
        </w:tc>
        <w:tc>
          <w:tcPr>
            <w:tcW w:w="2540" w:type="dxa"/>
            <w:tcBorders>
              <w:top w:val="nil"/>
              <w:left w:val="nil"/>
              <w:bottom w:val="single" w:sz="4" w:space="0" w:color="auto"/>
              <w:right w:val="single" w:sz="4" w:space="0" w:color="auto"/>
            </w:tcBorders>
            <w:vAlign w:val="center"/>
            <w:hideMark/>
          </w:tcPr>
          <w:p w14:paraId="13729D65" w14:textId="77777777" w:rsidR="00FB3CCF" w:rsidRPr="00FB3CCF" w:rsidRDefault="00FB3CCF" w:rsidP="00442932">
            <w:pPr>
              <w:rPr>
                <w:rFonts w:ascii="Arial" w:hAnsi="Arial" w:cs="Arial"/>
                <w:sz w:val="21"/>
                <w:szCs w:val="21"/>
              </w:rPr>
            </w:pPr>
            <w:r w:rsidRPr="00FB3CCF">
              <w:rPr>
                <w:rFonts w:ascii="Arial" w:hAnsi="Arial" w:cs="Arial"/>
                <w:sz w:val="21"/>
                <w:szCs w:val="21"/>
              </w:rPr>
              <w:t>Simas et al. (2012); West, Bailey and Whitehead (2019)</w:t>
            </w:r>
          </w:p>
        </w:tc>
      </w:tr>
      <w:tr w:rsidR="00FB3CCF" w:rsidRPr="00FB3CCF" w14:paraId="22AC0023" w14:textId="77777777" w:rsidTr="00442932">
        <w:trPr>
          <w:trHeight w:val="1720"/>
          <w:jc w:val="center"/>
        </w:trPr>
        <w:tc>
          <w:tcPr>
            <w:tcW w:w="2100" w:type="dxa"/>
            <w:tcBorders>
              <w:top w:val="nil"/>
              <w:left w:val="single" w:sz="4" w:space="0" w:color="auto"/>
              <w:bottom w:val="single" w:sz="4" w:space="0" w:color="auto"/>
              <w:right w:val="single" w:sz="4" w:space="0" w:color="auto"/>
            </w:tcBorders>
            <w:vAlign w:val="center"/>
            <w:hideMark/>
          </w:tcPr>
          <w:p w14:paraId="1E8F0721"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4</w:t>
            </w:r>
          </w:p>
        </w:tc>
        <w:tc>
          <w:tcPr>
            <w:tcW w:w="2540" w:type="dxa"/>
            <w:tcBorders>
              <w:top w:val="nil"/>
              <w:left w:val="nil"/>
              <w:bottom w:val="single" w:sz="4" w:space="0" w:color="auto"/>
              <w:right w:val="single" w:sz="4" w:space="0" w:color="auto"/>
            </w:tcBorders>
            <w:vAlign w:val="center"/>
            <w:hideMark/>
          </w:tcPr>
          <w:p w14:paraId="70113448" w14:textId="77777777" w:rsidR="00FB3CCF" w:rsidRPr="00FB3CCF" w:rsidRDefault="00FB3CCF" w:rsidP="00442932">
            <w:pPr>
              <w:rPr>
                <w:rFonts w:ascii="Arial" w:hAnsi="Arial" w:cs="Arial"/>
                <w:sz w:val="21"/>
                <w:szCs w:val="21"/>
              </w:rPr>
            </w:pPr>
            <w:r w:rsidRPr="00FB3CCF">
              <w:rPr>
                <w:rFonts w:ascii="Arial" w:hAnsi="Arial" w:cs="Arial"/>
                <w:sz w:val="21"/>
                <w:szCs w:val="21"/>
              </w:rPr>
              <w:t>Support infrastructure can reduce friction</w:t>
            </w:r>
          </w:p>
        </w:tc>
        <w:tc>
          <w:tcPr>
            <w:tcW w:w="2540" w:type="dxa"/>
            <w:tcBorders>
              <w:top w:val="nil"/>
              <w:left w:val="nil"/>
              <w:bottom w:val="single" w:sz="4" w:space="0" w:color="auto"/>
              <w:right w:val="single" w:sz="4" w:space="0" w:color="auto"/>
            </w:tcBorders>
            <w:vAlign w:val="center"/>
            <w:hideMark/>
          </w:tcPr>
          <w:p w14:paraId="5F0FB04E" w14:textId="77777777" w:rsidR="00FB3CCF" w:rsidRPr="00FB3CCF" w:rsidRDefault="00FB3CCF" w:rsidP="00442932">
            <w:pPr>
              <w:rPr>
                <w:rFonts w:ascii="Arial" w:hAnsi="Arial" w:cs="Arial"/>
                <w:sz w:val="21"/>
                <w:szCs w:val="21"/>
              </w:rPr>
            </w:pPr>
            <w:r w:rsidRPr="00FB3CCF">
              <w:rPr>
                <w:rFonts w:ascii="Arial" w:hAnsi="Arial" w:cs="Arial"/>
                <w:sz w:val="21"/>
                <w:szCs w:val="21"/>
              </w:rPr>
              <w:t>Test centres and intermediaries can help streamline processes and build evidence.</w:t>
            </w:r>
          </w:p>
        </w:tc>
        <w:tc>
          <w:tcPr>
            <w:tcW w:w="2540" w:type="dxa"/>
            <w:tcBorders>
              <w:top w:val="nil"/>
              <w:left w:val="nil"/>
              <w:bottom w:val="single" w:sz="4" w:space="0" w:color="auto"/>
              <w:right w:val="single" w:sz="4" w:space="0" w:color="auto"/>
            </w:tcBorders>
            <w:vAlign w:val="center"/>
            <w:hideMark/>
          </w:tcPr>
          <w:p w14:paraId="77EB8DCE" w14:textId="77777777" w:rsidR="00FB3CCF" w:rsidRPr="00FB3CCF" w:rsidRDefault="00FB3CCF" w:rsidP="00442932">
            <w:pPr>
              <w:rPr>
                <w:rFonts w:ascii="Arial" w:hAnsi="Arial" w:cs="Arial"/>
                <w:sz w:val="21"/>
                <w:szCs w:val="21"/>
              </w:rPr>
            </w:pPr>
            <w:r w:rsidRPr="00FB3CCF">
              <w:rPr>
                <w:rFonts w:ascii="Arial" w:hAnsi="Arial" w:cs="Arial"/>
                <w:sz w:val="21"/>
                <w:szCs w:val="21"/>
              </w:rPr>
              <w:t>Norris (2009); Smith et al. (2009)</w:t>
            </w:r>
          </w:p>
        </w:tc>
      </w:tr>
      <w:tr w:rsidR="00FB3CCF" w:rsidRPr="00FB3CCF" w14:paraId="01B42F1D" w14:textId="77777777" w:rsidTr="00442932">
        <w:trPr>
          <w:trHeight w:val="1720"/>
          <w:jc w:val="center"/>
        </w:trPr>
        <w:tc>
          <w:tcPr>
            <w:tcW w:w="2100" w:type="dxa"/>
            <w:tcBorders>
              <w:top w:val="nil"/>
              <w:left w:val="single" w:sz="4" w:space="0" w:color="auto"/>
              <w:bottom w:val="single" w:sz="4" w:space="0" w:color="auto"/>
              <w:right w:val="single" w:sz="4" w:space="0" w:color="auto"/>
            </w:tcBorders>
            <w:vAlign w:val="center"/>
            <w:hideMark/>
          </w:tcPr>
          <w:p w14:paraId="3B8E128F"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Pattern 5</w:t>
            </w:r>
          </w:p>
        </w:tc>
        <w:tc>
          <w:tcPr>
            <w:tcW w:w="2540" w:type="dxa"/>
            <w:tcBorders>
              <w:top w:val="nil"/>
              <w:left w:val="nil"/>
              <w:bottom w:val="single" w:sz="4" w:space="0" w:color="auto"/>
              <w:right w:val="single" w:sz="4" w:space="0" w:color="auto"/>
            </w:tcBorders>
            <w:vAlign w:val="center"/>
            <w:hideMark/>
          </w:tcPr>
          <w:p w14:paraId="546ADB9A" w14:textId="77777777" w:rsidR="00FB3CCF" w:rsidRPr="00FB3CCF" w:rsidRDefault="00FB3CCF" w:rsidP="00442932">
            <w:pPr>
              <w:rPr>
                <w:rFonts w:ascii="Arial" w:hAnsi="Arial" w:cs="Arial"/>
                <w:sz w:val="21"/>
                <w:szCs w:val="21"/>
              </w:rPr>
            </w:pPr>
            <w:r w:rsidRPr="00FB3CCF">
              <w:rPr>
                <w:rFonts w:ascii="Arial" w:hAnsi="Arial" w:cs="Arial"/>
                <w:sz w:val="21"/>
                <w:szCs w:val="21"/>
              </w:rPr>
              <w:t>Hidden long-tail liabilities matter</w:t>
            </w:r>
          </w:p>
        </w:tc>
        <w:tc>
          <w:tcPr>
            <w:tcW w:w="2540" w:type="dxa"/>
            <w:tcBorders>
              <w:top w:val="nil"/>
              <w:left w:val="nil"/>
              <w:bottom w:val="single" w:sz="4" w:space="0" w:color="auto"/>
              <w:right w:val="single" w:sz="4" w:space="0" w:color="auto"/>
            </w:tcBorders>
            <w:vAlign w:val="center"/>
            <w:hideMark/>
          </w:tcPr>
          <w:p w14:paraId="2277931D" w14:textId="77777777" w:rsidR="00FB3CCF" w:rsidRPr="00FB3CCF" w:rsidRDefault="00FB3CCF" w:rsidP="00442932">
            <w:pPr>
              <w:rPr>
                <w:rFonts w:ascii="Arial" w:hAnsi="Arial" w:cs="Arial"/>
                <w:sz w:val="21"/>
                <w:szCs w:val="21"/>
              </w:rPr>
            </w:pPr>
            <w:r w:rsidRPr="00FB3CCF">
              <w:rPr>
                <w:rFonts w:ascii="Arial" w:hAnsi="Arial" w:cs="Arial"/>
                <w:sz w:val="21"/>
                <w:szCs w:val="21"/>
              </w:rPr>
              <w:t>Decommissioning and compliance obligations affect project risk beyond initial deployment.</w:t>
            </w:r>
          </w:p>
        </w:tc>
        <w:tc>
          <w:tcPr>
            <w:tcW w:w="2540" w:type="dxa"/>
            <w:tcBorders>
              <w:top w:val="nil"/>
              <w:left w:val="nil"/>
              <w:bottom w:val="single" w:sz="4" w:space="0" w:color="auto"/>
              <w:right w:val="single" w:sz="4" w:space="0" w:color="auto"/>
            </w:tcBorders>
            <w:vAlign w:val="center"/>
            <w:hideMark/>
          </w:tcPr>
          <w:p w14:paraId="60539627"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Mackie and </w:t>
            </w:r>
            <w:proofErr w:type="spellStart"/>
            <w:r w:rsidRPr="00FB3CCF">
              <w:rPr>
                <w:rFonts w:ascii="Arial" w:hAnsi="Arial" w:cs="Arial"/>
                <w:sz w:val="21"/>
                <w:szCs w:val="21"/>
              </w:rPr>
              <w:t>Velenturf</w:t>
            </w:r>
            <w:proofErr w:type="spellEnd"/>
            <w:r w:rsidRPr="00FB3CCF">
              <w:rPr>
                <w:rFonts w:ascii="Arial" w:hAnsi="Arial" w:cs="Arial"/>
                <w:sz w:val="21"/>
                <w:szCs w:val="21"/>
              </w:rPr>
              <w:t xml:space="preserve"> (2021); Peplinski et al. (2021)</w:t>
            </w:r>
          </w:p>
        </w:tc>
      </w:tr>
      <w:tr w:rsidR="00FB3CCF" w:rsidRPr="00FB3CCF" w14:paraId="416FB86A" w14:textId="77777777" w:rsidTr="00442932">
        <w:trPr>
          <w:trHeight w:val="1720"/>
          <w:jc w:val="center"/>
        </w:trPr>
        <w:tc>
          <w:tcPr>
            <w:tcW w:w="2100" w:type="dxa"/>
            <w:tcBorders>
              <w:top w:val="nil"/>
              <w:left w:val="single" w:sz="4" w:space="0" w:color="auto"/>
              <w:bottom w:val="single" w:sz="4" w:space="0" w:color="auto"/>
              <w:right w:val="single" w:sz="4" w:space="0" w:color="auto"/>
            </w:tcBorders>
            <w:vAlign w:val="center"/>
            <w:hideMark/>
          </w:tcPr>
          <w:p w14:paraId="78800FF2"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1</w:t>
            </w:r>
          </w:p>
        </w:tc>
        <w:tc>
          <w:tcPr>
            <w:tcW w:w="2540" w:type="dxa"/>
            <w:tcBorders>
              <w:top w:val="nil"/>
              <w:left w:val="nil"/>
              <w:bottom w:val="single" w:sz="4" w:space="0" w:color="auto"/>
              <w:right w:val="single" w:sz="4" w:space="0" w:color="auto"/>
            </w:tcBorders>
            <w:vAlign w:val="center"/>
            <w:hideMark/>
          </w:tcPr>
          <w:p w14:paraId="63F0C1C2" w14:textId="77777777" w:rsidR="00FB3CCF" w:rsidRPr="00FB3CCF" w:rsidRDefault="00FB3CCF" w:rsidP="00442932">
            <w:pPr>
              <w:rPr>
                <w:rFonts w:ascii="Arial" w:hAnsi="Arial" w:cs="Arial"/>
                <w:sz w:val="21"/>
                <w:szCs w:val="21"/>
              </w:rPr>
            </w:pPr>
            <w:r w:rsidRPr="00FB3CCF">
              <w:rPr>
                <w:rFonts w:ascii="Arial" w:hAnsi="Arial" w:cs="Arial"/>
                <w:sz w:val="21"/>
                <w:szCs w:val="21"/>
              </w:rPr>
              <w:t>Marine renewables are promoted as low-carbon solutions, yet face heavy regulatory burdens</w:t>
            </w:r>
          </w:p>
        </w:tc>
        <w:tc>
          <w:tcPr>
            <w:tcW w:w="2540" w:type="dxa"/>
            <w:tcBorders>
              <w:top w:val="nil"/>
              <w:left w:val="nil"/>
              <w:bottom w:val="single" w:sz="4" w:space="0" w:color="auto"/>
              <w:right w:val="single" w:sz="4" w:space="0" w:color="auto"/>
            </w:tcBorders>
            <w:vAlign w:val="center"/>
            <w:hideMark/>
          </w:tcPr>
          <w:p w14:paraId="26461036" w14:textId="77777777" w:rsidR="00FB3CCF" w:rsidRPr="00FB3CCF" w:rsidRDefault="00FB3CCF" w:rsidP="00442932">
            <w:pPr>
              <w:rPr>
                <w:rFonts w:ascii="Arial" w:hAnsi="Arial" w:cs="Arial"/>
                <w:sz w:val="21"/>
                <w:szCs w:val="21"/>
              </w:rPr>
            </w:pPr>
            <w:r w:rsidRPr="00FB3CCF">
              <w:rPr>
                <w:rFonts w:ascii="Arial" w:hAnsi="Arial" w:cs="Arial"/>
                <w:sz w:val="21"/>
                <w:szCs w:val="21"/>
              </w:rPr>
              <w:t>Strategic policy support coexists with slow, demanding approval pathways.</w:t>
            </w:r>
          </w:p>
        </w:tc>
        <w:tc>
          <w:tcPr>
            <w:tcW w:w="2540" w:type="dxa"/>
            <w:tcBorders>
              <w:top w:val="nil"/>
              <w:left w:val="nil"/>
              <w:bottom w:val="single" w:sz="4" w:space="0" w:color="auto"/>
              <w:right w:val="single" w:sz="4" w:space="0" w:color="auto"/>
            </w:tcBorders>
            <w:vAlign w:val="center"/>
            <w:hideMark/>
          </w:tcPr>
          <w:p w14:paraId="68E8AE33" w14:textId="77777777" w:rsidR="00FB3CCF" w:rsidRPr="00FB3CCF" w:rsidRDefault="00FB3CCF" w:rsidP="00442932">
            <w:pPr>
              <w:rPr>
                <w:rFonts w:ascii="Arial" w:hAnsi="Arial" w:cs="Arial"/>
                <w:sz w:val="21"/>
                <w:szCs w:val="21"/>
              </w:rPr>
            </w:pPr>
            <w:r w:rsidRPr="00FB3CCF">
              <w:rPr>
                <w:rFonts w:ascii="Arial" w:hAnsi="Arial" w:cs="Arial"/>
                <w:sz w:val="21"/>
                <w:szCs w:val="21"/>
              </w:rPr>
              <w:t>Wright (2016); Caine (2019); Leary and Esteban (2009)</w:t>
            </w:r>
          </w:p>
        </w:tc>
      </w:tr>
      <w:tr w:rsidR="00FB3CCF" w:rsidRPr="00FB3CCF" w14:paraId="23F77EDE" w14:textId="77777777" w:rsidTr="00442932">
        <w:trPr>
          <w:trHeight w:val="1720"/>
          <w:jc w:val="center"/>
        </w:trPr>
        <w:tc>
          <w:tcPr>
            <w:tcW w:w="2100" w:type="dxa"/>
            <w:tcBorders>
              <w:top w:val="nil"/>
              <w:left w:val="single" w:sz="4" w:space="0" w:color="auto"/>
              <w:bottom w:val="single" w:sz="4" w:space="0" w:color="auto"/>
              <w:right w:val="single" w:sz="4" w:space="0" w:color="auto"/>
            </w:tcBorders>
            <w:vAlign w:val="center"/>
            <w:hideMark/>
          </w:tcPr>
          <w:p w14:paraId="760284D5"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2</w:t>
            </w:r>
          </w:p>
        </w:tc>
        <w:tc>
          <w:tcPr>
            <w:tcW w:w="2540" w:type="dxa"/>
            <w:tcBorders>
              <w:top w:val="nil"/>
              <w:left w:val="nil"/>
              <w:bottom w:val="single" w:sz="4" w:space="0" w:color="auto"/>
              <w:right w:val="single" w:sz="4" w:space="0" w:color="auto"/>
            </w:tcBorders>
            <w:vAlign w:val="center"/>
            <w:hideMark/>
          </w:tcPr>
          <w:p w14:paraId="59AEE6C6" w14:textId="77777777" w:rsidR="00FB3CCF" w:rsidRPr="00FB3CCF" w:rsidRDefault="00FB3CCF" w:rsidP="00442932">
            <w:pPr>
              <w:rPr>
                <w:rFonts w:ascii="Arial" w:hAnsi="Arial" w:cs="Arial"/>
                <w:sz w:val="21"/>
                <w:szCs w:val="21"/>
              </w:rPr>
            </w:pPr>
            <w:r w:rsidRPr="00FB3CCF">
              <w:rPr>
                <w:rFonts w:ascii="Arial" w:hAnsi="Arial" w:cs="Arial"/>
                <w:sz w:val="21"/>
                <w:szCs w:val="21"/>
              </w:rPr>
              <w:t>Streamlining is advocated, but complexity persists</w:t>
            </w:r>
          </w:p>
        </w:tc>
        <w:tc>
          <w:tcPr>
            <w:tcW w:w="2540" w:type="dxa"/>
            <w:tcBorders>
              <w:top w:val="nil"/>
              <w:left w:val="nil"/>
              <w:bottom w:val="single" w:sz="4" w:space="0" w:color="auto"/>
              <w:right w:val="single" w:sz="4" w:space="0" w:color="auto"/>
            </w:tcBorders>
            <w:vAlign w:val="center"/>
            <w:hideMark/>
          </w:tcPr>
          <w:p w14:paraId="25D81C76" w14:textId="77777777" w:rsidR="00FB3CCF" w:rsidRPr="00FB3CCF" w:rsidRDefault="00FB3CCF" w:rsidP="00442932">
            <w:pPr>
              <w:rPr>
                <w:rFonts w:ascii="Arial" w:hAnsi="Arial" w:cs="Arial"/>
                <w:sz w:val="21"/>
                <w:szCs w:val="21"/>
              </w:rPr>
            </w:pPr>
            <w:r w:rsidRPr="00FB3CCF">
              <w:rPr>
                <w:rFonts w:ascii="Arial" w:hAnsi="Arial" w:cs="Arial"/>
                <w:sz w:val="21"/>
                <w:szCs w:val="21"/>
              </w:rPr>
              <w:t>Many studies call for simplification, yet evidence suggests burdens remain entrenched.</w:t>
            </w:r>
          </w:p>
        </w:tc>
        <w:tc>
          <w:tcPr>
            <w:tcW w:w="2540" w:type="dxa"/>
            <w:tcBorders>
              <w:top w:val="nil"/>
              <w:left w:val="nil"/>
              <w:bottom w:val="single" w:sz="4" w:space="0" w:color="auto"/>
              <w:right w:val="single" w:sz="4" w:space="0" w:color="auto"/>
            </w:tcBorders>
            <w:vAlign w:val="center"/>
            <w:hideMark/>
          </w:tcPr>
          <w:p w14:paraId="6EC8AF3C"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Greaves et al. (2013); Simas et al. (2000/undated); </w:t>
            </w:r>
            <w:proofErr w:type="spellStart"/>
            <w:r w:rsidRPr="00FB3CCF">
              <w:rPr>
                <w:rFonts w:ascii="Arial" w:hAnsi="Arial" w:cs="Arial"/>
                <w:sz w:val="21"/>
                <w:szCs w:val="21"/>
              </w:rPr>
              <w:t>Zeuschner</w:t>
            </w:r>
            <w:proofErr w:type="spellEnd"/>
            <w:r w:rsidRPr="00FB3CCF">
              <w:rPr>
                <w:rFonts w:ascii="Arial" w:hAnsi="Arial" w:cs="Arial"/>
                <w:sz w:val="21"/>
                <w:szCs w:val="21"/>
              </w:rPr>
              <w:t xml:space="preserve"> (2011)</w:t>
            </w:r>
          </w:p>
        </w:tc>
      </w:tr>
      <w:tr w:rsidR="00FB3CCF" w:rsidRPr="00FB3CCF" w14:paraId="1BFECA04" w14:textId="77777777" w:rsidTr="00442932">
        <w:trPr>
          <w:trHeight w:val="1720"/>
          <w:jc w:val="center"/>
        </w:trPr>
        <w:tc>
          <w:tcPr>
            <w:tcW w:w="2100" w:type="dxa"/>
            <w:tcBorders>
              <w:top w:val="nil"/>
              <w:left w:val="single" w:sz="4" w:space="0" w:color="auto"/>
              <w:bottom w:val="single" w:sz="4" w:space="0" w:color="auto"/>
              <w:right w:val="single" w:sz="4" w:space="0" w:color="auto"/>
            </w:tcBorders>
            <w:vAlign w:val="center"/>
            <w:hideMark/>
          </w:tcPr>
          <w:p w14:paraId="68CADE0B"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3</w:t>
            </w:r>
          </w:p>
        </w:tc>
        <w:tc>
          <w:tcPr>
            <w:tcW w:w="2540" w:type="dxa"/>
            <w:tcBorders>
              <w:top w:val="nil"/>
              <w:left w:val="nil"/>
              <w:bottom w:val="single" w:sz="4" w:space="0" w:color="auto"/>
              <w:right w:val="single" w:sz="4" w:space="0" w:color="auto"/>
            </w:tcBorders>
            <w:vAlign w:val="center"/>
            <w:hideMark/>
          </w:tcPr>
          <w:p w14:paraId="49B52C34" w14:textId="77777777" w:rsidR="00FB3CCF" w:rsidRPr="00FB3CCF" w:rsidRDefault="00FB3CCF" w:rsidP="00442932">
            <w:pPr>
              <w:rPr>
                <w:rFonts w:ascii="Arial" w:hAnsi="Arial" w:cs="Arial"/>
                <w:sz w:val="21"/>
                <w:szCs w:val="21"/>
              </w:rPr>
            </w:pPr>
            <w:r w:rsidRPr="00FB3CCF">
              <w:rPr>
                <w:rFonts w:ascii="Arial" w:hAnsi="Arial" w:cs="Arial"/>
                <w:sz w:val="21"/>
                <w:szCs w:val="21"/>
              </w:rPr>
              <w:t>Support infrastructure helps, but does not remove systemic barriers</w:t>
            </w:r>
          </w:p>
        </w:tc>
        <w:tc>
          <w:tcPr>
            <w:tcW w:w="2540" w:type="dxa"/>
            <w:tcBorders>
              <w:top w:val="nil"/>
              <w:left w:val="nil"/>
              <w:bottom w:val="single" w:sz="4" w:space="0" w:color="auto"/>
              <w:right w:val="single" w:sz="4" w:space="0" w:color="auto"/>
            </w:tcBorders>
            <w:vAlign w:val="center"/>
            <w:hideMark/>
          </w:tcPr>
          <w:p w14:paraId="466DA96C" w14:textId="77777777" w:rsidR="00FB3CCF" w:rsidRPr="00FB3CCF" w:rsidRDefault="00FB3CCF" w:rsidP="00442932">
            <w:pPr>
              <w:rPr>
                <w:rFonts w:ascii="Arial" w:hAnsi="Arial" w:cs="Arial"/>
                <w:sz w:val="21"/>
                <w:szCs w:val="21"/>
              </w:rPr>
            </w:pPr>
            <w:r w:rsidRPr="00FB3CCF">
              <w:rPr>
                <w:rFonts w:ascii="Arial" w:hAnsi="Arial" w:cs="Arial"/>
                <w:sz w:val="21"/>
                <w:szCs w:val="21"/>
              </w:rPr>
              <w:t>Facilities like EMEC and Wave Hub reduce some frictions but cannot solve wider governance issues alone.</w:t>
            </w:r>
          </w:p>
        </w:tc>
        <w:tc>
          <w:tcPr>
            <w:tcW w:w="2540" w:type="dxa"/>
            <w:tcBorders>
              <w:top w:val="nil"/>
              <w:left w:val="nil"/>
              <w:bottom w:val="single" w:sz="4" w:space="0" w:color="auto"/>
              <w:right w:val="single" w:sz="4" w:space="0" w:color="auto"/>
            </w:tcBorders>
            <w:vAlign w:val="center"/>
            <w:hideMark/>
          </w:tcPr>
          <w:p w14:paraId="7809689A" w14:textId="77777777" w:rsidR="00FB3CCF" w:rsidRPr="00FB3CCF" w:rsidRDefault="00FB3CCF" w:rsidP="00442932">
            <w:pPr>
              <w:rPr>
                <w:rFonts w:ascii="Arial" w:hAnsi="Arial" w:cs="Arial"/>
                <w:sz w:val="21"/>
                <w:szCs w:val="21"/>
              </w:rPr>
            </w:pPr>
            <w:r w:rsidRPr="00FB3CCF">
              <w:rPr>
                <w:rFonts w:ascii="Arial" w:hAnsi="Arial" w:cs="Arial"/>
                <w:sz w:val="21"/>
                <w:szCs w:val="21"/>
              </w:rPr>
              <w:t>Norris (2009); Smith et al. (2009); West, Bailey and Whitehead (2019)</w:t>
            </w:r>
          </w:p>
        </w:tc>
      </w:tr>
      <w:tr w:rsidR="00FB3CCF" w:rsidRPr="00FB3CCF" w14:paraId="4FC34432" w14:textId="77777777" w:rsidTr="00442932">
        <w:trPr>
          <w:trHeight w:val="1720"/>
          <w:jc w:val="center"/>
        </w:trPr>
        <w:tc>
          <w:tcPr>
            <w:tcW w:w="2100" w:type="dxa"/>
            <w:tcBorders>
              <w:top w:val="nil"/>
              <w:left w:val="single" w:sz="4" w:space="0" w:color="auto"/>
              <w:bottom w:val="single" w:sz="4" w:space="0" w:color="auto"/>
              <w:right w:val="single" w:sz="4" w:space="0" w:color="auto"/>
            </w:tcBorders>
            <w:vAlign w:val="center"/>
            <w:hideMark/>
          </w:tcPr>
          <w:p w14:paraId="1898CEDA" w14:textId="77777777" w:rsidR="00FB3CCF" w:rsidRPr="00FB3CCF" w:rsidRDefault="00FB3CCF" w:rsidP="00442932">
            <w:pPr>
              <w:rPr>
                <w:rFonts w:ascii="Arial" w:hAnsi="Arial" w:cs="Arial"/>
                <w:b/>
                <w:bCs/>
                <w:sz w:val="21"/>
                <w:szCs w:val="21"/>
              </w:rPr>
            </w:pPr>
            <w:r w:rsidRPr="00FB3CCF">
              <w:rPr>
                <w:rFonts w:ascii="Arial" w:hAnsi="Arial" w:cs="Arial"/>
                <w:b/>
                <w:bCs/>
                <w:sz w:val="21"/>
                <w:szCs w:val="21"/>
              </w:rPr>
              <w:t>Contradiction 4</w:t>
            </w:r>
          </w:p>
        </w:tc>
        <w:tc>
          <w:tcPr>
            <w:tcW w:w="2540" w:type="dxa"/>
            <w:tcBorders>
              <w:top w:val="nil"/>
              <w:left w:val="nil"/>
              <w:bottom w:val="single" w:sz="4" w:space="0" w:color="auto"/>
              <w:right w:val="single" w:sz="4" w:space="0" w:color="auto"/>
            </w:tcBorders>
            <w:vAlign w:val="center"/>
            <w:hideMark/>
          </w:tcPr>
          <w:p w14:paraId="39443B0A" w14:textId="77777777" w:rsidR="00FB3CCF" w:rsidRPr="00FB3CCF" w:rsidRDefault="00FB3CCF" w:rsidP="00442932">
            <w:pPr>
              <w:rPr>
                <w:rFonts w:ascii="Arial" w:hAnsi="Arial" w:cs="Arial"/>
                <w:sz w:val="21"/>
                <w:szCs w:val="21"/>
              </w:rPr>
            </w:pPr>
            <w:r w:rsidRPr="00FB3CCF">
              <w:rPr>
                <w:rFonts w:ascii="Arial" w:hAnsi="Arial" w:cs="Arial"/>
                <w:sz w:val="21"/>
                <w:szCs w:val="21"/>
              </w:rPr>
              <w:t>The literature identifies governance burdens clearly, but links to finance only indirectly</w:t>
            </w:r>
          </w:p>
        </w:tc>
        <w:tc>
          <w:tcPr>
            <w:tcW w:w="2540" w:type="dxa"/>
            <w:tcBorders>
              <w:top w:val="nil"/>
              <w:left w:val="nil"/>
              <w:bottom w:val="single" w:sz="4" w:space="0" w:color="auto"/>
              <w:right w:val="single" w:sz="4" w:space="0" w:color="auto"/>
            </w:tcBorders>
            <w:vAlign w:val="center"/>
            <w:hideMark/>
          </w:tcPr>
          <w:p w14:paraId="0999D12B" w14:textId="77777777" w:rsidR="00FB3CCF" w:rsidRPr="00FB3CCF" w:rsidRDefault="00FB3CCF" w:rsidP="00442932">
            <w:pPr>
              <w:rPr>
                <w:rFonts w:ascii="Arial" w:hAnsi="Arial" w:cs="Arial"/>
                <w:sz w:val="21"/>
                <w:szCs w:val="21"/>
              </w:rPr>
            </w:pPr>
            <w:r w:rsidRPr="00FB3CCF">
              <w:rPr>
                <w:rFonts w:ascii="Arial" w:hAnsi="Arial" w:cs="Arial"/>
                <w:sz w:val="21"/>
                <w:szCs w:val="21"/>
              </w:rPr>
              <w:t>Non-technical barriers are well documented, yet their direct effect on investor decisions is less developed.</w:t>
            </w:r>
          </w:p>
        </w:tc>
        <w:tc>
          <w:tcPr>
            <w:tcW w:w="2540" w:type="dxa"/>
            <w:tcBorders>
              <w:top w:val="nil"/>
              <w:left w:val="nil"/>
              <w:bottom w:val="single" w:sz="4" w:space="0" w:color="auto"/>
              <w:right w:val="single" w:sz="4" w:space="0" w:color="auto"/>
            </w:tcBorders>
            <w:vAlign w:val="center"/>
            <w:hideMark/>
          </w:tcPr>
          <w:p w14:paraId="6CFA0CA0" w14:textId="77777777" w:rsidR="00FB3CCF" w:rsidRPr="00FB3CCF" w:rsidRDefault="00FB3CCF" w:rsidP="00442932">
            <w:pPr>
              <w:rPr>
                <w:rFonts w:ascii="Arial" w:hAnsi="Arial" w:cs="Arial"/>
                <w:sz w:val="21"/>
                <w:szCs w:val="21"/>
              </w:rPr>
            </w:pPr>
            <w:r w:rsidRPr="00FB3CCF">
              <w:rPr>
                <w:rFonts w:ascii="Arial" w:hAnsi="Arial" w:cs="Arial"/>
                <w:sz w:val="21"/>
                <w:szCs w:val="21"/>
              </w:rPr>
              <w:t xml:space="preserve">Wright (2016); Mackie and </w:t>
            </w:r>
            <w:proofErr w:type="spellStart"/>
            <w:r w:rsidRPr="00FB3CCF">
              <w:rPr>
                <w:rFonts w:ascii="Arial" w:hAnsi="Arial" w:cs="Arial"/>
                <w:sz w:val="21"/>
                <w:szCs w:val="21"/>
              </w:rPr>
              <w:t>Velenturf</w:t>
            </w:r>
            <w:proofErr w:type="spellEnd"/>
            <w:r w:rsidRPr="00FB3CCF">
              <w:rPr>
                <w:rFonts w:ascii="Arial" w:hAnsi="Arial" w:cs="Arial"/>
                <w:sz w:val="21"/>
                <w:szCs w:val="21"/>
              </w:rPr>
              <w:t xml:space="preserve"> (2021); Peplinski et al. (2021)</w:t>
            </w:r>
          </w:p>
        </w:tc>
      </w:tr>
      <w:tr w:rsidR="00FB3CCF" w:rsidRPr="00FB3CCF" w14:paraId="7B0E1F27" w14:textId="77777777" w:rsidTr="00442932">
        <w:trPr>
          <w:trHeight w:val="280"/>
          <w:jc w:val="center"/>
        </w:trPr>
        <w:tc>
          <w:tcPr>
            <w:tcW w:w="9720" w:type="dxa"/>
            <w:gridSpan w:val="4"/>
            <w:tcBorders>
              <w:top w:val="nil"/>
              <w:left w:val="nil"/>
              <w:bottom w:val="nil"/>
              <w:right w:val="nil"/>
            </w:tcBorders>
            <w:vAlign w:val="center"/>
            <w:hideMark/>
          </w:tcPr>
          <w:p w14:paraId="111C0590" w14:textId="77777777" w:rsidR="00FB3CCF" w:rsidRPr="00FB3CCF" w:rsidRDefault="00FB3CCF" w:rsidP="00442932">
            <w:pPr>
              <w:rPr>
                <w:rFonts w:ascii="Arial" w:hAnsi="Arial" w:cs="Arial"/>
                <w:sz w:val="21"/>
                <w:szCs w:val="21"/>
              </w:rPr>
            </w:pPr>
            <w:r w:rsidRPr="00FB3CCF">
              <w:rPr>
                <w:rFonts w:ascii="Arial" w:hAnsi="Arial" w:cs="Arial"/>
                <w:sz w:val="21"/>
                <w:szCs w:val="21"/>
              </w:rPr>
              <w:t>Source: Author’s synthesis based on the reviewed literature.</w:t>
            </w:r>
          </w:p>
        </w:tc>
      </w:tr>
    </w:tbl>
    <w:p w14:paraId="67CE240F" w14:textId="77777777" w:rsidR="00FB3CCF" w:rsidRPr="00FB3CCF" w:rsidRDefault="00FB3CCF" w:rsidP="00FB3CCF">
      <w:pPr>
        <w:spacing w:line="360" w:lineRule="auto"/>
        <w:jc w:val="both"/>
        <w:rPr>
          <w:rFonts w:ascii="Arial" w:hAnsi="Arial" w:cs="Arial"/>
          <w:b/>
          <w:bCs/>
        </w:rPr>
      </w:pPr>
    </w:p>
    <w:p w14:paraId="6D208C9E" w14:textId="77777777" w:rsidR="0045121F" w:rsidRPr="00FB3CCF" w:rsidRDefault="0045121F" w:rsidP="007B463B">
      <w:pPr>
        <w:spacing w:after="0" w:line="360" w:lineRule="auto"/>
        <w:jc w:val="both"/>
        <w:rPr>
          <w:rFonts w:ascii="Arial" w:hAnsi="Arial" w:cs="Arial"/>
          <w:b/>
          <w:bCs/>
          <w:sz w:val="22"/>
          <w:szCs w:val="22"/>
        </w:rPr>
      </w:pPr>
    </w:p>
    <w:p w14:paraId="10A1C6A1" w14:textId="77777777" w:rsidR="0045121F" w:rsidRPr="00FB3CCF" w:rsidRDefault="0045121F" w:rsidP="007B463B">
      <w:pPr>
        <w:spacing w:after="0" w:line="360" w:lineRule="auto"/>
        <w:jc w:val="both"/>
        <w:rPr>
          <w:rFonts w:ascii="Arial" w:hAnsi="Arial" w:cs="Arial"/>
          <w:b/>
          <w:bCs/>
          <w:sz w:val="22"/>
          <w:szCs w:val="22"/>
        </w:rPr>
      </w:pPr>
    </w:p>
    <w:p w14:paraId="293BF9B4" w14:textId="77777777" w:rsidR="0045121F" w:rsidRPr="00FB3CCF" w:rsidRDefault="0045121F" w:rsidP="007B463B">
      <w:pPr>
        <w:spacing w:after="0" w:line="360" w:lineRule="auto"/>
        <w:jc w:val="both"/>
        <w:rPr>
          <w:rFonts w:ascii="Arial" w:hAnsi="Arial" w:cs="Arial"/>
          <w:b/>
          <w:bCs/>
          <w:sz w:val="22"/>
          <w:szCs w:val="22"/>
        </w:rPr>
      </w:pPr>
    </w:p>
    <w:p w14:paraId="4CBFD427" w14:textId="77777777" w:rsidR="0045121F" w:rsidRPr="00FB3CCF" w:rsidRDefault="0045121F" w:rsidP="0045121F">
      <w:pPr>
        <w:spacing w:after="0" w:line="360" w:lineRule="auto"/>
        <w:jc w:val="both"/>
        <w:rPr>
          <w:rFonts w:ascii="Arial" w:hAnsi="Arial" w:cs="Arial"/>
          <w:b/>
          <w:bCs/>
          <w:sz w:val="22"/>
          <w:szCs w:val="22"/>
        </w:rPr>
      </w:pPr>
    </w:p>
    <w:p w14:paraId="45FAB5AC" w14:textId="77777777" w:rsidR="0045121F" w:rsidRPr="00FB3CCF" w:rsidRDefault="0045121F" w:rsidP="0045121F">
      <w:pPr>
        <w:spacing w:after="0" w:line="360" w:lineRule="auto"/>
        <w:jc w:val="both"/>
        <w:rPr>
          <w:rFonts w:ascii="Arial" w:hAnsi="Arial" w:cs="Arial"/>
          <w:b/>
          <w:bCs/>
          <w:sz w:val="22"/>
          <w:szCs w:val="22"/>
        </w:rPr>
      </w:pPr>
    </w:p>
    <w:p w14:paraId="4AAAA42F" w14:textId="77777777" w:rsidR="0045121F" w:rsidRPr="00FB3CCF" w:rsidRDefault="0045121F" w:rsidP="0045121F">
      <w:pPr>
        <w:spacing w:after="0" w:line="360" w:lineRule="auto"/>
        <w:jc w:val="both"/>
        <w:rPr>
          <w:rFonts w:ascii="Arial" w:hAnsi="Arial" w:cs="Arial"/>
          <w:b/>
          <w:bCs/>
          <w:sz w:val="22"/>
          <w:szCs w:val="22"/>
        </w:rPr>
      </w:pPr>
    </w:p>
    <w:p w14:paraId="6D89C2E4" w14:textId="77777777" w:rsidR="00F528FB" w:rsidRPr="00FB3CCF" w:rsidRDefault="00F528FB" w:rsidP="0045121F">
      <w:pPr>
        <w:spacing w:after="0" w:line="360" w:lineRule="auto"/>
        <w:jc w:val="both"/>
        <w:rPr>
          <w:rFonts w:ascii="Arial" w:hAnsi="Arial" w:cs="Arial"/>
          <w:b/>
          <w:bCs/>
          <w:sz w:val="22"/>
          <w:szCs w:val="22"/>
        </w:rPr>
      </w:pPr>
    </w:p>
    <w:p w14:paraId="6B63DEC7" w14:textId="77777777" w:rsidR="00F528FB" w:rsidRPr="00FB3CCF" w:rsidRDefault="00F528FB" w:rsidP="0045121F">
      <w:pPr>
        <w:spacing w:after="0" w:line="360" w:lineRule="auto"/>
        <w:jc w:val="both"/>
        <w:rPr>
          <w:rFonts w:ascii="Arial" w:hAnsi="Arial" w:cs="Arial"/>
          <w:b/>
          <w:bCs/>
          <w:sz w:val="22"/>
          <w:szCs w:val="22"/>
        </w:rPr>
      </w:pPr>
    </w:p>
    <w:p w14:paraId="7F4F7E2A" w14:textId="77777777" w:rsidR="00F528FB" w:rsidRPr="00FB3CCF" w:rsidRDefault="00F528FB" w:rsidP="0045121F">
      <w:pPr>
        <w:spacing w:after="0" w:line="360" w:lineRule="auto"/>
        <w:jc w:val="both"/>
        <w:rPr>
          <w:rFonts w:ascii="Arial" w:hAnsi="Arial" w:cs="Arial"/>
          <w:b/>
          <w:bCs/>
          <w:sz w:val="22"/>
          <w:szCs w:val="22"/>
        </w:rPr>
      </w:pPr>
    </w:p>
    <w:p w14:paraId="74C13879" w14:textId="77777777" w:rsidR="00F528FB" w:rsidRPr="00FB3CCF" w:rsidRDefault="00F528FB" w:rsidP="0045121F">
      <w:pPr>
        <w:spacing w:after="0" w:line="360" w:lineRule="auto"/>
        <w:jc w:val="both"/>
        <w:rPr>
          <w:rFonts w:ascii="Arial" w:hAnsi="Arial" w:cs="Arial"/>
          <w:b/>
          <w:bCs/>
          <w:sz w:val="22"/>
          <w:szCs w:val="22"/>
        </w:rPr>
      </w:pPr>
    </w:p>
    <w:p w14:paraId="2F97DBC4" w14:textId="77777777" w:rsidR="00F528FB" w:rsidRPr="00FB3CCF" w:rsidRDefault="00F528FB" w:rsidP="0045121F">
      <w:pPr>
        <w:spacing w:after="0" w:line="360" w:lineRule="auto"/>
        <w:jc w:val="both"/>
        <w:rPr>
          <w:rFonts w:ascii="Arial" w:hAnsi="Arial" w:cs="Arial"/>
          <w:b/>
          <w:bCs/>
          <w:sz w:val="22"/>
          <w:szCs w:val="22"/>
        </w:rPr>
      </w:pPr>
    </w:p>
    <w:p w14:paraId="1A0DAA7A" w14:textId="77777777" w:rsidR="00F528FB" w:rsidRPr="00FB3CCF" w:rsidRDefault="00F528FB" w:rsidP="0045121F">
      <w:pPr>
        <w:spacing w:after="0" w:line="360" w:lineRule="auto"/>
        <w:jc w:val="both"/>
        <w:rPr>
          <w:rFonts w:ascii="Arial" w:hAnsi="Arial" w:cs="Arial"/>
          <w:b/>
          <w:bCs/>
          <w:sz w:val="22"/>
          <w:szCs w:val="22"/>
        </w:rPr>
      </w:pPr>
    </w:p>
    <w:p w14:paraId="730FE891" w14:textId="77777777" w:rsidR="00F528FB" w:rsidRPr="00FB3CCF" w:rsidRDefault="00F528FB" w:rsidP="0045121F">
      <w:pPr>
        <w:spacing w:after="0" w:line="360" w:lineRule="auto"/>
        <w:jc w:val="both"/>
        <w:rPr>
          <w:rFonts w:ascii="Arial" w:hAnsi="Arial" w:cs="Arial"/>
          <w:b/>
          <w:bCs/>
          <w:sz w:val="22"/>
          <w:szCs w:val="22"/>
        </w:rPr>
      </w:pPr>
    </w:p>
    <w:p w14:paraId="4BA9096F" w14:textId="77777777" w:rsidR="00F528FB" w:rsidRPr="00FB3CCF" w:rsidRDefault="00F528FB" w:rsidP="0045121F">
      <w:pPr>
        <w:spacing w:after="0" w:line="360" w:lineRule="auto"/>
        <w:jc w:val="both"/>
        <w:rPr>
          <w:rFonts w:ascii="Arial" w:hAnsi="Arial" w:cs="Arial"/>
          <w:b/>
          <w:bCs/>
          <w:sz w:val="22"/>
          <w:szCs w:val="22"/>
        </w:rPr>
      </w:pPr>
    </w:p>
    <w:p w14:paraId="4032128F" w14:textId="77777777" w:rsidR="00F528FB" w:rsidRPr="00FB3CCF" w:rsidRDefault="00F528FB" w:rsidP="0045121F">
      <w:pPr>
        <w:spacing w:after="0" w:line="360" w:lineRule="auto"/>
        <w:jc w:val="both"/>
        <w:rPr>
          <w:rFonts w:ascii="Arial" w:hAnsi="Arial" w:cs="Arial"/>
          <w:b/>
          <w:bCs/>
          <w:sz w:val="22"/>
          <w:szCs w:val="22"/>
        </w:rPr>
      </w:pPr>
    </w:p>
    <w:p w14:paraId="58FCACFA" w14:textId="77777777" w:rsidR="00F528FB" w:rsidRPr="00FB3CCF" w:rsidRDefault="00F528FB" w:rsidP="0045121F">
      <w:pPr>
        <w:spacing w:after="0" w:line="360" w:lineRule="auto"/>
        <w:jc w:val="both"/>
        <w:rPr>
          <w:rFonts w:ascii="Arial" w:hAnsi="Arial" w:cs="Arial"/>
          <w:b/>
          <w:bCs/>
          <w:sz w:val="22"/>
          <w:szCs w:val="22"/>
        </w:rPr>
      </w:pPr>
    </w:p>
    <w:p w14:paraId="33F9868E" w14:textId="77777777" w:rsidR="00F528FB" w:rsidRPr="00FB3CCF" w:rsidRDefault="00F528FB" w:rsidP="0045121F">
      <w:pPr>
        <w:spacing w:after="0" w:line="360" w:lineRule="auto"/>
        <w:jc w:val="both"/>
        <w:rPr>
          <w:rFonts w:ascii="Arial" w:hAnsi="Arial" w:cs="Arial"/>
          <w:b/>
          <w:bCs/>
          <w:sz w:val="22"/>
          <w:szCs w:val="22"/>
        </w:rPr>
      </w:pPr>
    </w:p>
    <w:p w14:paraId="08135C58" w14:textId="77777777" w:rsidR="00F528FB" w:rsidRPr="00FB3CCF" w:rsidRDefault="00F528FB" w:rsidP="0045121F">
      <w:pPr>
        <w:spacing w:after="0" w:line="360" w:lineRule="auto"/>
        <w:jc w:val="both"/>
        <w:rPr>
          <w:rFonts w:ascii="Arial" w:hAnsi="Arial" w:cs="Arial"/>
          <w:b/>
          <w:bCs/>
          <w:sz w:val="22"/>
          <w:szCs w:val="22"/>
        </w:rPr>
      </w:pPr>
    </w:p>
    <w:p w14:paraId="0FA76D7D" w14:textId="77777777" w:rsidR="00F528FB" w:rsidRPr="00FB3CCF" w:rsidRDefault="00F528FB" w:rsidP="0045121F">
      <w:pPr>
        <w:spacing w:after="0" w:line="360" w:lineRule="auto"/>
        <w:jc w:val="both"/>
        <w:rPr>
          <w:rFonts w:ascii="Arial" w:hAnsi="Arial" w:cs="Arial"/>
          <w:b/>
          <w:bCs/>
          <w:sz w:val="22"/>
          <w:szCs w:val="22"/>
        </w:rPr>
      </w:pPr>
    </w:p>
    <w:p w14:paraId="5970DA69" w14:textId="77777777" w:rsidR="00F528FB" w:rsidRPr="00FB3CCF" w:rsidRDefault="00F528FB" w:rsidP="0045121F">
      <w:pPr>
        <w:spacing w:after="0" w:line="360" w:lineRule="auto"/>
        <w:jc w:val="both"/>
        <w:rPr>
          <w:rFonts w:ascii="Arial" w:hAnsi="Arial" w:cs="Arial"/>
          <w:b/>
          <w:bCs/>
          <w:sz w:val="22"/>
          <w:szCs w:val="22"/>
        </w:rPr>
      </w:pPr>
    </w:p>
    <w:p w14:paraId="65900593" w14:textId="77777777" w:rsidR="00F528FB" w:rsidRPr="00FB3CCF" w:rsidRDefault="00F528FB" w:rsidP="0045121F">
      <w:pPr>
        <w:spacing w:after="0" w:line="360" w:lineRule="auto"/>
        <w:jc w:val="both"/>
        <w:rPr>
          <w:rFonts w:ascii="Arial" w:hAnsi="Arial" w:cs="Arial"/>
          <w:b/>
          <w:bCs/>
          <w:sz w:val="22"/>
          <w:szCs w:val="22"/>
        </w:rPr>
      </w:pPr>
    </w:p>
    <w:p w14:paraId="75DD8D4A" w14:textId="77777777" w:rsidR="00F528FB" w:rsidRPr="00FB3CCF" w:rsidRDefault="00F528FB" w:rsidP="0045121F">
      <w:pPr>
        <w:spacing w:after="0" w:line="360" w:lineRule="auto"/>
        <w:jc w:val="both"/>
        <w:rPr>
          <w:rFonts w:ascii="Arial" w:hAnsi="Arial" w:cs="Arial"/>
          <w:b/>
          <w:bCs/>
          <w:sz w:val="22"/>
          <w:szCs w:val="22"/>
        </w:rPr>
      </w:pPr>
    </w:p>
    <w:p w14:paraId="53AF001A" w14:textId="77777777" w:rsidR="00F528FB" w:rsidRPr="00FB3CCF" w:rsidRDefault="00F528FB" w:rsidP="0045121F">
      <w:pPr>
        <w:spacing w:after="0" w:line="360" w:lineRule="auto"/>
        <w:jc w:val="both"/>
        <w:rPr>
          <w:rFonts w:ascii="Arial" w:hAnsi="Arial" w:cs="Arial"/>
          <w:b/>
          <w:bCs/>
          <w:sz w:val="22"/>
          <w:szCs w:val="22"/>
        </w:rPr>
      </w:pPr>
    </w:p>
    <w:p w14:paraId="332EE990" w14:textId="77777777" w:rsidR="007B463B" w:rsidRPr="00FB3CCF" w:rsidRDefault="007B463B" w:rsidP="0045121F">
      <w:pPr>
        <w:spacing w:after="0" w:line="360" w:lineRule="auto"/>
        <w:jc w:val="both"/>
        <w:rPr>
          <w:rFonts w:ascii="Arial" w:hAnsi="Arial" w:cs="Arial"/>
          <w:b/>
          <w:bCs/>
          <w:sz w:val="22"/>
          <w:szCs w:val="22"/>
        </w:rPr>
      </w:pPr>
    </w:p>
    <w:p w14:paraId="565DE920" w14:textId="77777777" w:rsidR="00F528FB" w:rsidRPr="00FB3CCF" w:rsidRDefault="00F528FB" w:rsidP="0045121F">
      <w:pPr>
        <w:spacing w:after="0" w:line="360" w:lineRule="auto"/>
        <w:jc w:val="both"/>
        <w:rPr>
          <w:rFonts w:ascii="Arial" w:hAnsi="Arial" w:cs="Arial"/>
          <w:b/>
          <w:bCs/>
          <w:sz w:val="22"/>
          <w:szCs w:val="22"/>
        </w:rPr>
      </w:pPr>
    </w:p>
    <w:p w14:paraId="5B8183FD" w14:textId="77777777" w:rsidR="0045121F" w:rsidRPr="00FB3CCF" w:rsidRDefault="0045121F" w:rsidP="0045121F">
      <w:pPr>
        <w:spacing w:after="0" w:line="360" w:lineRule="auto"/>
        <w:jc w:val="both"/>
        <w:rPr>
          <w:rFonts w:ascii="Arial" w:hAnsi="Arial" w:cs="Arial"/>
          <w:b/>
          <w:bCs/>
          <w:sz w:val="22"/>
          <w:szCs w:val="22"/>
        </w:rPr>
      </w:pPr>
    </w:p>
    <w:p w14:paraId="190E5AA1" w14:textId="77777777" w:rsidR="00917490" w:rsidRPr="00FB3CCF" w:rsidRDefault="00917490" w:rsidP="0045121F">
      <w:pPr>
        <w:autoSpaceDE w:val="0"/>
        <w:autoSpaceDN w:val="0"/>
        <w:adjustRightInd w:val="0"/>
        <w:spacing w:after="0" w:line="360" w:lineRule="auto"/>
        <w:rPr>
          <w:rFonts w:ascii="Arial" w:hAnsi="Arial" w:cs="Arial"/>
          <w:b/>
          <w:bCs/>
          <w:sz w:val="22"/>
          <w:szCs w:val="22"/>
        </w:rPr>
      </w:pPr>
    </w:p>
    <w:p w14:paraId="542A317A" w14:textId="77777777" w:rsidR="0045121F" w:rsidRPr="00FB3CCF" w:rsidRDefault="0045121F" w:rsidP="0045121F">
      <w:pPr>
        <w:spacing w:after="0" w:line="360" w:lineRule="auto"/>
        <w:jc w:val="both"/>
        <w:rPr>
          <w:rFonts w:ascii="Arial" w:hAnsi="Arial" w:cs="Arial"/>
          <w:sz w:val="22"/>
          <w:szCs w:val="22"/>
        </w:rPr>
      </w:pPr>
    </w:p>
    <w:sectPr w:rsidR="0045121F" w:rsidRPr="00FB3C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F1BD9"/>
    <w:multiLevelType w:val="hybridMultilevel"/>
    <w:tmpl w:val="7756A6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BF64348"/>
    <w:multiLevelType w:val="hybridMultilevel"/>
    <w:tmpl w:val="ACB2A686"/>
    <w:lvl w:ilvl="0" w:tplc="EFE4967E">
      <w:start w:val="1"/>
      <w:numFmt w:val="decimal"/>
      <w:lvlText w:val="%1-"/>
      <w:lvlJc w:val="left"/>
      <w:pPr>
        <w:ind w:left="397" w:hanging="397"/>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28E13DD"/>
    <w:multiLevelType w:val="hybridMultilevel"/>
    <w:tmpl w:val="6C1E3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4386378"/>
    <w:multiLevelType w:val="hybridMultilevel"/>
    <w:tmpl w:val="72383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9552533">
    <w:abstractNumId w:val="3"/>
  </w:num>
  <w:num w:numId="2" w16cid:durableId="1410880269">
    <w:abstractNumId w:val="2"/>
  </w:num>
  <w:num w:numId="3" w16cid:durableId="1615557370">
    <w:abstractNumId w:val="0"/>
  </w:num>
  <w:num w:numId="4" w16cid:durableId="678308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D4D"/>
    <w:rsid w:val="0000297A"/>
    <w:rsid w:val="00013A50"/>
    <w:rsid w:val="000238D9"/>
    <w:rsid w:val="00046A72"/>
    <w:rsid w:val="00076DD3"/>
    <w:rsid w:val="000B39C2"/>
    <w:rsid w:val="00137F45"/>
    <w:rsid w:val="0018244F"/>
    <w:rsid w:val="0024547B"/>
    <w:rsid w:val="00267EBC"/>
    <w:rsid w:val="002B7A66"/>
    <w:rsid w:val="00307BBE"/>
    <w:rsid w:val="0038394E"/>
    <w:rsid w:val="003B1F6B"/>
    <w:rsid w:val="004134AB"/>
    <w:rsid w:val="0045121F"/>
    <w:rsid w:val="004B5607"/>
    <w:rsid w:val="004C415D"/>
    <w:rsid w:val="004F1D7F"/>
    <w:rsid w:val="0050665B"/>
    <w:rsid w:val="00521D4D"/>
    <w:rsid w:val="005243A4"/>
    <w:rsid w:val="005554C5"/>
    <w:rsid w:val="0055606D"/>
    <w:rsid w:val="005B0D15"/>
    <w:rsid w:val="005C08C6"/>
    <w:rsid w:val="005F120A"/>
    <w:rsid w:val="00605CD9"/>
    <w:rsid w:val="006601DD"/>
    <w:rsid w:val="00660929"/>
    <w:rsid w:val="006671EE"/>
    <w:rsid w:val="0067273A"/>
    <w:rsid w:val="006805C3"/>
    <w:rsid w:val="006A7496"/>
    <w:rsid w:val="00707A91"/>
    <w:rsid w:val="00712DF7"/>
    <w:rsid w:val="007632D1"/>
    <w:rsid w:val="00793612"/>
    <w:rsid w:val="007A7CD1"/>
    <w:rsid w:val="007B463B"/>
    <w:rsid w:val="007B6DFE"/>
    <w:rsid w:val="007B77A2"/>
    <w:rsid w:val="007D246A"/>
    <w:rsid w:val="00814A54"/>
    <w:rsid w:val="0085402D"/>
    <w:rsid w:val="0086040C"/>
    <w:rsid w:val="008A04B9"/>
    <w:rsid w:val="008A6041"/>
    <w:rsid w:val="008B571E"/>
    <w:rsid w:val="008C5D4A"/>
    <w:rsid w:val="00906178"/>
    <w:rsid w:val="00910698"/>
    <w:rsid w:val="00914281"/>
    <w:rsid w:val="0091510C"/>
    <w:rsid w:val="00917490"/>
    <w:rsid w:val="00921702"/>
    <w:rsid w:val="00946A83"/>
    <w:rsid w:val="00987C11"/>
    <w:rsid w:val="009A5766"/>
    <w:rsid w:val="009B4D4D"/>
    <w:rsid w:val="00A669F7"/>
    <w:rsid w:val="00B329EE"/>
    <w:rsid w:val="00B47E32"/>
    <w:rsid w:val="00B578B5"/>
    <w:rsid w:val="00B80F67"/>
    <w:rsid w:val="00B8631A"/>
    <w:rsid w:val="00C00EF9"/>
    <w:rsid w:val="00C143EF"/>
    <w:rsid w:val="00C72D66"/>
    <w:rsid w:val="00CE3236"/>
    <w:rsid w:val="00D0134D"/>
    <w:rsid w:val="00D42409"/>
    <w:rsid w:val="00D5701E"/>
    <w:rsid w:val="00D96A7B"/>
    <w:rsid w:val="00DC7E4E"/>
    <w:rsid w:val="00DF42FF"/>
    <w:rsid w:val="00E1318E"/>
    <w:rsid w:val="00E53163"/>
    <w:rsid w:val="00E77024"/>
    <w:rsid w:val="00E87F90"/>
    <w:rsid w:val="00F01600"/>
    <w:rsid w:val="00F10B50"/>
    <w:rsid w:val="00F27B1D"/>
    <w:rsid w:val="00F328D3"/>
    <w:rsid w:val="00F528FB"/>
    <w:rsid w:val="00FB3CCF"/>
    <w:rsid w:val="00FD0FD9"/>
    <w:rsid w:val="00FE1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AF97C"/>
  <w15:chartTrackingRefBased/>
  <w15:docId w15:val="{339BC943-B94E-8C40-AB37-5FC0018E6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D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1D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1D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1D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1D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1D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D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D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D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D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1D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1D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1D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1D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1D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D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D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D4D"/>
    <w:rPr>
      <w:rFonts w:eastAsiaTheme="majorEastAsia" w:cstheme="majorBidi"/>
      <w:color w:val="272727" w:themeColor="text1" w:themeTint="D8"/>
    </w:rPr>
  </w:style>
  <w:style w:type="paragraph" w:styleId="Title">
    <w:name w:val="Title"/>
    <w:basedOn w:val="Normal"/>
    <w:next w:val="Normal"/>
    <w:link w:val="TitleChar"/>
    <w:uiPriority w:val="10"/>
    <w:qFormat/>
    <w:rsid w:val="00521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D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D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D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D4D"/>
    <w:pPr>
      <w:spacing w:before="160"/>
      <w:jc w:val="center"/>
    </w:pPr>
    <w:rPr>
      <w:i/>
      <w:iCs/>
      <w:color w:val="404040" w:themeColor="text1" w:themeTint="BF"/>
    </w:rPr>
  </w:style>
  <w:style w:type="character" w:customStyle="1" w:styleId="QuoteChar">
    <w:name w:val="Quote Char"/>
    <w:basedOn w:val="DefaultParagraphFont"/>
    <w:link w:val="Quote"/>
    <w:uiPriority w:val="29"/>
    <w:rsid w:val="00521D4D"/>
    <w:rPr>
      <w:i/>
      <w:iCs/>
      <w:color w:val="404040" w:themeColor="text1" w:themeTint="BF"/>
    </w:rPr>
  </w:style>
  <w:style w:type="paragraph" w:styleId="ListParagraph">
    <w:name w:val="List Paragraph"/>
    <w:basedOn w:val="Normal"/>
    <w:uiPriority w:val="34"/>
    <w:qFormat/>
    <w:rsid w:val="00521D4D"/>
    <w:pPr>
      <w:ind w:left="720"/>
      <w:contextualSpacing/>
    </w:pPr>
  </w:style>
  <w:style w:type="character" w:styleId="IntenseEmphasis">
    <w:name w:val="Intense Emphasis"/>
    <w:basedOn w:val="DefaultParagraphFont"/>
    <w:uiPriority w:val="21"/>
    <w:qFormat/>
    <w:rsid w:val="00521D4D"/>
    <w:rPr>
      <w:i/>
      <w:iCs/>
      <w:color w:val="0F4761" w:themeColor="accent1" w:themeShade="BF"/>
    </w:rPr>
  </w:style>
  <w:style w:type="paragraph" w:styleId="IntenseQuote">
    <w:name w:val="Intense Quote"/>
    <w:basedOn w:val="Normal"/>
    <w:next w:val="Normal"/>
    <w:link w:val="IntenseQuoteChar"/>
    <w:uiPriority w:val="30"/>
    <w:qFormat/>
    <w:rsid w:val="00521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1D4D"/>
    <w:rPr>
      <w:i/>
      <w:iCs/>
      <w:color w:val="0F4761" w:themeColor="accent1" w:themeShade="BF"/>
    </w:rPr>
  </w:style>
  <w:style w:type="character" w:styleId="IntenseReference">
    <w:name w:val="Intense Reference"/>
    <w:basedOn w:val="DefaultParagraphFont"/>
    <w:uiPriority w:val="32"/>
    <w:qFormat/>
    <w:rsid w:val="00521D4D"/>
    <w:rPr>
      <w:b/>
      <w:bCs/>
      <w:smallCaps/>
      <w:color w:val="0F4761" w:themeColor="accent1" w:themeShade="BF"/>
      <w:spacing w:val="5"/>
    </w:rPr>
  </w:style>
  <w:style w:type="table" w:styleId="TableGrid">
    <w:name w:val="Table Grid"/>
    <w:basedOn w:val="TableNormal"/>
    <w:uiPriority w:val="39"/>
    <w:rsid w:val="00CE32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C415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B3CCF"/>
    <w:rPr>
      <w:b/>
      <w:bCs/>
    </w:rPr>
  </w:style>
  <w:style w:type="paragraph" w:styleId="Header">
    <w:name w:val="header"/>
    <w:basedOn w:val="Normal"/>
    <w:link w:val="HeaderChar"/>
    <w:uiPriority w:val="99"/>
    <w:unhideWhenUsed/>
    <w:rsid w:val="00FB3CCF"/>
    <w:pPr>
      <w:tabs>
        <w:tab w:val="center" w:pos="4513"/>
        <w:tab w:val="right" w:pos="9026"/>
      </w:tabs>
      <w:spacing w:after="0" w:line="240" w:lineRule="auto"/>
    </w:pPr>
    <w:rPr>
      <w:rFonts w:ascii="Times New Roman" w:eastAsia="Times New Roman" w:hAnsi="Times New Roman" w:cs="Times New Roman"/>
      <w:kern w:val="0"/>
      <w:lang w:eastAsia="en-GB"/>
      <w14:ligatures w14:val="none"/>
    </w:rPr>
  </w:style>
  <w:style w:type="character" w:customStyle="1" w:styleId="HeaderChar">
    <w:name w:val="Header Char"/>
    <w:basedOn w:val="DefaultParagraphFont"/>
    <w:link w:val="Header"/>
    <w:uiPriority w:val="99"/>
    <w:rsid w:val="00FB3CCF"/>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FB3CCF"/>
    <w:pPr>
      <w:tabs>
        <w:tab w:val="center" w:pos="4513"/>
        <w:tab w:val="right" w:pos="9026"/>
      </w:tabs>
      <w:spacing w:after="0" w:line="240" w:lineRule="auto"/>
    </w:pPr>
    <w:rPr>
      <w:rFonts w:ascii="Times New Roman" w:eastAsia="Times New Roman" w:hAnsi="Times New Roman" w:cs="Times New Roman"/>
      <w:kern w:val="0"/>
      <w:lang w:eastAsia="en-GB"/>
      <w14:ligatures w14:val="none"/>
    </w:rPr>
  </w:style>
  <w:style w:type="character" w:customStyle="1" w:styleId="FooterChar">
    <w:name w:val="Footer Char"/>
    <w:basedOn w:val="DefaultParagraphFont"/>
    <w:link w:val="Footer"/>
    <w:uiPriority w:val="99"/>
    <w:rsid w:val="00FB3CCF"/>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146396">
      <w:marLeft w:val="0"/>
      <w:marRight w:val="0"/>
      <w:marTop w:val="0"/>
      <w:marBottom w:val="0"/>
      <w:divBdr>
        <w:top w:val="none" w:sz="0" w:space="0" w:color="auto"/>
        <w:left w:val="none" w:sz="0" w:space="0" w:color="auto"/>
        <w:bottom w:val="none" w:sz="0" w:space="0" w:color="auto"/>
        <w:right w:val="none" w:sz="0" w:space="0" w:color="auto"/>
      </w:divBdr>
    </w:div>
    <w:div w:id="10632115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07A4D-7E8F-E244-81F2-AFEDE7E57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68</Pages>
  <Words>19461</Words>
  <Characters>114046</Characters>
  <Application>Microsoft Office Word</Application>
  <DocSecurity>0</DocSecurity>
  <Lines>1966</Lines>
  <Paragraphs>1034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Gulriz Denizci</dc:creator>
  <cp:keywords/>
  <dc:description/>
  <cp:lastModifiedBy>Gulriz Denizci</cp:lastModifiedBy>
  <cp:revision>2</cp:revision>
  <dcterms:created xsi:type="dcterms:W3CDTF">2026-04-21T19:37:00Z</dcterms:created>
  <dcterms:modified xsi:type="dcterms:W3CDTF">2026-04-21T19:37:00Z</dcterms:modified>
</cp:coreProperties>
</file>