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5192106"/>
        <w:docPartObj>
          <w:docPartGallery w:val="Cover Pages"/>
          <w:docPartUnique/>
        </w:docPartObj>
      </w:sdtPr>
      <w:sdtEndPr>
        <w:rPr>
          <w:rFonts w:ascii="Arial Black" w:hAnsi="Arial Black" w:cs="Arial"/>
          <w:u w:val="double"/>
        </w:rPr>
      </w:sdtEndPr>
      <w:sdtContent>
        <w:p w14:paraId="7783206D" w14:textId="6C44725C" w:rsidR="000579B7" w:rsidRDefault="000579B7"/>
        <w:p w14:paraId="02FD0D43" w14:textId="50313C5F" w:rsidR="003D30A6" w:rsidRPr="003D30A6" w:rsidRDefault="003D30A6" w:rsidP="003D30A6">
          <w:pPr>
            <w:rPr>
              <w:rFonts w:ascii="Arial Black" w:hAnsi="Arial Black" w:cs="Arial"/>
              <w:u w:val="double"/>
            </w:rPr>
          </w:pPr>
          <w:r w:rsidRPr="003D30A6">
            <w:rPr>
              <w:rFonts w:ascii="Arial Black" w:hAnsi="Arial Black" w:cs="Arial"/>
              <w:u w:val="double"/>
            </w:rPr>
            <w:t>Student name:</w:t>
          </w:r>
          <w:r>
            <w:rPr>
              <w:rFonts w:ascii="Arial Black" w:hAnsi="Arial Black" w:cs="Arial"/>
              <w:u w:val="double"/>
            </w:rPr>
            <w:t xml:space="preserve"> </w:t>
          </w:r>
          <w:r w:rsidR="004F71BB">
            <w:rPr>
              <w:rFonts w:ascii="Arial Black" w:hAnsi="Arial Black" w:cs="Arial"/>
              <w:u w:val="double"/>
            </w:rPr>
            <w:t xml:space="preserve">Zenaida Goleanu </w:t>
          </w:r>
          <w:r w:rsidRPr="003D30A6">
            <w:rPr>
              <w:rFonts w:ascii="Arial Black" w:hAnsi="Arial Black" w:cs="Arial"/>
              <w:u w:val="double"/>
            </w:rPr>
            <w:t xml:space="preserve">  </w:t>
          </w:r>
        </w:p>
        <w:p w14:paraId="31B676BD" w14:textId="7CF8C6D5" w:rsidR="003D30A6" w:rsidRPr="003D30A6" w:rsidRDefault="003D30A6" w:rsidP="003D30A6">
          <w:pPr>
            <w:rPr>
              <w:rFonts w:ascii="Arial Black" w:hAnsi="Arial Black" w:cs="Arial"/>
              <w:u w:val="double"/>
            </w:rPr>
          </w:pPr>
          <w:r w:rsidRPr="003D30A6">
            <w:rPr>
              <w:rFonts w:ascii="Arial Black" w:hAnsi="Arial Black" w:cs="Arial"/>
              <w:u w:val="double"/>
            </w:rPr>
            <w:t>Module:</w:t>
          </w:r>
          <w:r>
            <w:rPr>
              <w:rFonts w:ascii="Arial Black" w:hAnsi="Arial Black" w:cs="Arial"/>
              <w:u w:val="double"/>
            </w:rPr>
            <w:t xml:space="preserve"> </w:t>
          </w:r>
          <w:r w:rsidRPr="003D30A6">
            <w:rPr>
              <w:rFonts w:ascii="Arial Black" w:hAnsi="Arial Black" w:cs="Arial"/>
              <w:u w:val="double"/>
            </w:rPr>
            <w:t>Distinctiveness and Regeneration</w:t>
          </w:r>
        </w:p>
        <w:p w14:paraId="3FF5F9CA" w14:textId="45817DF8" w:rsidR="003D30A6" w:rsidRPr="003D30A6" w:rsidRDefault="003D30A6" w:rsidP="003D30A6">
          <w:pPr>
            <w:rPr>
              <w:rFonts w:ascii="Arial Black" w:hAnsi="Arial Black" w:cs="Arial"/>
              <w:u w:val="double"/>
            </w:rPr>
          </w:pPr>
          <w:r w:rsidRPr="003D30A6">
            <w:rPr>
              <w:rFonts w:ascii="Arial Black" w:hAnsi="Arial Black" w:cs="Arial"/>
              <w:u w:val="double"/>
            </w:rPr>
            <w:t>Module code</w:t>
          </w:r>
          <w:r>
            <w:rPr>
              <w:rFonts w:ascii="Arial Black" w:hAnsi="Arial Black" w:cs="Arial"/>
              <w:u w:val="double"/>
            </w:rPr>
            <w:t xml:space="preserve"> </w:t>
          </w:r>
          <w:r w:rsidRPr="003D30A6">
            <w:rPr>
              <w:rFonts w:ascii="Arial Black" w:hAnsi="Arial Black" w:cs="Arial"/>
              <w:u w:val="double"/>
            </w:rPr>
            <w:t>BMSP4014D</w:t>
          </w:r>
        </w:p>
        <w:p w14:paraId="0E07A34B" w14:textId="55BF55A5" w:rsidR="000579B7" w:rsidRDefault="003D30A6" w:rsidP="003D30A6">
          <w:pPr>
            <w:rPr>
              <w:rFonts w:ascii="Arial Black" w:hAnsi="Arial Black" w:cs="Arial"/>
              <w:u w:val="double"/>
            </w:rPr>
          </w:pPr>
          <w:r w:rsidRPr="003D30A6">
            <w:rPr>
              <w:rFonts w:ascii="Arial Black" w:hAnsi="Arial Black" w:cs="Arial"/>
              <w:u w:val="double"/>
            </w:rPr>
            <w:t>Lecturer:</w:t>
          </w:r>
          <w:r>
            <w:rPr>
              <w:rFonts w:ascii="Arial Black" w:hAnsi="Arial Black" w:cs="Arial"/>
              <w:u w:val="double"/>
            </w:rPr>
            <w:t xml:space="preserve"> </w:t>
          </w:r>
          <w:r w:rsidRPr="003D30A6">
            <w:rPr>
              <w:rFonts w:ascii="Arial Black" w:hAnsi="Arial Black" w:cs="Arial"/>
              <w:u w:val="double"/>
            </w:rPr>
            <w:t>Jessica Shore</w:t>
          </w:r>
          <w:r w:rsidR="000579B7">
            <w:rPr>
              <w:noProof/>
            </w:rPr>
            <mc:AlternateContent>
              <mc:Choice Requires="wps">
                <w:drawing>
                  <wp:anchor distT="0" distB="0" distL="182880" distR="182880" simplePos="0" relativeHeight="251660288" behindDoc="0" locked="0" layoutInCell="1" allowOverlap="1" wp14:anchorId="554D3C7A" wp14:editId="37975ADB">
                    <wp:simplePos x="0" y="0"/>
                    <wp:positionH relativeFrom="margin">
                      <wp:align>left</wp:align>
                    </wp:positionH>
                    <wp:positionV relativeFrom="page">
                      <wp:posOffset>6466205</wp:posOffset>
                    </wp:positionV>
                    <wp:extent cx="5499100" cy="6720840"/>
                    <wp:effectExtent l="0" t="0" r="635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4991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062A8A" w14:textId="39B6438A" w:rsidR="000579B7" w:rsidRPr="00BC160D" w:rsidRDefault="00000000" w:rsidP="00BC160D">
                                <w:pPr>
                                  <w:pStyle w:val="NoSpacing"/>
                                  <w:spacing w:before="40" w:after="560" w:line="216" w:lineRule="auto"/>
                                  <w:rPr>
                                    <w:color w:val="156082" w:themeColor="accent1"/>
                                    <w:sz w:val="72"/>
                                    <w:szCs w:val="72"/>
                                  </w:rPr>
                                </w:pPr>
                                <w:sdt>
                                  <w:sdtPr>
                                    <w:rPr>
                                      <w:rFonts w:ascii="Arial Black" w:hAnsi="Arial Black"/>
                                      <w:color w:val="156082" w:themeColor="accent1"/>
                                      <w:sz w:val="56"/>
                                      <w:szCs w:val="56"/>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F71BB">
                                      <w:rPr>
                                        <w:rFonts w:ascii="Arial Black" w:hAnsi="Arial Black"/>
                                        <w:color w:val="156082" w:themeColor="accent1"/>
                                        <w:sz w:val="56"/>
                                        <w:szCs w:val="56"/>
                                        <w:u w:val="single"/>
                                      </w:rPr>
                                      <w:t>Report on Llaneli Appraisal</w:t>
                                    </w:r>
                                  </w:sdtContent>
                                </w:sdt>
                              </w:p>
                              <w:p w14:paraId="6A9ABFB4" w14:textId="079B6D14" w:rsidR="000579B7" w:rsidRDefault="000579B7">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54D3C7A" id="_x0000_t202" coordsize="21600,21600" o:spt="202" path="m,l,21600r21600,l21600,xe">
                    <v:stroke joinstyle="miter"/>
                    <v:path gradientshapeok="t" o:connecttype="rect"/>
                  </v:shapetype>
                  <v:shape id="Text Box 131" o:spid="_x0000_s1026" type="#_x0000_t202" style="position:absolute;margin-left:0;margin-top:509.15pt;width:433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" filled="f" stroked="f" strokeweight=".5pt">
                    <v:textbox style="mso-fit-shape-to-text:t" inset="0,0,0,0">
                      <w:txbxContent>
                        <w:p w14:paraId="3F062A8A" w14:textId="39B6438A" w:rsidR="000579B7" w:rsidRPr="00BC160D" w:rsidRDefault="00000000" w:rsidP="00BC160D">
                          <w:pPr>
                            <w:pStyle w:val="NoSpacing"/>
                            <w:spacing w:before="40" w:after="560" w:line="216" w:lineRule="auto"/>
                            <w:rPr>
                              <w:color w:val="156082" w:themeColor="accent1"/>
                              <w:sz w:val="72"/>
                              <w:szCs w:val="72"/>
                            </w:rPr>
                          </w:pPr>
                          <w:sdt>
                            <w:sdtPr>
                              <w:rPr>
                                <w:rFonts w:ascii="Arial Black" w:hAnsi="Arial Black"/>
                                <w:color w:val="156082" w:themeColor="accent1"/>
                                <w:sz w:val="56"/>
                                <w:szCs w:val="56"/>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F71BB">
                                <w:rPr>
                                  <w:rFonts w:ascii="Arial Black" w:hAnsi="Arial Black"/>
                                  <w:color w:val="156082" w:themeColor="accent1"/>
                                  <w:sz w:val="56"/>
                                  <w:szCs w:val="56"/>
                                  <w:u w:val="single"/>
                                </w:rPr>
                                <w:t>Report on Llaneli Appraisal</w:t>
                              </w:r>
                            </w:sdtContent>
                          </w:sdt>
                        </w:p>
                        <w:p w14:paraId="6A9ABFB4" w14:textId="079B6D14" w:rsidR="000579B7" w:rsidRDefault="000579B7">
                          <w:pPr>
                            <w:pStyle w:val="NoSpacing"/>
                            <w:spacing w:before="80" w:after="40"/>
                            <w:rPr>
                              <w:caps/>
                              <w:color w:val="A02B93" w:themeColor="accent5"/>
                              <w:sz w:val="24"/>
                              <w:szCs w:val="24"/>
                            </w:rPr>
                          </w:pPr>
                        </w:p>
                      </w:txbxContent>
                    </v:textbox>
                    <w10:wrap type="square" anchorx="margin" anchory="page"/>
                  </v:shape>
                </w:pict>
              </mc:Fallback>
            </mc:AlternateContent>
          </w:r>
          <w:r w:rsidR="000579B7">
            <w:rPr>
              <w:noProof/>
            </w:rPr>
            <mc:AlternateContent>
              <mc:Choice Requires="wps">
                <w:drawing>
                  <wp:anchor distT="0" distB="0" distL="114300" distR="114300" simplePos="0" relativeHeight="251659264" behindDoc="0" locked="0" layoutInCell="1" allowOverlap="1" wp14:anchorId="56F1317B" wp14:editId="6DB31E4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2-09T00:00:00Z">
                                    <w:dateFormat w:val="yyyy"/>
                                    <w:lid w:val="en-US"/>
                                    <w:storeMappedDataAs w:val="dateTime"/>
                                    <w:calendar w:val="gregorian"/>
                                  </w:date>
                                </w:sdtPr>
                                <w:sdtContent>
                                  <w:p w14:paraId="5A924B5B" w14:textId="4F80EE84" w:rsidR="000579B7" w:rsidRPr="00BC160D" w:rsidRDefault="00BC160D">
                                    <w:pPr>
                                      <w:pStyle w:val="NoSpacing"/>
                                      <w:jc w:val="right"/>
                                      <w:rPr>
                                        <w:rFonts w:ascii="Arial Black" w:hAnsi="Arial Black"/>
                                        <w:color w:val="FFFFFF" w:themeColor="background1"/>
                                        <w:sz w:val="24"/>
                                        <w:szCs w:val="24"/>
                                      </w:rPr>
                                    </w:pPr>
                                    <w:r w:rsidRPr="00BC160D">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F1317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2-09T00:00:00Z">
                              <w:dateFormat w:val="yyyy"/>
                              <w:lid w:val="en-US"/>
                              <w:storeMappedDataAs w:val="dateTime"/>
                              <w:calendar w:val="gregorian"/>
                            </w:date>
                          </w:sdtPr>
                          <w:sdtContent>
                            <w:p w14:paraId="5A924B5B" w14:textId="4F80EE84" w:rsidR="000579B7" w:rsidRPr="00BC160D" w:rsidRDefault="00BC160D">
                              <w:pPr>
                                <w:pStyle w:val="NoSpacing"/>
                                <w:jc w:val="right"/>
                                <w:rPr>
                                  <w:rFonts w:ascii="Arial Black" w:hAnsi="Arial Black"/>
                                  <w:color w:val="FFFFFF" w:themeColor="background1"/>
                                  <w:sz w:val="24"/>
                                  <w:szCs w:val="24"/>
                                </w:rPr>
                              </w:pPr>
                              <w:r w:rsidRPr="00BC160D">
                                <w:rPr>
                                  <w:rFonts w:ascii="Arial Black" w:hAnsi="Arial Black"/>
                                  <w:color w:val="FFFFFF" w:themeColor="background1"/>
                                  <w:sz w:val="24"/>
                                  <w:szCs w:val="24"/>
                                </w:rPr>
                                <w:t>2025</w:t>
                              </w:r>
                            </w:p>
                          </w:sdtContent>
                        </w:sdt>
                      </w:txbxContent>
                    </v:textbox>
                    <w10:wrap anchorx="margin" anchory="page"/>
                  </v:rect>
                </w:pict>
              </mc:Fallback>
            </mc:AlternateContent>
          </w:r>
          <w:r w:rsidR="000579B7">
            <w:rPr>
              <w:rFonts w:ascii="Arial Black" w:hAnsi="Arial Black" w:cs="Arial"/>
              <w:u w:val="double"/>
            </w:rPr>
            <w:br w:type="page"/>
          </w:r>
        </w:p>
      </w:sdtContent>
    </w:sdt>
    <w:p w14:paraId="5036B2E4" w14:textId="69376AC3" w:rsidR="00D40648" w:rsidRDefault="00D40648" w:rsidP="00D40648">
      <w:pPr>
        <w:spacing w:line="480" w:lineRule="auto"/>
        <w:rPr>
          <w:rFonts w:ascii="Arial" w:hAnsi="Arial" w:cs="Arial"/>
        </w:rPr>
      </w:pPr>
      <w:r w:rsidRPr="00D40648">
        <w:rPr>
          <w:rFonts w:ascii="Arial Black" w:hAnsi="Arial Black" w:cs="Arial"/>
          <w:u w:val="double"/>
        </w:rPr>
        <w:lastRenderedPageBreak/>
        <w:t xml:space="preserve">Changing Fortunes </w:t>
      </w:r>
      <w:r w:rsidRPr="00D40648">
        <w:rPr>
          <w:rFonts w:ascii="Arial" w:hAnsi="Arial" w:cs="Arial"/>
        </w:rPr>
        <w:br/>
        <w:t>Llanelli's past shows how it changed from a busy industrial town to one dealing with difficulties after industry declined. In the 19th and early 20th centuries, Llanelli thrived as a hub for tinplate production, coal mining, and heavy industries. This helped the economy grow and created strong community connections based on working together and a shared local identity. These businesses created steady jobs and shaped the town's community. As a result, the town had lively streets, busy markets, and close neighbourhoods, which helped everyone feel connected and part of something bigger.</w:t>
      </w:r>
      <w:r w:rsidRPr="00D40648">
        <w:rPr>
          <w:rFonts w:ascii="Arial" w:hAnsi="Arial" w:cs="Arial"/>
        </w:rPr>
        <w:br/>
        <w:t>In the late 20th century, Llanelli faced a big drop in its economy and social issues due to the fall of heavy industry. The closing of factories and mines caused many people to lose their jobs and led to a decline in towns and cities, affecting both the environment and community life. As young people moved away to find better jobs, their old streets became less lively. This led to abandoned factories and weaker community connections. This major change shows the problems that come when a strong economy fails, making it necessary to find new ways to bring life back to the city centre.</w:t>
      </w:r>
      <w:r w:rsidRPr="00D40648">
        <w:rPr>
          <w:rFonts w:ascii="Arial" w:hAnsi="Arial" w:cs="Arial"/>
        </w:rPr>
        <w:br/>
        <w:t>The impact of deindustrialisation on the environment is also an important part of Llanelli's changed situation. Abandoned mills, old docks, and unused buildings remind us of the town's industrial history, but they also pose environmental risks like polluted soil and crumbling structures. These abandoned sites are a problem but also a chance: they harm the city and scare away investors, yet they can be changed into valuable places that meet the needs of culture, business, or the community. This shows that when an economy is struggling, smart planning can help turn it around and create a sustainable future (Hans-Böckler-Foundation, 2001).</w:t>
      </w:r>
      <w:r w:rsidRPr="00D40648">
        <w:rPr>
          <w:rFonts w:ascii="Arial" w:hAnsi="Arial" w:cs="Arial"/>
        </w:rPr>
        <w:br/>
      </w:r>
      <w:r w:rsidRPr="00D40648">
        <w:rPr>
          <w:rFonts w:ascii="Arial" w:hAnsi="Arial" w:cs="Arial"/>
        </w:rPr>
        <w:lastRenderedPageBreak/>
        <w:br/>
        <w:t>The decline of traditional industries has changed the way local groups are organised and how they interact with each other. In the past, strong connections and close-knit communities were common. However, losing steady jobs and families moving apart have weakened the relationships that once brought people together in the community. Weakening these links has negatively impacted teamwork and community involvement. This has led to feelings of isolation among residents and made it harder to carry out community improvement projects. This time of change is also an opportunity to create a new urban identity. It aims to use the community's natural strength and build ties through shared planning.</w:t>
      </w:r>
      <w:r w:rsidRPr="00D40648">
        <w:rPr>
          <w:rFonts w:ascii="Arial" w:hAnsi="Arial" w:cs="Arial"/>
        </w:rPr>
        <w:br/>
        <w:t xml:space="preserve">Even as Llanelli </w:t>
      </w:r>
      <w:r>
        <w:rPr>
          <w:rFonts w:ascii="Arial" w:hAnsi="Arial" w:cs="Arial"/>
        </w:rPr>
        <w:t>struggles</w:t>
      </w:r>
      <w:r w:rsidRPr="00D40648">
        <w:rPr>
          <w:rFonts w:ascii="Arial" w:hAnsi="Arial" w:cs="Arial"/>
        </w:rPr>
        <w:t xml:space="preserve"> with these challenges, the transformation of its fortunes has sparked a chance to redefine the town’s future. The decline has created an opportunity for new ideas that combine our historical character with modern business approaches. Community leaders and planners are finding ways to turn weaknesses in the city into strengths. They want to combine keeping old buildings with new development that focusses on being environmentally friendly, creative, and inclusive. This re-envisioning of the town’s legacy is important for ensuring that the lessons of the past inform a resilient and dynamic future (Healey, 1999).</w:t>
      </w:r>
    </w:p>
    <w:p w14:paraId="78BF36C5" w14:textId="4D2F7713" w:rsidR="00D40648" w:rsidRPr="00D40648" w:rsidRDefault="00D40648" w:rsidP="00D40648">
      <w:pPr>
        <w:spacing w:line="480" w:lineRule="auto"/>
        <w:rPr>
          <w:rFonts w:ascii="Arial Black" w:hAnsi="Arial Black" w:cs="Arial"/>
          <w:u w:val="double"/>
        </w:rPr>
      </w:pPr>
      <w:r w:rsidRPr="00D40648">
        <w:rPr>
          <w:rFonts w:ascii="Arial Black" w:hAnsi="Arial Black" w:cs="Arial"/>
          <w:u w:val="double"/>
        </w:rPr>
        <w:t>Existing Assets, Structures and Economic Character</w:t>
      </w:r>
    </w:p>
    <w:p w14:paraId="1A54DB4A" w14:textId="1B6EE812" w:rsidR="00D40648" w:rsidRDefault="00D40648" w:rsidP="00D40648">
      <w:pPr>
        <w:spacing w:line="480" w:lineRule="auto"/>
        <w:rPr>
          <w:rFonts w:ascii="Arial" w:hAnsi="Arial" w:cs="Arial"/>
        </w:rPr>
      </w:pPr>
      <w:r w:rsidRPr="00D40648">
        <w:rPr>
          <w:rFonts w:ascii="Arial" w:hAnsi="Arial" w:cs="Arial"/>
        </w:rPr>
        <w:t xml:space="preserve">Despite the difficulties brought about by deindustrialisation, Llanelli provides with an abundance of tangible assets that reflect its historic past and give a potential foundation for renewal. The town's characteristic industrial architecture, which includes red-brick mills, large docklands, and sturdy infrastructure aspects, serves as a lasting reminder of a rich age. These structures, while frequently underutilised </w:t>
      </w:r>
      <w:r w:rsidRPr="00D40648">
        <w:rPr>
          <w:rFonts w:ascii="Arial" w:hAnsi="Arial" w:cs="Arial"/>
        </w:rPr>
        <w:lastRenderedPageBreak/>
        <w:t>today, have tremendous potential for adaptive reuse. Planners can conserve Llanelli's historical narrative while bringing fresh vitality to the urban environment by transforming these relics into modern cultural facilities, creative workspaces, or mixed-use buildings.</w:t>
      </w:r>
      <w:r w:rsidRPr="00D40648">
        <w:rPr>
          <w:rFonts w:ascii="Arial" w:hAnsi="Arial" w:cs="Arial"/>
        </w:rPr>
        <w:br/>
        <w:t>In addition to its physical legacy, Llanelli has a favourable geographical location and well-developed transit infrastructure. The town's wide network of highways and rail connections connects it to major urban areas throughout Wales and the rest of the United Kingdom, making it an appealing location for investors and enterprises seeking to leverage connectivity. This solid infrastructure not only supports the mobility of goods and people but also serves as a foundation for the transition to rising economic sectors such as digital technology, creative industries, and service-based businesses. These transport and connectivity infrastructure are critical to the town's changing economic character (Holden, 2006).</w:t>
      </w:r>
      <w:r w:rsidRPr="00D40648">
        <w:rPr>
          <w:rFonts w:ascii="Arial" w:hAnsi="Arial" w:cs="Arial"/>
        </w:rPr>
        <w:br/>
        <w:t>Llanelli's economic landscape is changing dramatically, as it moves away from its traditional heavy industrial foundations and towards a more diverse and resilient structure. While the legacy of manufacturing is still obvious, there is a rising emphasis on fostering companies that value creativity, innovation, and sustainability. This diversification may be seen in the creation of local start-ups, cultural enterprises, and digital services, which are reshaping the town's economic character. The progressive shift to a knowledge-based economy not only serves to ameliorate the effects of previous industrial collapse, but it also positions Llanelli as a potential hub for modern, sustainable economic endeavours (Kearns &amp; Turok, 2003).</w:t>
      </w:r>
      <w:r w:rsidRPr="00D40648">
        <w:rPr>
          <w:rFonts w:ascii="Arial" w:hAnsi="Arial" w:cs="Arial"/>
        </w:rPr>
        <w:br/>
        <w:t xml:space="preserve">Llanelli's social and cultural advantages support its physical infrastructure and economic prospects. The town is well-known for its rich traditions, community festivals, and athletic successes, all of which contribute to a strong sense of local </w:t>
      </w:r>
      <w:r w:rsidRPr="00D40648">
        <w:rPr>
          <w:rFonts w:ascii="Arial" w:hAnsi="Arial" w:cs="Arial"/>
        </w:rPr>
        <w:lastRenderedPageBreak/>
        <w:t>identity. These cultural assets, which are ingrained in people' collective memory, serve as an important counterpoint to economic hardships by encouraging social cohesiveness and community pride. Llanelli may increase its appeal as a lively, community-focused destination that cherishes both its past and its future by incorporating cultural programs and heritage projects into urban regeneration (Hediger, 2000).</w:t>
      </w:r>
    </w:p>
    <w:p w14:paraId="3D115685" w14:textId="23F7CE0A" w:rsidR="00D40648" w:rsidRPr="00D40648" w:rsidRDefault="00D40648" w:rsidP="00D40648">
      <w:pPr>
        <w:spacing w:line="480" w:lineRule="auto"/>
        <w:rPr>
          <w:rFonts w:ascii="Arial Black" w:hAnsi="Arial Black" w:cs="Arial"/>
          <w:u w:val="double"/>
        </w:rPr>
      </w:pPr>
      <w:r w:rsidRPr="00D40648">
        <w:rPr>
          <w:rFonts w:ascii="Arial Black" w:hAnsi="Arial Black" w:cs="Arial"/>
          <w:u w:val="double"/>
        </w:rPr>
        <w:t>Key Stakeholders and Interest Groups</w:t>
      </w:r>
    </w:p>
    <w:p w14:paraId="45C6B056" w14:textId="2CF2AAC8" w:rsidR="00D40648" w:rsidRDefault="00D40648" w:rsidP="00D40648">
      <w:pPr>
        <w:spacing w:line="480" w:lineRule="auto"/>
        <w:rPr>
          <w:rFonts w:ascii="Arial" w:hAnsi="Arial" w:cs="Arial"/>
        </w:rPr>
      </w:pPr>
      <w:r w:rsidRPr="00D40648">
        <w:rPr>
          <w:rFonts w:ascii="Arial" w:hAnsi="Arial" w:cs="Arial"/>
        </w:rPr>
        <w:t>The revitalisation of Llanelli depends significantly on the cooperative endeavours of several stakeholders, each of whom is essential in determining the town's future. Local government entities, such as Carmarthenshire County Council and Llanelli Town Council, function as the principal designers of redevelopment projects. These entities are tasked with policy formation, land-use planning, and acquiring the requisite resources for urban revitalisation. Their strategic direction and dedication to sustainable development are crucial for integrating local initiatives with overarching national objectives and ensuring that regeneration is carried out systematically and cohesively (HM Government, 2005).</w:t>
      </w:r>
      <w:r w:rsidRPr="00D40648">
        <w:rPr>
          <w:rFonts w:ascii="Arial" w:hAnsi="Arial" w:cs="Arial"/>
        </w:rPr>
        <w:br/>
        <w:t xml:space="preserve">Community organisations and residents are essential to the regeneration process, as they offer critical on-the-ground insights for good planning. Grassroots organisations, neighbourhood associations, and civic leaders have a profound comprehension of the local context, enabling them to express the needs, aspirations, and cultural subtleties of the community. By engaging these groups in the planning and decision-making processes, the regeneration strategy may be customised to tackle genuine local concerns while concurrently promoting a sense of ownership and empowerment among locals. This grassroots approach is essential for constructing </w:t>
      </w:r>
      <w:r w:rsidRPr="00D40648">
        <w:rPr>
          <w:rFonts w:ascii="Arial" w:hAnsi="Arial" w:cs="Arial"/>
        </w:rPr>
        <w:lastRenderedPageBreak/>
        <w:t>resilient communities that are committed to their own revitalisation (GVRD, 2004a).</w:t>
      </w:r>
      <w:r w:rsidRPr="00D40648">
        <w:rPr>
          <w:rFonts w:ascii="Arial" w:hAnsi="Arial" w:cs="Arial"/>
        </w:rPr>
        <w:br/>
        <w:t>Local enterprises and industry leaders are also essential stakeholders in the regeneration process. Their function in attracting investment, fostering innovation, and generating employment prospects is paramount. Through the establishment of innovative public–private partnerships, local businesses can convert underutilised metropolitan areas into dynamic economic hubs that foster additional growth. This partnership between the public and commercial sectors not only provides crucial funding and expertise for redevelopment initiatives but also guarantees that the economic advantages of regeneration are widely shared within the community. Business engagement is a crucial element in the comprehensive strategy to revitalise Llanelli's economy (GVRD, 2004b).</w:t>
      </w:r>
      <w:r w:rsidRPr="00D40648">
        <w:rPr>
          <w:rFonts w:ascii="Arial" w:hAnsi="Arial" w:cs="Arial"/>
        </w:rPr>
        <w:br/>
        <w:t>Academic institutions and research organisations contribute significantly to the regeneration process by delivering evidence-based insights and new solutions. Collaborations with local universities and think tanks facilitate the incorporation of innovative research into urban planning methodologies, guaranteeing that redevelopment initiatives are both progressive and based on actual evidence. Collaborations can enable experimental initiatives in renewable energy, sustainable design, and digital innovation, therefore aiding in the development of a contemporary, flexible urban environment. The use of academic expertise is essential for developing policies that are both visionary and feasible (Layard, 2007).</w:t>
      </w:r>
    </w:p>
    <w:p w14:paraId="470FB571" w14:textId="31210047" w:rsidR="00D40648" w:rsidRPr="000579B7" w:rsidRDefault="00D40648" w:rsidP="00D40648">
      <w:pPr>
        <w:spacing w:line="480" w:lineRule="auto"/>
        <w:rPr>
          <w:rFonts w:ascii="Arial Black" w:hAnsi="Arial Black" w:cs="Arial"/>
          <w:u w:val="double"/>
        </w:rPr>
      </w:pPr>
      <w:r w:rsidRPr="000579B7">
        <w:rPr>
          <w:rFonts w:ascii="Arial Black" w:hAnsi="Arial Black" w:cs="Arial"/>
          <w:u w:val="double"/>
        </w:rPr>
        <w:t>Local/Regional Development Strategies</w:t>
      </w:r>
    </w:p>
    <w:p w14:paraId="5E50CCC5" w14:textId="77777777" w:rsidR="000579B7" w:rsidRPr="000579B7" w:rsidRDefault="000579B7" w:rsidP="000579B7">
      <w:pPr>
        <w:spacing w:line="480" w:lineRule="auto"/>
        <w:rPr>
          <w:rFonts w:ascii="Arial" w:hAnsi="Arial" w:cs="Arial"/>
        </w:rPr>
      </w:pPr>
      <w:r w:rsidRPr="000579B7">
        <w:rPr>
          <w:rFonts w:ascii="Arial" w:hAnsi="Arial" w:cs="Arial"/>
        </w:rPr>
        <w:t xml:space="preserve">Local and regional development policies play a critical role in establishing the framework for Llanelli's regeneration. Local strategic planning documents, such as the Carmarthenshire Local Development Plan, lay out a vision for urban renewal that </w:t>
      </w:r>
      <w:r w:rsidRPr="000579B7">
        <w:rPr>
          <w:rFonts w:ascii="Arial" w:hAnsi="Arial" w:cs="Arial"/>
        </w:rPr>
        <w:lastRenderedPageBreak/>
        <w:t>focusses on transforming decaying industrial zones into dynamic, mixed-use neighbourhoods. These plans argue for the consolidation of residential, commercial, and cultural functions into compact, walkable communities that encourage social contact, limit urban sprawl, and improve energy efficiency. Such integrated planning is required to create urban environments that are both habitable and economically productive (HM Government 2005).</w:t>
      </w:r>
    </w:p>
    <w:p w14:paraId="2BDDB3FF" w14:textId="77777777" w:rsidR="000579B7" w:rsidRPr="000579B7" w:rsidRDefault="000579B7" w:rsidP="000579B7">
      <w:pPr>
        <w:spacing w:line="480" w:lineRule="auto"/>
        <w:rPr>
          <w:rFonts w:ascii="Arial" w:hAnsi="Arial" w:cs="Arial"/>
        </w:rPr>
      </w:pPr>
      <w:r w:rsidRPr="000579B7">
        <w:rPr>
          <w:rFonts w:ascii="Arial" w:hAnsi="Arial" w:cs="Arial"/>
        </w:rPr>
        <w:t>Regional methods magnify local attempts by placing Llanelli's rehabilitation in the larger framework of national sustainability and economic growth goals. National policies are increasingly emphasising the reduction of carbon emissions, the development of renewable energy, and the adoption of innovative technologies that can boost economic resilience. By coordinating local redevelopment initiatives with these larger strategies, Llanelli can get access to more financing, experience, and technical assistance, improving the overall effectiveness of its regeneration operations. This connection guarantees that local initiatives both contribute to and benefit from national goals for a greener, more affluent urban future (Hediger 2000).</w:t>
      </w:r>
    </w:p>
    <w:p w14:paraId="3BF6D87C" w14:textId="6FEFFC5C" w:rsidR="000579B7" w:rsidRPr="000579B7" w:rsidRDefault="000579B7" w:rsidP="000579B7">
      <w:pPr>
        <w:spacing w:line="480" w:lineRule="auto"/>
        <w:rPr>
          <w:rFonts w:ascii="Arial" w:hAnsi="Arial" w:cs="Arial"/>
        </w:rPr>
      </w:pPr>
      <w:r w:rsidRPr="000579B7">
        <w:rPr>
          <w:rFonts w:ascii="Arial" w:hAnsi="Arial" w:cs="Arial"/>
        </w:rPr>
        <w:t>Adaptive reuse of historic industrial structures is an important part of various development initiatives. In many post-industrial towns, turning abandoned factories, warehouses, and docklands into functional spac</w:t>
      </w:r>
      <w:r>
        <w:rPr>
          <w:rFonts w:ascii="Arial" w:hAnsi="Arial" w:cs="Arial"/>
        </w:rPr>
        <w:t xml:space="preserve">es, </w:t>
      </w:r>
      <w:r w:rsidRPr="000579B7">
        <w:rPr>
          <w:rFonts w:ascii="Arial" w:hAnsi="Arial" w:cs="Arial"/>
        </w:rPr>
        <w:t>such as cultural venues, creative workspaces, or commercial centres</w:t>
      </w:r>
      <w:r>
        <w:rPr>
          <w:rFonts w:ascii="Arial" w:hAnsi="Arial" w:cs="Arial"/>
        </w:rPr>
        <w:t xml:space="preserve"> </w:t>
      </w:r>
      <w:r w:rsidRPr="000579B7">
        <w:rPr>
          <w:rFonts w:ascii="Arial" w:hAnsi="Arial" w:cs="Arial"/>
        </w:rPr>
        <w:t>has emerged as an efficient urban revitalisation approach. This method has two advantages in Llanelli: it protects the town's distinct historical identity while also catalysing economic revitalisation. By transforming these underutilised assets into active urban amenities, the municipality may attract tourists, stimulate creative enterprises, and provide a concrete link between its past and its future goals (Hogget, 1997).</w:t>
      </w:r>
    </w:p>
    <w:p w14:paraId="19946B62" w14:textId="55A6044C" w:rsidR="000579B7" w:rsidRPr="000579B7" w:rsidRDefault="000579B7" w:rsidP="000579B7">
      <w:pPr>
        <w:spacing w:line="480" w:lineRule="auto"/>
        <w:rPr>
          <w:rFonts w:ascii="Arial" w:hAnsi="Arial" w:cs="Arial"/>
        </w:rPr>
      </w:pPr>
      <w:r w:rsidRPr="000579B7">
        <w:rPr>
          <w:rFonts w:ascii="Arial" w:hAnsi="Arial" w:cs="Arial"/>
        </w:rPr>
        <w:lastRenderedPageBreak/>
        <w:t xml:space="preserve">Another </w:t>
      </w:r>
      <w:proofErr w:type="spellStart"/>
      <w:r w:rsidRPr="000579B7">
        <w:rPr>
          <w:rFonts w:ascii="Arial" w:hAnsi="Arial" w:cs="Arial"/>
        </w:rPr>
        <w:t>atractive</w:t>
      </w:r>
      <w:proofErr w:type="spellEnd"/>
      <w:r w:rsidRPr="000579B7">
        <w:rPr>
          <w:rFonts w:ascii="Arial" w:hAnsi="Arial" w:cs="Arial"/>
        </w:rPr>
        <w:t xml:space="preserve"> aspect of regional strategy is the creation of long-term mixed-use developments on brownfield sites. These previously contaminated and neglected areas can be converted into thriving neighbourhoods that include affordable housing, local retail, public spaces, and green infrastructure. Mixed-use developments address spatial inequity and urban sprawl while simultaneously promoting a more energy-efficient and socially cohesive urban fabric. These projects create the framework for sustainable communities that support both economic activity and quality of life by developing surroundings in which residents can live, work, and engage in recreational activities close together (GVRD, 2004a).</w:t>
      </w:r>
    </w:p>
    <w:p w14:paraId="02418AAF" w14:textId="77777777" w:rsidR="000579B7" w:rsidRPr="000579B7" w:rsidRDefault="000579B7" w:rsidP="000579B7">
      <w:pPr>
        <w:spacing w:line="480" w:lineRule="auto"/>
        <w:rPr>
          <w:rFonts w:ascii="Arial" w:hAnsi="Arial" w:cs="Arial"/>
        </w:rPr>
      </w:pPr>
      <w:r w:rsidRPr="000579B7">
        <w:rPr>
          <w:rFonts w:ascii="Arial" w:hAnsi="Arial" w:cs="Arial"/>
        </w:rPr>
        <w:t>Furthermore, regional policies are increasingly emphasising the promotion of renewable energy and the formation of innovation hubs. Repurposing derelict industrial areas for renewable energy projects, such as solar farms, wind turbines, or biomass facilities, can assist Llanelli shift to a green economy while also creating high-skilled jobs. The use of renewable energy into urban regeneration is an important component of modern sustainable development since it solves environmental concerns while also promoting technological growth. Llanelli can offer an example for other post-industrial communities looking to balance economic growth with environmental responsibility by presenting itself as a pioneer in sustainable innovation (GVRD, 2004b).</w:t>
      </w:r>
    </w:p>
    <w:p w14:paraId="5C6AC666" w14:textId="77777777" w:rsidR="000579B7" w:rsidRPr="000579B7" w:rsidRDefault="000579B7" w:rsidP="000579B7">
      <w:pPr>
        <w:spacing w:line="480" w:lineRule="auto"/>
        <w:rPr>
          <w:rFonts w:ascii="Arial" w:hAnsi="Arial" w:cs="Arial"/>
        </w:rPr>
      </w:pPr>
      <w:r w:rsidRPr="000579B7">
        <w:rPr>
          <w:rFonts w:ascii="Arial" w:hAnsi="Arial" w:cs="Arial"/>
        </w:rPr>
        <w:t xml:space="preserve">Participatory planning is a critical component of these local and regional plans. Effective regeneration necessitates the active participation of a diverse range of stakeholders, ensuring that rebuilding efforts are inspired by local realities and community ambitions. Open communication among government officials, corporate leaders, people, and academic specialists can assist identify the most pressing issues and develop specific solutions that maximise social, economic, and </w:t>
      </w:r>
      <w:r w:rsidRPr="000579B7">
        <w:rPr>
          <w:rFonts w:ascii="Arial" w:hAnsi="Arial" w:cs="Arial"/>
        </w:rPr>
        <w:lastRenderedPageBreak/>
        <w:t>environmental advantages. Such inclusive planning approaches not only boost the credibility of reconstruction projects, but they also promote social cohesiveness and shared responsibility for the town's future (Layard 2007).</w:t>
      </w:r>
    </w:p>
    <w:p w14:paraId="32593DE1" w14:textId="3CA0B7B4" w:rsidR="000579B7" w:rsidRDefault="000579B7" w:rsidP="000579B7">
      <w:pPr>
        <w:spacing w:line="480" w:lineRule="auto"/>
        <w:rPr>
          <w:rFonts w:ascii="Arial" w:hAnsi="Arial" w:cs="Arial"/>
        </w:rPr>
      </w:pPr>
      <w:r w:rsidRPr="000579B7">
        <w:rPr>
          <w:rFonts w:ascii="Arial" w:hAnsi="Arial" w:cs="Arial"/>
        </w:rPr>
        <w:t>The combination of local knowledge and regional strategies provides a potential pathway for Llanelli's revitalisation. Llanelli can turn its issues into opportunities by using the town's unique assets</w:t>
      </w:r>
      <w:r>
        <w:rPr>
          <w:rFonts w:ascii="Arial" w:hAnsi="Arial" w:cs="Arial"/>
        </w:rPr>
        <w:t xml:space="preserve"> </w:t>
      </w:r>
      <w:r w:rsidRPr="000579B7">
        <w:rPr>
          <w:rFonts w:ascii="Arial" w:hAnsi="Arial" w:cs="Arial"/>
        </w:rPr>
        <w:t>its historical history, strong transport linkages, and lively cultural traditions</w:t>
      </w:r>
      <w:r>
        <w:rPr>
          <w:rFonts w:ascii="Arial" w:hAnsi="Arial" w:cs="Arial"/>
        </w:rPr>
        <w:t xml:space="preserve"> </w:t>
      </w:r>
      <w:r w:rsidRPr="000579B7">
        <w:rPr>
          <w:rFonts w:ascii="Arial" w:hAnsi="Arial" w:cs="Arial"/>
        </w:rPr>
        <w:t>and connecting them with contemporary sustainable urban development plans. The strategic integration of adaptive reuse, mixed-use development, renewable energy, and participatory planning creates a comprehensive framework for addressing both the physical and social components of urban decline. This regeneration concept is intended not simply to generate economic growth, but also to foster resilient, inclusive communities that honour the past while looking forward (Kearns &amp; Turok, 2003).</w:t>
      </w:r>
    </w:p>
    <w:p w14:paraId="0157C5A2" w14:textId="42633ED1" w:rsidR="000579B7" w:rsidRPr="000579B7" w:rsidRDefault="000579B7" w:rsidP="000579B7">
      <w:pPr>
        <w:spacing w:line="480" w:lineRule="auto"/>
        <w:rPr>
          <w:rFonts w:ascii="Arial Black" w:hAnsi="Arial Black" w:cs="Arial"/>
          <w:u w:val="double"/>
        </w:rPr>
      </w:pPr>
      <w:r w:rsidRPr="000579B7">
        <w:rPr>
          <w:rFonts w:ascii="Arial Black" w:hAnsi="Arial Black" w:cs="Arial"/>
          <w:u w:val="double"/>
        </w:rPr>
        <w:t>Conclusion</w:t>
      </w:r>
    </w:p>
    <w:p w14:paraId="53405565" w14:textId="360F4609" w:rsidR="000579B7" w:rsidRDefault="000579B7" w:rsidP="000579B7">
      <w:pPr>
        <w:spacing w:line="480" w:lineRule="auto"/>
        <w:rPr>
          <w:rFonts w:ascii="Arial" w:hAnsi="Arial" w:cs="Arial"/>
        </w:rPr>
      </w:pPr>
      <w:r w:rsidRPr="000579B7">
        <w:rPr>
          <w:rFonts w:ascii="Arial" w:hAnsi="Arial" w:cs="Arial"/>
        </w:rPr>
        <w:t>In summary, Llanelli's transition from industrial significance to post-industrial adversity has established the foundation for a thorough recovery approach that is both aspirational and rooted in pragmatic considerations. The town's fluctuating fortunes have resulted in a legacy of economic and social issues, while also serving as a catalyst for innovative urban renewal strategies. Llanelli can establish a sustainable and dynamic urban environment by using its rich industrial past, strong infrastructural assets, and lasting cultural capital. The active cooperation of local authorities, community organisations, enterprises, and academic institutions is crucial for converting this potential into concrete results, guaranteeing that regeneration initiatives are both inclusive and progressive (Levy, 1996).</w:t>
      </w:r>
      <w:r w:rsidRPr="000579B7">
        <w:rPr>
          <w:rFonts w:ascii="Arial" w:hAnsi="Arial" w:cs="Arial"/>
        </w:rPr>
        <w:br/>
      </w:r>
      <w:r w:rsidRPr="000579B7">
        <w:rPr>
          <w:rFonts w:ascii="Arial" w:hAnsi="Arial" w:cs="Arial"/>
        </w:rPr>
        <w:lastRenderedPageBreak/>
        <w:br/>
        <w:t>The future of Llanelli necessitates a careful equilibrium between safeguarding its historical uniqueness and adopting contemporary economic frameworks. The regeneration process should emphasise the adaptive reuse of abandoned structures, the establishment of mixed-use developments on brownfield sites, and the incorporation of renewable energy initiatives, all while ensuring robust community engagement. By implementing continuous, inclusive planning and efficiently utilising local and regional resources, Llanelli may transform its urban environment and serve as a paradigm for post-industrial revitalisation (HM Government, 2005).</w:t>
      </w:r>
      <w:r w:rsidRPr="000579B7">
        <w:rPr>
          <w:rFonts w:ascii="Arial" w:hAnsi="Arial" w:cs="Arial"/>
        </w:rPr>
        <w:br/>
        <w:t>The future of Llanelli depends on its capacity to convert previous obstacles into opportunities for sustainable development and community resilience. By integrating its historical history, current physical assets, and the innovative potential of its diverse stakeholders, the town may establish a new direction that honours its heritage while facilitating a dynamic, sustainable future. This holistic strategy for regeneration, grounded in local knowledge and regional development plans, equips Llanelli to address its present issues and prosper in the future (Layard, 2007).</w:t>
      </w:r>
      <w:r w:rsidRPr="000579B7">
        <w:rPr>
          <w:rFonts w:ascii="Arial" w:hAnsi="Arial" w:cs="Arial"/>
        </w:rPr>
        <w:br/>
        <w:t>By uniting local government, community organisations, businesses, and academic partners, Llanelli can transform its narrative from decline to one of rebirth and advancement. The conversion of abandoned industrial areas into hubs of innovation and artistic expression, alongside sustainable mixed-use development and renewable energy projects, will establish the groundwork for a resilient urban environment. By doing so, Llanelli can commemorate its illustrious history while adopting the potential for a sustainable, inclusive, and economically prosperous future (Kearns &amp; Turok, 2003).</w:t>
      </w:r>
    </w:p>
    <w:p w14:paraId="1F1F6660" w14:textId="77777777" w:rsidR="00BC160D" w:rsidRDefault="00BC160D" w:rsidP="000579B7">
      <w:pPr>
        <w:spacing w:line="480" w:lineRule="auto"/>
        <w:rPr>
          <w:rFonts w:ascii="Arial" w:hAnsi="Arial" w:cs="Arial"/>
        </w:rPr>
      </w:pPr>
    </w:p>
    <w:p w14:paraId="336388C3" w14:textId="2FB7AA8D" w:rsidR="00BC160D" w:rsidRPr="00BC160D" w:rsidRDefault="00BC160D" w:rsidP="000579B7">
      <w:pPr>
        <w:spacing w:line="480" w:lineRule="auto"/>
        <w:rPr>
          <w:rFonts w:ascii="Arial Black" w:hAnsi="Arial Black" w:cs="Arial"/>
        </w:rPr>
      </w:pPr>
      <w:r w:rsidRPr="00BC160D">
        <w:rPr>
          <w:rFonts w:ascii="Arial Black" w:hAnsi="Arial Black" w:cs="Arial"/>
        </w:rPr>
        <w:lastRenderedPageBreak/>
        <w:t xml:space="preserve">References </w:t>
      </w:r>
    </w:p>
    <w:p w14:paraId="5E270B2F" w14:textId="77777777" w:rsidR="00BC160D" w:rsidRPr="00BC160D" w:rsidRDefault="00BC160D" w:rsidP="00BC160D">
      <w:pPr>
        <w:spacing w:line="480" w:lineRule="auto"/>
        <w:rPr>
          <w:rFonts w:ascii="Arial" w:hAnsi="Arial" w:cs="Arial"/>
        </w:rPr>
      </w:pPr>
      <w:r w:rsidRPr="00BC160D">
        <w:rPr>
          <w:rFonts w:ascii="Arial" w:hAnsi="Arial" w:cs="Arial"/>
        </w:rPr>
        <w:t xml:space="preserve">Freeman, L. (2001). The effects of sprawl on neighbourhood social ties. </w:t>
      </w:r>
      <w:r w:rsidRPr="00BC160D">
        <w:rPr>
          <w:rFonts w:ascii="Arial" w:hAnsi="Arial" w:cs="Arial"/>
          <w:i/>
          <w:iCs/>
        </w:rPr>
        <w:t>Journal of the American Planning Association, 67</w:t>
      </w:r>
      <w:r w:rsidRPr="00BC160D">
        <w:rPr>
          <w:rFonts w:ascii="Arial" w:hAnsi="Arial" w:cs="Arial"/>
        </w:rPr>
        <w:t>(1), 69–77.</w:t>
      </w:r>
    </w:p>
    <w:p w14:paraId="5AD7505E" w14:textId="77777777" w:rsidR="00BC160D" w:rsidRPr="00BC160D" w:rsidRDefault="00BC160D" w:rsidP="00BC160D">
      <w:pPr>
        <w:spacing w:line="480" w:lineRule="auto"/>
        <w:rPr>
          <w:rFonts w:ascii="Arial" w:hAnsi="Arial" w:cs="Arial"/>
        </w:rPr>
      </w:pPr>
      <w:r w:rsidRPr="00BC160D">
        <w:rPr>
          <w:rFonts w:ascii="Arial" w:hAnsi="Arial" w:cs="Arial"/>
        </w:rPr>
        <w:t xml:space="preserve">Great Vancouver Regional District. (2004a). </w:t>
      </w:r>
      <w:r w:rsidRPr="00BC160D">
        <w:rPr>
          <w:rFonts w:ascii="Arial" w:hAnsi="Arial" w:cs="Arial"/>
          <w:i/>
          <w:iCs/>
        </w:rPr>
        <w:t>The social components of community sustainability: A framework</w:t>
      </w:r>
      <w:r w:rsidRPr="00BC160D">
        <w:rPr>
          <w:rFonts w:ascii="Arial" w:hAnsi="Arial" w:cs="Arial"/>
        </w:rPr>
        <w:t>. TAC Social Issues Subcommittee.</w:t>
      </w:r>
    </w:p>
    <w:p w14:paraId="6E090DC4" w14:textId="77777777" w:rsidR="00BC160D" w:rsidRPr="00BC160D" w:rsidRDefault="00BC160D" w:rsidP="00BC160D">
      <w:pPr>
        <w:spacing w:line="480" w:lineRule="auto"/>
        <w:rPr>
          <w:rFonts w:ascii="Arial" w:hAnsi="Arial" w:cs="Arial"/>
        </w:rPr>
      </w:pPr>
      <w:r w:rsidRPr="00BC160D">
        <w:rPr>
          <w:rFonts w:ascii="Arial" w:hAnsi="Arial" w:cs="Arial"/>
        </w:rPr>
        <w:t xml:space="preserve">Great Vancouver Regional District. (2004b). </w:t>
      </w:r>
      <w:r w:rsidRPr="00BC160D">
        <w:rPr>
          <w:rFonts w:ascii="Arial" w:hAnsi="Arial" w:cs="Arial"/>
          <w:i/>
          <w:iCs/>
        </w:rPr>
        <w:t>The social components of community sustainability: A framework user’s guide</w:t>
      </w:r>
      <w:r w:rsidRPr="00BC160D">
        <w:rPr>
          <w:rFonts w:ascii="Arial" w:hAnsi="Arial" w:cs="Arial"/>
        </w:rPr>
        <w:t>. TAC Social Issues Subcommittee.</w:t>
      </w:r>
    </w:p>
    <w:p w14:paraId="0A719DFB" w14:textId="455F6529" w:rsidR="00BC160D" w:rsidRPr="00BC160D" w:rsidRDefault="00BC160D" w:rsidP="00BC160D">
      <w:pPr>
        <w:spacing w:line="480" w:lineRule="auto"/>
        <w:rPr>
          <w:rFonts w:ascii="Arial" w:hAnsi="Arial" w:cs="Arial"/>
        </w:rPr>
      </w:pPr>
      <w:r w:rsidRPr="00BC160D">
        <w:rPr>
          <w:rFonts w:ascii="Arial" w:hAnsi="Arial" w:cs="Arial"/>
        </w:rPr>
        <w:t>Hans-B</w:t>
      </w:r>
      <w:r>
        <w:rPr>
          <w:rFonts w:ascii="Arial" w:hAnsi="Arial" w:cs="Arial"/>
        </w:rPr>
        <w:t>o</w:t>
      </w:r>
      <w:r w:rsidRPr="00BC160D">
        <w:rPr>
          <w:rFonts w:ascii="Arial" w:hAnsi="Arial" w:cs="Arial"/>
        </w:rPr>
        <w:t xml:space="preserve">ckler-Foundation (ed.). (2001). </w:t>
      </w:r>
      <w:r w:rsidRPr="00BC160D">
        <w:rPr>
          <w:rFonts w:ascii="Arial" w:hAnsi="Arial" w:cs="Arial"/>
          <w:i/>
          <w:iCs/>
        </w:rPr>
        <w:t>Pathways towards a sustainable future</w:t>
      </w:r>
      <w:r w:rsidRPr="00BC160D">
        <w:rPr>
          <w:rFonts w:ascii="Arial" w:hAnsi="Arial" w:cs="Arial"/>
        </w:rPr>
        <w:t xml:space="preserve">. </w:t>
      </w:r>
      <w:proofErr w:type="spellStart"/>
      <w:r w:rsidRPr="00BC160D">
        <w:rPr>
          <w:rFonts w:ascii="Arial" w:hAnsi="Arial" w:cs="Arial"/>
        </w:rPr>
        <w:t>Setzkasten</w:t>
      </w:r>
      <w:proofErr w:type="spellEnd"/>
      <w:r w:rsidRPr="00BC160D">
        <w:rPr>
          <w:rFonts w:ascii="Arial" w:hAnsi="Arial" w:cs="Arial"/>
        </w:rPr>
        <w:t>, Düsseldorf.</w:t>
      </w:r>
    </w:p>
    <w:p w14:paraId="2ABE01D4" w14:textId="77777777" w:rsidR="00BC160D" w:rsidRPr="00BC160D" w:rsidRDefault="00BC160D" w:rsidP="00BC160D">
      <w:pPr>
        <w:spacing w:line="480" w:lineRule="auto"/>
        <w:rPr>
          <w:rFonts w:ascii="Arial" w:hAnsi="Arial" w:cs="Arial"/>
        </w:rPr>
      </w:pPr>
      <w:proofErr w:type="spellStart"/>
      <w:r w:rsidRPr="00BC160D">
        <w:rPr>
          <w:rFonts w:ascii="Arial" w:hAnsi="Arial" w:cs="Arial"/>
        </w:rPr>
        <w:t>Hardoy</w:t>
      </w:r>
      <w:proofErr w:type="spellEnd"/>
      <w:r w:rsidRPr="00BC160D">
        <w:rPr>
          <w:rFonts w:ascii="Arial" w:hAnsi="Arial" w:cs="Arial"/>
        </w:rPr>
        <w:t xml:space="preserve">, J. E., </w:t>
      </w:r>
      <w:proofErr w:type="spellStart"/>
      <w:r w:rsidRPr="00BC160D">
        <w:rPr>
          <w:rFonts w:ascii="Arial" w:hAnsi="Arial" w:cs="Arial"/>
        </w:rPr>
        <w:t>Mitlin</w:t>
      </w:r>
      <w:proofErr w:type="spellEnd"/>
      <w:r w:rsidRPr="00BC160D">
        <w:rPr>
          <w:rFonts w:ascii="Arial" w:hAnsi="Arial" w:cs="Arial"/>
        </w:rPr>
        <w:t xml:space="preserve">, D., &amp; Satterthwaite, D. (1992). </w:t>
      </w:r>
      <w:r w:rsidRPr="00BC160D">
        <w:rPr>
          <w:rFonts w:ascii="Arial" w:hAnsi="Arial" w:cs="Arial"/>
          <w:i/>
          <w:iCs/>
        </w:rPr>
        <w:t>Environmental problems in third world cities.</w:t>
      </w:r>
      <w:r w:rsidRPr="00BC160D">
        <w:rPr>
          <w:rFonts w:ascii="Arial" w:hAnsi="Arial" w:cs="Arial"/>
        </w:rPr>
        <w:t xml:space="preserve"> Earthscan.</w:t>
      </w:r>
    </w:p>
    <w:p w14:paraId="2B8137BD" w14:textId="77777777" w:rsidR="00BC160D" w:rsidRPr="00BC160D" w:rsidRDefault="00BC160D" w:rsidP="00BC160D">
      <w:pPr>
        <w:spacing w:line="480" w:lineRule="auto"/>
        <w:rPr>
          <w:rFonts w:ascii="Arial" w:hAnsi="Arial" w:cs="Arial"/>
        </w:rPr>
      </w:pPr>
      <w:r w:rsidRPr="00BC160D">
        <w:rPr>
          <w:rFonts w:ascii="Arial" w:hAnsi="Arial" w:cs="Arial"/>
        </w:rPr>
        <w:t xml:space="preserve">Healey, P. (1999). Institutionalist analysis, communicative planning, and shaping places. </w:t>
      </w:r>
      <w:r w:rsidRPr="00BC160D">
        <w:rPr>
          <w:rFonts w:ascii="Arial" w:hAnsi="Arial" w:cs="Arial"/>
          <w:i/>
          <w:iCs/>
        </w:rPr>
        <w:t>Journal of Planning Education and Research, 19</w:t>
      </w:r>
      <w:r w:rsidRPr="00BC160D">
        <w:rPr>
          <w:rFonts w:ascii="Arial" w:hAnsi="Arial" w:cs="Arial"/>
        </w:rPr>
        <w:t>(2), 111–121.</w:t>
      </w:r>
    </w:p>
    <w:p w14:paraId="27BB6414" w14:textId="77777777" w:rsidR="00BC160D" w:rsidRPr="00BC160D" w:rsidRDefault="00BC160D" w:rsidP="00BC160D">
      <w:pPr>
        <w:spacing w:line="480" w:lineRule="auto"/>
        <w:rPr>
          <w:rFonts w:ascii="Arial" w:hAnsi="Arial" w:cs="Arial"/>
        </w:rPr>
      </w:pPr>
      <w:r w:rsidRPr="00BC160D">
        <w:rPr>
          <w:rFonts w:ascii="Arial" w:hAnsi="Arial" w:cs="Arial"/>
        </w:rPr>
        <w:t xml:space="preserve">Hediger, W. (2000). Sustainable development and social welfare. </w:t>
      </w:r>
      <w:r w:rsidRPr="00BC160D">
        <w:rPr>
          <w:rFonts w:ascii="Arial" w:hAnsi="Arial" w:cs="Arial"/>
          <w:i/>
          <w:iCs/>
        </w:rPr>
        <w:t>Ecological Economics, 32(</w:t>
      </w:r>
      <w:r w:rsidRPr="00BC160D">
        <w:rPr>
          <w:rFonts w:ascii="Arial" w:hAnsi="Arial" w:cs="Arial"/>
        </w:rPr>
        <w:t>3), 481–492.</w:t>
      </w:r>
    </w:p>
    <w:p w14:paraId="6CB427E1" w14:textId="77777777" w:rsidR="00BC160D" w:rsidRPr="00BC160D" w:rsidRDefault="00BC160D" w:rsidP="00BC160D">
      <w:pPr>
        <w:spacing w:line="480" w:lineRule="auto"/>
        <w:rPr>
          <w:rFonts w:ascii="Arial" w:hAnsi="Arial" w:cs="Arial"/>
        </w:rPr>
      </w:pPr>
      <w:r w:rsidRPr="00BC160D">
        <w:rPr>
          <w:rFonts w:ascii="Arial" w:hAnsi="Arial" w:cs="Arial"/>
        </w:rPr>
        <w:t xml:space="preserve">HM Government. (2005). </w:t>
      </w:r>
      <w:r w:rsidRPr="00BC160D">
        <w:rPr>
          <w:rFonts w:ascii="Arial" w:hAnsi="Arial" w:cs="Arial"/>
          <w:i/>
          <w:iCs/>
        </w:rPr>
        <w:t xml:space="preserve">Securing the future: Delivering UK sustainable development strategy. </w:t>
      </w:r>
      <w:r w:rsidRPr="00BC160D">
        <w:rPr>
          <w:rFonts w:ascii="Arial" w:hAnsi="Arial" w:cs="Arial"/>
        </w:rPr>
        <w:t>Department for Environment Food and Rural Affairs.</w:t>
      </w:r>
    </w:p>
    <w:p w14:paraId="5DB387BF" w14:textId="77777777" w:rsidR="00BC160D" w:rsidRPr="00BC160D" w:rsidRDefault="00BC160D" w:rsidP="00BC160D">
      <w:pPr>
        <w:spacing w:line="480" w:lineRule="auto"/>
        <w:rPr>
          <w:rFonts w:ascii="Arial" w:hAnsi="Arial" w:cs="Arial"/>
        </w:rPr>
      </w:pPr>
      <w:r w:rsidRPr="00BC160D">
        <w:rPr>
          <w:rFonts w:ascii="Arial" w:hAnsi="Arial" w:cs="Arial"/>
        </w:rPr>
        <w:t xml:space="preserve">Hogget, P. (1997). </w:t>
      </w:r>
      <w:r w:rsidRPr="00BC160D">
        <w:rPr>
          <w:rFonts w:ascii="Arial" w:hAnsi="Arial" w:cs="Arial"/>
          <w:i/>
          <w:iCs/>
        </w:rPr>
        <w:t>Contested communities: Experiences, struggles and policies.</w:t>
      </w:r>
      <w:r w:rsidRPr="00BC160D">
        <w:rPr>
          <w:rFonts w:ascii="Arial" w:hAnsi="Arial" w:cs="Arial"/>
        </w:rPr>
        <w:t xml:space="preserve"> Policy Press.</w:t>
      </w:r>
    </w:p>
    <w:p w14:paraId="760D1EA1" w14:textId="77777777" w:rsidR="00BC160D" w:rsidRPr="00BC160D" w:rsidRDefault="00BC160D" w:rsidP="00BC160D">
      <w:pPr>
        <w:spacing w:line="480" w:lineRule="auto"/>
        <w:rPr>
          <w:rFonts w:ascii="Arial" w:hAnsi="Arial" w:cs="Arial"/>
        </w:rPr>
      </w:pPr>
      <w:r w:rsidRPr="00BC160D">
        <w:rPr>
          <w:rFonts w:ascii="Arial" w:hAnsi="Arial" w:cs="Arial"/>
        </w:rPr>
        <w:t xml:space="preserve">Holden, M. (2006). Urban indicators and the integrative ideals of cities. </w:t>
      </w:r>
      <w:r w:rsidRPr="00BC160D">
        <w:rPr>
          <w:rFonts w:ascii="Arial" w:hAnsi="Arial" w:cs="Arial"/>
          <w:i/>
          <w:iCs/>
        </w:rPr>
        <w:t>Cities, 23</w:t>
      </w:r>
      <w:r w:rsidRPr="00BC160D">
        <w:rPr>
          <w:rFonts w:ascii="Arial" w:hAnsi="Arial" w:cs="Arial"/>
        </w:rPr>
        <w:t>(3), 170–183.</w:t>
      </w:r>
    </w:p>
    <w:p w14:paraId="705CF514" w14:textId="77777777" w:rsidR="00BC160D" w:rsidRPr="00BC160D" w:rsidRDefault="00BC160D" w:rsidP="00BC160D">
      <w:pPr>
        <w:spacing w:line="480" w:lineRule="auto"/>
        <w:rPr>
          <w:rFonts w:ascii="Arial" w:hAnsi="Arial" w:cs="Arial"/>
        </w:rPr>
      </w:pPr>
    </w:p>
    <w:p w14:paraId="3933045D" w14:textId="77777777" w:rsidR="00BC160D" w:rsidRPr="00BC160D" w:rsidRDefault="00BC160D" w:rsidP="00BC160D">
      <w:pPr>
        <w:spacing w:line="480" w:lineRule="auto"/>
        <w:rPr>
          <w:rFonts w:ascii="Arial" w:hAnsi="Arial" w:cs="Arial"/>
        </w:rPr>
      </w:pPr>
      <w:r w:rsidRPr="00BC160D">
        <w:rPr>
          <w:rFonts w:ascii="Arial" w:hAnsi="Arial" w:cs="Arial"/>
        </w:rPr>
        <w:lastRenderedPageBreak/>
        <w:t xml:space="preserve">Kearns, A., &amp; Turok, I. (2003). </w:t>
      </w:r>
      <w:r w:rsidRPr="00BC160D">
        <w:rPr>
          <w:rFonts w:ascii="Arial" w:hAnsi="Arial" w:cs="Arial"/>
          <w:i/>
          <w:iCs/>
        </w:rPr>
        <w:t>Sustainable communities: Dimensions and challenges</w:t>
      </w:r>
      <w:r w:rsidRPr="00BC160D">
        <w:rPr>
          <w:rFonts w:ascii="Arial" w:hAnsi="Arial" w:cs="Arial"/>
        </w:rPr>
        <w:t xml:space="preserve">. Liverpool John </w:t>
      </w:r>
      <w:proofErr w:type="spellStart"/>
      <w:r w:rsidRPr="00BC160D">
        <w:rPr>
          <w:rFonts w:ascii="Arial" w:hAnsi="Arial" w:cs="Arial"/>
        </w:rPr>
        <w:t>Moores</w:t>
      </w:r>
      <w:proofErr w:type="spellEnd"/>
      <w:r w:rsidRPr="00BC160D">
        <w:rPr>
          <w:rFonts w:ascii="Arial" w:hAnsi="Arial" w:cs="Arial"/>
        </w:rPr>
        <w:t xml:space="preserve"> University.</w:t>
      </w:r>
    </w:p>
    <w:p w14:paraId="1CBE8D1A" w14:textId="59D18346" w:rsidR="00BC160D" w:rsidRDefault="00BC160D" w:rsidP="00BC160D">
      <w:pPr>
        <w:spacing w:line="480" w:lineRule="auto"/>
        <w:rPr>
          <w:rFonts w:ascii="Arial" w:hAnsi="Arial" w:cs="Arial"/>
        </w:rPr>
      </w:pPr>
      <w:r w:rsidRPr="00BC160D">
        <w:rPr>
          <w:rFonts w:ascii="Arial" w:hAnsi="Arial" w:cs="Arial"/>
        </w:rPr>
        <w:t xml:space="preserve">Layard, R. (2007). </w:t>
      </w:r>
      <w:r w:rsidRPr="00BC160D">
        <w:rPr>
          <w:rFonts w:ascii="Arial" w:hAnsi="Arial" w:cs="Arial"/>
          <w:i/>
          <w:iCs/>
        </w:rPr>
        <w:t>Against unhappiness</w:t>
      </w:r>
      <w:r w:rsidRPr="00BC160D">
        <w:rPr>
          <w:rFonts w:ascii="Arial" w:hAnsi="Arial" w:cs="Arial"/>
        </w:rPr>
        <w:t>. Prospect, 137. Retrieved</w:t>
      </w:r>
      <w:r>
        <w:rPr>
          <w:rFonts w:ascii="Arial" w:hAnsi="Arial" w:cs="Arial"/>
        </w:rPr>
        <w:t xml:space="preserve"> </w:t>
      </w:r>
      <w:r w:rsidRPr="00BC160D">
        <w:rPr>
          <w:rFonts w:ascii="Arial" w:hAnsi="Arial" w:cs="Arial"/>
        </w:rPr>
        <w:t xml:space="preserve">from </w:t>
      </w:r>
      <w:hyperlink r:id="rId7" w:history="1">
        <w:r w:rsidRPr="00C357B5">
          <w:rPr>
            <w:rStyle w:val="Hyperlink"/>
            <w:rFonts w:ascii="Arial" w:hAnsi="Arial" w:cs="Arial"/>
          </w:rPr>
          <w:t>http://www.prospectmagazine.co.uk</w:t>
        </w:r>
      </w:hyperlink>
    </w:p>
    <w:p w14:paraId="3F25C7E0" w14:textId="59473B66" w:rsidR="00BC160D" w:rsidRPr="00BC160D" w:rsidRDefault="00BC160D" w:rsidP="00BC160D">
      <w:pPr>
        <w:spacing w:line="480" w:lineRule="auto"/>
        <w:rPr>
          <w:rFonts w:ascii="Arial" w:hAnsi="Arial" w:cs="Arial"/>
        </w:rPr>
      </w:pPr>
      <w:r w:rsidRPr="00BC160D">
        <w:rPr>
          <w:rFonts w:ascii="Arial" w:hAnsi="Arial" w:cs="Arial"/>
        </w:rPr>
        <w:t xml:space="preserve">Levy, M. (1996). Social and unsocial capital: A review essay on Robert Putnam’s Making Democracy Work. </w:t>
      </w:r>
      <w:r w:rsidRPr="00BC160D">
        <w:rPr>
          <w:rFonts w:ascii="Arial" w:hAnsi="Arial" w:cs="Arial"/>
          <w:i/>
          <w:iCs/>
        </w:rPr>
        <w:t>Politics and Society, 24</w:t>
      </w:r>
      <w:r w:rsidRPr="00BC160D">
        <w:rPr>
          <w:rFonts w:ascii="Arial" w:hAnsi="Arial" w:cs="Arial"/>
        </w:rPr>
        <w:t>(1), 45–55.</w:t>
      </w:r>
    </w:p>
    <w:p w14:paraId="6703E49F" w14:textId="77777777" w:rsidR="00BC160D" w:rsidRPr="000579B7" w:rsidRDefault="00BC160D" w:rsidP="000579B7">
      <w:pPr>
        <w:spacing w:line="480" w:lineRule="auto"/>
        <w:rPr>
          <w:rFonts w:ascii="Arial" w:hAnsi="Arial" w:cs="Arial"/>
        </w:rPr>
      </w:pPr>
    </w:p>
    <w:p w14:paraId="30ED2AFF" w14:textId="77777777" w:rsidR="000579B7" w:rsidRPr="00D40648" w:rsidRDefault="000579B7" w:rsidP="000579B7">
      <w:pPr>
        <w:spacing w:line="480" w:lineRule="auto"/>
        <w:rPr>
          <w:rFonts w:ascii="Arial" w:hAnsi="Arial" w:cs="Arial"/>
        </w:rPr>
      </w:pPr>
    </w:p>
    <w:p w14:paraId="6DB465DE" w14:textId="77777777" w:rsidR="00D40648" w:rsidRPr="00D40648" w:rsidRDefault="00D40648" w:rsidP="00D40648">
      <w:pPr>
        <w:spacing w:line="480" w:lineRule="auto"/>
        <w:rPr>
          <w:rFonts w:ascii="Arial" w:hAnsi="Arial" w:cs="Arial"/>
        </w:rPr>
      </w:pPr>
    </w:p>
    <w:p w14:paraId="35849FDF" w14:textId="77777777" w:rsidR="00D40648" w:rsidRPr="00D40648" w:rsidRDefault="00D40648" w:rsidP="00D40648">
      <w:pPr>
        <w:spacing w:line="480" w:lineRule="auto"/>
        <w:rPr>
          <w:rFonts w:ascii="Arial" w:hAnsi="Arial" w:cs="Arial"/>
        </w:rPr>
      </w:pPr>
    </w:p>
    <w:sectPr w:rsidR="00D40648" w:rsidRPr="00D40648" w:rsidSect="000579B7">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8A0B4" w14:textId="77777777" w:rsidR="00E72CE2" w:rsidRDefault="00E72CE2" w:rsidP="00D40648">
      <w:pPr>
        <w:spacing w:after="0" w:line="240" w:lineRule="auto"/>
      </w:pPr>
      <w:r>
        <w:separator/>
      </w:r>
    </w:p>
  </w:endnote>
  <w:endnote w:type="continuationSeparator" w:id="0">
    <w:p w14:paraId="3BE63FE2" w14:textId="77777777" w:rsidR="00E72CE2" w:rsidRDefault="00E72CE2" w:rsidP="00D40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55E39" w14:textId="77777777" w:rsidR="00E72CE2" w:rsidRDefault="00E72CE2" w:rsidP="00D40648">
      <w:pPr>
        <w:spacing w:after="0" w:line="240" w:lineRule="auto"/>
      </w:pPr>
      <w:r>
        <w:separator/>
      </w:r>
    </w:p>
  </w:footnote>
  <w:footnote w:type="continuationSeparator" w:id="0">
    <w:p w14:paraId="37C20B72" w14:textId="77777777" w:rsidR="00E72CE2" w:rsidRDefault="00E72CE2" w:rsidP="00D406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2715575"/>
      <w:docPartObj>
        <w:docPartGallery w:val="Page Numbers (Top of Page)"/>
        <w:docPartUnique/>
      </w:docPartObj>
    </w:sdtPr>
    <w:sdtEndPr>
      <w:rPr>
        <w:noProof/>
      </w:rPr>
    </w:sdtEndPr>
    <w:sdtContent>
      <w:p w14:paraId="36F5B480" w14:textId="0C120171" w:rsidR="00D40648" w:rsidRDefault="00D4064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488A3CE" w14:textId="77777777" w:rsidR="00D40648" w:rsidRDefault="00D406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648"/>
    <w:rsid w:val="000579B7"/>
    <w:rsid w:val="003D30A6"/>
    <w:rsid w:val="004F71BB"/>
    <w:rsid w:val="00BC160D"/>
    <w:rsid w:val="00BF67C4"/>
    <w:rsid w:val="00D40648"/>
    <w:rsid w:val="00E72CE2"/>
    <w:rsid w:val="00FF1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CE400"/>
  <w15:chartTrackingRefBased/>
  <w15:docId w15:val="{37BA68DE-E5A6-406D-BFBE-02D139BBF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6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6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6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6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6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6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6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6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6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6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06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06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06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06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06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6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6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648"/>
    <w:rPr>
      <w:rFonts w:eastAsiaTheme="majorEastAsia" w:cstheme="majorBidi"/>
      <w:color w:val="272727" w:themeColor="text1" w:themeTint="D8"/>
    </w:rPr>
  </w:style>
  <w:style w:type="paragraph" w:styleId="Title">
    <w:name w:val="Title"/>
    <w:basedOn w:val="Normal"/>
    <w:next w:val="Normal"/>
    <w:link w:val="TitleChar"/>
    <w:uiPriority w:val="10"/>
    <w:qFormat/>
    <w:rsid w:val="00D406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6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6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6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648"/>
    <w:pPr>
      <w:spacing w:before="160"/>
      <w:jc w:val="center"/>
    </w:pPr>
    <w:rPr>
      <w:i/>
      <w:iCs/>
      <w:color w:val="404040" w:themeColor="text1" w:themeTint="BF"/>
    </w:rPr>
  </w:style>
  <w:style w:type="character" w:customStyle="1" w:styleId="QuoteChar">
    <w:name w:val="Quote Char"/>
    <w:basedOn w:val="DefaultParagraphFont"/>
    <w:link w:val="Quote"/>
    <w:uiPriority w:val="29"/>
    <w:rsid w:val="00D40648"/>
    <w:rPr>
      <w:i/>
      <w:iCs/>
      <w:color w:val="404040" w:themeColor="text1" w:themeTint="BF"/>
    </w:rPr>
  </w:style>
  <w:style w:type="paragraph" w:styleId="ListParagraph">
    <w:name w:val="List Paragraph"/>
    <w:basedOn w:val="Normal"/>
    <w:uiPriority w:val="34"/>
    <w:qFormat/>
    <w:rsid w:val="00D40648"/>
    <w:pPr>
      <w:ind w:left="720"/>
      <w:contextualSpacing/>
    </w:pPr>
  </w:style>
  <w:style w:type="character" w:styleId="IntenseEmphasis">
    <w:name w:val="Intense Emphasis"/>
    <w:basedOn w:val="DefaultParagraphFont"/>
    <w:uiPriority w:val="21"/>
    <w:qFormat/>
    <w:rsid w:val="00D40648"/>
    <w:rPr>
      <w:i/>
      <w:iCs/>
      <w:color w:val="0F4761" w:themeColor="accent1" w:themeShade="BF"/>
    </w:rPr>
  </w:style>
  <w:style w:type="paragraph" w:styleId="IntenseQuote">
    <w:name w:val="Intense Quote"/>
    <w:basedOn w:val="Normal"/>
    <w:next w:val="Normal"/>
    <w:link w:val="IntenseQuoteChar"/>
    <w:uiPriority w:val="30"/>
    <w:qFormat/>
    <w:rsid w:val="00D406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0648"/>
    <w:rPr>
      <w:i/>
      <w:iCs/>
      <w:color w:val="0F4761" w:themeColor="accent1" w:themeShade="BF"/>
    </w:rPr>
  </w:style>
  <w:style w:type="character" w:styleId="IntenseReference">
    <w:name w:val="Intense Reference"/>
    <w:basedOn w:val="DefaultParagraphFont"/>
    <w:uiPriority w:val="32"/>
    <w:qFormat/>
    <w:rsid w:val="00D40648"/>
    <w:rPr>
      <w:b/>
      <w:bCs/>
      <w:smallCaps/>
      <w:color w:val="0F4761" w:themeColor="accent1" w:themeShade="BF"/>
      <w:spacing w:val="5"/>
    </w:rPr>
  </w:style>
  <w:style w:type="paragraph" w:styleId="Header">
    <w:name w:val="header"/>
    <w:basedOn w:val="Normal"/>
    <w:link w:val="HeaderChar"/>
    <w:uiPriority w:val="99"/>
    <w:unhideWhenUsed/>
    <w:rsid w:val="00D40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648"/>
  </w:style>
  <w:style w:type="paragraph" w:styleId="Footer">
    <w:name w:val="footer"/>
    <w:basedOn w:val="Normal"/>
    <w:link w:val="FooterChar"/>
    <w:uiPriority w:val="99"/>
    <w:unhideWhenUsed/>
    <w:rsid w:val="00D40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648"/>
  </w:style>
  <w:style w:type="paragraph" w:styleId="NoSpacing">
    <w:name w:val="No Spacing"/>
    <w:link w:val="NoSpacingChar"/>
    <w:uiPriority w:val="1"/>
    <w:qFormat/>
    <w:rsid w:val="000579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579B7"/>
    <w:rPr>
      <w:rFonts w:eastAsiaTheme="minorEastAsia"/>
      <w:kern w:val="0"/>
      <w:sz w:val="22"/>
      <w:szCs w:val="22"/>
      <w:lang w:val="en-US"/>
      <w14:ligatures w14:val="none"/>
    </w:rPr>
  </w:style>
  <w:style w:type="character" w:styleId="Hyperlink">
    <w:name w:val="Hyperlink"/>
    <w:basedOn w:val="DefaultParagraphFont"/>
    <w:uiPriority w:val="99"/>
    <w:unhideWhenUsed/>
    <w:rsid w:val="00BC160D"/>
    <w:rPr>
      <w:color w:val="467886" w:themeColor="hyperlink"/>
      <w:u w:val="single"/>
    </w:rPr>
  </w:style>
  <w:style w:type="character" w:styleId="UnresolvedMention">
    <w:name w:val="Unresolved Mention"/>
    <w:basedOn w:val="DefaultParagraphFont"/>
    <w:uiPriority w:val="99"/>
    <w:semiHidden/>
    <w:unhideWhenUsed/>
    <w:rsid w:val="00BC16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52767">
      <w:bodyDiv w:val="1"/>
      <w:marLeft w:val="0"/>
      <w:marRight w:val="0"/>
      <w:marTop w:val="0"/>
      <w:marBottom w:val="0"/>
      <w:divBdr>
        <w:top w:val="none" w:sz="0" w:space="0" w:color="auto"/>
        <w:left w:val="none" w:sz="0" w:space="0" w:color="auto"/>
        <w:bottom w:val="none" w:sz="0" w:space="0" w:color="auto"/>
        <w:right w:val="none" w:sz="0" w:space="0" w:color="auto"/>
      </w:divBdr>
    </w:div>
    <w:div w:id="101070087">
      <w:bodyDiv w:val="1"/>
      <w:marLeft w:val="0"/>
      <w:marRight w:val="0"/>
      <w:marTop w:val="0"/>
      <w:marBottom w:val="0"/>
      <w:divBdr>
        <w:top w:val="none" w:sz="0" w:space="0" w:color="auto"/>
        <w:left w:val="none" w:sz="0" w:space="0" w:color="auto"/>
        <w:bottom w:val="none" w:sz="0" w:space="0" w:color="auto"/>
        <w:right w:val="none" w:sz="0" w:space="0" w:color="auto"/>
      </w:divBdr>
    </w:div>
    <w:div w:id="1395396766">
      <w:bodyDiv w:val="1"/>
      <w:marLeft w:val="0"/>
      <w:marRight w:val="0"/>
      <w:marTop w:val="0"/>
      <w:marBottom w:val="0"/>
      <w:divBdr>
        <w:top w:val="none" w:sz="0" w:space="0" w:color="auto"/>
        <w:left w:val="none" w:sz="0" w:space="0" w:color="auto"/>
        <w:bottom w:val="none" w:sz="0" w:space="0" w:color="auto"/>
        <w:right w:val="none" w:sz="0" w:space="0" w:color="auto"/>
      </w:divBdr>
    </w:div>
    <w:div w:id="1779376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rospectmagazine.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2025-02-09T00:00:00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2763</Words>
  <Characters>15754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Llaneli Appraisal</dc:title>
  <dc:subject/>
  <dc:creator>)</dc:creator>
  <cp:keywords/>
  <dc:description/>
  <cp:lastModifiedBy>Mirabela Voican (1907947)</cp:lastModifiedBy>
  <cp:revision>2</cp:revision>
  <dcterms:created xsi:type="dcterms:W3CDTF">2025-02-06T22:21:00Z</dcterms:created>
  <dcterms:modified xsi:type="dcterms:W3CDTF">2025-02-06T22:21:00Z</dcterms:modified>
</cp:coreProperties>
</file>