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5572660"/>
        <w:docPartObj>
          <w:docPartGallery w:val="Cover Pages"/>
          <w:docPartUnique/>
        </w:docPartObj>
      </w:sdtPr>
      <w:sdtContent>
        <w:p w14:paraId="3A313930" w14:textId="602749D5" w:rsidR="00E97DE1" w:rsidRDefault="00E97DE1">
          <w:r>
            <w:rPr>
              <w:noProof/>
            </w:rPr>
            <mc:AlternateContent>
              <mc:Choice Requires="wps">
                <w:drawing>
                  <wp:anchor distT="0" distB="0" distL="114300" distR="114300" simplePos="0" relativeHeight="251660288" behindDoc="0" locked="0" layoutInCell="1" allowOverlap="1" wp14:anchorId="2751363A" wp14:editId="5E4857A1">
                    <wp:simplePos x="0" y="0"/>
                    <wp:positionH relativeFrom="page">
                      <wp:posOffset>1946910</wp:posOffset>
                    </wp:positionH>
                    <wp:positionV relativeFrom="margin">
                      <wp:align>top</wp:align>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F0E9E" w14:textId="376D7D81" w:rsidR="00E97DE1" w:rsidRDefault="00E97DE1">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Introduction to health and social care   </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F5071C8" w14:textId="0A724986" w:rsidR="00E97DE1" w:rsidRDefault="00E97DE1">
                                    <w:pPr>
                                      <w:pStyle w:val="NoSpacing"/>
                                      <w:jc w:val="right"/>
                                      <w:rPr>
                                        <w:smallCaps/>
                                        <w:color w:val="0E2841" w:themeColor="text2"/>
                                        <w:sz w:val="36"/>
                                        <w:szCs w:val="36"/>
                                      </w:rPr>
                                    </w:pPr>
                                    <w:r>
                                      <w:rPr>
                                        <w:smallCaps/>
                                        <w:color w:val="0E2841" w:themeColor="text2"/>
                                        <w:sz w:val="36"/>
                                        <w:szCs w:val="36"/>
                                      </w:rPr>
                                      <w:t>LCHS4003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2751363A" id="_x0000_t202" coordsize="21600,21600" o:spt="202" path="m,l,21600r21600,l21600,xe">
                    <v:stroke joinstyle="miter"/>
                    <v:path gradientshapeok="t" o:connecttype="rect"/>
                  </v:shapetype>
                  <v:shape id="Text Box 113" o:spid="_x0000_s1026" type="#_x0000_t202" style="position:absolute;margin-left:153.3pt;margin-top:0;width:453pt;height:41.4pt;z-index:251660288;visibility:visible;mso-wrap-style:square;mso-width-percent:734;mso-height-percent:363;mso-wrap-distance-left:9pt;mso-wrap-distance-top:0;mso-wrap-distance-right:9pt;mso-wrap-distance-bottom:0;mso-position-horizontal:absolute;mso-position-horizontal-relative:page;mso-position-vertical:top;mso-position-vertical-relative:margin;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" filled="f" stroked="f" strokeweight=".5pt">
                    <v:textbox inset="0,0,0,0">
                      <w:txbxContent>
                        <w:p w14:paraId="032F0E9E" w14:textId="376D7D81" w:rsidR="00E97DE1" w:rsidRDefault="00E97DE1">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Introduction to health and social care   </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F5071C8" w14:textId="0A724986" w:rsidR="00E97DE1" w:rsidRDefault="00E97DE1">
                              <w:pPr>
                                <w:pStyle w:val="NoSpacing"/>
                                <w:jc w:val="right"/>
                                <w:rPr>
                                  <w:smallCaps/>
                                  <w:color w:val="0E2841" w:themeColor="text2"/>
                                  <w:sz w:val="36"/>
                                  <w:szCs w:val="36"/>
                                </w:rPr>
                              </w:pPr>
                              <w:r>
                                <w:rPr>
                                  <w:smallCaps/>
                                  <w:color w:val="0E2841" w:themeColor="text2"/>
                                  <w:sz w:val="36"/>
                                  <w:szCs w:val="36"/>
                                </w:rPr>
                                <w:t>LCHS4003</w:t>
                              </w:r>
                            </w:p>
                          </w:sdtContent>
                        </w:sdt>
                      </w:txbxContent>
                    </v:textbox>
                    <w10:wrap type="square" anchorx="page" anchory="margin"/>
                  </v:shape>
                </w:pict>
              </mc:Fallback>
            </mc:AlternateContent>
          </w:r>
        </w:p>
        <w:p w14:paraId="562C636C" w14:textId="25D0AC4F" w:rsidR="00E97DE1" w:rsidRDefault="00E97DE1">
          <w:r>
            <w:rPr>
              <w:noProof/>
            </w:rPr>
            <mc:AlternateContent>
              <mc:Choice Requires="wps">
                <w:drawing>
                  <wp:anchor distT="0" distB="0" distL="114300" distR="114300" simplePos="0" relativeHeight="251662336" behindDoc="0" locked="0" layoutInCell="1" allowOverlap="1" wp14:anchorId="516F238C" wp14:editId="71DC353D">
                    <wp:simplePos x="0" y="0"/>
                    <wp:positionH relativeFrom="column">
                      <wp:posOffset>1104900</wp:posOffset>
                    </wp:positionH>
                    <wp:positionV relativeFrom="paragraph">
                      <wp:posOffset>5201285</wp:posOffset>
                    </wp:positionV>
                    <wp:extent cx="4248150" cy="1041400"/>
                    <wp:effectExtent l="0" t="0" r="19050" b="25400"/>
                    <wp:wrapNone/>
                    <wp:docPr id="1683335434" name="Text Box 1"/>
                    <wp:cNvGraphicFramePr/>
                    <a:graphic xmlns:a="http://schemas.openxmlformats.org/drawingml/2006/main">
                      <a:graphicData uri="http://schemas.microsoft.com/office/word/2010/wordprocessingShape">
                        <wps:wsp>
                          <wps:cNvSpPr txBox="1"/>
                          <wps:spPr>
                            <a:xfrm>
                              <a:off x="0" y="0"/>
                              <a:ext cx="4248150" cy="1041400"/>
                            </a:xfrm>
                            <a:prstGeom prst="rect">
                              <a:avLst/>
                            </a:prstGeom>
                            <a:solidFill>
                              <a:schemeClr val="lt1"/>
                            </a:solidFill>
                            <a:ln w="6350">
                              <a:solidFill>
                                <a:prstClr val="black"/>
                              </a:solidFill>
                            </a:ln>
                          </wps:spPr>
                          <wps:txbx>
                            <w:txbxContent>
                              <w:p w14:paraId="15F4C459" w14:textId="5FA64092" w:rsidR="00E97DE1" w:rsidRPr="00E97DE1" w:rsidRDefault="00E97DE1" w:rsidP="00E97DE1">
                                <w:pPr>
                                  <w:pStyle w:val="Heading1"/>
                                  <w:jc w:val="center"/>
                                  <w:rPr>
                                    <w:color w:val="0D0D0D" w:themeColor="text1" w:themeTint="F2"/>
                                  </w:rPr>
                                </w:pPr>
                                <w:r w:rsidRPr="00E97DE1">
                                  <w:rPr>
                                    <w:color w:val="0D0D0D" w:themeColor="text1" w:themeTint="F2"/>
                                  </w:rPr>
                                  <w:t>Written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6F238C" id="Text Box 1" o:spid="_x0000_s1027" type="#_x0000_t202" style="position:absolute;margin-left:87pt;margin-top:409.55pt;width:334.5pt;height:8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" fillcolor="white [3201]" strokeweight=".5pt">
                    <v:textbox>
                      <w:txbxContent>
                        <w:p w14:paraId="15F4C459" w14:textId="5FA64092" w:rsidR="00E97DE1" w:rsidRPr="00E97DE1" w:rsidRDefault="00E97DE1" w:rsidP="00E97DE1">
                          <w:pPr>
                            <w:pStyle w:val="Heading1"/>
                            <w:jc w:val="center"/>
                            <w:rPr>
                              <w:color w:val="0D0D0D" w:themeColor="text1" w:themeTint="F2"/>
                            </w:rPr>
                          </w:pPr>
                          <w:r w:rsidRPr="00E97DE1">
                            <w:rPr>
                              <w:color w:val="0D0D0D" w:themeColor="text1" w:themeTint="F2"/>
                            </w:rPr>
                            <w:t>Written Assignment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F03DFF9" wp14:editId="6C943377">
                    <wp:simplePos x="0" y="0"/>
                    <wp:positionH relativeFrom="page">
                      <wp:posOffset>1953260</wp:posOffset>
                    </wp:positionH>
                    <wp:positionV relativeFrom="margin">
                      <wp:align>center</wp:align>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1A8CA" w14:textId="4E79422B" w:rsidR="00E97DE1" w:rsidRDefault="00E97DE1">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Pr>
                                        <w:caps/>
                                        <w:color w:val="262626" w:themeColor="text1" w:themeTint="D9"/>
                                        <w:sz w:val="28"/>
                                        <w:szCs w:val="28"/>
                                      </w:rPr>
                                      <w:t>lilly fielding</w:t>
                                    </w:r>
                                  </w:sdtContent>
                                </w:sdt>
                                <w:r>
                                  <w:rPr>
                                    <w:caps/>
                                    <w:color w:val="262626" w:themeColor="text1" w:themeTint="D9"/>
                                    <w:sz w:val="28"/>
                                    <w:szCs w:val="28"/>
                                  </w:rPr>
                                  <w:t xml:space="preserve"> </w:t>
                                </w:r>
                              </w:p>
                              <w:p w14:paraId="1AD54007" w14:textId="15AC0B4D" w:rsidR="00E97DE1" w:rsidRDefault="00E97DE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2437537</w:t>
                                    </w:r>
                                  </w:sdtContent>
                                </w:sdt>
                              </w:p>
                              <w:p w14:paraId="0205FCBA" w14:textId="076609D6" w:rsidR="00E97DE1" w:rsidRDefault="00E97DE1">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Bernice Ejiogu</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F03DFF9" id="Text Box 112" o:spid="_x0000_s1028" type="#_x0000_t202" style="position:absolute;margin-left:153.8pt;margin-top:0;width:453pt;height:51.4pt;z-index:251661312;visibility:visible;mso-wrap-style:square;mso-width-percent:734;mso-height-percent:80;mso-wrap-distance-left:9pt;mso-wrap-distance-top:0;mso-wrap-distance-right:9pt;mso-wrap-distance-bottom:0;mso-position-horizontal:absolute;mso-position-horizontal-relative:page;mso-position-vertical:center;mso-position-vertical-relative:margin;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" filled="f" stroked="f" strokeweight=".5pt">
                    <v:textbox inset="0,0,0,0">
                      <w:txbxContent>
                        <w:p w14:paraId="7EA1A8CA" w14:textId="4E79422B" w:rsidR="00E97DE1" w:rsidRDefault="00E97DE1">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Pr>
                                  <w:caps/>
                                  <w:color w:val="262626" w:themeColor="text1" w:themeTint="D9"/>
                                  <w:sz w:val="28"/>
                                  <w:szCs w:val="28"/>
                                </w:rPr>
                                <w:t>lilly fielding</w:t>
                              </w:r>
                            </w:sdtContent>
                          </w:sdt>
                          <w:r>
                            <w:rPr>
                              <w:caps/>
                              <w:color w:val="262626" w:themeColor="text1" w:themeTint="D9"/>
                              <w:sz w:val="28"/>
                              <w:szCs w:val="28"/>
                            </w:rPr>
                            <w:t xml:space="preserve"> </w:t>
                          </w:r>
                        </w:p>
                        <w:p w14:paraId="1AD54007" w14:textId="15AC0B4D" w:rsidR="00E97DE1" w:rsidRDefault="00E97DE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2437537</w:t>
                              </w:r>
                            </w:sdtContent>
                          </w:sdt>
                        </w:p>
                        <w:p w14:paraId="0205FCBA" w14:textId="076609D6" w:rsidR="00E97DE1" w:rsidRDefault="00E97DE1">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Bernice Ejiogu</w:t>
                              </w:r>
                            </w:sdtContent>
                          </w:sdt>
                          <w:r>
                            <w:rPr>
                              <w:color w:val="262626" w:themeColor="text1" w:themeTint="D9"/>
                              <w:sz w:val="20"/>
                              <w:szCs w:val="20"/>
                            </w:rPr>
                            <w:t xml:space="preserve"> </w:t>
                          </w:r>
                        </w:p>
                      </w:txbxContent>
                    </v:textbox>
                    <w10:wrap type="square" anchorx="page" anchory="margin"/>
                  </v:shape>
                </w:pict>
              </mc:Fallback>
            </mc:AlternateContent>
          </w:r>
          <w:r>
            <w:rPr>
              <w:noProof/>
            </w:rPr>
            <mc:AlternateContent>
              <mc:Choice Requires="wpg">
                <w:drawing>
                  <wp:anchor distT="0" distB="0" distL="114300" distR="114300" simplePos="0" relativeHeight="251659264" behindDoc="0" locked="0" layoutInCell="1" allowOverlap="1" wp14:anchorId="422BC3CD" wp14:editId="2403588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DB20E1C"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br w:type="page"/>
          </w:r>
        </w:p>
      </w:sdtContent>
    </w:sdt>
    <w:p w14:paraId="5E99DD3A" w14:textId="16AE5BB7" w:rsidR="00E97DE1" w:rsidRPr="006A2F6D" w:rsidRDefault="00E97DE1" w:rsidP="006A2F6D">
      <w:pPr>
        <w:jc w:val="center"/>
        <w:rPr>
          <w:b/>
          <w:bCs/>
          <w:color w:val="0D0D0D" w:themeColor="text1" w:themeTint="F2"/>
        </w:rPr>
      </w:pPr>
      <w:r w:rsidRPr="006A2F6D">
        <w:rPr>
          <w:b/>
          <w:bCs/>
          <w:color w:val="0D0D0D" w:themeColor="text1" w:themeTint="F2"/>
        </w:rPr>
        <w:lastRenderedPageBreak/>
        <w:t>Introduction</w:t>
      </w:r>
    </w:p>
    <w:p w14:paraId="5B6793AF" w14:textId="1F642B9F" w:rsidR="00E97DE1" w:rsidRDefault="00E97DE1">
      <w:r>
        <w:t xml:space="preserve">Mrs Thompson is an 84-year-old woman who </w:t>
      </w:r>
      <w:proofErr w:type="gramStart"/>
      <w:r>
        <w:t>was recently discharged</w:t>
      </w:r>
      <w:proofErr w:type="gramEnd"/>
      <w:r>
        <w:t xml:space="preserve"> from hospital following treatment for pneumonia. She lives independently in sheltered accommodation and receives domiciliary care twice each day. However, due to her mild dementia, she has experienced increasing difficulties with remembering to take her prescribed medication, resulting in missed doses, increased </w:t>
      </w:r>
      <w:r w:rsidR="008856A7">
        <w:t xml:space="preserve">confusion, and concerns about her safety. In addition, she </w:t>
      </w:r>
      <w:proofErr w:type="gramStart"/>
      <w:r w:rsidR="008856A7">
        <w:t>was found</w:t>
      </w:r>
      <w:proofErr w:type="gramEnd"/>
      <w:r w:rsidR="008856A7">
        <w:t xml:space="preserve"> outside in freezing weather without appropriate clothing, leading to safeguarding concerns and a review of her care by the local authority. This case highlights the importance of delivering person-centred care that protects an individual’s health, wellbeing and independence while ensuring that appropriate support is in place to reduce risks (NICE, 2018).</w:t>
      </w:r>
    </w:p>
    <w:p w14:paraId="46A62A30" w14:textId="6E0AF7E1" w:rsidR="008856A7" w:rsidRDefault="008856A7">
      <w:r>
        <w:t xml:space="preserve">This report will discuss the importance of effective </w:t>
      </w:r>
      <w:r w:rsidR="006A2F6D">
        <w:t>communicatio</w:t>
      </w:r>
      <w:r>
        <w:t>n when supporting Mrs Thompson, including how the principles of the Equality Act 2010 promote fair and inclusive care.</w:t>
      </w:r>
      <w:r w:rsidR="006A2F6D">
        <w:t xml:space="preserve"> It will also examine the role of accurate record keeping and information governance within professional practice, with reference to the Data Protection Act 2018. Finally, the report will explore the importance of collaborative working between health and social care professionals, demonstrating how effective partnership working can improve the quality, </w:t>
      </w:r>
      <w:proofErr w:type="gramStart"/>
      <w:r w:rsidR="006A2F6D">
        <w:t>safety</w:t>
      </w:r>
      <w:proofErr w:type="gramEnd"/>
      <w:r w:rsidR="006A2F6D">
        <w:t xml:space="preserve"> and continuity of care for individuals with complex needs (NICE, 2022).</w:t>
      </w:r>
    </w:p>
    <w:p w14:paraId="32AEF4D9" w14:textId="4BE19C03" w:rsidR="006A2F6D" w:rsidRPr="006A2F6D" w:rsidRDefault="006A2F6D" w:rsidP="00853B48">
      <w:pPr>
        <w:pStyle w:val="ListParagraph"/>
        <w:numPr>
          <w:ilvl w:val="0"/>
          <w:numId w:val="3"/>
        </w:numPr>
        <w:jc w:val="center"/>
        <w:rPr>
          <w:b/>
          <w:bCs/>
        </w:rPr>
      </w:pPr>
      <w:r w:rsidRPr="006A2F6D">
        <w:rPr>
          <w:b/>
          <w:bCs/>
        </w:rPr>
        <w:t>The Importance of Effective Communication in Mrs Thompson’s Care</w:t>
      </w:r>
    </w:p>
    <w:p w14:paraId="4AA7DF33" w14:textId="1A3060A9" w:rsidR="006A2F6D" w:rsidRDefault="006A2F6D" w:rsidP="006A2F6D">
      <w:r>
        <w:t>Effective communication is essential when providing safe, person-centred care for Mrs Thompson. As she has mild dementia, she may experience memory loss, confusion and difficulty understanding information, particularly after</w:t>
      </w:r>
      <w:r w:rsidR="00225C1F">
        <w:t xml:space="preserve"> she </w:t>
      </w:r>
      <w:proofErr w:type="gramStart"/>
      <w:r w:rsidR="00225C1F">
        <w:t>was</w:t>
      </w:r>
      <w:r>
        <w:t xml:space="preserve"> recently discharged</w:t>
      </w:r>
      <w:proofErr w:type="gramEnd"/>
      <w:r>
        <w:t xml:space="preserve"> from hospital. Poor communication could increase</w:t>
      </w:r>
      <w:r w:rsidR="00225C1F">
        <w:t xml:space="preserve"> the risk of missed medication, misunderstanding care instructions, and safeguarding concerns, whereas clear and compassionate communication can help her remain as independent as possible while ensuring her health needs </w:t>
      </w:r>
      <w:proofErr w:type="gramStart"/>
      <w:r w:rsidR="00225C1F">
        <w:t>are met (NICE, 2018)</w:t>
      </w:r>
      <w:proofErr w:type="gramEnd"/>
      <w:r w:rsidR="00225C1F">
        <w:t>.</w:t>
      </w:r>
    </w:p>
    <w:p w14:paraId="3F19C952" w14:textId="1C243CB9" w:rsidR="00225C1F" w:rsidRDefault="00225C1F" w:rsidP="006A2F6D">
      <w:r>
        <w:t>When communicating with Mrs Thompson, health and social care professionals should use simple, understandable language and avoid giving too much information at once. Speaking slowly, maintaining eye contact, and allowing extra time for her to process information can help reduce confusion and anxiety. Professionals should also actively listen, observe non-verbal communication, and check her understanding by asking questions or encouraging her to repeat information in her own words. These approaches promote person-centred care by respecting her dignity, involving her in decisions about her care and supporting her independence wherever possible (NHS England, 20</w:t>
      </w:r>
      <w:r w:rsidR="00095C34">
        <w:t>2</w:t>
      </w:r>
      <w:r>
        <w:t>6).</w:t>
      </w:r>
    </w:p>
    <w:p w14:paraId="00BA1E00" w14:textId="6BE02BB9" w:rsidR="00225C1F" w:rsidRDefault="00225C1F" w:rsidP="006A2F6D">
      <w:r>
        <w:t xml:space="preserve">The </w:t>
      </w:r>
      <w:r w:rsidR="00905EA4">
        <w:t xml:space="preserve">Transactional Model of Communication explains that communication is a continuous two-way process in which both individuals </w:t>
      </w:r>
      <w:proofErr w:type="gramStart"/>
      <w:r w:rsidR="00905EA4">
        <w:t>act as</w:t>
      </w:r>
      <w:proofErr w:type="gramEnd"/>
      <w:r w:rsidR="00905EA4">
        <w:t xml:space="preserve"> sender and receiver, while verbal and non-verbal messages </w:t>
      </w:r>
      <w:proofErr w:type="gramStart"/>
      <w:r w:rsidR="00905EA4">
        <w:t>are exchanged</w:t>
      </w:r>
      <w:proofErr w:type="gramEnd"/>
      <w:r w:rsidR="00905EA4">
        <w:t xml:space="preserve"> simultaneously. In Mrs Thompson’s </w:t>
      </w:r>
      <w:r w:rsidR="00905EA4">
        <w:lastRenderedPageBreak/>
        <w:t xml:space="preserve">case, this means that carers should not only provide information but also pay attention to her facial expressions, body </w:t>
      </w:r>
      <w:proofErr w:type="gramStart"/>
      <w:r w:rsidR="00905EA4">
        <w:t>language</w:t>
      </w:r>
      <w:proofErr w:type="gramEnd"/>
      <w:r w:rsidR="00905EA4">
        <w:t xml:space="preserve"> and emotional responses. If she appears confused or distressed, the carer should adapt their communication, repeat information in </w:t>
      </w:r>
      <w:proofErr w:type="gramStart"/>
      <w:r w:rsidR="00905EA4">
        <w:t>a different way</w:t>
      </w:r>
      <w:proofErr w:type="gramEnd"/>
      <w:r w:rsidR="00905EA4">
        <w:t xml:space="preserve"> or provide reassurance. Feedback is an important part of the model because it allows professionals to check that Mrs Thompson has understood information correctly and provides an opportunity to clarify any misunderstandings before they affect her care.</w:t>
      </w:r>
    </w:p>
    <w:p w14:paraId="4B04D291" w14:textId="44B927F0" w:rsidR="00905EA4" w:rsidRDefault="00905EA4" w:rsidP="006A2F6D">
      <w:r>
        <w:t xml:space="preserve">Family members also play </w:t>
      </w:r>
      <w:r w:rsidR="003D6122">
        <w:t>a vital role</w:t>
      </w:r>
      <w:r>
        <w:t xml:space="preserve"> in communication. With Mrs Thompson’s consent, professionals should involve her family in discussions about her medication, care </w:t>
      </w:r>
      <w:proofErr w:type="gramStart"/>
      <w:r>
        <w:t>needs</w:t>
      </w:r>
      <w:proofErr w:type="gramEnd"/>
      <w:r>
        <w:t xml:space="preserve"> and any changes in her condition. Family members can provide valuable information about her usual routines, </w:t>
      </w:r>
      <w:r w:rsidR="003D6122">
        <w:t>preferences,</w:t>
      </w:r>
      <w:r>
        <w:t xml:space="preserve"> and behaviours, helping professionals deliver more personalised care. Effective communication between professionals and family members also promotes continuity of care and enables concerns to </w:t>
      </w:r>
      <w:proofErr w:type="gramStart"/>
      <w:r>
        <w:t>be identified</w:t>
      </w:r>
      <w:proofErr w:type="gramEnd"/>
      <w:r>
        <w:t xml:space="preserve"> and addressed promptly (NICE, 2018)</w:t>
      </w:r>
    </w:p>
    <w:p w14:paraId="6DBE3B97" w14:textId="1BD57022" w:rsidR="00905EA4" w:rsidRDefault="00905EA4" w:rsidP="006A2F6D">
      <w:r>
        <w:t>The Equality Act 2010</w:t>
      </w:r>
      <w:r w:rsidR="00853B48">
        <w:t xml:space="preserve"> requires health and social care services to ensure that individuals </w:t>
      </w:r>
      <w:proofErr w:type="gramStart"/>
      <w:r w:rsidR="00853B48">
        <w:t>are not disadvantaged</w:t>
      </w:r>
      <w:proofErr w:type="gramEnd"/>
      <w:r w:rsidR="00853B48">
        <w:t xml:space="preserve"> because of protected characteristics, including disability. As dementia </w:t>
      </w:r>
      <w:proofErr w:type="gramStart"/>
      <w:r w:rsidR="00853B48">
        <w:t>is recognised</w:t>
      </w:r>
      <w:proofErr w:type="gramEnd"/>
      <w:r w:rsidR="00853B48">
        <w:t xml:space="preserve"> as a disability in </w:t>
      </w:r>
      <w:proofErr w:type="gramStart"/>
      <w:r w:rsidR="00853B48">
        <w:t>many</w:t>
      </w:r>
      <w:proofErr w:type="gramEnd"/>
      <w:r w:rsidR="00853B48">
        <w:t xml:space="preserve"> cases, Mrs Thompson should receive reasonable adjustments to support effective communication. These may include providing information in a way she can understand, allowing additional time during conversations and </w:t>
      </w:r>
      <w:r w:rsidR="00F4516C">
        <w:t>adapting communication</w:t>
      </w:r>
      <w:r w:rsidR="00853B48">
        <w:t xml:space="preserve"> methods to meet her individual needs. By following the Equality Act 2010, professionals can ensure Mrs Thompson </w:t>
      </w:r>
      <w:proofErr w:type="gramStart"/>
      <w:r w:rsidR="00853B48">
        <w:t>is treated</w:t>
      </w:r>
      <w:proofErr w:type="gramEnd"/>
      <w:r w:rsidR="00853B48">
        <w:t xml:space="preserve"> fairly, her rights </w:t>
      </w:r>
      <w:proofErr w:type="gramStart"/>
      <w:r w:rsidR="00853B48">
        <w:t>are respected</w:t>
      </w:r>
      <w:proofErr w:type="gramEnd"/>
      <w:r w:rsidR="00853B48">
        <w:t xml:space="preserve"> and she is able to participate in decisions about her care.</w:t>
      </w:r>
    </w:p>
    <w:p w14:paraId="2E9B83C5" w14:textId="68D0F522" w:rsidR="00853B48" w:rsidRDefault="00853B48" w:rsidP="00853B48">
      <w:pPr>
        <w:pStyle w:val="ListParagraph"/>
        <w:numPr>
          <w:ilvl w:val="0"/>
          <w:numId w:val="3"/>
        </w:numPr>
        <w:jc w:val="center"/>
        <w:rPr>
          <w:b/>
          <w:bCs/>
        </w:rPr>
      </w:pPr>
      <w:r w:rsidRPr="00853B48">
        <w:rPr>
          <w:b/>
          <w:bCs/>
        </w:rPr>
        <w:t>The Importance of Good Administrative Skills in Professional Practice</w:t>
      </w:r>
    </w:p>
    <w:p w14:paraId="075D0AAB" w14:textId="3E313B34" w:rsidR="00F4516C" w:rsidRDefault="00F4516C" w:rsidP="00853B48">
      <w:r>
        <w:t xml:space="preserve">Good administrative skills are fundamental in health and social care because they help ensure that care is safe, </w:t>
      </w:r>
      <w:proofErr w:type="gramStart"/>
      <w:r>
        <w:t>effective</w:t>
      </w:r>
      <w:proofErr w:type="gramEnd"/>
      <w:r>
        <w:t xml:space="preserve"> and delivered consistently. Within Mrs Thompson’s case, accurate record keeping and appropriate information management are particularly important due to her recent hospital discharge, diagnosis of mild dementia and concerns surrounding missed medication and her safety. Administrative tasks, including maintaining clear care records, documenting </w:t>
      </w:r>
      <w:proofErr w:type="gramStart"/>
      <w:r>
        <w:t>incidents</w:t>
      </w:r>
      <w:proofErr w:type="gramEnd"/>
      <w:r>
        <w:t xml:space="preserve"> and sharing relevant information appropriately, enable professionals to provide coordinated care while reducing the risk of errors (NHS England, 202</w:t>
      </w:r>
      <w:r w:rsidR="002D6D38">
        <w:t>5</w:t>
      </w:r>
      <w:r>
        <w:t>)</w:t>
      </w:r>
    </w:p>
    <w:p w14:paraId="0C618CC4" w14:textId="7E6E6548" w:rsidR="00853B48" w:rsidRDefault="00F4516C" w:rsidP="00853B48">
      <w:r>
        <w:t>Accurate record keeping is a professional responsibility for all health and social care workers. Every interaction with Mrs Thompson, including medication administration, observations, changes in her condition and any concerns a</w:t>
      </w:r>
      <w:r w:rsidR="00BC1BB8">
        <w:t xml:space="preserve">bout her wellbeing, should </w:t>
      </w:r>
      <w:proofErr w:type="gramStart"/>
      <w:r w:rsidR="00BC1BB8">
        <w:t>be recorded</w:t>
      </w:r>
      <w:proofErr w:type="gramEnd"/>
      <w:r w:rsidR="00BC1BB8">
        <w:t xml:space="preserve"> promptly, </w:t>
      </w:r>
      <w:r w:rsidR="003D6122">
        <w:t>factually,</w:t>
      </w:r>
      <w:r w:rsidR="00BC1BB8">
        <w:t xml:space="preserve"> and clearly. In this case, documenting the two missed days of medication and the incident in which she </w:t>
      </w:r>
      <w:proofErr w:type="gramStart"/>
      <w:r w:rsidR="00BC1BB8">
        <w:t>was found</w:t>
      </w:r>
      <w:proofErr w:type="gramEnd"/>
      <w:r w:rsidR="00BC1BB8">
        <w:t xml:space="preserve"> outside without suitable clothing provides evidence of changes in her needs and supports decision-making about her future care. Detailed records also allow different professionals, such as </w:t>
      </w:r>
      <w:r w:rsidR="00BC1BB8">
        <w:lastRenderedPageBreak/>
        <w:t xml:space="preserve">domiciliary carers, community </w:t>
      </w:r>
      <w:r w:rsidR="003D6122">
        <w:t>nurses,</w:t>
      </w:r>
      <w:r w:rsidR="00BC1BB8">
        <w:t xml:space="preserve"> and GP’s, to access up-to-date information, promoting continuity of care and reducing the likelihood of miscommunication between services (Care Quality Commission, 202</w:t>
      </w:r>
      <w:r w:rsidR="00095C34">
        <w:t>6</w:t>
      </w:r>
      <w:r w:rsidR="00BC1BB8">
        <w:t>)</w:t>
      </w:r>
    </w:p>
    <w:p w14:paraId="5B8B84D0" w14:textId="7D4058B8" w:rsidR="00DC33DA" w:rsidRDefault="00BC1BB8" w:rsidP="00853B48">
      <w:r>
        <w:t xml:space="preserve">The Data Protection Act 2018, alongside the UK General Data Protection Regulation (UK GDPR), provides a legal framework for how personal information should </w:t>
      </w:r>
      <w:proofErr w:type="gramStart"/>
      <w:r>
        <w:t>be collected</w:t>
      </w:r>
      <w:proofErr w:type="gramEnd"/>
      <w:r>
        <w:t xml:space="preserve">, </w:t>
      </w:r>
      <w:r w:rsidR="00C27F3F">
        <w:t>stored,</w:t>
      </w:r>
      <w:r>
        <w:t xml:space="preserve"> and shared. Professionals caring for Mrs Th</w:t>
      </w:r>
      <w:r w:rsidR="00C27F3F">
        <w:t>o</w:t>
      </w:r>
      <w:r>
        <w:t>mpson have a</w:t>
      </w:r>
      <w:r w:rsidR="00C27F3F">
        <w:t xml:space="preserve"> duty to ensure that her personal information remains confidential, </w:t>
      </w:r>
      <w:proofErr w:type="gramStart"/>
      <w:r w:rsidR="00C27F3F">
        <w:t>is only accessed</w:t>
      </w:r>
      <w:proofErr w:type="gramEnd"/>
      <w:r w:rsidR="00C27F3F">
        <w:t xml:space="preserve"> by authorised individuals</w:t>
      </w:r>
      <w:r>
        <w:t xml:space="preserve"> </w:t>
      </w:r>
      <w:r w:rsidR="00C27F3F">
        <w:t xml:space="preserve">and </w:t>
      </w:r>
      <w:proofErr w:type="gramStart"/>
      <w:r w:rsidR="00C27F3F">
        <w:t>is used</w:t>
      </w:r>
      <w:proofErr w:type="gramEnd"/>
      <w:r w:rsidR="00C27F3F">
        <w:t xml:space="preserve"> solely the purpose of delivering her care. Records should </w:t>
      </w:r>
      <w:proofErr w:type="gramStart"/>
      <w:r w:rsidR="00C27F3F">
        <w:t>be stored</w:t>
      </w:r>
      <w:proofErr w:type="gramEnd"/>
      <w:r w:rsidR="00C27F3F">
        <w:t xml:space="preserve"> securely, whether electronically or on paper, and information should only </w:t>
      </w:r>
      <w:proofErr w:type="gramStart"/>
      <w:r w:rsidR="00C27F3F">
        <w:t>be shared</w:t>
      </w:r>
      <w:proofErr w:type="gramEnd"/>
      <w:r w:rsidR="00C27F3F">
        <w:t xml:space="preserve"> when </w:t>
      </w:r>
      <w:r w:rsidR="00DC33DA">
        <w:t xml:space="preserve">there is a lawful basis to do so, such as providing safe care or protecting an individual from harm (Information Commissioner’s Office, </w:t>
      </w:r>
      <w:proofErr w:type="spellStart"/>
      <w:r w:rsidR="00095C34">
        <w:t>n.d</w:t>
      </w:r>
      <w:proofErr w:type="spellEnd"/>
      <w:r w:rsidR="00DC33DA">
        <w:t>).</w:t>
      </w:r>
    </w:p>
    <w:p w14:paraId="4B591075" w14:textId="6BE2C4EB" w:rsidR="00DC33DA" w:rsidRDefault="00DC33DA" w:rsidP="00853B48">
      <w:r>
        <w:t xml:space="preserve">In addition to data protection legislation, health and social care professionals should follow the Care Quality Commission’s Fundamental Standards, which require services to maintain accurate, </w:t>
      </w:r>
      <w:r w:rsidR="003D6122">
        <w:t>complete,</w:t>
      </w:r>
      <w:r>
        <w:t xml:space="preserve"> and contemporaneous records. These standard</w:t>
      </w:r>
      <w:r w:rsidR="000C09F3">
        <w:t xml:space="preserve">s </w:t>
      </w:r>
      <w:r>
        <w:t>promote accountability and help ensure that care is responsive to changing needs</w:t>
      </w:r>
      <w:r w:rsidR="000C09F3">
        <w:t>. I</w:t>
      </w:r>
      <w:r>
        <w:t xml:space="preserve">n Mrs </w:t>
      </w:r>
      <w:r w:rsidR="000C09F3">
        <w:t xml:space="preserve">Thompson’s situation, maintain comprehensive records of her medical review, safeguarding concerns and risk assessments would allow professionals to monitor whether her care package remains appropriate or whether additional support </w:t>
      </w:r>
      <w:proofErr w:type="gramStart"/>
      <w:r w:rsidR="000C09F3">
        <w:t>is</w:t>
      </w:r>
      <w:r w:rsidR="001969D3">
        <w:t xml:space="preserve"> </w:t>
      </w:r>
      <w:r w:rsidR="000C09F3">
        <w:t>required</w:t>
      </w:r>
      <w:proofErr w:type="gramEnd"/>
      <w:r w:rsidR="000C09F3">
        <w:t xml:space="preserve"> to maintain her independence and safety (Care Quality Commission,202</w:t>
      </w:r>
      <w:r w:rsidR="00095C34">
        <w:t>6</w:t>
      </w:r>
      <w:r w:rsidR="000C09F3">
        <w:t>).</w:t>
      </w:r>
    </w:p>
    <w:p w14:paraId="427E0806" w14:textId="262376FA" w:rsidR="001969D3" w:rsidRDefault="000C09F3" w:rsidP="001969D3">
      <w:r>
        <w:t xml:space="preserve">Strong administrative practice also contributes to safeguarding vulnerable adults. By accurately documenting concerns and following organisational policies, professionals can identify patterns of risk and ensure that appropriate action </w:t>
      </w:r>
      <w:proofErr w:type="gramStart"/>
      <w:r>
        <w:t>is taken</w:t>
      </w:r>
      <w:proofErr w:type="gramEnd"/>
      <w:r>
        <w:t xml:space="preserve"> quickly. For Mrs Thompson, the incident report regarding her missed medication and the safeguarding concern following her </w:t>
      </w:r>
      <w:proofErr w:type="gramStart"/>
      <w:r w:rsidR="001969D3">
        <w:t>being found</w:t>
      </w:r>
      <w:proofErr w:type="gramEnd"/>
      <w:r>
        <w:t xml:space="preserve"> outside would support the local </w:t>
      </w:r>
      <w:r w:rsidR="001969D3">
        <w:t>authority’s</w:t>
      </w:r>
      <w:r>
        <w:t xml:space="preserve"> </w:t>
      </w:r>
      <w:r w:rsidR="001969D3">
        <w:t>investigation and</w:t>
      </w:r>
      <w:r>
        <w:t xml:space="preserve"> help </w:t>
      </w:r>
      <w:r w:rsidR="001969D3">
        <w:t xml:space="preserve">professionals work together to develop strategies that reduce the risk of similar incidents occurring in the future. Overall, effective administration underpins high-quality care by supporting accountability, protecting confidential </w:t>
      </w:r>
      <w:r w:rsidR="003D6122">
        <w:t>information,</w:t>
      </w:r>
      <w:r w:rsidR="001969D3">
        <w:t xml:space="preserve"> and ensuring that professionals can make informed decisions that promote the wellbeing of individuals receiving care.</w:t>
      </w:r>
    </w:p>
    <w:p w14:paraId="104F1C36" w14:textId="04A09A76" w:rsidR="001969D3" w:rsidRDefault="001969D3" w:rsidP="001969D3">
      <w:pPr>
        <w:pStyle w:val="ListParagraph"/>
        <w:numPr>
          <w:ilvl w:val="0"/>
          <w:numId w:val="3"/>
        </w:numPr>
        <w:jc w:val="center"/>
        <w:rPr>
          <w:b/>
          <w:bCs/>
        </w:rPr>
      </w:pPr>
      <w:r w:rsidRPr="001969D3">
        <w:rPr>
          <w:b/>
          <w:bCs/>
        </w:rPr>
        <w:t xml:space="preserve">The Importance of Collaborative Working </w:t>
      </w:r>
      <w:r w:rsidR="00095C34" w:rsidRPr="001969D3">
        <w:rPr>
          <w:b/>
          <w:bCs/>
        </w:rPr>
        <w:t>in</w:t>
      </w:r>
      <w:r w:rsidRPr="001969D3">
        <w:rPr>
          <w:b/>
          <w:bCs/>
        </w:rPr>
        <w:t xml:space="preserve"> Mrs Thompson’s Care</w:t>
      </w:r>
    </w:p>
    <w:p w14:paraId="2654B5EB" w14:textId="13284EDD" w:rsidR="001969D3" w:rsidRDefault="001969D3" w:rsidP="001969D3">
      <w:r>
        <w:t>Collaborative working is essential in health and social care because it enabl</w:t>
      </w:r>
      <w:r w:rsidR="00E812FB">
        <w:t xml:space="preserve">es </w:t>
      </w:r>
      <w:r>
        <w:t>professionals from different organisations</w:t>
      </w:r>
      <w:r w:rsidR="00E812FB">
        <w:t xml:space="preserve"> to work together to meet an individual’s physical, </w:t>
      </w:r>
      <w:proofErr w:type="gramStart"/>
      <w:r w:rsidR="00E812FB">
        <w:t>emotional</w:t>
      </w:r>
      <w:proofErr w:type="gramEnd"/>
      <w:r w:rsidR="00E812FB">
        <w:t xml:space="preserve"> and social needs. In Mrs Thompson’s case, effective partnership working between her GP, community nurse, domiciliary care </w:t>
      </w:r>
      <w:proofErr w:type="gramStart"/>
      <w:r w:rsidR="00E812FB">
        <w:t>workers</w:t>
      </w:r>
      <w:proofErr w:type="gramEnd"/>
      <w:r w:rsidR="00E812FB">
        <w:t xml:space="preserve"> and the local authority is particularly important due to her recent hospital discharge, mild </w:t>
      </w:r>
      <w:proofErr w:type="gramStart"/>
      <w:r w:rsidR="00E812FB">
        <w:t>dementia</w:t>
      </w:r>
      <w:proofErr w:type="gramEnd"/>
      <w:r w:rsidR="00E812FB">
        <w:t xml:space="preserve"> and safeguarding concerns. By sharing relevant information and working towards common goals, professionals can provide coordinated care that promotes her safety, </w:t>
      </w:r>
      <w:proofErr w:type="gramStart"/>
      <w:r w:rsidR="00E812FB">
        <w:t>independence</w:t>
      </w:r>
      <w:proofErr w:type="gramEnd"/>
      <w:r w:rsidR="00E812FB">
        <w:t xml:space="preserve"> and overall wellbeing (NICE,2018).</w:t>
      </w:r>
    </w:p>
    <w:p w14:paraId="4483875C" w14:textId="1171E608" w:rsidR="00E812FB" w:rsidRDefault="00E812FB" w:rsidP="001969D3">
      <w:r>
        <w:lastRenderedPageBreak/>
        <w:t xml:space="preserve">Each professional has a specific role in supporting Mrs Thompson. The GP is responsible for monitoring her overall health, reviewing her </w:t>
      </w:r>
      <w:r w:rsidR="003D6122">
        <w:t>medication,</w:t>
      </w:r>
      <w:r>
        <w:t xml:space="preserve"> and making referrals to specialist services where necessary. The community nurse can access her health </w:t>
      </w:r>
      <w:r w:rsidR="00240A0A">
        <w:t>following</w:t>
      </w:r>
      <w:r>
        <w:t xml:space="preserve"> discharge from </w:t>
      </w:r>
      <w:r w:rsidR="00240A0A">
        <w:t xml:space="preserve">hospital, monitor her recovery from pneumonia and identify any changes in her condition. Domiciliary care workers provide day-to-day support by assisting with medication, personal care and observing any concerns that may require further intervention. As Mrs Thompson </w:t>
      </w:r>
      <w:proofErr w:type="gramStart"/>
      <w:r w:rsidR="00240A0A">
        <w:t>was found</w:t>
      </w:r>
      <w:proofErr w:type="gramEnd"/>
      <w:r w:rsidR="00240A0A">
        <w:t xml:space="preserve"> outside in unsuitable clothing and had missed </w:t>
      </w:r>
      <w:proofErr w:type="gramStart"/>
      <w:r w:rsidR="00240A0A">
        <w:t>several</w:t>
      </w:r>
      <w:proofErr w:type="gramEnd"/>
      <w:r w:rsidR="00240A0A">
        <w:t xml:space="preserve"> doses of medication, it is essential that these professionals communicate regularly so that any deterioration in her health or increased risks </w:t>
      </w:r>
      <w:proofErr w:type="gramStart"/>
      <w:r w:rsidR="00095C34">
        <w:t>is</w:t>
      </w:r>
      <w:r w:rsidR="00240A0A">
        <w:t xml:space="preserve"> recognised</w:t>
      </w:r>
      <w:proofErr w:type="gramEnd"/>
      <w:r w:rsidR="00240A0A">
        <w:t xml:space="preserve"> and acted upon promptly (Care Quality Commission,202</w:t>
      </w:r>
      <w:r w:rsidR="00095C34">
        <w:t>6</w:t>
      </w:r>
      <w:r w:rsidR="00240A0A">
        <w:t>).</w:t>
      </w:r>
    </w:p>
    <w:p w14:paraId="3F9899A1" w14:textId="54971A86" w:rsidR="00240A0A" w:rsidRDefault="00240A0A" w:rsidP="001969D3">
      <w:r>
        <w:t xml:space="preserve">One approach that supports effective collaborative working is regular communication through accurate care records, multidisciplinary </w:t>
      </w:r>
      <w:proofErr w:type="gramStart"/>
      <w:r>
        <w:t>meetings</w:t>
      </w:r>
      <w:proofErr w:type="gramEnd"/>
      <w:r>
        <w:t xml:space="preserve"> and agreed care plans</w:t>
      </w:r>
      <w:r w:rsidR="002C5B1F">
        <w:t xml:space="preserve">. Sharing up-to-date information allows each professional to understand Mrs Thompson’s current needs and ensures that decisions are based on the same information. With Mrs Thompson’s consent, involving her family in discussions can also improve communication by providing valuable insight into her daily routines, </w:t>
      </w:r>
      <w:r w:rsidR="003D6122">
        <w:t>preferences,</w:t>
      </w:r>
      <w:r w:rsidR="002C5B1F">
        <w:t xml:space="preserve"> and any changes they have noticed.</w:t>
      </w:r>
    </w:p>
    <w:p w14:paraId="518B1917" w14:textId="7A876F62" w:rsidR="003D6122" w:rsidRDefault="002C5B1F" w:rsidP="003D6122">
      <w:r>
        <w:t>However, multi-agency working can present challenges, including poor communication, delays in sharing information and uncertainty about professional responsibilities. These issues can lead to fragmented care and increase risks for vulnerable individuals.</w:t>
      </w:r>
      <w:r w:rsidR="009A0B55">
        <w:t xml:space="preserve"> To overcome these challenges,</w:t>
      </w:r>
      <w:r w:rsidR="00AA605D">
        <w:t xml:space="preserve"> professionals should maintain accurate records, communicate openly, respect each other’s professional expertise and follow agreed safeguarding procedures. By working collaboratively, the team can </w:t>
      </w:r>
      <w:r w:rsidR="003D6122">
        <w:t>develop a</w:t>
      </w:r>
      <w:r w:rsidR="00AA605D">
        <w:t xml:space="preserve"> coordinated care plan that reduces the risk of further medication errors, supports Mrs </w:t>
      </w:r>
      <w:r w:rsidR="00D72165">
        <w:t xml:space="preserve">Thompson’s </w:t>
      </w:r>
      <w:proofErr w:type="gramStart"/>
      <w:r w:rsidR="00D72165">
        <w:t>independence</w:t>
      </w:r>
      <w:proofErr w:type="gramEnd"/>
      <w:r w:rsidR="00D72165">
        <w:t xml:space="preserve"> and helps prevent future safeguarding concerns.</w:t>
      </w:r>
    </w:p>
    <w:p w14:paraId="073565AB" w14:textId="7D34115D" w:rsidR="00D72165" w:rsidRPr="003D6122" w:rsidRDefault="00D72165" w:rsidP="003D6122">
      <w:pPr>
        <w:jc w:val="center"/>
      </w:pPr>
      <w:r>
        <w:rPr>
          <w:b/>
          <w:bCs/>
        </w:rPr>
        <w:t>Conclusion</w:t>
      </w:r>
    </w:p>
    <w:p w14:paraId="2C945562" w14:textId="7D521197" w:rsidR="002C5B1F" w:rsidRDefault="00D72165" w:rsidP="001969D3">
      <w:r>
        <w:t xml:space="preserve">In conclusion. providing high-quality care for Mrs Thompson requires effective communication, strong administrative practices and collaborative working between health and social care professionals. Clear, person-centred communication enables professionals to understand her individual needs, support her independence and reduce the risk of misunderstandings associated with dementia. Applying the principles of the Equality Act 2010 also ensures that reasonable adjustments </w:t>
      </w:r>
      <w:proofErr w:type="gramStart"/>
      <w:r>
        <w:t>are made</w:t>
      </w:r>
      <w:proofErr w:type="gramEnd"/>
      <w:r>
        <w:t xml:space="preserve"> so she can access care without discrimination. Accurate record keeping and compliance with the Data Protection Act 2018 support safe, accountable practice by protecting confidential information while allowing relevant professional to share information appropriately. Finally, </w:t>
      </w:r>
      <w:r w:rsidR="00F83CB2">
        <w:t xml:space="preserve">partnership working between the GP, community nurse, domiciliary care </w:t>
      </w:r>
      <w:proofErr w:type="gramStart"/>
      <w:r w:rsidR="00F83CB2">
        <w:t>workers</w:t>
      </w:r>
      <w:proofErr w:type="gramEnd"/>
      <w:r w:rsidR="00F83CB2">
        <w:t xml:space="preserve"> and the local authority </w:t>
      </w:r>
      <w:r w:rsidR="003D6122">
        <w:t>help</w:t>
      </w:r>
      <w:r w:rsidR="00F83CB2">
        <w:t xml:space="preserve"> ensure that Mrs Thompson receives coordinated and consistent care. By working together and responding to changes in her needs, </w:t>
      </w:r>
      <w:r w:rsidR="00F83CB2">
        <w:lastRenderedPageBreak/>
        <w:t xml:space="preserve">professionals can reduce safeguarding risks, improve medication </w:t>
      </w:r>
      <w:proofErr w:type="gramStart"/>
      <w:r w:rsidR="00F83CB2">
        <w:t>management</w:t>
      </w:r>
      <w:proofErr w:type="gramEnd"/>
      <w:r w:rsidR="00F83CB2">
        <w:t xml:space="preserve"> and promote her health, </w:t>
      </w:r>
      <w:r w:rsidR="003D6122">
        <w:t>wellbeing,</w:t>
      </w:r>
      <w:r w:rsidR="00F83CB2">
        <w:t xml:space="preserve"> and quality of life through person-centred, evidence-based care (NICE, 20</w:t>
      </w:r>
      <w:r w:rsidR="00095C34">
        <w:t>1</w:t>
      </w:r>
      <w:r w:rsidR="00F83CB2">
        <w:t>8).</w:t>
      </w:r>
    </w:p>
    <w:p w14:paraId="3950593C" w14:textId="46E93431" w:rsidR="003D6122" w:rsidRDefault="003D6122" w:rsidP="003D6122">
      <w:pPr>
        <w:jc w:val="center"/>
        <w:rPr>
          <w:b/>
          <w:bCs/>
        </w:rPr>
      </w:pPr>
      <w:r w:rsidRPr="003D6122">
        <w:rPr>
          <w:b/>
          <w:bCs/>
        </w:rPr>
        <w:t>References</w:t>
      </w:r>
    </w:p>
    <w:p w14:paraId="16FF7214" w14:textId="35E35CDB" w:rsidR="003D6122" w:rsidRDefault="00726A67"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Care Quality Commission (CQC) (2026) </w:t>
      </w:r>
      <w:r>
        <w:rPr>
          <w:rFonts w:ascii="avenir-regular-class" w:hAnsi="avenir-regular-class"/>
          <w:i/>
          <w:iCs/>
          <w:color w:val="333333"/>
          <w:sz w:val="23"/>
          <w:szCs w:val="23"/>
          <w:shd w:val="clear" w:color="auto" w:fill="FBFBFB"/>
        </w:rPr>
        <w:t>The fundamental standards of care</w:t>
      </w:r>
      <w:r>
        <w:rPr>
          <w:rFonts w:ascii="avenir-regular-class" w:hAnsi="avenir-regular-class"/>
          <w:color w:val="333333"/>
          <w:sz w:val="23"/>
          <w:szCs w:val="23"/>
          <w:shd w:val="clear" w:color="auto" w:fill="FBFBFB"/>
        </w:rPr>
        <w:t>. Available at: </w:t>
      </w:r>
      <w:hyperlink r:id="rId6" w:history="1">
        <w:r>
          <w:rPr>
            <w:rStyle w:val="Hyperlink"/>
            <w:rFonts w:ascii="avenir-regular-class" w:hAnsi="avenir-regular-class"/>
            <w:color w:val="20366F"/>
            <w:sz w:val="23"/>
            <w:szCs w:val="23"/>
            <w:u w:val="none"/>
            <w:shd w:val="clear" w:color="auto" w:fill="FBFBFB"/>
          </w:rPr>
          <w:t>The fundamental standards of care - Care Quality Commission</w:t>
        </w:r>
      </w:hyperlink>
      <w:r>
        <w:rPr>
          <w:rFonts w:ascii="avenir-regular-class" w:hAnsi="avenir-regular-class"/>
          <w:color w:val="333333"/>
          <w:sz w:val="23"/>
          <w:szCs w:val="23"/>
          <w:shd w:val="clear" w:color="auto" w:fill="FBFBFB"/>
        </w:rPr>
        <w:t> (Accessed: 23 July 2026).</w:t>
      </w:r>
    </w:p>
    <w:p w14:paraId="197DE873" w14:textId="5CE2833A" w:rsidR="00726A67" w:rsidRDefault="00107323"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The National Archives (2010) </w:t>
      </w:r>
      <w:r>
        <w:rPr>
          <w:rFonts w:ascii="avenir-regular-class" w:hAnsi="avenir-regular-class"/>
          <w:i/>
          <w:iCs/>
          <w:color w:val="333333"/>
          <w:sz w:val="23"/>
          <w:szCs w:val="23"/>
          <w:shd w:val="clear" w:color="auto" w:fill="FBFBFB"/>
        </w:rPr>
        <w:t>Equality Act 2010</w:t>
      </w:r>
      <w:r>
        <w:rPr>
          <w:rFonts w:ascii="avenir-regular-class" w:hAnsi="avenir-regular-class"/>
          <w:color w:val="333333"/>
          <w:sz w:val="23"/>
          <w:szCs w:val="23"/>
          <w:shd w:val="clear" w:color="auto" w:fill="FBFBFB"/>
        </w:rPr>
        <w:t> Available at: </w:t>
      </w:r>
      <w:hyperlink r:id="rId7" w:history="1">
        <w:r>
          <w:rPr>
            <w:rStyle w:val="Hyperlink"/>
            <w:rFonts w:ascii="avenir-regular-class" w:hAnsi="avenir-regular-class"/>
            <w:color w:val="20366F"/>
            <w:sz w:val="23"/>
            <w:szCs w:val="23"/>
            <w:u w:val="none"/>
            <w:shd w:val="clear" w:color="auto" w:fill="FBFBFB"/>
          </w:rPr>
          <w:t>Equality Act 2010</w:t>
        </w:r>
      </w:hyperlink>
      <w:r>
        <w:rPr>
          <w:rFonts w:ascii="avenir-regular-class" w:hAnsi="avenir-regular-class"/>
          <w:color w:val="333333"/>
          <w:sz w:val="23"/>
          <w:szCs w:val="23"/>
          <w:shd w:val="clear" w:color="auto" w:fill="FBFBFB"/>
        </w:rPr>
        <w:t> (Accessed: 23 July 2026).</w:t>
      </w:r>
    </w:p>
    <w:p w14:paraId="58303DB1" w14:textId="50D63F23" w:rsidR="00107323" w:rsidRDefault="00C21572"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Information Commissioner’s Office (ICO) (</w:t>
      </w:r>
      <w:proofErr w:type="spellStart"/>
      <w:r>
        <w:rPr>
          <w:rFonts w:ascii="avenir-regular-class" w:hAnsi="avenir-regular-class"/>
          <w:color w:val="333333"/>
          <w:sz w:val="23"/>
          <w:szCs w:val="23"/>
          <w:shd w:val="clear" w:color="auto" w:fill="FBFBFB"/>
        </w:rPr>
        <w:t>n.d</w:t>
      </w:r>
      <w:proofErr w:type="spellEnd"/>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A guide to data security</w:t>
      </w:r>
      <w:r>
        <w:rPr>
          <w:rFonts w:ascii="avenir-regular-class" w:hAnsi="avenir-regular-class"/>
          <w:color w:val="333333"/>
          <w:sz w:val="23"/>
          <w:szCs w:val="23"/>
          <w:shd w:val="clear" w:color="auto" w:fill="FBFBFB"/>
        </w:rPr>
        <w:t> Available at: </w:t>
      </w:r>
      <w:hyperlink r:id="rId8" w:history="1">
        <w:r>
          <w:rPr>
            <w:rStyle w:val="Hyperlink"/>
            <w:rFonts w:ascii="avenir-regular-class" w:hAnsi="avenir-regular-class"/>
            <w:color w:val="20366F"/>
            <w:sz w:val="23"/>
            <w:szCs w:val="23"/>
            <w:u w:val="none"/>
            <w:shd w:val="clear" w:color="auto" w:fill="FBFBFB"/>
          </w:rPr>
          <w:t>A guide to data security | ICO</w:t>
        </w:r>
      </w:hyperlink>
      <w:r>
        <w:rPr>
          <w:rFonts w:ascii="avenir-regular-class" w:hAnsi="avenir-regular-class"/>
          <w:color w:val="333333"/>
          <w:sz w:val="23"/>
          <w:szCs w:val="23"/>
          <w:shd w:val="clear" w:color="auto" w:fill="FBFBFB"/>
        </w:rPr>
        <w:t> (Accessed: 23 July 2026).</w:t>
      </w:r>
    </w:p>
    <w:p w14:paraId="510901BA" w14:textId="3F27EFC7" w:rsidR="00C21572" w:rsidRDefault="00C21572"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National Institute for Health and Care Excellence (NICE) (2018) </w:t>
      </w:r>
      <w:r>
        <w:rPr>
          <w:rFonts w:ascii="avenir-regular-class" w:hAnsi="avenir-regular-class"/>
          <w:i/>
          <w:iCs/>
          <w:color w:val="333333"/>
          <w:sz w:val="23"/>
          <w:szCs w:val="23"/>
          <w:shd w:val="clear" w:color="auto" w:fill="FBFBFB"/>
        </w:rPr>
        <w:t>Person-centred care</w:t>
      </w:r>
      <w:r>
        <w:rPr>
          <w:rFonts w:ascii="avenir-regular-class" w:hAnsi="avenir-regular-class"/>
          <w:color w:val="333333"/>
          <w:sz w:val="23"/>
          <w:szCs w:val="23"/>
          <w:shd w:val="clear" w:color="auto" w:fill="FBFBFB"/>
        </w:rPr>
        <w:t> Available at: </w:t>
      </w:r>
      <w:hyperlink r:id="rId9" w:history="1">
        <w:r>
          <w:rPr>
            <w:rStyle w:val="Hyperlink"/>
            <w:rFonts w:ascii="avenir-regular-class" w:hAnsi="avenir-regular-class"/>
            <w:color w:val="20366F"/>
            <w:sz w:val="23"/>
            <w:szCs w:val="23"/>
            <w:u w:val="none"/>
            <w:shd w:val="clear" w:color="auto" w:fill="FBFBFB"/>
          </w:rPr>
          <w:t>Person-centred care | Dementia: assessment, management and support for people living with dementia and their carers | Guidance | NICE</w:t>
        </w:r>
      </w:hyperlink>
      <w:r>
        <w:rPr>
          <w:rFonts w:ascii="avenir-regular-class" w:hAnsi="avenir-regular-class"/>
          <w:color w:val="333333"/>
          <w:sz w:val="23"/>
          <w:szCs w:val="23"/>
          <w:shd w:val="clear" w:color="auto" w:fill="FBFBFB"/>
        </w:rPr>
        <w:t> (Accessed: 23 July 2026).</w:t>
      </w:r>
    </w:p>
    <w:p w14:paraId="62CDEBEA" w14:textId="3F64960A" w:rsidR="00C21572" w:rsidRDefault="002D6D38"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England (2025) </w:t>
      </w:r>
      <w:r>
        <w:rPr>
          <w:rFonts w:ascii="avenir-regular-class" w:hAnsi="avenir-regular-class"/>
          <w:i/>
          <w:iCs/>
          <w:color w:val="333333"/>
          <w:sz w:val="23"/>
          <w:szCs w:val="23"/>
          <w:shd w:val="clear" w:color="auto" w:fill="FBFBFB"/>
        </w:rPr>
        <w:t>Accessible Information Standard – requirements </w:t>
      </w:r>
      <w:r>
        <w:rPr>
          <w:rFonts w:ascii="avenir-regular-class" w:hAnsi="avenir-regular-class"/>
          <w:color w:val="333333"/>
          <w:sz w:val="23"/>
          <w:szCs w:val="23"/>
          <w:shd w:val="clear" w:color="auto" w:fill="FBFBFB"/>
        </w:rPr>
        <w:t>(</w:t>
      </w:r>
      <w:r>
        <w:rPr>
          <w:rFonts w:ascii="avenir-regular-class" w:hAnsi="avenir-regular-class"/>
          <w:i/>
          <w:iCs/>
          <w:color w:val="333333"/>
          <w:sz w:val="23"/>
          <w:szCs w:val="23"/>
          <w:shd w:val="clear" w:color="auto" w:fill="FBFBFB"/>
        </w:rPr>
        <w:t>DAPB1605</w:t>
      </w:r>
      <w:r>
        <w:rPr>
          <w:rFonts w:ascii="avenir-regular-class" w:hAnsi="avenir-regular-class"/>
          <w:color w:val="333333"/>
          <w:sz w:val="23"/>
          <w:szCs w:val="23"/>
          <w:shd w:val="clear" w:color="auto" w:fill="FBFBFB"/>
        </w:rPr>
        <w:t>). Available at: </w:t>
      </w:r>
      <w:hyperlink r:id="rId10" w:history="1">
        <w:r>
          <w:rPr>
            <w:rStyle w:val="Hyperlink"/>
            <w:rFonts w:ascii="avenir-regular-class" w:hAnsi="avenir-regular-class"/>
            <w:color w:val="20366F"/>
            <w:sz w:val="23"/>
            <w:szCs w:val="23"/>
            <w:u w:val="none"/>
            <w:shd w:val="clear" w:color="auto" w:fill="FBFBFB"/>
          </w:rPr>
          <w:t>NHS England » Accessible Information Standard – requirements (DAPB1605)</w:t>
        </w:r>
      </w:hyperlink>
      <w:r>
        <w:rPr>
          <w:rFonts w:ascii="avenir-regular-class" w:hAnsi="avenir-regular-class"/>
          <w:color w:val="333333"/>
          <w:sz w:val="23"/>
          <w:szCs w:val="23"/>
          <w:shd w:val="clear" w:color="auto" w:fill="FBFBFB"/>
        </w:rPr>
        <w:t> (Accessed: 23 July 2026).</w:t>
      </w:r>
    </w:p>
    <w:p w14:paraId="63286A74" w14:textId="42B20D4A" w:rsidR="002D6D38" w:rsidRDefault="00D6778A"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England (2025) </w:t>
      </w:r>
      <w:r>
        <w:rPr>
          <w:rFonts w:ascii="avenir-regular-class" w:hAnsi="avenir-regular-class"/>
          <w:i/>
          <w:iCs/>
          <w:color w:val="333333"/>
          <w:sz w:val="23"/>
          <w:szCs w:val="23"/>
          <w:shd w:val="clear" w:color="auto" w:fill="FBFBFB"/>
        </w:rPr>
        <w:t>Records management policy</w:t>
      </w:r>
      <w:r>
        <w:rPr>
          <w:rFonts w:ascii="avenir-regular-class" w:hAnsi="avenir-regular-class"/>
          <w:color w:val="333333"/>
          <w:sz w:val="23"/>
          <w:szCs w:val="23"/>
          <w:shd w:val="clear" w:color="auto" w:fill="FBFBFB"/>
        </w:rPr>
        <w:t>. Available at: </w:t>
      </w:r>
      <w:hyperlink r:id="rId11" w:history="1">
        <w:r>
          <w:rPr>
            <w:rStyle w:val="Hyperlink"/>
            <w:rFonts w:ascii="avenir-regular-class" w:hAnsi="avenir-regular-class"/>
            <w:color w:val="20366F"/>
            <w:sz w:val="23"/>
            <w:szCs w:val="23"/>
            <w:u w:val="none"/>
            <w:shd w:val="clear" w:color="auto" w:fill="FBFBFB"/>
          </w:rPr>
          <w:t>NHS England » Records management policy</w:t>
        </w:r>
      </w:hyperlink>
      <w:r>
        <w:rPr>
          <w:rFonts w:ascii="avenir-regular-class" w:hAnsi="avenir-regular-class"/>
          <w:color w:val="333333"/>
          <w:sz w:val="23"/>
          <w:szCs w:val="23"/>
          <w:shd w:val="clear" w:color="auto" w:fill="FBFBFB"/>
        </w:rPr>
        <w:t> (Accessed: 23 July 2026).</w:t>
      </w:r>
    </w:p>
    <w:p w14:paraId="2C8B2C3E" w14:textId="3B5887AA" w:rsidR="00D6778A" w:rsidRDefault="00095C34" w:rsidP="003D612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Alzheimer’s Society (2026) </w:t>
      </w:r>
      <w:r>
        <w:rPr>
          <w:rFonts w:ascii="avenir-regular-class" w:hAnsi="avenir-regular-class"/>
          <w:i/>
          <w:iCs/>
          <w:color w:val="333333"/>
          <w:sz w:val="23"/>
          <w:szCs w:val="23"/>
          <w:shd w:val="clear" w:color="auto" w:fill="FBFBFB"/>
        </w:rPr>
        <w:t>Reducing and managing behaviour that challenges.</w:t>
      </w:r>
      <w:r>
        <w:rPr>
          <w:rFonts w:ascii="avenir-regular-class" w:hAnsi="avenir-regular-class"/>
          <w:color w:val="333333"/>
          <w:sz w:val="23"/>
          <w:szCs w:val="23"/>
          <w:shd w:val="clear" w:color="auto" w:fill="FBFBFB"/>
        </w:rPr>
        <w:t> Available at: </w:t>
      </w:r>
      <w:hyperlink r:id="rId12" w:history="1">
        <w:r>
          <w:rPr>
            <w:rStyle w:val="Hyperlink"/>
            <w:rFonts w:ascii="avenir-regular-class" w:hAnsi="avenir-regular-class"/>
            <w:color w:val="20366F"/>
            <w:sz w:val="23"/>
            <w:szCs w:val="23"/>
            <w:u w:val="none"/>
            <w:shd w:val="clear" w:color="auto" w:fill="FBFBFB"/>
          </w:rPr>
          <w:t>Reducing and managing behaviour that challenges | Alzheimer's Society</w:t>
        </w:r>
      </w:hyperlink>
      <w:r>
        <w:rPr>
          <w:rFonts w:ascii="avenir-regular-class" w:hAnsi="avenir-regular-class"/>
          <w:color w:val="333333"/>
          <w:sz w:val="23"/>
          <w:szCs w:val="23"/>
          <w:shd w:val="clear" w:color="auto" w:fill="FBFBFB"/>
        </w:rPr>
        <w:t> (Accessed: 23 July 2026).</w:t>
      </w:r>
    </w:p>
    <w:p w14:paraId="019F6A93" w14:textId="77777777" w:rsidR="00095C34" w:rsidRDefault="00095C34" w:rsidP="003D6122">
      <w:pPr>
        <w:rPr>
          <w:rFonts w:ascii="avenir-regular-class" w:hAnsi="avenir-regular-class"/>
          <w:color w:val="333333"/>
          <w:sz w:val="23"/>
          <w:szCs w:val="23"/>
          <w:shd w:val="clear" w:color="auto" w:fill="FBFBFB"/>
        </w:rPr>
      </w:pPr>
    </w:p>
    <w:p w14:paraId="725B9FD3" w14:textId="288BC758" w:rsidR="00C21572" w:rsidRPr="003D6122" w:rsidRDefault="00C21572" w:rsidP="003D6122"/>
    <w:sectPr w:rsidR="00C21572" w:rsidRPr="003D6122" w:rsidSect="00E97D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421F0"/>
    <w:multiLevelType w:val="hybridMultilevel"/>
    <w:tmpl w:val="4A703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556D0"/>
    <w:multiLevelType w:val="hybridMultilevel"/>
    <w:tmpl w:val="49828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2961A2"/>
    <w:multiLevelType w:val="hybridMultilevel"/>
    <w:tmpl w:val="D54EC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8740220">
    <w:abstractNumId w:val="0"/>
  </w:num>
  <w:num w:numId="2" w16cid:durableId="322397416">
    <w:abstractNumId w:val="2"/>
  </w:num>
  <w:num w:numId="3" w16cid:durableId="1437942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E1"/>
    <w:rsid w:val="00095C34"/>
    <w:rsid w:val="000C09F3"/>
    <w:rsid w:val="00107323"/>
    <w:rsid w:val="001969D3"/>
    <w:rsid w:val="00225C1F"/>
    <w:rsid w:val="00240A0A"/>
    <w:rsid w:val="002C5B1F"/>
    <w:rsid w:val="002D6D38"/>
    <w:rsid w:val="003D6122"/>
    <w:rsid w:val="0057460E"/>
    <w:rsid w:val="006A2F6D"/>
    <w:rsid w:val="00726A67"/>
    <w:rsid w:val="00853B48"/>
    <w:rsid w:val="008856A7"/>
    <w:rsid w:val="00905EA4"/>
    <w:rsid w:val="009A0B55"/>
    <w:rsid w:val="00AA605D"/>
    <w:rsid w:val="00BC1BB8"/>
    <w:rsid w:val="00C21572"/>
    <w:rsid w:val="00C27F3F"/>
    <w:rsid w:val="00D6778A"/>
    <w:rsid w:val="00D72165"/>
    <w:rsid w:val="00DC33DA"/>
    <w:rsid w:val="00E812FB"/>
    <w:rsid w:val="00E97DE1"/>
    <w:rsid w:val="00F4516C"/>
    <w:rsid w:val="00F83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0AA20"/>
  <w15:chartTrackingRefBased/>
  <w15:docId w15:val="{1B02551F-820C-4849-B5DC-A358B645A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D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D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D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D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D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D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D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D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D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D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D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D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D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D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D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D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D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DE1"/>
    <w:rPr>
      <w:rFonts w:eastAsiaTheme="majorEastAsia" w:cstheme="majorBidi"/>
      <w:color w:val="272727" w:themeColor="text1" w:themeTint="D8"/>
    </w:rPr>
  </w:style>
  <w:style w:type="paragraph" w:styleId="Title">
    <w:name w:val="Title"/>
    <w:basedOn w:val="Normal"/>
    <w:next w:val="Normal"/>
    <w:link w:val="TitleChar"/>
    <w:uiPriority w:val="10"/>
    <w:qFormat/>
    <w:rsid w:val="00E97D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D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D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D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DE1"/>
    <w:pPr>
      <w:spacing w:before="160"/>
      <w:jc w:val="center"/>
    </w:pPr>
    <w:rPr>
      <w:i/>
      <w:iCs/>
      <w:color w:val="404040" w:themeColor="text1" w:themeTint="BF"/>
    </w:rPr>
  </w:style>
  <w:style w:type="character" w:customStyle="1" w:styleId="QuoteChar">
    <w:name w:val="Quote Char"/>
    <w:basedOn w:val="DefaultParagraphFont"/>
    <w:link w:val="Quote"/>
    <w:uiPriority w:val="29"/>
    <w:rsid w:val="00E97DE1"/>
    <w:rPr>
      <w:i/>
      <w:iCs/>
      <w:color w:val="404040" w:themeColor="text1" w:themeTint="BF"/>
    </w:rPr>
  </w:style>
  <w:style w:type="paragraph" w:styleId="ListParagraph">
    <w:name w:val="List Paragraph"/>
    <w:basedOn w:val="Normal"/>
    <w:uiPriority w:val="34"/>
    <w:qFormat/>
    <w:rsid w:val="00E97DE1"/>
    <w:pPr>
      <w:ind w:left="720"/>
      <w:contextualSpacing/>
    </w:pPr>
  </w:style>
  <w:style w:type="character" w:styleId="IntenseEmphasis">
    <w:name w:val="Intense Emphasis"/>
    <w:basedOn w:val="DefaultParagraphFont"/>
    <w:uiPriority w:val="21"/>
    <w:qFormat/>
    <w:rsid w:val="00E97DE1"/>
    <w:rPr>
      <w:i/>
      <w:iCs/>
      <w:color w:val="0F4761" w:themeColor="accent1" w:themeShade="BF"/>
    </w:rPr>
  </w:style>
  <w:style w:type="paragraph" w:styleId="IntenseQuote">
    <w:name w:val="Intense Quote"/>
    <w:basedOn w:val="Normal"/>
    <w:next w:val="Normal"/>
    <w:link w:val="IntenseQuoteChar"/>
    <w:uiPriority w:val="30"/>
    <w:qFormat/>
    <w:rsid w:val="00E97D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DE1"/>
    <w:rPr>
      <w:i/>
      <w:iCs/>
      <w:color w:val="0F4761" w:themeColor="accent1" w:themeShade="BF"/>
    </w:rPr>
  </w:style>
  <w:style w:type="character" w:styleId="IntenseReference">
    <w:name w:val="Intense Reference"/>
    <w:basedOn w:val="DefaultParagraphFont"/>
    <w:uiPriority w:val="32"/>
    <w:qFormat/>
    <w:rsid w:val="00E97DE1"/>
    <w:rPr>
      <w:b/>
      <w:bCs/>
      <w:smallCaps/>
      <w:color w:val="0F4761" w:themeColor="accent1" w:themeShade="BF"/>
      <w:spacing w:val="5"/>
    </w:rPr>
  </w:style>
  <w:style w:type="paragraph" w:styleId="NoSpacing">
    <w:name w:val="No Spacing"/>
    <w:link w:val="NoSpacingChar"/>
    <w:uiPriority w:val="1"/>
    <w:qFormat/>
    <w:rsid w:val="00E97DE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97DE1"/>
    <w:rPr>
      <w:rFonts w:eastAsiaTheme="minorEastAsia"/>
      <w:kern w:val="0"/>
      <w:sz w:val="22"/>
      <w:szCs w:val="22"/>
      <w:lang w:eastAsia="en-GB"/>
      <w14:ligatures w14:val="none"/>
    </w:rPr>
  </w:style>
  <w:style w:type="character" w:styleId="Hyperlink">
    <w:name w:val="Hyperlink"/>
    <w:basedOn w:val="DefaultParagraphFont"/>
    <w:uiPriority w:val="99"/>
    <w:semiHidden/>
    <w:unhideWhenUsed/>
    <w:rsid w:val="00726A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security/a-guide-to-data-secur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egislation.gov.uk/ukpga/2010/15/introduction" TargetMode="External"/><Relationship Id="rId12" Type="http://schemas.openxmlformats.org/officeDocument/2006/relationships/hyperlink" Target="https://www.alzheimers.org.uk/about-dementia/stages-and-symptoms/dementia-symptoms/managing-behaviour-chang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qc.org.uk/about-us/fundamental-standards" TargetMode="External"/><Relationship Id="rId11" Type="http://schemas.openxmlformats.org/officeDocument/2006/relationships/hyperlink" Target="https://www.england.nhs.uk/long-read/records-management-policy/" TargetMode="External"/><Relationship Id="rId5" Type="http://schemas.openxmlformats.org/officeDocument/2006/relationships/webSettings" Target="webSettings.xml"/><Relationship Id="rId10" Type="http://schemas.openxmlformats.org/officeDocument/2006/relationships/hyperlink" Target="https://www.england.nhs.uk/long-read/accessible-information-standard-requirements-dapb1605/" TargetMode="External"/><Relationship Id="rId4" Type="http://schemas.openxmlformats.org/officeDocument/2006/relationships/settings" Target="settings.xml"/><Relationship Id="rId9" Type="http://schemas.openxmlformats.org/officeDocument/2006/relationships/hyperlink" Target="https://www.nice.org.uk/guidance/ng97/chapter/Person-centred-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Bernice Ejiogu</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1780</TotalTime>
  <Pages>6</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2437537</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LCHS4003</dc:subject>
  <dc:creator>lilly fielding</dc:creator>
  <cp:keywords/>
  <dc:description/>
  <cp:lastModifiedBy>lilly fielding</cp:lastModifiedBy>
  <cp:revision>1</cp:revision>
  <dcterms:created xsi:type="dcterms:W3CDTF">2026-07-22T15:46:00Z</dcterms:created>
  <dcterms:modified xsi:type="dcterms:W3CDTF">2026-07-23T21:29:00Z</dcterms:modified>
</cp:coreProperties>
</file>