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default" w:ascii="Times New Roman" w:hAnsi="Times New Roman" w:cs="Times New Roman"/>
          <w:sz w:val="28"/>
          <w:szCs w:val="28"/>
        </w:rPr>
      </w:pPr>
      <w:r>
        <w:rPr>
          <w:rFonts w:hint="default" w:ascii="Times New Roman" w:hAnsi="Times New Roman" w:cs="Times New Roman"/>
          <w:sz w:val="28"/>
          <w:szCs w:val="28"/>
        </w:rPr>
        <w:t xml:space="preserve">Chapter 5 - Conclusion and </w:t>
      </w:r>
      <w:r>
        <w:rPr>
          <w:rFonts w:hint="eastAsia" w:ascii="Times New Roman" w:hAnsi="Times New Roman" w:cs="Times New Roman"/>
          <w:sz w:val="28"/>
          <w:szCs w:val="28"/>
          <w:lang w:val="en-US" w:eastAsia="zh-CN"/>
        </w:rPr>
        <w:t>R</w:t>
      </w:r>
      <w:r>
        <w:rPr>
          <w:rFonts w:hint="default" w:ascii="Times New Roman" w:hAnsi="Times New Roman" w:cs="Times New Roman"/>
          <w:sz w:val="28"/>
          <w:szCs w:val="28"/>
        </w:rPr>
        <w:t>ecommendations</w:t>
      </w:r>
      <w:r>
        <w:rPr>
          <w:rFonts w:hint="default" w:ascii="Times New Roman" w:hAnsi="Times New Roman" w:cs="Times New Roman"/>
          <w:sz w:val="28"/>
          <w:szCs w:val="28"/>
        </w:rPr>
        <w:tab/>
      </w: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5.1 Introduction</w:t>
      </w:r>
      <w:r>
        <w:rPr>
          <w:rFonts w:hint="default" w:ascii="Times New Roman" w:hAnsi="Times New Roman" w:cs="Times New Roman"/>
          <w:sz w:val="24"/>
          <w:szCs w:val="24"/>
        </w:rPr>
        <w:tab/>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lang w:eastAsia="zh-CN"/>
        </w:rPr>
      </w:pP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5.2 The achievement of objectives</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5.3 Main findings</w:t>
      </w:r>
      <w:r>
        <w:rPr>
          <w:rFonts w:hint="default" w:ascii="Times New Roman" w:hAnsi="Times New Roman" w:cs="Times New Roman"/>
          <w:sz w:val="24"/>
          <w:szCs w:val="24"/>
        </w:rPr>
        <w:tab/>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5.4 Recommendations</w:t>
      </w:r>
      <w:r>
        <w:rPr>
          <w:rFonts w:hint="default" w:ascii="Times New Roman" w:hAnsi="Times New Roman" w:cs="Times New Roman"/>
          <w:sz w:val="24"/>
          <w:szCs w:val="24"/>
        </w:rPr>
        <w:tab/>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First, strictly control the quality and safety of meat products. Meat enterprises should fulfill their social responsibilities on the basis of ensuring the quality and safety of meat products. Ensure the quality and safety of raw milk supply and improve the quality of production and processing water in meat enterprises.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Ping, strengthen the monitoring of the quality and safety of meat products, and strengthen the quality control of sales and circulation. Second, adhere to corporate social responsibility behavior for a long time. Due to the information asymmetry between meat enterprises and consumers, consumers' perception of corporate donation behavior is not formed instantly, but takes a certain amount of time. Meat enterprises.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We should strengthen the construction of social responsibility, strengthen the awareness of social responsibility, enhance the level of social responsibility, increase the investment of social responsibility, and promote the improvement of consumers' willingness to buy through capital feedback. Third, strengthen the information disclosure of meat corporate social responsibility. Meat enterprises should actively use a variety of media and channels to spread social responsibility behavior and send it on a regular basis.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Distribute social responsibility reports, disclose social responsibility information, and actively participate in the social responsibility selection held by trade associations in order to alleviate and eliminate the asymmetry with consumers. Through a variety of ways to make consumers aware of corporate social responsibility, establish a good reputation, and promote the improvement of purchase intention.</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bookmarkStart w:id="0" w:name="_GoBack"/>
      <w:bookmarkEnd w:id="0"/>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Style w:val="3"/>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5.5 Limitations</w:t>
      </w:r>
      <w:r>
        <w:rPr>
          <w:rFonts w:hint="default" w:ascii="Times New Roman" w:hAnsi="Times New Roman" w:cs="Times New Roman"/>
          <w:sz w:val="24"/>
          <w:szCs w:val="24"/>
        </w:rPr>
        <w:tab/>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(1) the selection of variable dimension is not comprehensive. In the dimension selection analysis of corporate social responsibility, only six dimensions are selected: economic responsibility, charitable responsibility, legal responsibility, ethical responsibility and environmental responsibility, while corporate social responsibility contains many dimensions of responsibility. only a small number of dimensions are not conducive to a comprehensive analysis of the impact of corporate social responsibility on customer loyalty.</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(2) Industry limitation. This paper only conducts a survey on the food industry, but because of the differences between industries, the conclusions drawn in this paper can only be of guiding significance to the food industry, and do not apply to all industries.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(3) the limitation of the quality of the respondents. The main purpose of this survey is to collect data through the questionnaire collection service provided by the questionnaire stars. because it is unable to control the identity of the respondents, they will face the respondents' lack of understanding of the concept of corporate social responsibility in the process of collection. as a result, it is too casual to fill in the questionnaire, which has an impact on the quality of the data.</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Style w:val="3"/>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5.6 Further research</w:t>
      </w:r>
      <w:r>
        <w:rPr>
          <w:rFonts w:hint="default" w:ascii="Times New Roman" w:hAnsi="Times New Roman" w:cs="Times New Roman"/>
          <w:sz w:val="24"/>
          <w:szCs w:val="24"/>
        </w:rPr>
        <w:tab/>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Combined with the shortcomings of this study, it is hoped that there will be some development and breakthroughs in the following aspects in the future: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main contents are as follows: (1) carry on the research according to different industries. This paper mainly studies Shuanghui enterprises. in the future, according to the characteristics of different industries, we can design targeted models to give guidance to various industries in the implementation of corporate social responsibility.</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(2) classify and study the characteristics of different consumers. Due to the differences in gender, income and education, there are some perceptual differences in the understanding of corporate social responsibility among consumers. In the process of future research, we can choose a specific consumer group to carry out analysis. To further enrich the study of corporate social responsibility.</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(3) other stakeholders can be studied. When enterprises fulfill their social responsibility, they will not only have an impact on the consumers, but also attract the attention of other stakeholders, and each stakeholder will also have an impact on the performance of corporate social responsibility. therefore, the future research can be carried out from the perspective of different stakeholders.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r>
        <w:rPr>
          <w:rFonts w:hint="default" w:ascii="Times New Roman" w:hAnsi="Times New Roman" w:cs="Times New Roman"/>
          <w:sz w:val="24"/>
          <w:szCs w:val="24"/>
        </w:rPr>
        <w:t>5.7 Conclusion</w:t>
      </w:r>
      <w:r>
        <w:rPr>
          <w:rFonts w:hint="default" w:ascii="Times New Roman" w:hAnsi="Times New Roman" w:cs="Times New Roman"/>
          <w:sz w:val="24"/>
          <w:szCs w:val="24"/>
        </w:rPr>
        <w:tab/>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1A3AA1"/>
    <w:rsid w:val="120908D2"/>
    <w:rsid w:val="2438770E"/>
    <w:rsid w:val="35773AFD"/>
    <w:rsid w:val="3AC133AE"/>
    <w:rsid w:val="3E5D03CB"/>
    <w:rsid w:val="4F4222EF"/>
    <w:rsid w:val="58A16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235</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2021-04-25T01:31:00Z</dcterms:created>
  <dc:creator>lenovo</dc:creator>
  <cp:lastModifiedBy>William</cp:lastModifiedBy>
  <dcterms:modified xsi:type="dcterms:W3CDTF">2021-04-26T13:02:55Z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BCE0DCC902314D8AA42AA31B1AE9AB9C</vt:lpwstr>
  </property>
</Properties>
</file>