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04748F" w14:textId="77777777" w:rsidR="00C90319" w:rsidRDefault="00C90319">
      <w:pPr>
        <w:pStyle w:val="Title"/>
      </w:pPr>
      <w:bookmarkStart w:id="0" w:name="_15o9o4n950m8" w:colFirst="0" w:colLast="0"/>
      <w:bookmarkEnd w:id="0"/>
    </w:p>
    <w:p w14:paraId="64F860B2" w14:textId="77777777" w:rsidR="00C90319" w:rsidRDefault="00C90319">
      <w:pPr>
        <w:pStyle w:val="Title"/>
      </w:pPr>
      <w:bookmarkStart w:id="1" w:name="_35l7iqq5q7dd" w:colFirst="0" w:colLast="0"/>
      <w:bookmarkEnd w:id="1"/>
    </w:p>
    <w:p w14:paraId="27A28932" w14:textId="77777777" w:rsidR="00C90319" w:rsidRDefault="00C90319">
      <w:pPr>
        <w:pStyle w:val="Title"/>
      </w:pPr>
      <w:bookmarkStart w:id="2" w:name="_m5li3d1u6vrp" w:colFirst="0" w:colLast="0"/>
      <w:bookmarkEnd w:id="2"/>
    </w:p>
    <w:p w14:paraId="217618A9" w14:textId="77777777" w:rsidR="00C90319" w:rsidRDefault="00C90319">
      <w:pPr>
        <w:pStyle w:val="Title"/>
      </w:pPr>
      <w:bookmarkStart w:id="3" w:name="_hdufwgn1n4jx" w:colFirst="0" w:colLast="0"/>
      <w:bookmarkEnd w:id="3"/>
    </w:p>
    <w:p w14:paraId="4A9CC889" w14:textId="77777777" w:rsidR="00C90319" w:rsidRDefault="00C90319">
      <w:pPr>
        <w:pStyle w:val="Title"/>
      </w:pPr>
      <w:bookmarkStart w:id="4" w:name="_bld4dt5pzvx5" w:colFirst="0" w:colLast="0"/>
      <w:bookmarkEnd w:id="4"/>
    </w:p>
    <w:p w14:paraId="7BC611FF" w14:textId="77777777" w:rsidR="00C90319" w:rsidRDefault="00C90319">
      <w:pPr>
        <w:pStyle w:val="Title"/>
      </w:pPr>
      <w:bookmarkStart w:id="5" w:name="_z809cj6mbkhy" w:colFirst="0" w:colLast="0"/>
      <w:bookmarkEnd w:id="5"/>
    </w:p>
    <w:p w14:paraId="58727557" w14:textId="77777777" w:rsidR="00E54F9C" w:rsidRDefault="0054789E">
      <w:pPr>
        <w:pStyle w:val="Title"/>
      </w:pPr>
      <w:bookmarkStart w:id="6" w:name="_la9jgcc9jvzc" w:colFirst="0" w:colLast="0"/>
      <w:bookmarkEnd w:id="6"/>
      <w:r>
        <w:t>Strategic Management and Sustainability (LCBB6004)</w:t>
      </w:r>
    </w:p>
    <w:p w14:paraId="46B1D2FB" w14:textId="77777777" w:rsidR="00E54F9C" w:rsidRDefault="00E54F9C">
      <w:pPr>
        <w:pStyle w:val="Title"/>
      </w:pPr>
      <w:r>
        <w:t xml:space="preserve">STUDENT NAME: Adriana Cornelia Brian </w:t>
      </w:r>
    </w:p>
    <w:p w14:paraId="78AD68DB" w14:textId="6CB2613B" w:rsidR="00C90319" w:rsidRDefault="00E54F9C">
      <w:pPr>
        <w:pStyle w:val="Title"/>
      </w:pPr>
      <w:r>
        <w:t>STUDENT ID : 2019150</w:t>
      </w:r>
      <w:r w:rsidR="0054789E">
        <w:br w:type="page"/>
      </w:r>
    </w:p>
    <w:p w14:paraId="61D40E5D" w14:textId="77777777" w:rsidR="00E54F9C" w:rsidRDefault="00E54F9C" w:rsidP="00E54F9C"/>
    <w:p w14:paraId="41F75BD8" w14:textId="77777777" w:rsidR="00E54F9C" w:rsidRDefault="00E54F9C" w:rsidP="00E54F9C"/>
    <w:p w14:paraId="7D4D099D" w14:textId="77777777" w:rsidR="00E54F9C" w:rsidRPr="00E54F9C" w:rsidRDefault="00E54F9C" w:rsidP="00E54F9C"/>
    <w:p w14:paraId="2F9C9843" w14:textId="77777777" w:rsidR="00C90319" w:rsidRDefault="0054789E">
      <w:pPr>
        <w:jc w:val="center"/>
        <w:rPr>
          <w:b/>
          <w:sz w:val="28"/>
          <w:szCs w:val="28"/>
        </w:rPr>
      </w:pPr>
      <w:r>
        <w:rPr>
          <w:b/>
          <w:sz w:val="28"/>
          <w:szCs w:val="28"/>
        </w:rPr>
        <w:t>Table of Contents</w:t>
      </w:r>
    </w:p>
    <w:sdt>
      <w:sdtPr>
        <w:rPr>
          <w:szCs w:val="24"/>
        </w:rPr>
        <w:id w:val="-198326704"/>
        <w:docPartObj>
          <w:docPartGallery w:val="Table of Contents"/>
          <w:docPartUnique/>
        </w:docPartObj>
      </w:sdtPr>
      <w:sdtEndPr/>
      <w:sdtContent>
        <w:p w14:paraId="5D4CB197" w14:textId="4E80A6E8" w:rsidR="0054789E" w:rsidRDefault="0054789E">
          <w:pPr>
            <w:pStyle w:val="TOC1"/>
            <w:tabs>
              <w:tab w:val="right" w:leader="dot" w:pos="9019"/>
            </w:tabs>
            <w:rPr>
              <w:noProof/>
            </w:rPr>
          </w:pPr>
          <w:r>
            <w:fldChar w:fldCharType="begin"/>
          </w:r>
          <w:r>
            <w:instrText xml:space="preserve"> TOC \h \u \z \t "Heading 1,1,Heading 2,2,Heading 3,3,Heading 4,4,Heading 5,5,Heading 6,6,"</w:instrText>
          </w:r>
          <w:r>
            <w:fldChar w:fldCharType="separate"/>
          </w:r>
          <w:hyperlink w:anchor="_Toc140515981" w:history="1">
            <w:r w:rsidRPr="00D320F6">
              <w:rPr>
                <w:rStyle w:val="Hyperlink"/>
                <w:noProof/>
              </w:rPr>
              <w:t>Introduction</w:t>
            </w:r>
            <w:r>
              <w:rPr>
                <w:noProof/>
                <w:webHidden/>
              </w:rPr>
              <w:tab/>
            </w:r>
            <w:r>
              <w:rPr>
                <w:noProof/>
                <w:webHidden/>
              </w:rPr>
              <w:fldChar w:fldCharType="begin"/>
            </w:r>
            <w:r>
              <w:rPr>
                <w:noProof/>
                <w:webHidden/>
              </w:rPr>
              <w:instrText xml:space="preserve"> PAGEREF _Toc140515981 \h </w:instrText>
            </w:r>
            <w:r>
              <w:rPr>
                <w:noProof/>
                <w:webHidden/>
              </w:rPr>
            </w:r>
            <w:r>
              <w:rPr>
                <w:noProof/>
                <w:webHidden/>
              </w:rPr>
              <w:fldChar w:fldCharType="separate"/>
            </w:r>
            <w:r>
              <w:rPr>
                <w:noProof/>
                <w:webHidden/>
              </w:rPr>
              <w:t>3</w:t>
            </w:r>
            <w:r>
              <w:rPr>
                <w:noProof/>
                <w:webHidden/>
              </w:rPr>
              <w:fldChar w:fldCharType="end"/>
            </w:r>
          </w:hyperlink>
        </w:p>
        <w:p w14:paraId="6245E4D7" w14:textId="4F67270F" w:rsidR="0054789E" w:rsidRDefault="007D26F3">
          <w:pPr>
            <w:pStyle w:val="TOC1"/>
            <w:tabs>
              <w:tab w:val="right" w:leader="dot" w:pos="9019"/>
            </w:tabs>
            <w:rPr>
              <w:noProof/>
            </w:rPr>
          </w:pPr>
          <w:hyperlink w:anchor="_Toc140515982" w:history="1">
            <w:r w:rsidR="0054789E" w:rsidRPr="00D320F6">
              <w:rPr>
                <w:rStyle w:val="Hyperlink"/>
                <w:noProof/>
              </w:rPr>
              <w:t>Evaluating Volkswagen's Key Business Strategies: Analysis and Frameworks</w:t>
            </w:r>
            <w:r w:rsidR="0054789E">
              <w:rPr>
                <w:noProof/>
                <w:webHidden/>
              </w:rPr>
              <w:tab/>
            </w:r>
            <w:r w:rsidR="0054789E">
              <w:rPr>
                <w:noProof/>
                <w:webHidden/>
              </w:rPr>
              <w:fldChar w:fldCharType="begin"/>
            </w:r>
            <w:r w:rsidR="0054789E">
              <w:rPr>
                <w:noProof/>
                <w:webHidden/>
              </w:rPr>
              <w:instrText xml:space="preserve"> PAGEREF _Toc140515982 \h </w:instrText>
            </w:r>
            <w:r w:rsidR="0054789E">
              <w:rPr>
                <w:noProof/>
                <w:webHidden/>
              </w:rPr>
            </w:r>
            <w:r w:rsidR="0054789E">
              <w:rPr>
                <w:noProof/>
                <w:webHidden/>
              </w:rPr>
              <w:fldChar w:fldCharType="separate"/>
            </w:r>
            <w:r w:rsidR="0054789E">
              <w:rPr>
                <w:noProof/>
                <w:webHidden/>
              </w:rPr>
              <w:t>3</w:t>
            </w:r>
            <w:r w:rsidR="0054789E">
              <w:rPr>
                <w:noProof/>
                <w:webHidden/>
              </w:rPr>
              <w:fldChar w:fldCharType="end"/>
            </w:r>
          </w:hyperlink>
        </w:p>
        <w:p w14:paraId="2E68F708" w14:textId="012E8C27" w:rsidR="0054789E" w:rsidRDefault="007D26F3">
          <w:pPr>
            <w:pStyle w:val="TOC1"/>
            <w:tabs>
              <w:tab w:val="right" w:leader="dot" w:pos="9019"/>
            </w:tabs>
            <w:rPr>
              <w:noProof/>
            </w:rPr>
          </w:pPr>
          <w:hyperlink w:anchor="_Toc140515983" w:history="1">
            <w:r w:rsidR="0054789E" w:rsidRPr="00D320F6">
              <w:rPr>
                <w:rStyle w:val="Hyperlink"/>
                <w:noProof/>
              </w:rPr>
              <w:t>Alignment of Resources and Capabilities with Business Strategies: An Analysis of Volkswagen's Past Five Years</w:t>
            </w:r>
            <w:r w:rsidR="0054789E">
              <w:rPr>
                <w:noProof/>
                <w:webHidden/>
              </w:rPr>
              <w:tab/>
            </w:r>
            <w:r w:rsidR="0054789E">
              <w:rPr>
                <w:noProof/>
                <w:webHidden/>
              </w:rPr>
              <w:fldChar w:fldCharType="begin"/>
            </w:r>
            <w:r w:rsidR="0054789E">
              <w:rPr>
                <w:noProof/>
                <w:webHidden/>
              </w:rPr>
              <w:instrText xml:space="preserve"> PAGEREF _Toc140515983 \h </w:instrText>
            </w:r>
            <w:r w:rsidR="0054789E">
              <w:rPr>
                <w:noProof/>
                <w:webHidden/>
              </w:rPr>
            </w:r>
            <w:r w:rsidR="0054789E">
              <w:rPr>
                <w:noProof/>
                <w:webHidden/>
              </w:rPr>
              <w:fldChar w:fldCharType="separate"/>
            </w:r>
            <w:r w:rsidR="0054789E">
              <w:rPr>
                <w:noProof/>
                <w:webHidden/>
              </w:rPr>
              <w:t>4</w:t>
            </w:r>
            <w:r w:rsidR="0054789E">
              <w:rPr>
                <w:noProof/>
                <w:webHidden/>
              </w:rPr>
              <w:fldChar w:fldCharType="end"/>
            </w:r>
          </w:hyperlink>
        </w:p>
        <w:p w14:paraId="0BD9A91A" w14:textId="5BBD6D79" w:rsidR="0054789E" w:rsidRDefault="007D26F3">
          <w:pPr>
            <w:pStyle w:val="TOC1"/>
            <w:tabs>
              <w:tab w:val="right" w:leader="dot" w:pos="9019"/>
            </w:tabs>
            <w:rPr>
              <w:noProof/>
            </w:rPr>
          </w:pPr>
          <w:hyperlink w:anchor="_Toc140515984" w:history="1">
            <w:r w:rsidR="0054789E" w:rsidRPr="00D320F6">
              <w:rPr>
                <w:rStyle w:val="Hyperlink"/>
                <w:noProof/>
              </w:rPr>
              <w:t>VW's Pursuit of Competitive Advantage through Sustainability and Environmental Considerations</w:t>
            </w:r>
            <w:r w:rsidR="0054789E">
              <w:rPr>
                <w:noProof/>
                <w:webHidden/>
              </w:rPr>
              <w:tab/>
            </w:r>
            <w:r w:rsidR="0054789E">
              <w:rPr>
                <w:noProof/>
                <w:webHidden/>
              </w:rPr>
              <w:fldChar w:fldCharType="begin"/>
            </w:r>
            <w:r w:rsidR="0054789E">
              <w:rPr>
                <w:noProof/>
                <w:webHidden/>
              </w:rPr>
              <w:instrText xml:space="preserve"> PAGEREF _Toc140515984 \h </w:instrText>
            </w:r>
            <w:r w:rsidR="0054789E">
              <w:rPr>
                <w:noProof/>
                <w:webHidden/>
              </w:rPr>
            </w:r>
            <w:r w:rsidR="0054789E">
              <w:rPr>
                <w:noProof/>
                <w:webHidden/>
              </w:rPr>
              <w:fldChar w:fldCharType="separate"/>
            </w:r>
            <w:r w:rsidR="0054789E">
              <w:rPr>
                <w:noProof/>
                <w:webHidden/>
              </w:rPr>
              <w:t>6</w:t>
            </w:r>
            <w:r w:rsidR="0054789E">
              <w:rPr>
                <w:noProof/>
                <w:webHidden/>
              </w:rPr>
              <w:fldChar w:fldCharType="end"/>
            </w:r>
          </w:hyperlink>
        </w:p>
        <w:p w14:paraId="383910F4" w14:textId="7CB03BB4" w:rsidR="0054789E" w:rsidRDefault="007D26F3">
          <w:pPr>
            <w:pStyle w:val="TOC1"/>
            <w:tabs>
              <w:tab w:val="right" w:leader="dot" w:pos="9019"/>
            </w:tabs>
            <w:rPr>
              <w:noProof/>
            </w:rPr>
          </w:pPr>
          <w:hyperlink w:anchor="_Toc140515985" w:history="1">
            <w:r w:rsidR="0054789E" w:rsidRPr="00D320F6">
              <w:rPr>
                <w:rStyle w:val="Hyperlink"/>
                <w:noProof/>
              </w:rPr>
              <w:t>Recommendations</w:t>
            </w:r>
            <w:r w:rsidR="0054789E">
              <w:rPr>
                <w:noProof/>
                <w:webHidden/>
              </w:rPr>
              <w:tab/>
            </w:r>
            <w:r w:rsidR="0054789E">
              <w:rPr>
                <w:noProof/>
                <w:webHidden/>
              </w:rPr>
              <w:fldChar w:fldCharType="begin"/>
            </w:r>
            <w:r w:rsidR="0054789E">
              <w:rPr>
                <w:noProof/>
                <w:webHidden/>
              </w:rPr>
              <w:instrText xml:space="preserve"> PAGEREF _Toc140515985 \h </w:instrText>
            </w:r>
            <w:r w:rsidR="0054789E">
              <w:rPr>
                <w:noProof/>
                <w:webHidden/>
              </w:rPr>
            </w:r>
            <w:r w:rsidR="0054789E">
              <w:rPr>
                <w:noProof/>
                <w:webHidden/>
              </w:rPr>
              <w:fldChar w:fldCharType="separate"/>
            </w:r>
            <w:r w:rsidR="0054789E">
              <w:rPr>
                <w:noProof/>
                <w:webHidden/>
              </w:rPr>
              <w:t>7</w:t>
            </w:r>
            <w:r w:rsidR="0054789E">
              <w:rPr>
                <w:noProof/>
                <w:webHidden/>
              </w:rPr>
              <w:fldChar w:fldCharType="end"/>
            </w:r>
          </w:hyperlink>
        </w:p>
        <w:p w14:paraId="004C3790" w14:textId="7217F622" w:rsidR="0054789E" w:rsidRDefault="007D26F3">
          <w:pPr>
            <w:pStyle w:val="TOC1"/>
            <w:tabs>
              <w:tab w:val="right" w:leader="dot" w:pos="9019"/>
            </w:tabs>
            <w:rPr>
              <w:noProof/>
            </w:rPr>
          </w:pPr>
          <w:hyperlink w:anchor="_Toc140515986" w:history="1">
            <w:r w:rsidR="0054789E" w:rsidRPr="00D320F6">
              <w:rPr>
                <w:rStyle w:val="Hyperlink"/>
                <w:noProof/>
              </w:rPr>
              <w:t>Conclusion</w:t>
            </w:r>
            <w:r w:rsidR="0054789E">
              <w:rPr>
                <w:noProof/>
                <w:webHidden/>
              </w:rPr>
              <w:tab/>
            </w:r>
            <w:r w:rsidR="0054789E">
              <w:rPr>
                <w:noProof/>
                <w:webHidden/>
              </w:rPr>
              <w:fldChar w:fldCharType="begin"/>
            </w:r>
            <w:r w:rsidR="0054789E">
              <w:rPr>
                <w:noProof/>
                <w:webHidden/>
              </w:rPr>
              <w:instrText xml:space="preserve"> PAGEREF _Toc140515986 \h </w:instrText>
            </w:r>
            <w:r w:rsidR="0054789E">
              <w:rPr>
                <w:noProof/>
                <w:webHidden/>
              </w:rPr>
            </w:r>
            <w:r w:rsidR="0054789E">
              <w:rPr>
                <w:noProof/>
                <w:webHidden/>
              </w:rPr>
              <w:fldChar w:fldCharType="separate"/>
            </w:r>
            <w:r w:rsidR="0054789E">
              <w:rPr>
                <w:noProof/>
                <w:webHidden/>
              </w:rPr>
              <w:t>9</w:t>
            </w:r>
            <w:r w:rsidR="0054789E">
              <w:rPr>
                <w:noProof/>
                <w:webHidden/>
              </w:rPr>
              <w:fldChar w:fldCharType="end"/>
            </w:r>
          </w:hyperlink>
        </w:p>
        <w:p w14:paraId="06FC3767" w14:textId="00CBF8C3" w:rsidR="0054789E" w:rsidRDefault="007D26F3">
          <w:pPr>
            <w:pStyle w:val="TOC1"/>
            <w:tabs>
              <w:tab w:val="right" w:leader="dot" w:pos="9019"/>
            </w:tabs>
            <w:rPr>
              <w:noProof/>
            </w:rPr>
          </w:pPr>
          <w:hyperlink w:anchor="_Toc140515987" w:history="1">
            <w:r w:rsidR="0054789E" w:rsidRPr="00D320F6">
              <w:rPr>
                <w:rStyle w:val="Hyperlink"/>
                <w:noProof/>
              </w:rPr>
              <w:t>Reference</w:t>
            </w:r>
            <w:r w:rsidR="0054789E">
              <w:rPr>
                <w:noProof/>
                <w:webHidden/>
              </w:rPr>
              <w:tab/>
            </w:r>
            <w:r w:rsidR="0054789E">
              <w:rPr>
                <w:noProof/>
                <w:webHidden/>
              </w:rPr>
              <w:fldChar w:fldCharType="begin"/>
            </w:r>
            <w:r w:rsidR="0054789E">
              <w:rPr>
                <w:noProof/>
                <w:webHidden/>
              </w:rPr>
              <w:instrText xml:space="preserve"> PAGEREF _Toc140515987 \h </w:instrText>
            </w:r>
            <w:r w:rsidR="0054789E">
              <w:rPr>
                <w:noProof/>
                <w:webHidden/>
              </w:rPr>
            </w:r>
            <w:r w:rsidR="0054789E">
              <w:rPr>
                <w:noProof/>
                <w:webHidden/>
              </w:rPr>
              <w:fldChar w:fldCharType="separate"/>
            </w:r>
            <w:r w:rsidR="0054789E">
              <w:rPr>
                <w:noProof/>
                <w:webHidden/>
              </w:rPr>
              <w:t>10</w:t>
            </w:r>
            <w:r w:rsidR="0054789E">
              <w:rPr>
                <w:noProof/>
                <w:webHidden/>
              </w:rPr>
              <w:fldChar w:fldCharType="end"/>
            </w:r>
          </w:hyperlink>
        </w:p>
        <w:p w14:paraId="14E624B7" w14:textId="104EC3EB" w:rsidR="0054789E" w:rsidRDefault="007D26F3">
          <w:pPr>
            <w:pStyle w:val="TOC1"/>
            <w:tabs>
              <w:tab w:val="right" w:leader="dot" w:pos="9019"/>
            </w:tabs>
            <w:rPr>
              <w:noProof/>
            </w:rPr>
          </w:pPr>
          <w:hyperlink w:anchor="_Toc140515988" w:history="1">
            <w:r w:rsidR="0054789E" w:rsidRPr="00D320F6">
              <w:rPr>
                <w:rStyle w:val="Hyperlink"/>
                <w:noProof/>
              </w:rPr>
              <w:t>Appendix</w:t>
            </w:r>
            <w:r w:rsidR="0054789E">
              <w:rPr>
                <w:noProof/>
                <w:webHidden/>
              </w:rPr>
              <w:tab/>
            </w:r>
            <w:r w:rsidR="0054789E">
              <w:rPr>
                <w:noProof/>
                <w:webHidden/>
              </w:rPr>
              <w:fldChar w:fldCharType="begin"/>
            </w:r>
            <w:r w:rsidR="0054789E">
              <w:rPr>
                <w:noProof/>
                <w:webHidden/>
              </w:rPr>
              <w:instrText xml:space="preserve"> PAGEREF _Toc140515988 \h </w:instrText>
            </w:r>
            <w:r w:rsidR="0054789E">
              <w:rPr>
                <w:noProof/>
                <w:webHidden/>
              </w:rPr>
            </w:r>
            <w:r w:rsidR="0054789E">
              <w:rPr>
                <w:noProof/>
                <w:webHidden/>
              </w:rPr>
              <w:fldChar w:fldCharType="separate"/>
            </w:r>
            <w:r w:rsidR="0054789E">
              <w:rPr>
                <w:noProof/>
                <w:webHidden/>
              </w:rPr>
              <w:t>12</w:t>
            </w:r>
            <w:r w:rsidR="0054789E">
              <w:rPr>
                <w:noProof/>
                <w:webHidden/>
              </w:rPr>
              <w:fldChar w:fldCharType="end"/>
            </w:r>
          </w:hyperlink>
        </w:p>
        <w:p w14:paraId="5C1B4E78" w14:textId="2C5066B5" w:rsidR="0054789E" w:rsidRDefault="007D26F3">
          <w:pPr>
            <w:pStyle w:val="TOC2"/>
            <w:tabs>
              <w:tab w:val="right" w:leader="dot" w:pos="9019"/>
            </w:tabs>
            <w:rPr>
              <w:noProof/>
            </w:rPr>
          </w:pPr>
          <w:hyperlink w:anchor="_Toc140515989" w:history="1">
            <w:r w:rsidR="0054789E" w:rsidRPr="00D320F6">
              <w:rPr>
                <w:rStyle w:val="Hyperlink"/>
                <w:noProof/>
              </w:rPr>
              <w:t>SWOT Analysis</w:t>
            </w:r>
            <w:r w:rsidR="0054789E">
              <w:rPr>
                <w:noProof/>
                <w:webHidden/>
              </w:rPr>
              <w:tab/>
            </w:r>
            <w:r w:rsidR="0054789E">
              <w:rPr>
                <w:noProof/>
                <w:webHidden/>
              </w:rPr>
              <w:fldChar w:fldCharType="begin"/>
            </w:r>
            <w:r w:rsidR="0054789E">
              <w:rPr>
                <w:noProof/>
                <w:webHidden/>
              </w:rPr>
              <w:instrText xml:space="preserve"> PAGEREF _Toc140515989 \h </w:instrText>
            </w:r>
            <w:r w:rsidR="0054789E">
              <w:rPr>
                <w:noProof/>
                <w:webHidden/>
              </w:rPr>
            </w:r>
            <w:r w:rsidR="0054789E">
              <w:rPr>
                <w:noProof/>
                <w:webHidden/>
              </w:rPr>
              <w:fldChar w:fldCharType="separate"/>
            </w:r>
            <w:r w:rsidR="0054789E">
              <w:rPr>
                <w:noProof/>
                <w:webHidden/>
              </w:rPr>
              <w:t>12</w:t>
            </w:r>
            <w:r w:rsidR="0054789E">
              <w:rPr>
                <w:noProof/>
                <w:webHidden/>
              </w:rPr>
              <w:fldChar w:fldCharType="end"/>
            </w:r>
          </w:hyperlink>
        </w:p>
        <w:p w14:paraId="1E9E45EC" w14:textId="13482EEA" w:rsidR="0054789E" w:rsidRDefault="007D26F3">
          <w:pPr>
            <w:pStyle w:val="TOC2"/>
            <w:tabs>
              <w:tab w:val="right" w:leader="dot" w:pos="9019"/>
            </w:tabs>
            <w:rPr>
              <w:noProof/>
            </w:rPr>
          </w:pPr>
          <w:hyperlink w:anchor="_Toc140515990" w:history="1">
            <w:r w:rsidR="0054789E" w:rsidRPr="00D320F6">
              <w:rPr>
                <w:rStyle w:val="Hyperlink"/>
                <w:noProof/>
              </w:rPr>
              <w:t>PESTLE Analysis</w:t>
            </w:r>
            <w:r w:rsidR="0054789E">
              <w:rPr>
                <w:noProof/>
                <w:webHidden/>
              </w:rPr>
              <w:tab/>
            </w:r>
            <w:r w:rsidR="0054789E">
              <w:rPr>
                <w:noProof/>
                <w:webHidden/>
              </w:rPr>
              <w:fldChar w:fldCharType="begin"/>
            </w:r>
            <w:r w:rsidR="0054789E">
              <w:rPr>
                <w:noProof/>
                <w:webHidden/>
              </w:rPr>
              <w:instrText xml:space="preserve"> PAGEREF _Toc140515990 \h </w:instrText>
            </w:r>
            <w:r w:rsidR="0054789E">
              <w:rPr>
                <w:noProof/>
                <w:webHidden/>
              </w:rPr>
            </w:r>
            <w:r w:rsidR="0054789E">
              <w:rPr>
                <w:noProof/>
                <w:webHidden/>
              </w:rPr>
              <w:fldChar w:fldCharType="separate"/>
            </w:r>
            <w:r w:rsidR="0054789E">
              <w:rPr>
                <w:noProof/>
                <w:webHidden/>
              </w:rPr>
              <w:t>13</w:t>
            </w:r>
            <w:r w:rsidR="0054789E">
              <w:rPr>
                <w:noProof/>
                <w:webHidden/>
              </w:rPr>
              <w:fldChar w:fldCharType="end"/>
            </w:r>
          </w:hyperlink>
        </w:p>
        <w:p w14:paraId="38ED3551" w14:textId="11E395C5" w:rsidR="0054789E" w:rsidRDefault="007D26F3">
          <w:pPr>
            <w:pStyle w:val="TOC2"/>
            <w:tabs>
              <w:tab w:val="right" w:leader="dot" w:pos="9019"/>
            </w:tabs>
            <w:rPr>
              <w:noProof/>
            </w:rPr>
          </w:pPr>
          <w:hyperlink w:anchor="_Toc140515991" w:history="1">
            <w:r w:rsidR="0054789E" w:rsidRPr="00D320F6">
              <w:rPr>
                <w:rStyle w:val="Hyperlink"/>
                <w:noProof/>
              </w:rPr>
              <w:t>Porter’s 5 Forces</w:t>
            </w:r>
            <w:r w:rsidR="0054789E">
              <w:rPr>
                <w:noProof/>
                <w:webHidden/>
              </w:rPr>
              <w:tab/>
            </w:r>
            <w:r w:rsidR="0054789E">
              <w:rPr>
                <w:noProof/>
                <w:webHidden/>
              </w:rPr>
              <w:fldChar w:fldCharType="begin"/>
            </w:r>
            <w:r w:rsidR="0054789E">
              <w:rPr>
                <w:noProof/>
                <w:webHidden/>
              </w:rPr>
              <w:instrText xml:space="preserve"> PAGEREF _Toc140515991 \h </w:instrText>
            </w:r>
            <w:r w:rsidR="0054789E">
              <w:rPr>
                <w:noProof/>
                <w:webHidden/>
              </w:rPr>
            </w:r>
            <w:r w:rsidR="0054789E">
              <w:rPr>
                <w:noProof/>
                <w:webHidden/>
              </w:rPr>
              <w:fldChar w:fldCharType="separate"/>
            </w:r>
            <w:r w:rsidR="0054789E">
              <w:rPr>
                <w:noProof/>
                <w:webHidden/>
              </w:rPr>
              <w:t>14</w:t>
            </w:r>
            <w:r w:rsidR="0054789E">
              <w:rPr>
                <w:noProof/>
                <w:webHidden/>
              </w:rPr>
              <w:fldChar w:fldCharType="end"/>
            </w:r>
          </w:hyperlink>
        </w:p>
        <w:p w14:paraId="6D369F12" w14:textId="7F23424F" w:rsidR="00C90319" w:rsidRDefault="0054789E">
          <w:pPr>
            <w:widowControl w:val="0"/>
            <w:tabs>
              <w:tab w:val="right" w:leader="dot" w:pos="12000"/>
            </w:tabs>
            <w:spacing w:before="60"/>
            <w:ind w:left="360"/>
            <w:jc w:val="left"/>
            <w:rPr>
              <w:color w:val="000000"/>
            </w:rPr>
          </w:pPr>
          <w:r>
            <w:fldChar w:fldCharType="end"/>
          </w:r>
        </w:p>
      </w:sdtContent>
    </w:sdt>
    <w:p w14:paraId="63816A33" w14:textId="77777777" w:rsidR="00C90319" w:rsidRDefault="0054789E">
      <w:pPr>
        <w:jc w:val="center"/>
      </w:pPr>
      <w:r>
        <w:br w:type="page"/>
      </w:r>
    </w:p>
    <w:p w14:paraId="76D41FAF" w14:textId="77777777" w:rsidR="00C90319" w:rsidRDefault="0054789E">
      <w:pPr>
        <w:pStyle w:val="Heading1"/>
      </w:pPr>
      <w:bookmarkStart w:id="7" w:name="_Toc140515981"/>
      <w:r>
        <w:lastRenderedPageBreak/>
        <w:t>Introduction</w:t>
      </w:r>
      <w:bookmarkEnd w:id="7"/>
    </w:p>
    <w:p w14:paraId="42D071C3" w14:textId="77777777" w:rsidR="00C90319" w:rsidRDefault="0054789E">
      <w:r>
        <w:t>The response that Volkswagen gave to the crisis known as "dieselgate" has been used as a case study in this article, and the company's policies, resources, and capabilities over the course of the last five years have been analysed. It has cast light on Volkswagen's efforts to restore public trust and deal with the financial and legal implications of the issue through compensation and litigation settlements. These efforts have been the focus of VW's efforts. Important business strategies, such as crisis management, reputation restoration, and investment in electric vehicles, were examined as part of this process. Additionally, VW's global presence, technological understanding, brand recognition, and financial resources were analysed to determine how well they aligned with the company's commercial plans. This was done in order to find out how successfully VW could execute its plans. It addressed how Volkswagen prioritised sustainability and environmental issues in its effort to become more competitive. Some instances of this prioritisation include the development of electric vehicles, investments in charging infrastructure, green production facilities, carbon neutrality targets, collaborations, and transparency. In conclusion, some recommendations were offered for moving forward with environmentally responsible practices and getting an advantage over other businesses.</w:t>
      </w:r>
    </w:p>
    <w:p w14:paraId="51A922FA" w14:textId="77777777" w:rsidR="00C90319" w:rsidRDefault="0054789E">
      <w:pPr>
        <w:pStyle w:val="Heading1"/>
      </w:pPr>
      <w:bookmarkStart w:id="8" w:name="_Toc140515982"/>
      <w:r>
        <w:t>Evaluating Volkswagen's Key Business Strategies: Analysis and Frameworks</w:t>
      </w:r>
      <w:bookmarkEnd w:id="8"/>
    </w:p>
    <w:p w14:paraId="780F13D3" w14:textId="75787225" w:rsidR="005A655C" w:rsidRDefault="0054789E">
      <w:r>
        <w:t>Volkswagen (VW) has implemented multiple core business strategies over the past five years to deal with the consequences of the "Dieselgate" crisis and restore trust in the VW brand</w:t>
      </w:r>
      <w:r w:rsidR="001D5EAD">
        <w:t xml:space="preserve"> (BBC, 2022)</w:t>
      </w:r>
      <w:r>
        <w:t xml:space="preserve">. The rationale for the adoption of such tactics can be deduced through the application of appropriate frameworks. </w:t>
      </w:r>
    </w:p>
    <w:p w14:paraId="4CEE15AE" w14:textId="77777777" w:rsidR="00C90319" w:rsidRDefault="0054789E">
      <w:r>
        <w:rPr>
          <w:b/>
        </w:rPr>
        <w:t>Crisis Management and Reputation Repair:</w:t>
      </w:r>
      <w:r>
        <w:t xml:space="preserve"> Volkswagen has made crisis management and repairing its reputation a top priority in the wake of the "Dieselgate" disaster (VW, 2023). VW's reputation and confidence among customers took a major hit as a result of the scandal. Volkswagen has offered public apologies, admitted fault, and promised to make remedies in response to this. The Reputation Management Framework, which informs this approach, stresses the value of being proactive in managing one's reputation during times of crisis.</w:t>
      </w:r>
    </w:p>
    <w:p w14:paraId="64C292EB" w14:textId="77777777" w:rsidR="00C90319" w:rsidRDefault="0054789E">
      <w:r>
        <w:rPr>
          <w:b/>
        </w:rPr>
        <w:t>Legal Settlements and Compensation:</w:t>
      </w:r>
      <w:r>
        <w:t xml:space="preserve"> To deal with the financial and legal repercussions of the scandal, VW engaged in significant litigation settlements and compensation programmes. Volkswagen hoped that by reaching out to affected customers and resolving, it might avoid costly and time-consuming legal fights and protect its brand image (Gössling </w:t>
      </w:r>
      <w:r>
        <w:rPr>
          <w:i/>
        </w:rPr>
        <w:t>et al</w:t>
      </w:r>
      <w:r>
        <w:t xml:space="preserve">., 2023). This </w:t>
      </w:r>
      <w:r>
        <w:lastRenderedPageBreak/>
        <w:t>approach is in line with the Legal and Ethical Responsibilities Framework, which encourages businesses to make amends for past wrongdoings and meet all applicable legal requirements.</w:t>
      </w:r>
    </w:p>
    <w:p w14:paraId="178B31FE" w14:textId="77777777" w:rsidR="00C90319" w:rsidRDefault="0054789E">
      <w:r>
        <w:rPr>
          <w:b/>
        </w:rPr>
        <w:t>Investment in Electric Vehicles (EVs) and Sustainable Mobility:</w:t>
      </w:r>
      <w:r>
        <w:t xml:space="preserve"> Volkswagen redirected its business strategy towards electric vehicles and sustainable mobility solutions in light of the scandal's revelations about the company's disregard for the environment. The corporation has introduced new models to compete in the developing EV market and has revealed ambitious ambitions to invest extensively in EVs (IEA, 2020). VW wanted to mitigate the damage done to the environment by its diesel vehicles and establish itself as an industry leader, so it devised a plan that fits neatly inside the Sustainability and Environmental Responsibility Framework.</w:t>
      </w:r>
    </w:p>
    <w:p w14:paraId="520990F9" w14:textId="77777777" w:rsidR="00C90319" w:rsidRDefault="0054789E">
      <w:r>
        <w:rPr>
          <w:b/>
        </w:rPr>
        <w:t>Innovation and Technology Leadership:</w:t>
      </w:r>
      <w:r>
        <w:t xml:space="preserve"> VW understood the importance of regaining its market leadership and credibility through technological innovation. Cleaner and more efficient engines, as well as sophisticated driver support systems and autonomous driving technology, were the focus of the company's R&amp;D efforts (Wai </w:t>
      </w:r>
      <w:r>
        <w:rPr>
          <w:i/>
        </w:rPr>
        <w:t>et al</w:t>
      </w:r>
      <w:r>
        <w:t>., 2021). This approach is in line with the Innovation and Technological Leadership Framework, which encourages businesses to set themselves apart through the creation of novel technologies and the upkeep of an upper hand in the marketplace.</w:t>
      </w:r>
    </w:p>
    <w:p w14:paraId="540B8708" w14:textId="77777777" w:rsidR="00C90319" w:rsidRDefault="0054789E">
      <w:r>
        <w:rPr>
          <w:b/>
        </w:rPr>
        <w:t>Organizational Culture Transformation:</w:t>
      </w:r>
      <w:r>
        <w:t xml:space="preserve"> Volkswagen made a massive change in its corporate culture by stressing the importance of honesty, fairness, and regulation compliance. The company's culture was designed to encourage honesty, openness, and prudent decision-making. Aligning culture with strategic goals and values is a central tenet of the Organisational Culture and Change Management Framework, with which this approach is consistent.</w:t>
      </w:r>
    </w:p>
    <w:p w14:paraId="5948314B" w14:textId="77777777" w:rsidR="00C90319" w:rsidRDefault="0054789E">
      <w:r>
        <w:t>Over the past five years, VW's top business priorities have been crisis management, reputation rehabilitation, legal settlements, investment in electric vehicles, innovation, and a complete overhaul of the company's culture (Welch, 2021). These measures were taken to recover from the "diesel gate" disaster, win back consumers' faith, satisfy regulatory agencies, keep up with the times in the automobile industry, and rebrand Volkswagen as an eco-friendly, cutting-edge mobility service. Volkswagen hoped to reclaim its status as an industry leader and repair damage to its brand by enacting these measures.</w:t>
      </w:r>
    </w:p>
    <w:p w14:paraId="4197FFF5" w14:textId="77777777" w:rsidR="00C90319" w:rsidRDefault="0054789E">
      <w:pPr>
        <w:pStyle w:val="Heading1"/>
      </w:pPr>
      <w:bookmarkStart w:id="9" w:name="_Toc140515983"/>
      <w:r>
        <w:t>Alignment of Resources and Capabilities with Business Strategies: An Analysis of Volkswagen's Past Five Years</w:t>
      </w:r>
      <w:bookmarkEnd w:id="9"/>
    </w:p>
    <w:p w14:paraId="7F43418D" w14:textId="478AA7E0" w:rsidR="00C90319" w:rsidRDefault="0054789E">
      <w:r>
        <w:t xml:space="preserve">Volkswagen (VW) has used a wide range of tools and skills over the past five years to deal with the fallout from the "dieselgate" incident and execute new business strategies. </w:t>
      </w:r>
    </w:p>
    <w:p w14:paraId="5236BF79" w14:textId="77777777" w:rsidR="00C90319" w:rsidRDefault="0054789E">
      <w:r>
        <w:rPr>
          <w:b/>
        </w:rPr>
        <w:lastRenderedPageBreak/>
        <w:t>Strong Global Presence and Manufacturing Capabilities:</w:t>
      </w:r>
      <w:r>
        <w:t xml:space="preserve"> Volkswagen is able to produce automobiles in a number of different places because of its extensive worldwide network of production sites (Ucsd, 2019). VW is now better equipped to meet the needs of its customer's thanks to its robust manufacturing capacity. The company's global position also gives it access to a broad client and market base. Volkswagen has made use of these assets to bolster its business strategy by producing and releasing new types of electric vehicles in response to the growing interest in environmentally responsible transportation.</w:t>
      </w:r>
    </w:p>
    <w:p w14:paraId="195C6B89" w14:textId="77777777" w:rsidR="00C90319" w:rsidRDefault="0054789E">
      <w:r>
        <w:rPr>
          <w:b/>
        </w:rPr>
        <w:t>Technological Expertise and R&amp;D Investments:</w:t>
      </w:r>
      <w:r>
        <w:t xml:space="preserve"> Volkswagen is renowned for its technological prowess and extensive investment in R&amp;D. The availability of these funds has allowed the corporation to pioneer new technological developments such as autonomous driving aids, electric vehicle platforms, and improved driver support systems (Cornell </w:t>
      </w:r>
      <w:r>
        <w:rPr>
          <w:i/>
        </w:rPr>
        <w:t>et al</w:t>
      </w:r>
      <w:r>
        <w:t>., 2021). VW has leveraged its technological prowess to create and introduce a wide variety of EVs in line with its business strategy, establishing itself as a frontrunner in the rapidly expanding EV market.</w:t>
      </w:r>
    </w:p>
    <w:p w14:paraId="099633CD" w14:textId="3BC669AC" w:rsidR="00C90319" w:rsidRDefault="0054789E">
      <w:r>
        <w:rPr>
          <w:b/>
        </w:rPr>
        <w:t>Brand Reputation and Customer Loyalty:</w:t>
      </w:r>
      <w:r>
        <w:t xml:space="preserve"> Volkswagen (VW) enjoyed solid brand recognition and consumer loyalty before the "Dieselgate" controversy</w:t>
      </w:r>
      <w:r w:rsidR="001D5EAD">
        <w:t xml:space="preserve"> (BBC, 2022)</w:t>
      </w:r>
      <w:r>
        <w:t xml:space="preserve">. Volkswagen's status as an industry leader despite the scandal provides a platform for reestablishing credibility. The corporation has made customer happiness and participation a top priority in an effort to win back customers by being more open and providing better products and services (Li </w:t>
      </w:r>
      <w:r>
        <w:rPr>
          <w:i/>
        </w:rPr>
        <w:t>et al</w:t>
      </w:r>
      <w:r>
        <w:t>., 2023). Volkswagen plans to realign its resources with the idea of restoring confidence and regaining market position by capitalising on its brand reputation and customer loyalty.</w:t>
      </w:r>
    </w:p>
    <w:p w14:paraId="624DE875" w14:textId="77777777" w:rsidR="00C90319" w:rsidRDefault="0054789E">
      <w:r>
        <w:rPr>
          <w:b/>
        </w:rPr>
        <w:t>Financial Resources and Strategic Partnerships:</w:t>
      </w:r>
      <w:r>
        <w:t xml:space="preserve"> VW's deep cash reserves have been essential in mitigating the company's financial fallout from the crisis. The corporation has shown it is able to meet its legal commitments by paying significant fines, compensation, and settlement amounts. Volkswagen has also developed strategic alliances with other automakers and IT firms to advance projects like EV charging infrastructure development and autonomous driving technology (Niti, 2023). The resources and abilities made available through these collaborations are crucial to VW's leading strategies in sustainability and innovation.</w:t>
      </w:r>
    </w:p>
    <w:p w14:paraId="61DBB80E" w14:textId="77777777" w:rsidR="00C90319" w:rsidRDefault="0054789E">
      <w:r>
        <w:t xml:space="preserve">After examining how well VW has leveraged and aligned its resources to meet its strategic objectives, it is clear that the corporation has made an attempt to do so. Volkswagen has used its worldwide production facilities and technological know-how to produce and release electric vehicles, meeting the need for eco-friendly transportation (Kintscher </w:t>
      </w:r>
      <w:r>
        <w:rPr>
          <w:i/>
        </w:rPr>
        <w:t>et al</w:t>
      </w:r>
      <w:r>
        <w:t xml:space="preserve">., 2020). Trust has been reestablished, and relationships with regular customers have been rebuilt, thanks to the </w:t>
      </w:r>
      <w:r>
        <w:lastRenderedPageBreak/>
        <w:t>company's well-established brand and devoted clientele. Furthermore, VW's financial resources and strategic relationships have made it easier to meet regulatory requirements and foster innovation and collaboration in new sectors. While VW has made progress in aligning its resources and skills with its strategy, more work has to be done. Maintaining efforts and constant customer-focused initiatives are necessary to restore confidence and the brand's reputation. To maintain its position as a technological leader in the automobile sector, the corporation must maintain its commitment to R&amp;D spending (Archibugi and Mariella, 2021). To fulfil the rising demand for environmentally friendly transportation, it must also increase its selection of electric vehicles.</w:t>
      </w:r>
    </w:p>
    <w:p w14:paraId="4530CBF9" w14:textId="77777777" w:rsidR="00C90319" w:rsidRDefault="0054789E">
      <w:pPr>
        <w:pStyle w:val="Heading1"/>
      </w:pPr>
      <w:bookmarkStart w:id="10" w:name="_Toc140515984"/>
      <w:r>
        <w:t>VW's Pursuit of Competitive Advantage through Sustainability and Environmental Considerations</w:t>
      </w:r>
      <w:bookmarkEnd w:id="10"/>
    </w:p>
    <w:p w14:paraId="7C0DF5F5" w14:textId="77777777" w:rsidR="00C90319" w:rsidRDefault="0054789E">
      <w:r>
        <w:t>Volkswagen (VW) has put in a lot of work to boost its competitiveness while also giving top priority to sustainability and environmental concerns. Here is an evidence-based assessment of VW's actions:</w:t>
      </w:r>
    </w:p>
    <w:p w14:paraId="3EA1A46D" w14:textId="77777777" w:rsidR="00C90319" w:rsidRDefault="0054789E">
      <w:r>
        <w:rPr>
          <w:b/>
        </w:rPr>
        <w:t>Electric Vehicle (EV) Focus:</w:t>
      </w:r>
      <w:r>
        <w:t xml:space="preserve"> Volkswagen has put a lot of money into making electric cars because it recognises the future is electric mobility. The MEB (Modular Electric Drive Matrix) is the company's specialised electric platform, which supports multiple EV models across its brands. Volkswagen plans to release 70 fully electric vehicles by 2025 (EL, 2023). The Volkswagen ID.3, ID.4, and Audi e-Tron are just a few examples of the automaker's recent shift towards electric vehicles. VW's dedication to a greener transportation future is on full display with these initiatives.</w:t>
      </w:r>
    </w:p>
    <w:p w14:paraId="5A2DBD24" w14:textId="77777777" w:rsidR="00C90319" w:rsidRDefault="0054789E">
      <w:r>
        <w:rPr>
          <w:b/>
        </w:rPr>
        <w:t>Investment in Charging Infrastructure:</w:t>
      </w:r>
      <w:r>
        <w:t xml:space="preserve"> VW has put money into charging networks since it knows that this is necessary for widespread EV adoption. For instance, the company's Electrify America division has set up a charging station infrastructure over the whole United States (TWH, 2022). Volkswagen's efforts to increase the availability of charging stations are consistent with the company's stated mission to promote the use of electric vehicles and alleviate concerns about their limited range.</w:t>
      </w:r>
    </w:p>
    <w:p w14:paraId="27BDFC39" w14:textId="77777777" w:rsidR="00C90319" w:rsidRDefault="0054789E">
      <w:r>
        <w:rPr>
          <w:b/>
        </w:rPr>
        <w:t>Green Production Facilities:</w:t>
      </w:r>
      <w:r>
        <w:t xml:space="preserve"> Volkswagen has been quite diligent in cleaning up its factory sites. The business has put money into environmentally friendly production methods like using renewable energy. For instance, the Zwickau plant in Germany where electric vehicles are manufactured uses only renewable energy (Pavlínek, 023). VW's dedication to sustainable production practises helps reduce carbon emissions and lessen the company's impact on the environment.</w:t>
      </w:r>
    </w:p>
    <w:p w14:paraId="3E81F0FF" w14:textId="77777777" w:rsidR="00C90319" w:rsidRDefault="0054789E">
      <w:r>
        <w:rPr>
          <w:b/>
        </w:rPr>
        <w:lastRenderedPageBreak/>
        <w:t>Carbon Neutrality Targets:</w:t>
      </w:r>
      <w:r>
        <w:t xml:space="preserve"> Volkswagen has lofty sustainability goals, including becoming carbon neutral across the whole value chain by the year 2050. The business is committed to cutting emissions from its fleet, factories, and suppliers. Volkswagen has also taken steps to improve energy efficiency and reduce waste. Volkswagen shows its commitment to reducing its environmental effect while maintaining its competitive edge in the auto industry by establishing concrete carbon neutrality goals.</w:t>
      </w:r>
    </w:p>
    <w:p w14:paraId="1A073BC2" w14:textId="77777777" w:rsidR="00C90319" w:rsidRDefault="0054789E">
      <w:r>
        <w:rPr>
          <w:b/>
        </w:rPr>
        <w:t>Collaborations and Partnerships:</w:t>
      </w:r>
      <w:r>
        <w:t xml:space="preserve"> Volkswagen has partnered with other organisations to further sustainability efforts. Notably, the firm became a member of the "EV100" project, a coalition of businesses with the same goal of hastening the introduction of electric vehicles (TCG, 2023). Volkswagen is able to share information, gain access to specialised knowledge, and promote advancements in sustainable technologies through partnerships.</w:t>
      </w:r>
    </w:p>
    <w:p w14:paraId="228C4224" w14:textId="77777777" w:rsidR="00C90319" w:rsidRDefault="0054789E">
      <w:r>
        <w:rPr>
          <w:b/>
        </w:rPr>
        <w:t>Transparency and Reporting:</w:t>
      </w:r>
      <w:r>
        <w:t xml:space="preserve"> Volkswagen has made strides towards greater openness and reporting on sustainability and environmental issues. The company's environmental performance, emissions reduction targets, and sustainable development efforts are all detailed in annual sustainability reports.</w:t>
      </w:r>
    </w:p>
    <w:p w14:paraId="79D22F8C" w14:textId="77777777" w:rsidR="00C90319" w:rsidRDefault="0054789E">
      <w:pPr>
        <w:pStyle w:val="Heading1"/>
      </w:pPr>
      <w:bookmarkStart w:id="11" w:name="_Toc140515985"/>
      <w:r>
        <w:t>Recommendations</w:t>
      </w:r>
      <w:bookmarkEnd w:id="11"/>
    </w:p>
    <w:p w14:paraId="0F771136" w14:textId="77777777" w:rsidR="00C90319" w:rsidRDefault="0054789E">
      <w:pPr>
        <w:numPr>
          <w:ilvl w:val="0"/>
          <w:numId w:val="3"/>
        </w:numPr>
      </w:pPr>
      <w:r>
        <w:rPr>
          <w:b/>
        </w:rPr>
        <w:t>Accelerate Electric Vehicle (EV) Development:</w:t>
      </w:r>
      <w:r>
        <w:t xml:space="preserve"> Volkswagen has to continue devoting resources to the production of and research into electric vehicles. Volkswagen has to expand both the quantity and breadth of the electric vehicle (EV) models in its range in order to boost its market share in the fast-expanding business of electric mobility (Albertsen </w:t>
      </w:r>
      <w:r>
        <w:rPr>
          <w:i/>
        </w:rPr>
        <w:t>et al</w:t>
      </w:r>
      <w:r>
        <w:t>., 2021). If Volkswagen designs its electric vehicles with the customer in mind first and foremost, the automaker will have a significant advantage over its rivals.</w:t>
      </w:r>
    </w:p>
    <w:p w14:paraId="65DC0820" w14:textId="77777777" w:rsidR="00C90319" w:rsidRDefault="0054789E">
      <w:pPr>
        <w:numPr>
          <w:ilvl w:val="0"/>
          <w:numId w:val="3"/>
        </w:numPr>
      </w:pPr>
      <w:r>
        <w:rPr>
          <w:b/>
        </w:rPr>
        <w:t>Strengthen Supply Chain Sustainability:</w:t>
      </w:r>
      <w:r>
        <w:t xml:space="preserve"> Volkswagen is able to strengthen its commitment to the sustainability of its supply chain by collaborating with its vendors to advance environmentally friendly and ethically responsible business practices. Ethical sourcing of components like batteries is one thing that may be done as part of an attempt to lessen the impact that manufacturing has on the surrounding environment (Bradu </w:t>
      </w:r>
      <w:r>
        <w:rPr>
          <w:i/>
        </w:rPr>
        <w:t>et al</w:t>
      </w:r>
      <w:r>
        <w:t>., 2022). By maintaining a green supply chain, Volkswagen can differentiate itself from its competitors and appeal to consumers who are concerned about the environment.</w:t>
      </w:r>
    </w:p>
    <w:p w14:paraId="4530A6B7" w14:textId="77777777" w:rsidR="00C90319" w:rsidRDefault="0054789E">
      <w:pPr>
        <w:numPr>
          <w:ilvl w:val="0"/>
          <w:numId w:val="3"/>
        </w:numPr>
      </w:pPr>
      <w:r>
        <w:rPr>
          <w:b/>
        </w:rPr>
        <w:t>Innovate in Renewable Energy Integration:</w:t>
      </w:r>
      <w:r>
        <w:t xml:space="preserve"> Volkswagen is at liberty to investigate cutting-edge possibilities for incorporating renewable energy sources into its business </w:t>
      </w:r>
      <w:r>
        <w:lastRenderedPageBreak/>
        <w:t xml:space="preserve">processes. In order to promote the use of renewable energy on-site, this may mean installing solar panels, wind turbines, or battery storage at its industrial facilities (Polleux </w:t>
      </w:r>
      <w:r>
        <w:rPr>
          <w:i/>
        </w:rPr>
        <w:t>et al</w:t>
      </w:r>
      <w:r>
        <w:t>., 2022). It is possible that Volkswagen may improve its environmental credentials by reducing its reliance on fossil fuels and increasing the amount of renewable energy it uses.</w:t>
      </w:r>
    </w:p>
    <w:p w14:paraId="76789451" w14:textId="77777777" w:rsidR="00C90319" w:rsidRDefault="0054789E">
      <w:pPr>
        <w:numPr>
          <w:ilvl w:val="0"/>
          <w:numId w:val="3"/>
        </w:numPr>
      </w:pPr>
      <w:r>
        <w:rPr>
          <w:b/>
        </w:rPr>
        <w:t>Circular Economy Approach:</w:t>
      </w:r>
      <w:r>
        <w:t xml:space="preserve"> Volkswagen may adopt a circular economy approach, which involves the company actively aiming to reduce waste while also expanding the number of chances for recycling and reuse. Utilising materials that are recyclable in vehicle design and developing efficient recycling techniques for vehicles once they have reached the end of their useful life are two ways in which Volkswagen can lessen its negative influence on the environment while also advancing the cause of sustainable mobility (Oecd, 2021). By implementing a strategy based on a circular economy, one can stand to earn benefits such as lower overall costs and more effective utilisation of available resources.</w:t>
      </w:r>
    </w:p>
    <w:p w14:paraId="0ADEDF77" w14:textId="77777777" w:rsidR="00C90319" w:rsidRDefault="0054789E">
      <w:pPr>
        <w:numPr>
          <w:ilvl w:val="0"/>
          <w:numId w:val="3"/>
        </w:numPr>
      </w:pPr>
      <w:r>
        <w:rPr>
          <w:b/>
        </w:rPr>
        <w:t>Emphasize Sustainable Mobility Solutions:</w:t>
      </w:r>
      <w:r>
        <w:t xml:space="preserve"> Volkswagen is able to contribute more to the cause of sustainable transportation than only the production of electric vehicles. For this purpose, it would be beneficial to invest money in "mobility as a service" (MaaS) activities such as ridesharing, carsharing, and other similar activities (Labee </w:t>
      </w:r>
      <w:r>
        <w:rPr>
          <w:i/>
        </w:rPr>
        <w:t>et al</w:t>
      </w:r>
      <w:r>
        <w:t>., 2022). Volkswagen is able to adjust to changing consumer preferences and earn new revenue by establishing itself as a comprehensive provider of environmentally friendly transportation options by way of its innovative and environmentally friendly mobility alternatives. This positioning allows Volkswagen to establish itself as a comprehensive provider of environmentally friendly transportation options.</w:t>
      </w:r>
    </w:p>
    <w:p w14:paraId="232F8B69" w14:textId="77777777" w:rsidR="00C90319" w:rsidRDefault="0054789E">
      <w:pPr>
        <w:numPr>
          <w:ilvl w:val="0"/>
          <w:numId w:val="3"/>
        </w:numPr>
      </w:pPr>
      <w:r>
        <w:rPr>
          <w:b/>
        </w:rPr>
        <w:t>Transparent Communication and Reporting:</w:t>
      </w:r>
      <w:r>
        <w:t xml:space="preserve"> Moving forward, there is an urgent need to place an emphasis on transparent and accurate reporting of sustainability results. Volkswagen has a responsibility to be open and forthright about the efforts, advancements, and results of its sustainability initiatives (VW, 2023). This transparency demonstrates the seriousness with which Volkswagen approaches sustainability, and it instils confidence in the company's various stakeholders. Volkswagen can differentiate itself from the competition and appeal to customers who are environmentally sensitive if it is transparent in its reporting.</w:t>
      </w:r>
    </w:p>
    <w:p w14:paraId="7203F0F1" w14:textId="77777777" w:rsidR="00C90319" w:rsidRDefault="0054789E">
      <w:pPr>
        <w:pStyle w:val="Heading1"/>
      </w:pPr>
      <w:bookmarkStart w:id="12" w:name="_Toc140515986"/>
      <w:r>
        <w:lastRenderedPageBreak/>
        <w:t>Conclusion</w:t>
      </w:r>
      <w:bookmarkEnd w:id="12"/>
    </w:p>
    <w:p w14:paraId="1C3F376D" w14:textId="77777777" w:rsidR="00C90319" w:rsidRDefault="0054789E">
      <w:r>
        <w:t>The case study of Volkswagen's reaction to the "Dieselgate" controversy concludes by highlighting the company's efforts to manage the crisis's fallout while also aligning its economic strategies with sustainability and environmental considerations. Legal settlements, compensation programmes, and public apologies are just a few of the measures Volkswagen has taken to win back the trust of its customers and repair its damaged reputation. As part of its efforts to reduce its environmental effect and show its dedication to sustainability, the corporation has made significant investments in electric vehicles, charging infrastructure, and green production facilities. Volkswagen has strived to become more competitive in the automotive sector while making sustainability a top priority by maximising its resources and competencies, such as its global manufacturing network, technological competence, and brand reputation. Accelerating EV development, bolstering supply chain sustainability, innovating in renewable energy integration, embracing a circular economy approach, emphasising sustainable mobility solutions, and transparent communication and reporting are all things that have been suggested as ways to improve sustainability practises moving forward. These suggestions will help Volkswagen maintain its competitive edge, attract environmentally concerned customers, and make a positive impact on the world.</w:t>
      </w:r>
    </w:p>
    <w:p w14:paraId="403E1D66" w14:textId="77777777" w:rsidR="00C90319" w:rsidRDefault="0054789E">
      <w:pPr>
        <w:pStyle w:val="Heading1"/>
      </w:pPr>
      <w:bookmarkStart w:id="13" w:name="_xa3c3r4t3qv2" w:colFirst="0" w:colLast="0"/>
      <w:bookmarkEnd w:id="13"/>
      <w:r>
        <w:br w:type="page"/>
      </w:r>
    </w:p>
    <w:p w14:paraId="29FAB2DD" w14:textId="77777777" w:rsidR="00C90319" w:rsidRDefault="0054789E">
      <w:pPr>
        <w:pStyle w:val="Heading1"/>
      </w:pPr>
      <w:bookmarkStart w:id="14" w:name="_Toc140515987"/>
      <w:r>
        <w:lastRenderedPageBreak/>
        <w:t>Reference</w:t>
      </w:r>
      <w:bookmarkEnd w:id="14"/>
    </w:p>
    <w:p w14:paraId="11AC95D7" w14:textId="77777777" w:rsidR="00C90319" w:rsidRDefault="0054789E">
      <w:pPr>
        <w:spacing w:before="240" w:line="276" w:lineRule="auto"/>
      </w:pPr>
      <w:r>
        <w:t xml:space="preserve">Albertsen, L., Richter, J.L., Peck, P., Dalhammar, C. and Plepys, A., 2021. Circular business models for electric vehicle lithium-ion batteries: An analysis of current practices of vehicle manufacturers and policies in the EU. </w:t>
      </w:r>
      <w:r>
        <w:rPr>
          <w:i/>
        </w:rPr>
        <w:t>Resources, conservation and recycling, 172</w:t>
      </w:r>
      <w:r>
        <w:t>, p.105658.</w:t>
      </w:r>
    </w:p>
    <w:p w14:paraId="24FD0C82" w14:textId="0567C192" w:rsidR="00C90319" w:rsidRDefault="0054789E">
      <w:pPr>
        <w:spacing w:before="240" w:line="276" w:lineRule="auto"/>
      </w:pPr>
      <w:r>
        <w:t xml:space="preserve">Archibugi, D. and Mariella, V., 2021. Is a European recovery possible without high-tech public corporations?. </w:t>
      </w:r>
      <w:r>
        <w:rPr>
          <w:i/>
        </w:rPr>
        <w:t>Intereconomics, 56</w:t>
      </w:r>
      <w:r>
        <w:t>(3), pp.160-166.</w:t>
      </w:r>
    </w:p>
    <w:p w14:paraId="7879B209" w14:textId="6FB005B8" w:rsidR="005E6A18" w:rsidRDefault="005E6A18">
      <w:pPr>
        <w:spacing w:before="240" w:line="276" w:lineRule="auto"/>
      </w:pPr>
      <w:r>
        <w:t>ARV, 2023, “</w:t>
      </w:r>
      <w:r w:rsidRPr="005E6A18">
        <w:rPr>
          <w:i/>
        </w:rPr>
        <w:t>Annual Report</w:t>
      </w:r>
      <w:r>
        <w:t>”,</w:t>
      </w:r>
      <w:hyperlink r:id="rId5">
        <w:r>
          <w:t xml:space="preserve"> </w:t>
        </w:r>
      </w:hyperlink>
      <w:hyperlink r:id="rId6">
        <w:r>
          <w:t xml:space="preserve">Available at </w:t>
        </w:r>
      </w:hyperlink>
      <w:r>
        <w:t xml:space="preserve"> </w:t>
      </w:r>
      <w:hyperlink r:id="rId7" w:history="1">
        <w:r w:rsidRPr="00A422C7">
          <w:rPr>
            <w:rStyle w:val="Hyperlink"/>
          </w:rPr>
          <w:t>https://annualreport2022.volkswagenag.com/</w:t>
        </w:r>
      </w:hyperlink>
      <w:r>
        <w:t xml:space="preserve"> [Accessed on 15th July 2023]</w:t>
      </w:r>
    </w:p>
    <w:p w14:paraId="590E165A" w14:textId="73237279" w:rsidR="001D5EAD" w:rsidRDefault="001D5EAD">
      <w:pPr>
        <w:spacing w:before="240" w:line="276" w:lineRule="auto"/>
      </w:pPr>
      <w:r>
        <w:rPr>
          <w:lang w:val="en-IN"/>
        </w:rPr>
        <w:t>BBC, 2022, “</w:t>
      </w:r>
      <w:r w:rsidRPr="00B61D70">
        <w:rPr>
          <w:i/>
          <w:iCs/>
          <w:lang w:val="en-IN"/>
        </w:rPr>
        <w:t>Volkswagen to pay out £193m in 'dieselgate' settlement</w:t>
      </w:r>
      <w:r>
        <w:rPr>
          <w:i/>
          <w:iCs/>
          <w:lang w:val="en-IN"/>
        </w:rPr>
        <w:t xml:space="preserve">”, </w:t>
      </w:r>
      <w:r>
        <w:rPr>
          <w:lang w:val="en-IN"/>
        </w:rPr>
        <w:t xml:space="preserve">Available at </w:t>
      </w:r>
      <w:hyperlink r:id="rId8" w:history="1">
        <w:r w:rsidRPr="005C5426">
          <w:rPr>
            <w:rStyle w:val="Hyperlink"/>
          </w:rPr>
          <w:t>https://www.bbc.com/news/business-61581251</w:t>
        </w:r>
      </w:hyperlink>
      <w:r>
        <w:t xml:space="preserve"> [Accessed on 15th July 2023]</w:t>
      </w:r>
    </w:p>
    <w:p w14:paraId="1AD5A1EF" w14:textId="77777777" w:rsidR="00C90319" w:rsidRDefault="0054789E">
      <w:pPr>
        <w:spacing w:before="240" w:line="276" w:lineRule="auto"/>
      </w:pPr>
      <w:r>
        <w:t xml:space="preserve">Bradu, P., Biswas, A., Nair, C., Sreevalsakumar, S., Patil, M., Kannampuzha, S., Mukherjee, A.G., Wanjari, U.R., Renu, K., Vellingiri, B. and Gopalakrishnan, A.V., 2022. Recent advances in green technology and Industrial Revolution 4.0 for a sustainable future. </w:t>
      </w:r>
      <w:r>
        <w:rPr>
          <w:i/>
        </w:rPr>
        <w:t>Environmental Science and Pollution Research</w:t>
      </w:r>
      <w:r>
        <w:t>, pp.1-32.</w:t>
      </w:r>
    </w:p>
    <w:p w14:paraId="10B204FA" w14:textId="77777777" w:rsidR="00C90319" w:rsidRDefault="0054789E">
      <w:pPr>
        <w:spacing w:before="240" w:line="276" w:lineRule="auto"/>
      </w:pPr>
      <w:r>
        <w:t xml:space="preserve">Cornell, B., Cornell, S. and Cornell, A., 2021. Valuing the Automotive Industry. </w:t>
      </w:r>
      <w:r>
        <w:rPr>
          <w:i/>
        </w:rPr>
        <w:t>Cornell Capital Group</w:t>
      </w:r>
      <w:r>
        <w:t>, pp.1-14.</w:t>
      </w:r>
    </w:p>
    <w:p w14:paraId="1875924F" w14:textId="77777777" w:rsidR="00C90319" w:rsidRDefault="0054789E">
      <w:pPr>
        <w:spacing w:before="240" w:line="276" w:lineRule="auto"/>
      </w:pPr>
      <w:r>
        <w:t>EL, 2023, “</w:t>
      </w:r>
      <w:r>
        <w:rPr>
          <w:i/>
        </w:rPr>
        <w:t>VW announces new plan to build 2 to 3 million all-electric cars a year by 2025</w:t>
      </w:r>
      <w:r>
        <w:t>”,</w:t>
      </w:r>
      <w:hyperlink r:id="rId9">
        <w:r>
          <w:t xml:space="preserve"> Available at </w:t>
        </w:r>
      </w:hyperlink>
      <w:hyperlink r:id="rId10">
        <w:r>
          <w:rPr>
            <w:color w:val="1155CC"/>
            <w:u w:val="single"/>
          </w:rPr>
          <w:t>https://electrek.co/2016/06/16/vw-2-3-million-all-electric-cars-2025/</w:t>
        </w:r>
      </w:hyperlink>
      <w:r>
        <w:t xml:space="preserve"> [Accessed on 15th July 2023]</w:t>
      </w:r>
    </w:p>
    <w:p w14:paraId="717AAFF8" w14:textId="77777777" w:rsidR="00C90319" w:rsidRDefault="0054789E">
      <w:pPr>
        <w:spacing w:before="240" w:line="276" w:lineRule="auto"/>
      </w:pPr>
      <w:r>
        <w:t xml:space="preserve">Gössling, S., Balas, M., Mayer, M. and Sun, Y.Y., 2023. A review of tourism and climate change mitigation: The scales, scopes, stakeholders and strategies of carbon management. </w:t>
      </w:r>
      <w:r>
        <w:rPr>
          <w:i/>
        </w:rPr>
        <w:t>Tourism Management, 95</w:t>
      </w:r>
      <w:r>
        <w:t>, p.104681.</w:t>
      </w:r>
    </w:p>
    <w:p w14:paraId="0ABDC40B" w14:textId="77777777" w:rsidR="00C90319" w:rsidRDefault="0054789E">
      <w:pPr>
        <w:spacing w:before="240" w:line="276" w:lineRule="auto"/>
      </w:pPr>
      <w:r>
        <w:t>IEA, 2020, “</w:t>
      </w:r>
      <w:r>
        <w:rPr>
          <w:i/>
        </w:rPr>
        <w:t>Electric cars fend off supply challenges to more than double global sales</w:t>
      </w:r>
      <w:r>
        <w:t>”,</w:t>
      </w:r>
      <w:hyperlink r:id="rId11">
        <w:r>
          <w:t xml:space="preserve"> </w:t>
        </w:r>
      </w:hyperlink>
      <w:hyperlink r:id="rId12">
        <w:r>
          <w:t xml:space="preserve">Available at </w:t>
        </w:r>
      </w:hyperlink>
      <w:hyperlink r:id="rId13">
        <w:r>
          <w:rPr>
            <w:color w:val="1155CC"/>
            <w:u w:val="single"/>
          </w:rPr>
          <w:t>https://www.iea.org/commentaries/electric-cars-fend-off-supply-challenges-to-more-than-double-global-sales</w:t>
        </w:r>
      </w:hyperlink>
      <w:r>
        <w:t xml:space="preserve"> [Accessed on 15th July 2023]</w:t>
      </w:r>
    </w:p>
    <w:p w14:paraId="2D1692B8" w14:textId="77777777" w:rsidR="00C90319" w:rsidRDefault="0054789E">
      <w:pPr>
        <w:spacing w:before="240" w:line="276" w:lineRule="auto"/>
      </w:pPr>
      <w:r>
        <w:t xml:space="preserve">Kintscher, L., Lawrenz, S., Poschmann, H. and Sharma, P., 2020. Recycling 4.0-Digitalization as a Key for the Advanced Circular Economy. </w:t>
      </w:r>
      <w:r>
        <w:rPr>
          <w:i/>
        </w:rPr>
        <w:t>J. Commun., 15</w:t>
      </w:r>
      <w:r>
        <w:t>(9), pp.652-660.</w:t>
      </w:r>
    </w:p>
    <w:p w14:paraId="56076393" w14:textId="77777777" w:rsidR="00C90319" w:rsidRDefault="0054789E">
      <w:pPr>
        <w:spacing w:before="240" w:after="240"/>
      </w:pPr>
      <w:r>
        <w:t xml:space="preserve">Labee, P., Rasouli, S. and Liao, F., 2022. The implications of Mobility as a Service for urban emissions. </w:t>
      </w:r>
      <w:r>
        <w:rPr>
          <w:i/>
        </w:rPr>
        <w:t>Transportation Research Part D: Transport and Environment, 102</w:t>
      </w:r>
      <w:r>
        <w:t>, p.103128.</w:t>
      </w:r>
    </w:p>
    <w:p w14:paraId="7483EA39" w14:textId="77777777" w:rsidR="00C90319" w:rsidRDefault="0054789E">
      <w:pPr>
        <w:spacing w:before="240" w:line="276" w:lineRule="auto"/>
      </w:pPr>
      <w:r>
        <w:t xml:space="preserve">Li, X., Xu, M., Zeng, W., Tse, Y.K. and Chan, H.K., 2023. Exploring customer concerns on service quality under the COVID-19 crisis: A social media analytics study from the retail industry. </w:t>
      </w:r>
      <w:r>
        <w:rPr>
          <w:i/>
        </w:rPr>
        <w:t>Journal of Retailing and Consumer Services, 70</w:t>
      </w:r>
      <w:r>
        <w:t>, p.103157.</w:t>
      </w:r>
    </w:p>
    <w:p w14:paraId="03BD7529" w14:textId="77777777" w:rsidR="00C90319" w:rsidRDefault="0054789E">
      <w:pPr>
        <w:spacing w:before="240" w:line="276" w:lineRule="auto"/>
      </w:pPr>
      <w:r>
        <w:lastRenderedPageBreak/>
        <w:t>Niti, 2023, “</w:t>
      </w:r>
      <w:r>
        <w:rPr>
          <w:i/>
        </w:rPr>
        <w:t>Electric Vehicle Charging Infrastructure and its Grid Integration in India</w:t>
      </w:r>
      <w:r>
        <w:t>”,</w:t>
      </w:r>
      <w:hyperlink r:id="rId14">
        <w:r>
          <w:t xml:space="preserve"> </w:t>
        </w:r>
      </w:hyperlink>
      <w:hyperlink r:id="rId15">
        <w:r>
          <w:t xml:space="preserve">Available at </w:t>
        </w:r>
      </w:hyperlink>
      <w:r>
        <w:t xml:space="preserve"> </w:t>
      </w:r>
      <w:hyperlink r:id="rId16">
        <w:r>
          <w:rPr>
            <w:color w:val="1155CC"/>
            <w:u w:val="single"/>
          </w:rPr>
          <w:t>https://www.niti.gov.in/sites/default/files/2023-05/Final-smaller_Electric-Vehicles-Charging-Infrastructure.pdf</w:t>
        </w:r>
      </w:hyperlink>
      <w:r>
        <w:t xml:space="preserve"> [Accessed on 15th July 2023]</w:t>
      </w:r>
    </w:p>
    <w:p w14:paraId="16446177" w14:textId="77777777" w:rsidR="00C90319" w:rsidRDefault="0054789E">
      <w:pPr>
        <w:spacing w:before="240" w:line="276" w:lineRule="auto"/>
      </w:pPr>
      <w:r>
        <w:t>Oecd, 2021, “</w:t>
      </w:r>
      <w:r>
        <w:rPr>
          <w:i/>
        </w:rPr>
        <w:t>The State of Play on Extended Producer Responsibility (EPR): Opportunities and Challenges</w:t>
      </w:r>
      <w:r>
        <w:t>”,</w:t>
      </w:r>
      <w:hyperlink r:id="rId17">
        <w:r>
          <w:t xml:space="preserve"> </w:t>
        </w:r>
      </w:hyperlink>
      <w:hyperlink r:id="rId18">
        <w:r>
          <w:t xml:space="preserve">Available at </w:t>
        </w:r>
      </w:hyperlink>
      <w:hyperlink r:id="rId19">
        <w:r>
          <w:rPr>
            <w:color w:val="1155CC"/>
            <w:u w:val="single"/>
          </w:rPr>
          <w:t>https://www.oecd.org/environment/waste/Global%20Forum%20Tokyo%20Issues%20Paper%2030-5-2014.pdf</w:t>
        </w:r>
      </w:hyperlink>
      <w:r>
        <w:t xml:space="preserve"> [Accessed on 15th July 2023]</w:t>
      </w:r>
    </w:p>
    <w:p w14:paraId="585BD537" w14:textId="77777777" w:rsidR="00C90319" w:rsidRDefault="0054789E">
      <w:pPr>
        <w:spacing w:before="240" w:line="276" w:lineRule="auto"/>
      </w:pPr>
      <w:r>
        <w:t xml:space="preserve">Pavlínek, P., 2023. Transition of the automotive industry towards electric vehicle production in the east European integrated periphery. </w:t>
      </w:r>
      <w:r>
        <w:rPr>
          <w:i/>
        </w:rPr>
        <w:t>Empirica, 50</w:t>
      </w:r>
      <w:r>
        <w:t>(1), pp.35-73.</w:t>
      </w:r>
    </w:p>
    <w:p w14:paraId="560F87A7" w14:textId="77777777" w:rsidR="00C90319" w:rsidRDefault="0054789E">
      <w:pPr>
        <w:spacing w:before="240" w:line="276" w:lineRule="auto"/>
      </w:pPr>
      <w:r>
        <w:t xml:space="preserve">Polleux, L., Guerassimoff, G., Marmorat, J.P., Sandoval-Moreno, J. and Schuhler, T., 2022. An overview of the challenges of solar power integration in isolated industrial microgrids with reliability constraints. </w:t>
      </w:r>
      <w:r>
        <w:rPr>
          <w:i/>
        </w:rPr>
        <w:t>Renewable and Sustainable Energy Reviews, 155</w:t>
      </w:r>
      <w:r>
        <w:t>, p.111955.</w:t>
      </w:r>
    </w:p>
    <w:p w14:paraId="2CD4085B" w14:textId="77777777" w:rsidR="00C90319" w:rsidRDefault="0054789E">
      <w:pPr>
        <w:spacing w:before="240" w:line="276" w:lineRule="auto"/>
      </w:pPr>
      <w:r>
        <w:t>TCG, 2023, “</w:t>
      </w:r>
      <w:r>
        <w:rPr>
          <w:i/>
        </w:rPr>
        <w:t>Making electric transport the new normal by 2030</w:t>
      </w:r>
      <w:r>
        <w:t>”,</w:t>
      </w:r>
      <w:hyperlink r:id="rId20">
        <w:r>
          <w:t xml:space="preserve"> </w:t>
        </w:r>
      </w:hyperlink>
      <w:hyperlink r:id="rId21">
        <w:r>
          <w:t xml:space="preserve">Available at </w:t>
        </w:r>
      </w:hyperlink>
      <w:hyperlink r:id="rId22">
        <w:r>
          <w:rPr>
            <w:color w:val="1155CC"/>
            <w:u w:val="single"/>
          </w:rPr>
          <w:t>https://www.theclimategroup.org/ev100</w:t>
        </w:r>
      </w:hyperlink>
      <w:r>
        <w:t xml:space="preserve"> [Accessed on 15th July 2023]</w:t>
      </w:r>
    </w:p>
    <w:p w14:paraId="5D515A1B" w14:textId="77777777" w:rsidR="00C90319" w:rsidRDefault="0054789E">
      <w:pPr>
        <w:spacing w:before="240" w:line="276" w:lineRule="auto"/>
      </w:pPr>
      <w:r>
        <w:t>TWH, 2022, “</w:t>
      </w:r>
      <w:r>
        <w:rPr>
          <w:i/>
        </w:rPr>
        <w:t>FACT SHEET: Biden-Harris Administration Announces New Standards and Major Progress for a Made-in-America National Network of Electric Vehicle Chargers</w:t>
      </w:r>
      <w:r>
        <w:t>”,</w:t>
      </w:r>
      <w:hyperlink r:id="rId23">
        <w:r>
          <w:t xml:space="preserve"> </w:t>
        </w:r>
      </w:hyperlink>
      <w:hyperlink r:id="rId24">
        <w:r>
          <w:rPr>
            <w:color w:val="1155CC"/>
            <w:u w:val="single"/>
          </w:rPr>
          <w:t>https://www.whitehouse.gov/briefing-room/statements-releases/2023/02/15/fact-sheet-biden-harris-administration-announces-new-standards-and-major-progress-for-a-made-in-america-national-network-of-electric-vehicle-chargers/</w:t>
        </w:r>
      </w:hyperlink>
      <w:r>
        <w:t xml:space="preserve"> [Accessed on 15th July 2023]</w:t>
      </w:r>
    </w:p>
    <w:p w14:paraId="14FAAFDA" w14:textId="77777777" w:rsidR="00C90319" w:rsidRDefault="0054789E">
      <w:pPr>
        <w:spacing w:before="240" w:line="276" w:lineRule="auto"/>
      </w:pPr>
      <w:r>
        <w:t>Ucsd, 2019, “</w:t>
      </w:r>
      <w:r>
        <w:rPr>
          <w:i/>
        </w:rPr>
        <w:t xml:space="preserve">Analysis of     </w:t>
      </w:r>
      <w:r>
        <w:rPr>
          <w:i/>
        </w:rPr>
        <w:tab/>
        <w:t xml:space="preserve">the   </w:t>
      </w:r>
      <w:r>
        <w:rPr>
          <w:i/>
        </w:rPr>
        <w:tab/>
        <w:t xml:space="preserve">Volkswagen </w:t>
      </w:r>
      <w:r>
        <w:rPr>
          <w:i/>
        </w:rPr>
        <w:tab/>
        <w:t xml:space="preserve">Scandal       </w:t>
      </w:r>
      <w:r>
        <w:rPr>
          <w:i/>
        </w:rPr>
        <w:tab/>
        <w:t xml:space="preserve"> Possible      </w:t>
      </w:r>
      <w:r>
        <w:rPr>
          <w:i/>
        </w:rPr>
        <w:tab/>
        <w:t xml:space="preserve">Solutions     </w:t>
      </w:r>
      <w:r>
        <w:rPr>
          <w:i/>
        </w:rPr>
        <w:tab/>
        <w:t xml:space="preserve">for   </w:t>
      </w:r>
      <w:r>
        <w:rPr>
          <w:i/>
        </w:rPr>
        <w:tab/>
        <w:t>Recovery</w:t>
      </w:r>
      <w:r>
        <w:t>”,</w:t>
      </w:r>
      <w:hyperlink r:id="rId25">
        <w:r>
          <w:t xml:space="preserve"> </w:t>
        </w:r>
      </w:hyperlink>
      <w:hyperlink r:id="rId26">
        <w:r>
          <w:t xml:space="preserve">Available at </w:t>
        </w:r>
      </w:hyperlink>
      <w:hyperlink r:id="rId27">
        <w:r>
          <w:rPr>
            <w:color w:val="1155CC"/>
            <w:u w:val="single"/>
          </w:rPr>
          <w:t>https://gps.ucsd.edu/_files/faculty/gourevitch/gourevitch_cs_zhou.pdf</w:t>
        </w:r>
      </w:hyperlink>
      <w:r>
        <w:t xml:space="preserve"> [Accessed on 15th July 2023]</w:t>
      </w:r>
    </w:p>
    <w:p w14:paraId="70390334" w14:textId="77777777" w:rsidR="00C90319" w:rsidRDefault="0054789E">
      <w:pPr>
        <w:spacing w:before="240" w:line="276" w:lineRule="auto"/>
      </w:pPr>
      <w:r>
        <w:t>VW, 2023, “</w:t>
      </w:r>
      <w:r>
        <w:rPr>
          <w:i/>
        </w:rPr>
        <w:t>Company</w:t>
      </w:r>
      <w:r>
        <w:t>”,</w:t>
      </w:r>
      <w:hyperlink r:id="rId28">
        <w:r>
          <w:t xml:space="preserve"> </w:t>
        </w:r>
      </w:hyperlink>
      <w:hyperlink r:id="rId29">
        <w:r>
          <w:t xml:space="preserve">Available at </w:t>
        </w:r>
      </w:hyperlink>
      <w:hyperlink r:id="rId30">
        <w:r>
          <w:rPr>
            <w:color w:val="1155CC"/>
            <w:u w:val="single"/>
          </w:rPr>
          <w:t>https://www.volkswagen-newsroom.com/en/company-3688</w:t>
        </w:r>
      </w:hyperlink>
      <w:r>
        <w:t xml:space="preserve"> [Accessed on 15th July 2023]</w:t>
      </w:r>
    </w:p>
    <w:p w14:paraId="563CC6E5" w14:textId="77777777" w:rsidR="00C90319" w:rsidRDefault="0054789E">
      <w:pPr>
        <w:spacing w:before="240" w:line="276" w:lineRule="auto"/>
      </w:pPr>
      <w:r>
        <w:t xml:space="preserve">Wai, C.K., Teck, T.S., Junkai, M., Lu, H., Hoo, W.C., Hong Ng, A.H. and Sam, T.H., 2021. Mapping the Volkswagen diesel dupe crisis, its implications and sustainability of their responses. </w:t>
      </w:r>
      <w:r>
        <w:rPr>
          <w:i/>
        </w:rPr>
        <w:t>International Journal of Academic Research in Business and Social Sciences, 11</w:t>
      </w:r>
      <w:r>
        <w:t>(5), pp.211-226.</w:t>
      </w:r>
    </w:p>
    <w:p w14:paraId="2FF4E917" w14:textId="3B5F4493" w:rsidR="00C90319" w:rsidRDefault="0054789E" w:rsidP="005E6A18">
      <w:pPr>
        <w:spacing w:before="240" w:line="276" w:lineRule="auto"/>
      </w:pPr>
      <w:r>
        <w:t xml:space="preserve">Welch, J., 2021. Will Boeing soar again? Navigating a corporate recovery process. </w:t>
      </w:r>
      <w:r>
        <w:rPr>
          <w:i/>
        </w:rPr>
        <w:t>Journal of Business Strategy, 42</w:t>
      </w:r>
      <w:r>
        <w:t>(5), pp.323-331.</w:t>
      </w:r>
      <w:r>
        <w:br w:type="page"/>
      </w:r>
    </w:p>
    <w:p w14:paraId="619ED9F7" w14:textId="77777777" w:rsidR="00C90319" w:rsidRDefault="0054789E">
      <w:pPr>
        <w:pStyle w:val="Heading1"/>
      </w:pPr>
      <w:bookmarkStart w:id="15" w:name="_Toc140515988"/>
      <w:r>
        <w:lastRenderedPageBreak/>
        <w:t>Appendix</w:t>
      </w:r>
      <w:bookmarkEnd w:id="15"/>
    </w:p>
    <w:p w14:paraId="261CC4EE" w14:textId="77777777" w:rsidR="00C90319" w:rsidRDefault="0054789E">
      <w:pPr>
        <w:pStyle w:val="Heading2"/>
      </w:pPr>
      <w:bookmarkStart w:id="16" w:name="_Toc140515989"/>
      <w:r>
        <w:t>SWOT Analysis</w:t>
      </w:r>
      <w:bookmarkEnd w:id="16"/>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C90319" w14:paraId="2E9D8A22" w14:textId="77777777">
        <w:tc>
          <w:tcPr>
            <w:tcW w:w="4514" w:type="dxa"/>
            <w:shd w:val="clear" w:color="auto" w:fill="auto"/>
            <w:tcMar>
              <w:top w:w="100" w:type="dxa"/>
              <w:left w:w="100" w:type="dxa"/>
              <w:bottom w:w="100" w:type="dxa"/>
              <w:right w:w="100" w:type="dxa"/>
            </w:tcMar>
          </w:tcPr>
          <w:p w14:paraId="38BB9D07" w14:textId="77777777" w:rsidR="00C90319" w:rsidRDefault="0054789E">
            <w:pPr>
              <w:widowControl w:val="0"/>
              <w:pBdr>
                <w:top w:val="nil"/>
                <w:left w:val="nil"/>
                <w:bottom w:val="nil"/>
                <w:right w:val="nil"/>
                <w:between w:val="nil"/>
              </w:pBdr>
              <w:jc w:val="center"/>
              <w:rPr>
                <w:b/>
              </w:rPr>
            </w:pPr>
            <w:r>
              <w:rPr>
                <w:b/>
              </w:rPr>
              <w:t>Strengths</w:t>
            </w:r>
          </w:p>
        </w:tc>
        <w:tc>
          <w:tcPr>
            <w:tcW w:w="4514" w:type="dxa"/>
            <w:shd w:val="clear" w:color="auto" w:fill="auto"/>
            <w:tcMar>
              <w:top w:w="100" w:type="dxa"/>
              <w:left w:w="100" w:type="dxa"/>
              <w:bottom w:w="100" w:type="dxa"/>
              <w:right w:w="100" w:type="dxa"/>
            </w:tcMar>
          </w:tcPr>
          <w:p w14:paraId="1083E2B9" w14:textId="77777777" w:rsidR="00C90319" w:rsidRDefault="0054789E">
            <w:pPr>
              <w:widowControl w:val="0"/>
              <w:pBdr>
                <w:top w:val="nil"/>
                <w:left w:val="nil"/>
                <w:bottom w:val="nil"/>
                <w:right w:val="nil"/>
                <w:between w:val="nil"/>
              </w:pBdr>
              <w:jc w:val="center"/>
              <w:rPr>
                <w:b/>
              </w:rPr>
            </w:pPr>
            <w:r>
              <w:rPr>
                <w:b/>
              </w:rPr>
              <w:t>Weaknesses</w:t>
            </w:r>
          </w:p>
        </w:tc>
      </w:tr>
      <w:tr w:rsidR="00C90319" w14:paraId="07BE070A" w14:textId="77777777">
        <w:tc>
          <w:tcPr>
            <w:tcW w:w="4514" w:type="dxa"/>
            <w:shd w:val="clear" w:color="auto" w:fill="auto"/>
            <w:tcMar>
              <w:top w:w="100" w:type="dxa"/>
              <w:left w:w="100" w:type="dxa"/>
              <w:bottom w:w="100" w:type="dxa"/>
              <w:right w:w="100" w:type="dxa"/>
            </w:tcMar>
          </w:tcPr>
          <w:p w14:paraId="6CC8F34B" w14:textId="77777777" w:rsidR="00C90319" w:rsidRDefault="0054789E">
            <w:pPr>
              <w:widowControl w:val="0"/>
              <w:numPr>
                <w:ilvl w:val="0"/>
                <w:numId w:val="2"/>
              </w:numPr>
              <w:pBdr>
                <w:top w:val="nil"/>
                <w:left w:val="nil"/>
                <w:bottom w:val="nil"/>
                <w:right w:val="nil"/>
                <w:between w:val="nil"/>
              </w:pBdr>
            </w:pPr>
            <w:r>
              <w:t>Powerful brand recognition and presence around the world.</w:t>
            </w:r>
          </w:p>
          <w:p w14:paraId="742A863E" w14:textId="77777777" w:rsidR="00C90319" w:rsidRDefault="0054789E">
            <w:pPr>
              <w:widowControl w:val="0"/>
              <w:numPr>
                <w:ilvl w:val="0"/>
                <w:numId w:val="2"/>
              </w:numPr>
              <w:pBdr>
                <w:top w:val="nil"/>
                <w:left w:val="nil"/>
                <w:bottom w:val="nil"/>
                <w:right w:val="nil"/>
                <w:between w:val="nil"/>
              </w:pBdr>
            </w:pPr>
            <w:r>
              <w:t>Large variety of makes and models to suit a wide range of consumers' needs and preferences.</w:t>
            </w:r>
          </w:p>
          <w:p w14:paraId="1E6CFE6C" w14:textId="77777777" w:rsidR="00C90319" w:rsidRDefault="0054789E">
            <w:pPr>
              <w:widowControl w:val="0"/>
              <w:numPr>
                <w:ilvl w:val="0"/>
                <w:numId w:val="2"/>
              </w:numPr>
              <w:pBdr>
                <w:top w:val="nil"/>
                <w:left w:val="nil"/>
                <w:bottom w:val="nil"/>
                <w:right w:val="nil"/>
                <w:between w:val="nil"/>
              </w:pBdr>
            </w:pPr>
            <w:r>
              <w:t>Research and development funds and technological know-how.</w:t>
            </w:r>
          </w:p>
          <w:p w14:paraId="56693F7D" w14:textId="77777777" w:rsidR="00C90319" w:rsidRDefault="0054789E">
            <w:pPr>
              <w:widowControl w:val="0"/>
              <w:numPr>
                <w:ilvl w:val="0"/>
                <w:numId w:val="2"/>
              </w:numPr>
              <w:pBdr>
                <w:top w:val="nil"/>
                <w:left w:val="nil"/>
                <w:bottom w:val="nil"/>
                <w:right w:val="nil"/>
                <w:between w:val="nil"/>
              </w:pBdr>
            </w:pPr>
            <w:r>
              <w:t>Capacity to produce in large quantities and a worldwide distribution network.</w:t>
            </w:r>
          </w:p>
          <w:p w14:paraId="1EB5787A" w14:textId="4F6DE821" w:rsidR="00C90319" w:rsidRDefault="005E6A18">
            <w:pPr>
              <w:widowControl w:val="0"/>
              <w:numPr>
                <w:ilvl w:val="0"/>
                <w:numId w:val="2"/>
              </w:numPr>
              <w:pBdr>
                <w:top w:val="nil"/>
                <w:left w:val="nil"/>
                <w:bottom w:val="nil"/>
                <w:right w:val="nil"/>
                <w:between w:val="nil"/>
              </w:pBdr>
            </w:pPr>
            <w:r>
              <w:t>A</w:t>
            </w:r>
            <w:r w:rsidR="0054789E">
              <w:t xml:space="preserve"> dedication to eco-friendliness and electric transportation.</w:t>
            </w:r>
          </w:p>
        </w:tc>
        <w:tc>
          <w:tcPr>
            <w:tcW w:w="4514" w:type="dxa"/>
            <w:shd w:val="clear" w:color="auto" w:fill="auto"/>
            <w:tcMar>
              <w:top w:w="100" w:type="dxa"/>
              <w:left w:w="100" w:type="dxa"/>
              <w:bottom w:w="100" w:type="dxa"/>
              <w:right w:w="100" w:type="dxa"/>
            </w:tcMar>
          </w:tcPr>
          <w:p w14:paraId="32DBA089" w14:textId="77777777" w:rsidR="00C90319" w:rsidRDefault="0054789E">
            <w:pPr>
              <w:widowControl w:val="0"/>
              <w:numPr>
                <w:ilvl w:val="0"/>
                <w:numId w:val="1"/>
              </w:numPr>
              <w:pBdr>
                <w:top w:val="nil"/>
                <w:left w:val="nil"/>
                <w:bottom w:val="nil"/>
                <w:right w:val="nil"/>
                <w:between w:val="nil"/>
              </w:pBdr>
            </w:pPr>
            <w:r>
              <w:t>The brand's reputation took a hit because of the "dieselgate" controversy.</w:t>
            </w:r>
          </w:p>
          <w:p w14:paraId="2EAA74CC" w14:textId="77777777" w:rsidR="00C90319" w:rsidRDefault="0054789E">
            <w:pPr>
              <w:widowControl w:val="0"/>
              <w:numPr>
                <w:ilvl w:val="0"/>
                <w:numId w:val="1"/>
              </w:numPr>
              <w:pBdr>
                <w:top w:val="nil"/>
                <w:left w:val="nil"/>
                <w:bottom w:val="nil"/>
                <w:right w:val="nil"/>
                <w:between w:val="nil"/>
              </w:pBdr>
            </w:pPr>
            <w:r>
              <w:t>Using automobiles powered by outdated internal combustion engines could be difficult in a dynamic market.</w:t>
            </w:r>
          </w:p>
          <w:p w14:paraId="5C4F8575" w14:textId="77777777" w:rsidR="00C90319" w:rsidRDefault="0054789E">
            <w:pPr>
              <w:widowControl w:val="0"/>
              <w:numPr>
                <w:ilvl w:val="0"/>
                <w:numId w:val="1"/>
              </w:numPr>
              <w:pBdr>
                <w:top w:val="nil"/>
                <w:left w:val="nil"/>
                <w:bottom w:val="nil"/>
                <w:right w:val="nil"/>
                <w:between w:val="nil"/>
              </w:pBdr>
            </w:pPr>
            <w:r>
              <w:t>Consequences of litigation and settlements arising from the scandal, both legally and monetarily.</w:t>
            </w:r>
          </w:p>
          <w:p w14:paraId="71BFC10D" w14:textId="77777777" w:rsidR="00C90319" w:rsidRDefault="0054789E">
            <w:pPr>
              <w:widowControl w:val="0"/>
              <w:numPr>
                <w:ilvl w:val="0"/>
                <w:numId w:val="1"/>
              </w:numPr>
              <w:pBdr>
                <w:top w:val="nil"/>
                <w:left w:val="nil"/>
                <w:bottom w:val="nil"/>
                <w:right w:val="nil"/>
                <w:between w:val="nil"/>
              </w:pBdr>
            </w:pPr>
            <w:r>
              <w:t>The automotive sector is highly competitive, making constant innovation and distinction essential.</w:t>
            </w:r>
          </w:p>
          <w:p w14:paraId="645E10F9" w14:textId="77777777" w:rsidR="00C90319" w:rsidRDefault="0054789E">
            <w:pPr>
              <w:widowControl w:val="0"/>
              <w:numPr>
                <w:ilvl w:val="0"/>
                <w:numId w:val="1"/>
              </w:numPr>
              <w:pBdr>
                <w:top w:val="nil"/>
                <w:left w:val="nil"/>
                <w:bottom w:val="nil"/>
                <w:right w:val="nil"/>
                <w:between w:val="nil"/>
              </w:pBdr>
            </w:pPr>
            <w:r>
              <w:t>Due to its size, the corporation lacks flexibility and moves slowly through decision-making.</w:t>
            </w:r>
          </w:p>
        </w:tc>
      </w:tr>
      <w:tr w:rsidR="00C90319" w14:paraId="75BFC18D" w14:textId="77777777">
        <w:tc>
          <w:tcPr>
            <w:tcW w:w="4514" w:type="dxa"/>
            <w:shd w:val="clear" w:color="auto" w:fill="auto"/>
            <w:tcMar>
              <w:top w:w="100" w:type="dxa"/>
              <w:left w:w="100" w:type="dxa"/>
              <w:bottom w:w="100" w:type="dxa"/>
              <w:right w:w="100" w:type="dxa"/>
            </w:tcMar>
          </w:tcPr>
          <w:p w14:paraId="2020B14C" w14:textId="77777777" w:rsidR="00C90319" w:rsidRDefault="0054789E">
            <w:pPr>
              <w:widowControl w:val="0"/>
              <w:pBdr>
                <w:top w:val="nil"/>
                <w:left w:val="nil"/>
                <w:bottom w:val="nil"/>
                <w:right w:val="nil"/>
                <w:between w:val="nil"/>
              </w:pBdr>
              <w:jc w:val="center"/>
              <w:rPr>
                <w:b/>
              </w:rPr>
            </w:pPr>
            <w:r>
              <w:rPr>
                <w:b/>
              </w:rPr>
              <w:t>Opportunities</w:t>
            </w:r>
          </w:p>
        </w:tc>
        <w:tc>
          <w:tcPr>
            <w:tcW w:w="4514" w:type="dxa"/>
            <w:shd w:val="clear" w:color="auto" w:fill="auto"/>
            <w:tcMar>
              <w:top w:w="100" w:type="dxa"/>
              <w:left w:w="100" w:type="dxa"/>
              <w:bottom w:w="100" w:type="dxa"/>
              <w:right w:w="100" w:type="dxa"/>
            </w:tcMar>
          </w:tcPr>
          <w:p w14:paraId="213E7FF6" w14:textId="77777777" w:rsidR="00C90319" w:rsidRDefault="0054789E">
            <w:pPr>
              <w:widowControl w:val="0"/>
              <w:pBdr>
                <w:top w:val="nil"/>
                <w:left w:val="nil"/>
                <w:bottom w:val="nil"/>
                <w:right w:val="nil"/>
                <w:between w:val="nil"/>
              </w:pBdr>
              <w:jc w:val="center"/>
              <w:rPr>
                <w:b/>
              </w:rPr>
            </w:pPr>
            <w:r>
              <w:rPr>
                <w:b/>
              </w:rPr>
              <w:t>Threats</w:t>
            </w:r>
          </w:p>
        </w:tc>
      </w:tr>
      <w:tr w:rsidR="00C90319" w14:paraId="61A24654" w14:textId="77777777">
        <w:tc>
          <w:tcPr>
            <w:tcW w:w="4514" w:type="dxa"/>
            <w:shd w:val="clear" w:color="auto" w:fill="auto"/>
            <w:tcMar>
              <w:top w:w="100" w:type="dxa"/>
              <w:left w:w="100" w:type="dxa"/>
              <w:bottom w:w="100" w:type="dxa"/>
              <w:right w:w="100" w:type="dxa"/>
            </w:tcMar>
          </w:tcPr>
          <w:p w14:paraId="58713F79" w14:textId="77777777" w:rsidR="00C90319" w:rsidRDefault="0054789E">
            <w:pPr>
              <w:widowControl w:val="0"/>
              <w:numPr>
                <w:ilvl w:val="0"/>
                <w:numId w:val="4"/>
              </w:numPr>
              <w:pBdr>
                <w:top w:val="nil"/>
                <w:left w:val="nil"/>
                <w:bottom w:val="nil"/>
                <w:right w:val="nil"/>
                <w:between w:val="nil"/>
              </w:pBdr>
            </w:pPr>
            <w:r>
              <w:t>There is a rising need for eco-friendly transportation options like electric cars.</w:t>
            </w:r>
          </w:p>
          <w:p w14:paraId="0B9CEB8A" w14:textId="77777777" w:rsidR="00C90319" w:rsidRDefault="0054789E">
            <w:pPr>
              <w:widowControl w:val="0"/>
              <w:numPr>
                <w:ilvl w:val="0"/>
                <w:numId w:val="4"/>
              </w:numPr>
              <w:pBdr>
                <w:top w:val="nil"/>
                <w:left w:val="nil"/>
                <w:bottom w:val="nil"/>
                <w:right w:val="nil"/>
                <w:between w:val="nil"/>
              </w:pBdr>
            </w:pPr>
            <w:r>
              <w:t>Developing a presence in emerging markets with rapidly expanding middle classes.</w:t>
            </w:r>
          </w:p>
          <w:p w14:paraId="1E04B3CC" w14:textId="77777777" w:rsidR="00C90319" w:rsidRDefault="0054789E">
            <w:pPr>
              <w:widowControl w:val="0"/>
              <w:numPr>
                <w:ilvl w:val="0"/>
                <w:numId w:val="4"/>
              </w:numPr>
              <w:pBdr>
                <w:top w:val="nil"/>
                <w:left w:val="nil"/>
                <w:bottom w:val="nil"/>
                <w:right w:val="nil"/>
                <w:between w:val="nil"/>
              </w:pBdr>
            </w:pPr>
            <w:r>
              <w:t>New digitization, networking, and self-driving car technologies.</w:t>
            </w:r>
          </w:p>
          <w:p w14:paraId="35726876" w14:textId="77777777" w:rsidR="00C90319" w:rsidRDefault="0054789E">
            <w:pPr>
              <w:widowControl w:val="0"/>
              <w:numPr>
                <w:ilvl w:val="0"/>
                <w:numId w:val="4"/>
              </w:numPr>
              <w:pBdr>
                <w:top w:val="nil"/>
                <w:left w:val="nil"/>
                <w:bottom w:val="nil"/>
                <w:right w:val="nil"/>
                <w:between w:val="nil"/>
              </w:pBdr>
            </w:pPr>
            <w:r>
              <w:t>Cooperation and partnership in the expansion of shared mobility resources.</w:t>
            </w:r>
          </w:p>
          <w:p w14:paraId="011E380F" w14:textId="77777777" w:rsidR="00C90319" w:rsidRDefault="0054789E">
            <w:pPr>
              <w:widowControl w:val="0"/>
              <w:numPr>
                <w:ilvl w:val="0"/>
                <w:numId w:val="4"/>
              </w:numPr>
              <w:pBdr>
                <w:top w:val="nil"/>
                <w:left w:val="nil"/>
                <w:bottom w:val="nil"/>
                <w:right w:val="nil"/>
                <w:between w:val="nil"/>
              </w:pBdr>
            </w:pPr>
            <w:r>
              <w:lastRenderedPageBreak/>
              <w:t>The demand for and popularity of eco-friendly goods continues to rise.</w:t>
            </w:r>
          </w:p>
        </w:tc>
        <w:tc>
          <w:tcPr>
            <w:tcW w:w="4514" w:type="dxa"/>
            <w:shd w:val="clear" w:color="auto" w:fill="auto"/>
            <w:tcMar>
              <w:top w:w="100" w:type="dxa"/>
              <w:left w:w="100" w:type="dxa"/>
              <w:bottom w:w="100" w:type="dxa"/>
              <w:right w:w="100" w:type="dxa"/>
            </w:tcMar>
          </w:tcPr>
          <w:p w14:paraId="7F594BF8" w14:textId="77777777" w:rsidR="00C90319" w:rsidRDefault="0054789E">
            <w:pPr>
              <w:widowControl w:val="0"/>
              <w:numPr>
                <w:ilvl w:val="0"/>
                <w:numId w:val="5"/>
              </w:numPr>
              <w:pBdr>
                <w:top w:val="nil"/>
                <w:left w:val="nil"/>
                <w:bottom w:val="nil"/>
                <w:right w:val="nil"/>
                <w:between w:val="nil"/>
              </w:pBdr>
            </w:pPr>
            <w:r>
              <w:lastRenderedPageBreak/>
              <w:t>There is a lot of rivalry in the market for electric vehicles, both from big automakers and new entrants.</w:t>
            </w:r>
          </w:p>
          <w:p w14:paraId="1FC475F6" w14:textId="77777777" w:rsidR="00C90319" w:rsidRDefault="0054789E">
            <w:pPr>
              <w:widowControl w:val="0"/>
              <w:numPr>
                <w:ilvl w:val="0"/>
                <w:numId w:val="5"/>
              </w:numPr>
              <w:pBdr>
                <w:top w:val="nil"/>
                <w:left w:val="nil"/>
                <w:bottom w:val="nil"/>
                <w:right w:val="nil"/>
                <w:between w:val="nil"/>
              </w:pBdr>
            </w:pPr>
            <w:r>
              <w:t>Tough emission limits and other environmental protections.</w:t>
            </w:r>
          </w:p>
          <w:p w14:paraId="4EEE2FF7" w14:textId="77777777" w:rsidR="00C90319" w:rsidRDefault="0054789E">
            <w:pPr>
              <w:widowControl w:val="0"/>
              <w:numPr>
                <w:ilvl w:val="0"/>
                <w:numId w:val="5"/>
              </w:numPr>
              <w:pBdr>
                <w:top w:val="nil"/>
                <w:left w:val="nil"/>
                <w:bottom w:val="nil"/>
                <w:right w:val="nil"/>
                <w:between w:val="nil"/>
              </w:pBdr>
            </w:pPr>
            <w:r>
              <w:t>Changes in the cost and accessibility of fuel.</w:t>
            </w:r>
          </w:p>
          <w:p w14:paraId="22B2E927" w14:textId="77777777" w:rsidR="00C90319" w:rsidRDefault="0054789E">
            <w:pPr>
              <w:widowControl w:val="0"/>
              <w:numPr>
                <w:ilvl w:val="0"/>
                <w:numId w:val="5"/>
              </w:numPr>
              <w:pBdr>
                <w:top w:val="nil"/>
                <w:left w:val="nil"/>
                <w:bottom w:val="nil"/>
                <w:right w:val="nil"/>
                <w:between w:val="nil"/>
              </w:pBdr>
            </w:pPr>
            <w:r>
              <w:t>Problems with the economy and market volatility.</w:t>
            </w:r>
          </w:p>
          <w:p w14:paraId="44A74F84" w14:textId="77777777" w:rsidR="00C90319" w:rsidRDefault="0054789E">
            <w:pPr>
              <w:widowControl w:val="0"/>
              <w:numPr>
                <w:ilvl w:val="0"/>
                <w:numId w:val="5"/>
              </w:numPr>
              <w:pBdr>
                <w:top w:val="nil"/>
                <w:left w:val="nil"/>
                <w:bottom w:val="nil"/>
                <w:right w:val="nil"/>
                <w:between w:val="nil"/>
              </w:pBdr>
            </w:pPr>
            <w:r>
              <w:t>Consumer tastes and fads are always shifting.</w:t>
            </w:r>
          </w:p>
        </w:tc>
      </w:tr>
    </w:tbl>
    <w:p w14:paraId="2970FA61" w14:textId="77777777" w:rsidR="00C90319" w:rsidRDefault="0054789E">
      <w:pPr>
        <w:pStyle w:val="Heading2"/>
      </w:pPr>
      <w:bookmarkStart w:id="17" w:name="_Toc140515990"/>
      <w:r>
        <w:t>PESTLE Analysis</w:t>
      </w:r>
      <w:bookmarkEnd w:id="17"/>
    </w:p>
    <w:tbl>
      <w:tblPr>
        <w:tblStyle w:val="a0"/>
        <w:tblW w:w="9030" w:type="dxa"/>
        <w:tblBorders>
          <w:top w:val="nil"/>
          <w:left w:val="nil"/>
          <w:bottom w:val="nil"/>
          <w:right w:val="nil"/>
          <w:insideH w:val="nil"/>
          <w:insideV w:val="nil"/>
        </w:tblBorders>
        <w:tblLayout w:type="fixed"/>
        <w:tblLook w:val="0600" w:firstRow="0" w:lastRow="0" w:firstColumn="0" w:lastColumn="0" w:noHBand="1" w:noVBand="1"/>
      </w:tblPr>
      <w:tblGrid>
        <w:gridCol w:w="1890"/>
        <w:gridCol w:w="7140"/>
      </w:tblGrid>
      <w:tr w:rsidR="00C90319" w14:paraId="2D96D74A" w14:textId="77777777">
        <w:trPr>
          <w:trHeight w:val="710"/>
        </w:trPr>
        <w:tc>
          <w:tcPr>
            <w:tcW w:w="1890"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bottom"/>
          </w:tcPr>
          <w:p w14:paraId="6E422A5C" w14:textId="77777777" w:rsidR="00C90319" w:rsidRDefault="0054789E">
            <w:pPr>
              <w:jc w:val="center"/>
              <w:rPr>
                <w:b/>
              </w:rPr>
            </w:pPr>
            <w:r>
              <w:rPr>
                <w:b/>
              </w:rPr>
              <w:t>Factors</w:t>
            </w:r>
          </w:p>
        </w:tc>
        <w:tc>
          <w:tcPr>
            <w:tcW w:w="7140"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bottom"/>
          </w:tcPr>
          <w:p w14:paraId="7B60046E" w14:textId="77777777" w:rsidR="00C90319" w:rsidRDefault="0054789E">
            <w:pPr>
              <w:jc w:val="center"/>
              <w:rPr>
                <w:b/>
              </w:rPr>
            </w:pPr>
            <w:r>
              <w:rPr>
                <w:b/>
              </w:rPr>
              <w:t>Description</w:t>
            </w:r>
          </w:p>
        </w:tc>
      </w:tr>
      <w:tr w:rsidR="00C90319" w14:paraId="082448B0" w14:textId="77777777">
        <w:trPr>
          <w:trHeight w:val="1415"/>
        </w:trPr>
        <w:tc>
          <w:tcPr>
            <w:tcW w:w="1890"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0ECDF7F2" w14:textId="77777777" w:rsidR="00C90319" w:rsidRDefault="0054789E">
            <w:pPr>
              <w:rPr>
                <w:b/>
              </w:rPr>
            </w:pPr>
            <w:r>
              <w:rPr>
                <w:b/>
              </w:rPr>
              <w:t>Political</w:t>
            </w:r>
          </w:p>
        </w:tc>
        <w:tc>
          <w:tcPr>
            <w:tcW w:w="7140"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0EADAC06" w14:textId="77777777" w:rsidR="00C90319" w:rsidRDefault="0054789E">
            <w:r>
              <w:t>Volkswagen is heavily impacted by emissions and environmental laws. Due to stricter laws, "dieselgate" has legal and financial consequences.</w:t>
            </w:r>
          </w:p>
          <w:p w14:paraId="37AD22FE" w14:textId="77777777" w:rsidR="00C90319" w:rsidRDefault="0054789E">
            <w:r>
              <w:t>Electric transportation incentives, subsidies, and laws have increased worldwide. This allows Volkswagen to boost electric vehicle production.</w:t>
            </w:r>
          </w:p>
        </w:tc>
      </w:tr>
      <w:tr w:rsidR="00C90319" w14:paraId="1D2F54B0" w14:textId="77777777">
        <w:trPr>
          <w:trHeight w:val="1415"/>
        </w:trPr>
        <w:tc>
          <w:tcPr>
            <w:tcW w:w="1890"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73053651" w14:textId="77777777" w:rsidR="00C90319" w:rsidRDefault="0054789E">
            <w:pPr>
              <w:rPr>
                <w:b/>
              </w:rPr>
            </w:pPr>
            <w:r>
              <w:rPr>
                <w:b/>
              </w:rPr>
              <w:t>Economic</w:t>
            </w:r>
          </w:p>
        </w:tc>
        <w:tc>
          <w:tcPr>
            <w:tcW w:w="7140"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2A01ABFA" w14:textId="1322E278" w:rsidR="00C90319" w:rsidRDefault="0054789E">
            <w:r>
              <w:t>Macroeconomic factors affect Volkswagen's sales and earnings. GDP growth, interest rates, and currency exchange rates. Consumer spending and car sales might fall with economic growth. Volkswagen's 2020 sales fell 11.8% to €222.9 billion, according to its annual report. COVID-19's global economic collapse triggered this drop</w:t>
            </w:r>
            <w:r w:rsidR="005E6A18">
              <w:t xml:space="preserve"> (ARV, 2023)</w:t>
            </w:r>
            <w:r>
              <w:t>.</w:t>
            </w:r>
          </w:p>
        </w:tc>
      </w:tr>
      <w:tr w:rsidR="00C90319" w14:paraId="4850A8E8" w14:textId="77777777">
        <w:trPr>
          <w:trHeight w:val="1775"/>
        </w:trPr>
        <w:tc>
          <w:tcPr>
            <w:tcW w:w="1890"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3BD0A6A0" w14:textId="77777777" w:rsidR="00C90319" w:rsidRDefault="0054789E">
            <w:pPr>
              <w:rPr>
                <w:b/>
              </w:rPr>
            </w:pPr>
            <w:r>
              <w:rPr>
                <w:b/>
              </w:rPr>
              <w:t>Social</w:t>
            </w:r>
          </w:p>
        </w:tc>
        <w:tc>
          <w:tcPr>
            <w:tcW w:w="7140"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4E9514ED" w14:textId="77777777" w:rsidR="00C90319" w:rsidRDefault="0054789E">
            <w:r>
              <w:t>Consumer priorities and the green market have expedited the switch to electric cars. Volkswagen has invested much in electric vehicles and green business practices. Due to public awareness of environmental issues and pollution's health impacts, automakers must build cleaner cars. Volkswagen's "dieselgate" scandal damaged its reputation but increased industry transparency.</w:t>
            </w:r>
          </w:p>
        </w:tc>
      </w:tr>
      <w:tr w:rsidR="00C90319" w14:paraId="29CD0826" w14:textId="77777777">
        <w:trPr>
          <w:trHeight w:val="1775"/>
        </w:trPr>
        <w:tc>
          <w:tcPr>
            <w:tcW w:w="1890"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596C99D5" w14:textId="77777777" w:rsidR="00C90319" w:rsidRDefault="0054789E">
            <w:pPr>
              <w:rPr>
                <w:b/>
              </w:rPr>
            </w:pPr>
            <w:r>
              <w:rPr>
                <w:b/>
              </w:rPr>
              <w:t>Technological</w:t>
            </w:r>
          </w:p>
        </w:tc>
        <w:tc>
          <w:tcPr>
            <w:tcW w:w="7140"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36565A25" w14:textId="77777777" w:rsidR="00C90319" w:rsidRDefault="0054789E">
            <w:r>
              <w:t>Electric cars, automated driving, and networking have transformed the auto industry. Volkswagen invests much in R&amp;D to stay ahead.</w:t>
            </w:r>
          </w:p>
        </w:tc>
      </w:tr>
      <w:tr w:rsidR="00C90319" w14:paraId="577FA70C" w14:textId="77777777">
        <w:trPr>
          <w:trHeight w:val="1775"/>
        </w:trPr>
        <w:tc>
          <w:tcPr>
            <w:tcW w:w="1890"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39BE50F4" w14:textId="77777777" w:rsidR="00C90319" w:rsidRDefault="0054789E">
            <w:pPr>
              <w:rPr>
                <w:b/>
              </w:rPr>
            </w:pPr>
            <w:r>
              <w:rPr>
                <w:b/>
              </w:rPr>
              <w:t>Legal</w:t>
            </w:r>
          </w:p>
        </w:tc>
        <w:tc>
          <w:tcPr>
            <w:tcW w:w="7140"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55346E7D" w14:textId="0132EA2B" w:rsidR="00C90319" w:rsidRDefault="0054789E">
            <w:r>
              <w:t>Emissions, product safety, and consumer protection legislation affect Volkswagen's business practices and strategies. The "dieselgate" scandal, which resulted in legal action and fines, shows the importance of regulations and ethics</w:t>
            </w:r>
            <w:r w:rsidR="001D5EAD">
              <w:t xml:space="preserve"> (</w:t>
            </w:r>
            <w:r w:rsidR="001D5EAD">
              <w:rPr>
                <w:lang w:val="en-IN"/>
              </w:rPr>
              <w:t>BBC, 2022)</w:t>
            </w:r>
            <w:r>
              <w:t>.</w:t>
            </w:r>
          </w:p>
        </w:tc>
      </w:tr>
      <w:tr w:rsidR="00C90319" w14:paraId="3DCD2F14" w14:textId="77777777">
        <w:trPr>
          <w:trHeight w:val="1775"/>
        </w:trPr>
        <w:tc>
          <w:tcPr>
            <w:tcW w:w="1890"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573857F1" w14:textId="77777777" w:rsidR="00C90319" w:rsidRDefault="0054789E">
            <w:pPr>
              <w:rPr>
                <w:b/>
              </w:rPr>
            </w:pPr>
            <w:r>
              <w:rPr>
                <w:b/>
              </w:rPr>
              <w:lastRenderedPageBreak/>
              <w:t>Environmental</w:t>
            </w:r>
          </w:p>
        </w:tc>
        <w:tc>
          <w:tcPr>
            <w:tcW w:w="7140"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vAlign w:val="center"/>
          </w:tcPr>
          <w:p w14:paraId="27929790" w14:textId="3B377685" w:rsidR="00C90319" w:rsidRDefault="0054789E">
            <w:r>
              <w:t>Climate warming and air pollution have spurred calls for stricter emission regulations and greener transport options. Volkswagen's electric vehicle development is ethical. Volkswagen aims towards a carbon-neutral value chain by 2050</w:t>
            </w:r>
            <w:r w:rsidR="005E6A18">
              <w:t xml:space="preserve"> (ARV, 2023)</w:t>
            </w:r>
            <w:r>
              <w:t>.</w:t>
            </w:r>
          </w:p>
        </w:tc>
      </w:tr>
    </w:tbl>
    <w:p w14:paraId="0393DBD9" w14:textId="77777777" w:rsidR="00C90319" w:rsidRDefault="0054789E">
      <w:pPr>
        <w:pStyle w:val="Heading2"/>
      </w:pPr>
      <w:bookmarkStart w:id="18" w:name="_Toc140515991"/>
      <w:r>
        <w:t>Porter’s 5 Forces</w:t>
      </w:r>
      <w:bookmarkEnd w:id="18"/>
    </w:p>
    <w:tbl>
      <w:tblPr>
        <w:tblStyle w:val="a1"/>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C90319" w14:paraId="0B16F421" w14:textId="77777777">
        <w:tc>
          <w:tcPr>
            <w:tcW w:w="4514" w:type="dxa"/>
            <w:shd w:val="clear" w:color="auto" w:fill="auto"/>
            <w:tcMar>
              <w:top w:w="100" w:type="dxa"/>
              <w:left w:w="100" w:type="dxa"/>
              <w:bottom w:w="100" w:type="dxa"/>
              <w:right w:w="100" w:type="dxa"/>
            </w:tcMar>
          </w:tcPr>
          <w:p w14:paraId="5A65D58B" w14:textId="77777777" w:rsidR="00C90319" w:rsidRDefault="0054789E">
            <w:pPr>
              <w:widowControl w:val="0"/>
              <w:pBdr>
                <w:top w:val="nil"/>
                <w:left w:val="nil"/>
                <w:bottom w:val="nil"/>
                <w:right w:val="nil"/>
                <w:between w:val="nil"/>
              </w:pBdr>
              <w:spacing w:line="240" w:lineRule="auto"/>
              <w:jc w:val="left"/>
              <w:rPr>
                <w:b/>
              </w:rPr>
            </w:pPr>
            <w:r>
              <w:rPr>
                <w:b/>
              </w:rPr>
              <w:t>Threat of New Entrants</w:t>
            </w:r>
          </w:p>
        </w:tc>
        <w:tc>
          <w:tcPr>
            <w:tcW w:w="4514" w:type="dxa"/>
            <w:shd w:val="clear" w:color="auto" w:fill="00FF00"/>
            <w:tcMar>
              <w:top w:w="100" w:type="dxa"/>
              <w:left w:w="100" w:type="dxa"/>
              <w:bottom w:w="100" w:type="dxa"/>
              <w:right w:w="100" w:type="dxa"/>
            </w:tcMar>
          </w:tcPr>
          <w:p w14:paraId="0FBE1ACD" w14:textId="77777777" w:rsidR="00C90319" w:rsidRDefault="0054789E">
            <w:pPr>
              <w:widowControl w:val="0"/>
              <w:pBdr>
                <w:top w:val="nil"/>
                <w:left w:val="nil"/>
                <w:bottom w:val="nil"/>
                <w:right w:val="nil"/>
                <w:between w:val="nil"/>
              </w:pBdr>
              <w:spacing w:line="240" w:lineRule="auto"/>
              <w:jc w:val="left"/>
            </w:pPr>
            <w:r>
              <w:t>Low</w:t>
            </w:r>
          </w:p>
        </w:tc>
      </w:tr>
      <w:tr w:rsidR="00C90319" w14:paraId="0E8B255E" w14:textId="77777777">
        <w:tc>
          <w:tcPr>
            <w:tcW w:w="4514" w:type="dxa"/>
            <w:shd w:val="clear" w:color="auto" w:fill="auto"/>
            <w:tcMar>
              <w:top w:w="100" w:type="dxa"/>
              <w:left w:w="100" w:type="dxa"/>
              <w:bottom w:w="100" w:type="dxa"/>
              <w:right w:w="100" w:type="dxa"/>
            </w:tcMar>
          </w:tcPr>
          <w:p w14:paraId="0AA05EAC" w14:textId="77777777" w:rsidR="00C90319" w:rsidRDefault="0054789E">
            <w:pPr>
              <w:widowControl w:val="0"/>
              <w:pBdr>
                <w:top w:val="nil"/>
                <w:left w:val="nil"/>
                <w:bottom w:val="nil"/>
                <w:right w:val="nil"/>
                <w:between w:val="nil"/>
              </w:pBdr>
              <w:spacing w:line="240" w:lineRule="auto"/>
              <w:jc w:val="left"/>
              <w:rPr>
                <w:b/>
              </w:rPr>
            </w:pPr>
            <w:r>
              <w:rPr>
                <w:b/>
              </w:rPr>
              <w:t>Bargaining Power of Suppliers</w:t>
            </w:r>
          </w:p>
        </w:tc>
        <w:tc>
          <w:tcPr>
            <w:tcW w:w="4514" w:type="dxa"/>
            <w:shd w:val="clear" w:color="auto" w:fill="FFFF00"/>
            <w:tcMar>
              <w:top w:w="100" w:type="dxa"/>
              <w:left w:w="100" w:type="dxa"/>
              <w:bottom w:w="100" w:type="dxa"/>
              <w:right w:w="100" w:type="dxa"/>
            </w:tcMar>
          </w:tcPr>
          <w:p w14:paraId="455CA74E" w14:textId="77777777" w:rsidR="00C90319" w:rsidRDefault="0054789E">
            <w:pPr>
              <w:widowControl w:val="0"/>
              <w:pBdr>
                <w:top w:val="nil"/>
                <w:left w:val="nil"/>
                <w:bottom w:val="nil"/>
                <w:right w:val="nil"/>
                <w:between w:val="nil"/>
              </w:pBdr>
              <w:spacing w:line="240" w:lineRule="auto"/>
              <w:jc w:val="left"/>
            </w:pPr>
            <w:r>
              <w:t>Medium</w:t>
            </w:r>
          </w:p>
        </w:tc>
      </w:tr>
      <w:tr w:rsidR="00C90319" w14:paraId="18A152B3" w14:textId="77777777">
        <w:tc>
          <w:tcPr>
            <w:tcW w:w="4514" w:type="dxa"/>
            <w:shd w:val="clear" w:color="auto" w:fill="auto"/>
            <w:tcMar>
              <w:top w:w="100" w:type="dxa"/>
              <w:left w:w="100" w:type="dxa"/>
              <w:bottom w:w="100" w:type="dxa"/>
              <w:right w:w="100" w:type="dxa"/>
            </w:tcMar>
          </w:tcPr>
          <w:p w14:paraId="0B254C50" w14:textId="77777777" w:rsidR="00C90319" w:rsidRDefault="0054789E">
            <w:pPr>
              <w:widowControl w:val="0"/>
              <w:pBdr>
                <w:top w:val="nil"/>
                <w:left w:val="nil"/>
                <w:bottom w:val="nil"/>
                <w:right w:val="nil"/>
                <w:between w:val="nil"/>
              </w:pBdr>
              <w:spacing w:line="240" w:lineRule="auto"/>
              <w:jc w:val="left"/>
              <w:rPr>
                <w:b/>
              </w:rPr>
            </w:pPr>
            <w:r>
              <w:rPr>
                <w:b/>
              </w:rPr>
              <w:t>Bargaining Power of Buyers</w:t>
            </w:r>
          </w:p>
        </w:tc>
        <w:tc>
          <w:tcPr>
            <w:tcW w:w="4514" w:type="dxa"/>
            <w:shd w:val="clear" w:color="auto" w:fill="FFFF00"/>
            <w:tcMar>
              <w:top w:w="100" w:type="dxa"/>
              <w:left w:w="100" w:type="dxa"/>
              <w:bottom w:w="100" w:type="dxa"/>
              <w:right w:w="100" w:type="dxa"/>
            </w:tcMar>
          </w:tcPr>
          <w:p w14:paraId="30ED3F47" w14:textId="77777777" w:rsidR="00C90319" w:rsidRDefault="0054789E">
            <w:pPr>
              <w:widowControl w:val="0"/>
              <w:pBdr>
                <w:top w:val="nil"/>
                <w:left w:val="nil"/>
                <w:bottom w:val="nil"/>
                <w:right w:val="nil"/>
                <w:between w:val="nil"/>
              </w:pBdr>
              <w:spacing w:line="240" w:lineRule="auto"/>
              <w:jc w:val="left"/>
            </w:pPr>
            <w:r>
              <w:t>Medium</w:t>
            </w:r>
          </w:p>
        </w:tc>
      </w:tr>
      <w:tr w:rsidR="00C90319" w14:paraId="3CE66920" w14:textId="77777777">
        <w:tc>
          <w:tcPr>
            <w:tcW w:w="4514" w:type="dxa"/>
            <w:shd w:val="clear" w:color="auto" w:fill="auto"/>
            <w:tcMar>
              <w:top w:w="100" w:type="dxa"/>
              <w:left w:w="100" w:type="dxa"/>
              <w:bottom w:w="100" w:type="dxa"/>
              <w:right w:w="100" w:type="dxa"/>
            </w:tcMar>
          </w:tcPr>
          <w:p w14:paraId="7FEE5093" w14:textId="77777777" w:rsidR="00C90319" w:rsidRDefault="0054789E">
            <w:pPr>
              <w:widowControl w:val="0"/>
              <w:pBdr>
                <w:top w:val="nil"/>
                <w:left w:val="nil"/>
                <w:bottom w:val="nil"/>
                <w:right w:val="nil"/>
                <w:between w:val="nil"/>
              </w:pBdr>
              <w:spacing w:line="240" w:lineRule="auto"/>
              <w:jc w:val="left"/>
              <w:rPr>
                <w:b/>
              </w:rPr>
            </w:pPr>
            <w:r>
              <w:rPr>
                <w:b/>
              </w:rPr>
              <w:t>Threat of Substitute Products</w:t>
            </w:r>
          </w:p>
        </w:tc>
        <w:tc>
          <w:tcPr>
            <w:tcW w:w="4514" w:type="dxa"/>
            <w:shd w:val="clear" w:color="auto" w:fill="FFFF00"/>
            <w:tcMar>
              <w:top w:w="100" w:type="dxa"/>
              <w:left w:w="100" w:type="dxa"/>
              <w:bottom w:w="100" w:type="dxa"/>
              <w:right w:w="100" w:type="dxa"/>
            </w:tcMar>
          </w:tcPr>
          <w:p w14:paraId="74961667" w14:textId="77777777" w:rsidR="00C90319" w:rsidRDefault="0054789E">
            <w:pPr>
              <w:widowControl w:val="0"/>
              <w:pBdr>
                <w:top w:val="nil"/>
                <w:left w:val="nil"/>
                <w:bottom w:val="nil"/>
                <w:right w:val="nil"/>
                <w:between w:val="nil"/>
              </w:pBdr>
              <w:spacing w:line="240" w:lineRule="auto"/>
              <w:jc w:val="left"/>
            </w:pPr>
            <w:r>
              <w:t>Medium</w:t>
            </w:r>
          </w:p>
        </w:tc>
      </w:tr>
      <w:tr w:rsidR="00C90319" w14:paraId="02C23596" w14:textId="77777777">
        <w:tc>
          <w:tcPr>
            <w:tcW w:w="4514" w:type="dxa"/>
            <w:shd w:val="clear" w:color="auto" w:fill="auto"/>
            <w:tcMar>
              <w:top w:w="100" w:type="dxa"/>
              <w:left w:w="100" w:type="dxa"/>
              <w:bottom w:w="100" w:type="dxa"/>
              <w:right w:w="100" w:type="dxa"/>
            </w:tcMar>
          </w:tcPr>
          <w:p w14:paraId="6E5BC644" w14:textId="77777777" w:rsidR="00C90319" w:rsidRDefault="0054789E">
            <w:pPr>
              <w:widowControl w:val="0"/>
              <w:pBdr>
                <w:top w:val="nil"/>
                <w:left w:val="nil"/>
                <w:bottom w:val="nil"/>
                <w:right w:val="nil"/>
                <w:between w:val="nil"/>
              </w:pBdr>
              <w:spacing w:line="240" w:lineRule="auto"/>
              <w:jc w:val="left"/>
              <w:rPr>
                <w:b/>
              </w:rPr>
            </w:pPr>
            <w:r>
              <w:rPr>
                <w:b/>
              </w:rPr>
              <w:t>Intensity of Competitive Rivalry</w:t>
            </w:r>
          </w:p>
        </w:tc>
        <w:tc>
          <w:tcPr>
            <w:tcW w:w="4514" w:type="dxa"/>
            <w:shd w:val="clear" w:color="auto" w:fill="FF0000"/>
            <w:tcMar>
              <w:top w:w="100" w:type="dxa"/>
              <w:left w:w="100" w:type="dxa"/>
              <w:bottom w:w="100" w:type="dxa"/>
              <w:right w:w="100" w:type="dxa"/>
            </w:tcMar>
          </w:tcPr>
          <w:p w14:paraId="51D21025" w14:textId="77777777" w:rsidR="00C90319" w:rsidRDefault="0054789E">
            <w:pPr>
              <w:widowControl w:val="0"/>
              <w:pBdr>
                <w:top w:val="nil"/>
                <w:left w:val="nil"/>
                <w:bottom w:val="nil"/>
                <w:right w:val="nil"/>
                <w:between w:val="nil"/>
              </w:pBdr>
              <w:spacing w:line="240" w:lineRule="auto"/>
              <w:jc w:val="left"/>
            </w:pPr>
            <w:r>
              <w:t>High</w:t>
            </w:r>
          </w:p>
        </w:tc>
      </w:tr>
    </w:tbl>
    <w:p w14:paraId="6F8E5C4F" w14:textId="77777777" w:rsidR="00C90319" w:rsidRDefault="00C90319"/>
    <w:sectPr w:rsidR="00C90319" w:rsidSect="0054789E">
      <w:pgSz w:w="11909" w:h="16834"/>
      <w:pgMar w:top="1440" w:right="1440" w:bottom="1440" w:left="1440" w:header="720" w:footer="720" w:gutter="0"/>
      <w:pgBorders w:offsetFrom="page">
        <w:top w:val="single" w:sz="8" w:space="24" w:color="auto"/>
        <w:left w:val="single" w:sz="8" w:space="24" w:color="auto"/>
        <w:bottom w:val="single" w:sz="8" w:space="24" w:color="auto"/>
        <w:right w:val="single" w:sz="8" w:space="24" w:color="auto"/>
      </w:pgBorders>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724A2D"/>
    <w:multiLevelType w:val="multilevel"/>
    <w:tmpl w:val="CD386F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7D80D47"/>
    <w:multiLevelType w:val="multilevel"/>
    <w:tmpl w:val="00A293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81C051A"/>
    <w:multiLevelType w:val="multilevel"/>
    <w:tmpl w:val="C24A44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A7C0BBD"/>
    <w:multiLevelType w:val="multilevel"/>
    <w:tmpl w:val="291EC1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01233C9"/>
    <w:multiLevelType w:val="multilevel"/>
    <w:tmpl w:val="ECD078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284922300">
    <w:abstractNumId w:val="1"/>
  </w:num>
  <w:num w:numId="2" w16cid:durableId="456949548">
    <w:abstractNumId w:val="2"/>
  </w:num>
  <w:num w:numId="3" w16cid:durableId="324482005">
    <w:abstractNumId w:val="4"/>
  </w:num>
  <w:num w:numId="4" w16cid:durableId="1319385395">
    <w:abstractNumId w:val="0"/>
  </w:num>
  <w:num w:numId="5" w16cid:durableId="455375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0319"/>
    <w:rsid w:val="000C502D"/>
    <w:rsid w:val="001D5EAD"/>
    <w:rsid w:val="0054789E"/>
    <w:rsid w:val="005A655C"/>
    <w:rsid w:val="005E6A18"/>
    <w:rsid w:val="00C90319"/>
    <w:rsid w:val="00E54F9C"/>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21DDD1"/>
  <w15:docId w15:val="{9C5D3A76-1DA8-493A-963F-9371E6E10B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IN" w:bidi="bn-IN"/>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outlineLvl w:val="1"/>
    </w:pPr>
    <w:rPr>
      <w:b/>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jc w:val="center"/>
    </w:pPr>
    <w:rPr>
      <w:b/>
      <w:sz w:val="40"/>
      <w:szCs w:val="40"/>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tcPr>
      <w:shd w:val="clear" w:color="auto" w:fill="444654"/>
    </w:tc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TOC1">
    <w:name w:val="toc 1"/>
    <w:basedOn w:val="Normal"/>
    <w:next w:val="Normal"/>
    <w:autoRedefine/>
    <w:uiPriority w:val="39"/>
    <w:unhideWhenUsed/>
    <w:rsid w:val="0054789E"/>
    <w:pPr>
      <w:spacing w:after="100"/>
    </w:pPr>
    <w:rPr>
      <w:szCs w:val="30"/>
    </w:rPr>
  </w:style>
  <w:style w:type="paragraph" w:styleId="TOC2">
    <w:name w:val="toc 2"/>
    <w:basedOn w:val="Normal"/>
    <w:next w:val="Normal"/>
    <w:autoRedefine/>
    <w:uiPriority w:val="39"/>
    <w:unhideWhenUsed/>
    <w:rsid w:val="0054789E"/>
    <w:pPr>
      <w:spacing w:after="100"/>
      <w:ind w:left="240"/>
    </w:pPr>
    <w:rPr>
      <w:szCs w:val="30"/>
    </w:rPr>
  </w:style>
  <w:style w:type="character" w:styleId="Hyperlink">
    <w:name w:val="Hyperlink"/>
    <w:basedOn w:val="DefaultParagraphFont"/>
    <w:uiPriority w:val="99"/>
    <w:unhideWhenUsed/>
    <w:rsid w:val="0054789E"/>
    <w:rPr>
      <w:color w:val="0000FF" w:themeColor="hyperlink"/>
      <w:u w:val="single"/>
    </w:rPr>
  </w:style>
  <w:style w:type="character" w:styleId="UnresolvedMention">
    <w:name w:val="Unresolved Mention"/>
    <w:basedOn w:val="DefaultParagraphFont"/>
    <w:uiPriority w:val="99"/>
    <w:semiHidden/>
    <w:unhideWhenUsed/>
    <w:rsid w:val="005E6A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0624922">
      <w:bodyDiv w:val="1"/>
      <w:marLeft w:val="0"/>
      <w:marRight w:val="0"/>
      <w:marTop w:val="0"/>
      <w:marBottom w:val="0"/>
      <w:divBdr>
        <w:top w:val="none" w:sz="0" w:space="0" w:color="auto"/>
        <w:left w:val="none" w:sz="0" w:space="0" w:color="auto"/>
        <w:bottom w:val="none" w:sz="0" w:space="0" w:color="auto"/>
        <w:right w:val="none" w:sz="0" w:space="0" w:color="auto"/>
      </w:divBdr>
    </w:div>
    <w:div w:id="164943096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bbc.com/news/business-61581251" TargetMode="External"/><Relationship Id="rId13" Type="http://schemas.openxmlformats.org/officeDocument/2006/relationships/hyperlink" Target="https://www.iea.org/commentaries/electric-cars-fend-off-supply-challenges-to-more-than-double-global-sales" TargetMode="External"/><Relationship Id="rId18" Type="http://schemas.openxmlformats.org/officeDocument/2006/relationships/hyperlink" Target="https://electrek.co/2016/06/16/vw-2-3-million-all-electric-cars-2025/" TargetMode="External"/><Relationship Id="rId26" Type="http://schemas.openxmlformats.org/officeDocument/2006/relationships/hyperlink" Target="https://electrek.co/2016/06/16/vw-2-3-million-all-electric-cars-2025/" TargetMode="External"/><Relationship Id="rId3" Type="http://schemas.openxmlformats.org/officeDocument/2006/relationships/settings" Target="settings.xml"/><Relationship Id="rId21" Type="http://schemas.openxmlformats.org/officeDocument/2006/relationships/hyperlink" Target="https://electrek.co/2016/06/16/vw-2-3-million-all-electric-cars-2025/" TargetMode="External"/><Relationship Id="rId7" Type="http://schemas.openxmlformats.org/officeDocument/2006/relationships/hyperlink" Target="https://annualreport2022.volkswagenag.com/" TargetMode="External"/><Relationship Id="rId12" Type="http://schemas.openxmlformats.org/officeDocument/2006/relationships/hyperlink" Target="https://electrek.co/2016/06/16/vw-2-3-million-all-electric-cars-2025/" TargetMode="External"/><Relationship Id="rId17" Type="http://schemas.openxmlformats.org/officeDocument/2006/relationships/hyperlink" Target="https://www.oecd.org/environment/waste/Global%20Forum%20Tokyo%20Issues%20Paper%2030-5-2014.pdf" TargetMode="External"/><Relationship Id="rId25" Type="http://schemas.openxmlformats.org/officeDocument/2006/relationships/hyperlink" Target="https://gps.ucsd.edu/_files/faculty/gourevitch/gourevitch_cs_zhou.pdf" TargetMode="External"/><Relationship Id="rId2" Type="http://schemas.openxmlformats.org/officeDocument/2006/relationships/styles" Target="styles.xml"/><Relationship Id="rId16" Type="http://schemas.openxmlformats.org/officeDocument/2006/relationships/hyperlink" Target="https://www.niti.gov.in/sites/default/files/2023-05/Final-smaller_Electric-Vehicles-Charging-Infrastructure.pdf" TargetMode="External"/><Relationship Id="rId20" Type="http://schemas.openxmlformats.org/officeDocument/2006/relationships/hyperlink" Target="https://www.theclimategroup.org/ev100" TargetMode="External"/><Relationship Id="rId29" Type="http://schemas.openxmlformats.org/officeDocument/2006/relationships/hyperlink" Target="https://electrek.co/2016/06/16/vw-2-3-million-all-electric-cars-2025/" TargetMode="External"/><Relationship Id="rId1" Type="http://schemas.openxmlformats.org/officeDocument/2006/relationships/numbering" Target="numbering.xml"/><Relationship Id="rId6" Type="http://schemas.openxmlformats.org/officeDocument/2006/relationships/hyperlink" Target="https://electrek.co/2016/06/16/vw-2-3-million-all-electric-cars-2025/" TargetMode="External"/><Relationship Id="rId11" Type="http://schemas.openxmlformats.org/officeDocument/2006/relationships/hyperlink" Target="https://www.iea.org/commentaries/electric-cars-fend-off-supply-challenges-to-more-than-double-global-sales" TargetMode="External"/><Relationship Id="rId24" Type="http://schemas.openxmlformats.org/officeDocument/2006/relationships/hyperlink" Target="https://www.whitehouse.gov/briefing-room/statements-releases/2023/02/15/fact-sheet-biden-harris-administration-announces-new-standards-and-major-progress-for-a-made-in-america-national-network-of-electric-vehicle-chargers/" TargetMode="External"/><Relationship Id="rId32" Type="http://schemas.openxmlformats.org/officeDocument/2006/relationships/theme" Target="theme/theme1.xml"/><Relationship Id="rId5" Type="http://schemas.openxmlformats.org/officeDocument/2006/relationships/hyperlink" Target="https://www.volkswagen-newsroom.com/en/company-3688" TargetMode="External"/><Relationship Id="rId15" Type="http://schemas.openxmlformats.org/officeDocument/2006/relationships/hyperlink" Target="https://electrek.co/2016/06/16/vw-2-3-million-all-electric-cars-2025/" TargetMode="External"/><Relationship Id="rId23" Type="http://schemas.openxmlformats.org/officeDocument/2006/relationships/hyperlink" Target="https://www.whitehouse.gov/briefing-room/statements-releases/2023/02/15/fact-sheet-biden-harris-administration-announces-new-standards-and-major-progress-for-a-made-in-america-national-network-of-electric-vehicle-chargers/" TargetMode="External"/><Relationship Id="rId28" Type="http://schemas.openxmlformats.org/officeDocument/2006/relationships/hyperlink" Target="https://www.volkswagen-newsroom.com/en/company-3688" TargetMode="External"/><Relationship Id="rId10" Type="http://schemas.openxmlformats.org/officeDocument/2006/relationships/hyperlink" Target="https://electrek.co/2016/06/16/vw-2-3-million-all-electric-cars-2025/" TargetMode="External"/><Relationship Id="rId19" Type="http://schemas.openxmlformats.org/officeDocument/2006/relationships/hyperlink" Target="https://www.oecd.org/environment/waste/Global%20Forum%20Tokyo%20Issues%20Paper%2030-5-2014.pdf"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electrek.co/2016/06/16/vw-2-3-million-all-electric-cars-2025/" TargetMode="External"/><Relationship Id="rId14" Type="http://schemas.openxmlformats.org/officeDocument/2006/relationships/hyperlink" Target="https://www.niti.gov.in/sites/default/files/2023-05/Final-smaller_Electric-Vehicles-Charging-Infrastructure.pdf" TargetMode="External"/><Relationship Id="rId22" Type="http://schemas.openxmlformats.org/officeDocument/2006/relationships/hyperlink" Target="https://www.theclimategroup.org/ev100" TargetMode="External"/><Relationship Id="rId27" Type="http://schemas.openxmlformats.org/officeDocument/2006/relationships/hyperlink" Target="https://gps.ucsd.edu/_files/faculty/gourevitch/gourevitch_cs_zhou.pdf" TargetMode="External"/><Relationship Id="rId30" Type="http://schemas.openxmlformats.org/officeDocument/2006/relationships/hyperlink" Target="https://www.volkswagen-newsroom.com/en/company-368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4389</Words>
  <Characters>25020</Characters>
  <Application>Microsoft Office Word</Application>
  <DocSecurity>0</DocSecurity>
  <Lines>208</Lines>
  <Paragraphs>58</Paragraphs>
  <ScaleCrop>false</ScaleCrop>
  <Company/>
  <LinksUpToDate>false</LinksUpToDate>
  <CharactersWithSpaces>29351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Adriana</cp:lastModifiedBy>
  <cp:revision>2</cp:revision>
  <dcterms:created xsi:type="dcterms:W3CDTF">2023-08-24T11:00:00Z</dcterms:created>
  <dcterms:modified xsi:type="dcterms:W3CDTF">2023-08-24T11:00:00Z</dcterms:modified>
</cp:coreProperties>
</file>