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Default Extension="fntdata" ContentType="application/x-fontdata"/>
  <Override PartName="/word/header3.xml" ContentType="application/vnd.openxmlformats-officedocument.wordprocessingml.header+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header2.xml" ContentType="application/vnd.openxmlformats-officedocument.wordprocessingml.header+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9.jpeg" ContentType="image/jpeg"/>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header3.xml.rels" ContentType="application/vnd.openxmlformats-package.relationships+xml"/>
  <Override PartName="/word/_rels/document.xml.rels" ContentType="application/vnd.openxmlformats-package.relationships+xml"/>
  <Override PartName="/word/_rels/header2.xml.rels" ContentType="application/vnd.openxmlformats-package.relationships+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Assessment component 1: Marketing Environment Analysis</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 xml:space="preserve">Dipak </w:t>
      </w:r>
      <w:r>
        <w:rPr>
          <w:rFonts w:eastAsia="Times New Roman" w:cs="Times New Roman"/>
          <w:b w:val="false"/>
          <w:bCs w:val="false"/>
          <w:sz w:val="24"/>
          <w:szCs w:val="24"/>
        </w:rPr>
        <w:t>Modhavadiya</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2506701</w:t>
      </w:r>
      <w:r>
        <w:rPr>
          <w:rFonts w:eastAsia="Times New Roman" w:cs="Times New Roman"/>
          <w:b/>
          <w:sz w:val="24"/>
          <w:szCs w:val="24"/>
        </w:rPr>
        <w:br/>
        <w:t>Module Name:</w:t>
      </w:r>
      <w:r>
        <w:rPr>
          <w:rFonts w:eastAsia="Times New Roman" w:cs="Times New Roman"/>
          <w:b w:val="false"/>
          <w:bCs w:val="false"/>
          <w:sz w:val="24"/>
          <w:szCs w:val="24"/>
        </w:rPr>
        <w:t xml:space="preserve"> Marketing Management</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LCMB7024</w:t>
      </w:r>
    </w:p>
    <w:p>
      <w:pPr>
        <w:pStyle w:val="Normal"/>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w:t>
      </w:r>
      <w:r>
        <w:rPr>
          <w:sz w:val="24"/>
          <w:szCs w:val="24"/>
        </w:rPr>
        <w:t>Jayalakshmi Gopalkrishnan</w:t>
      </w:r>
      <w:r>
        <w:rPr>
          <w:sz w:val="24"/>
          <w:szCs w:val="24"/>
        </w:rPr>
        <w:t xml:space="preserve"> </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2,</w:t>
      </w:r>
      <w:r>
        <w:rPr>
          <w:sz w:val="24"/>
          <w:szCs w:val="24"/>
        </w:rPr>
        <w:t>825</w:t>
      </w:r>
      <w:r>
        <w:rPr>
          <w:sz w:val="24"/>
          <w:szCs w:val="24"/>
        </w:rPr>
        <w:t xml:space="preserve"> words (±</w:t>
      </w:r>
      <w:r>
        <w:rPr>
          <w:sz w:val="24"/>
          <w:szCs w:val="24"/>
        </w:rPr>
        <w:t xml:space="preserve">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1</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
            <w:widowControl w:val="false"/>
            <w:tabs>
              <w:tab w:val="clear" w:pos="720"/>
              <w:tab w:val="right" w:pos="12000" w:leader="none"/>
            </w:tabs>
            <w:spacing w:lineRule="auto" w:line="240" w:before="60" w:after="0"/>
            <w:rPr/>
          </w:pPr>
          <w:r>
            <w:fldChar w:fldCharType="begin"/>
          </w:r>
          <w:r>
            <w:rPr>
              <w:smallCaps w:val="false"/>
              <w:caps w:val="false"/>
              <w:dstrike w:val="false"/>
              <w:strike w:val="false"/>
              <w:vertAlign w:val="baseline"/>
              <w:position w:val="0"/>
              <w:sz w:val="24"/>
              <w:sz w:val="24"/>
              <w:i w:val="false"/>
              <w:u w:val="none"/>
              <w:b w:val="false"/>
              <w:shd w:fill="auto" w:val="clear"/>
              <w:szCs w:val="24"/>
              <w:rFonts w:eastAsia="Times New Roman" w:cs="Times New Roman"/>
              <w:color w:val="000000"/>
            </w:rPr>
            <w:instrText xml:space="preserve"> TOC \z \o "1-9" \u \t "heading 1,1,heading 2,2,heading 3,3,heading 4,4,heading 5,5,heading 6,6" \h</w:instrText>
          </w:r>
          <w:r>
            <w:rPr>
              <w:smallCaps w:val="false"/>
              <w:caps w:val="false"/>
              <w:dstrike w:val="false"/>
              <w:strike w:val="false"/>
              <w:vertAlign w:val="baseline"/>
              <w:position w:val="0"/>
              <w:sz w:val="24"/>
              <w:sz w:val="24"/>
              <w:i w:val="false"/>
              <w:u w:val="none"/>
              <w:b w:val="false"/>
              <w:shd w:fill="auto" w:val="clear"/>
              <w:szCs w:val="24"/>
              <w:rFonts w:eastAsia="Times New Roman" w:cs="Times New Roman"/>
              <w:color w:val="000000"/>
            </w:rPr>
            <w:fldChar w:fldCharType="separate"/>
          </w:r>
          <w:r>
            <w:rPr>
              <w:rFonts w:eastAsia="Times New Roman" w:cs="Times New Roman"/>
              <w:b w:val="false"/>
              <w:i w:val="false"/>
              <w:caps w:val="false"/>
              <w:smallCaps w:val="false"/>
              <w:strike w:val="false"/>
              <w:dstrike w:val="false"/>
              <w:color w:val="000000"/>
              <w:position w:val="0"/>
              <w:sz w:val="24"/>
              <w:sz w:val="24"/>
              <w:szCs w:val="24"/>
              <w:u w:val="none"/>
              <w:shd w:fill="auto" w:val="clear"/>
              <w:vertAlign w:val="baseline"/>
            </w:rPr>
            <w:t>1.0. Introduction ..................................................................................................       4</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2</w:t>
          </w:r>
          <w:hyperlink w:anchor="_senjvf6naum">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.0. Macro-Environmental Analysis</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xml:space="preserve"> ....................................................................       5</w:t>
          </w:r>
        </w:p>
        <w:p>
          <w:pPr>
            <w:pStyle w:val="Normal"/>
            <w:widowControl w:val="false"/>
            <w:tabs>
              <w:tab w:val="clear" w:pos="720"/>
              <w:tab w:val="right" w:pos="12000" w:leader="none"/>
            </w:tabs>
            <w:bidi w:val="0"/>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2</w:t>
          </w:r>
          <w:hyperlink w:anchor="_41ec5sad3gi">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.1 Overview of the Marketing environment and it’s importance ..................       5</w:t>
            </w:r>
          </w:hyperlink>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2</w:t>
          </w:r>
          <w:hyperlink w:anchor="_qv81zexy63if">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.2 S</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election of factors and their impact ......................................................        5</w:t>
          </w:r>
        </w:p>
        <w:p>
          <w:pPr>
            <w:pStyle w:val="Normal"/>
            <w:widowControl w:val="false"/>
            <w:tabs>
              <w:tab w:val="clear" w:pos="720"/>
              <w:tab w:val="right" w:pos="12000" w:leader="none"/>
            </w:tabs>
            <w:spacing w:lineRule="auto" w:line="240" w:before="60" w:after="0"/>
            <w:ind w:hanging="0" w:start="360"/>
            <w:rPr>
              <w:rFonts w:ascii="Arial" w:hAnsi="Arial" w:eastAsia="Times New Roman" w:cs="Times New Roman"/>
              <w:b w:val="false"/>
              <w:i w:val="false"/>
              <w:i w:val="false"/>
              <w:caps w:val="false"/>
              <w:smallCaps w:val="false"/>
              <w:strike w:val="false"/>
              <w:dstrike w:val="false"/>
              <w:vanish w:val="false"/>
              <w:color w:val="000000"/>
              <w:sz w:val="24"/>
              <w:szCs w:val="24"/>
              <w:u w:val="none"/>
              <w:shd w:fill="auto" w:val="clear"/>
            </w:rPr>
          </w:pPr>
          <w:r>
            <w:rPr>
              <w:rFonts w:eastAsia="Times New Roman" w:cs="Times New Roman"/>
              <w:b w:val="false"/>
              <w:i w:val="false"/>
              <w:caps w:val="false"/>
              <w:smallCaps w:val="false"/>
              <w:strike w:val="false"/>
              <w:dstrike w:val="false"/>
              <w:vanish w:val="false"/>
              <w:color w:val="000000"/>
              <w:sz w:val="24"/>
              <w:szCs w:val="24"/>
              <w:u w:val="none"/>
              <w:shd w:fill="auto" w:val="clear"/>
            </w:rPr>
            <w:t>2.3 Their relevance in the chosen industry ...................................................       7</w:t>
          </w:r>
        </w:p>
        <w:p>
          <w:pPr>
            <w:pStyle w:val="Normal"/>
            <w:widowControl w:val="false"/>
            <w:tabs>
              <w:tab w:val="clear" w:pos="720"/>
              <w:tab w:val="right" w:pos="12000" w:leader="none"/>
            </w:tabs>
            <w:bidi w:val="0"/>
            <w:spacing w:lineRule="auto" w:line="240" w:before="60" w:after="0"/>
            <w:jc w:val="start"/>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3</w:t>
          </w:r>
          <w:hyperlink w:anchor="_s512dn8amhau">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.0. Critical Analysis in AI Indusry</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xml:space="preserve"> .......................................................................      8</w:t>
          </w:r>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5</w:t>
          </w:r>
          <w:hyperlink w:anchor="_z3b0axgo9waq">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xml:space="preserve">.1 Technical Factor &amp; It’s implications </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8</w:t>
          </w:r>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5</w:t>
          </w:r>
          <w:hyperlink w:anchor="_1fuyvk1ikd6c">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.2 Legal Factor &amp; It’s implications</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xml:space="preserve"> ...............................................................     10</w:t>
          </w:r>
        </w:p>
        <w:p>
          <w:pPr>
            <w:pStyle w:val="Normal"/>
            <w:widowControl w:val="false"/>
            <w:tabs>
              <w:tab w:val="clear" w:pos="720"/>
              <w:tab w:val="right" w:pos="12000" w:leader="none"/>
            </w:tabs>
            <w:spacing w:lineRule="auto" w:line="240" w:before="60" w:after="0"/>
            <w:rPr>
              <w:rFonts w:ascii="Arial" w:hAnsi="Arial"/>
              <w:sz w:val="24"/>
              <w:szCs w:val="24"/>
            </w:rPr>
          </w:pPr>
          <w:r>
            <w:rPr>
              <w:rFonts w:eastAsia="Times New Roman" w:cs="Times New Roman"/>
              <w:b w:val="false"/>
              <w:i w:val="false"/>
              <w:caps w:val="false"/>
              <w:smallCaps w:val="false"/>
              <w:strike w:val="false"/>
              <w:dstrike w:val="false"/>
              <w:color w:val="000000"/>
              <w:position w:val="0"/>
              <w:sz w:val="24"/>
              <w:sz w:val="24"/>
              <w:szCs w:val="24"/>
              <w:u w:val="none"/>
              <w:shd w:fill="auto" w:val="clear"/>
              <w:vertAlign w:val="baseline"/>
            </w:rPr>
            <w:t>4.0 Strategic responses ......................................................................................     12</w:t>
          </w:r>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4</w:t>
          </w:r>
          <w:hyperlink w:anchor="_z3b0axgo9waq">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.1 Pioneers’ responses</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xml:space="preserve"> .................................................................................    12</w:t>
          </w:r>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4</w:t>
          </w:r>
          <w:hyperlink w:anchor="_1fuyvk1ikd6c">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.2 Followers’ response</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xml:space="preserve"> ..................................................................................   14</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5.0 Conclusion .......................................................................................................  16</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color w:val="000000"/>
              <w:position w:val="0"/>
              <w:sz w:val="24"/>
              <w:sz w:val="24"/>
              <w:szCs w:val="24"/>
              <w:u w:val="none"/>
              <w:shd w:fill="auto" w:val="clear"/>
              <w:vertAlign w:val="baseline"/>
            </w:rPr>
            <w:t xml:space="preserve">6.0 </w:t>
          </w:r>
          <w:hyperlink w:anchor="_pemnsk9klfvc">
            <w:r>
              <w:rPr>
                <w:webHidden/>
                <w:rStyle w:val="IndexLink"/>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References .....................................................................</w:t>
            </w:r>
          </w:hyperlink>
          <w:r>
            <w:rPr>
              <w:rFonts w:eastAsia="Times New Roman" w:cs="Times New Roman"/>
              <w:b w:val="false"/>
              <w:i w:val="false"/>
              <w:caps w:val="false"/>
              <w:smallCaps w:val="false"/>
              <w:strike w:val="false"/>
              <w:dstrike w:val="false"/>
              <w:vanish w:val="false"/>
              <w:color w:val="000000"/>
              <w:position w:val="0"/>
              <w:sz w:val="24"/>
              <w:sz w:val="24"/>
              <w:szCs w:val="24"/>
              <w:u w:val="none"/>
              <w:shd w:fill="auto" w:val="clear"/>
              <w:vertAlign w:val="baseline"/>
            </w:rPr>
            <w:t>...............................    17</w:t>
          </w:r>
          <w:r>
            <w:rPr>
              <w:smallCaps w:val="false"/>
              <w:caps w:val="false"/>
              <w:dstrike w:val="false"/>
              <w:strike w:val="false"/>
              <w:vertAlign w:val="baseline"/>
              <w:position w:val="0"/>
              <w:sz w:val="24"/>
              <w:sz w:val="24"/>
              <w:i w:val="false"/>
              <w:u w:val="none"/>
              <w:b w:val="false"/>
              <w:shd w:fill="auto" w:val="clear"/>
              <w:szCs w:val="24"/>
              <w:vanish w:val="false"/>
              <w:rFonts w:eastAsia="Times New Roman" w:cs="Times New Roman"/>
              <w:color w:val="000000"/>
            </w:rPr>
            <w:fldChar w:fldCharType="end"/>
          </w:r>
        </w:p>
      </w:sdtContent>
    </w:sdt>
    <w:p>
      <w:pPr>
        <w:pStyle w:val="Heading1"/>
        <w:spacing w:lineRule="auto" w:line="360" w:before="0" w:after="200"/>
        <w:jc w:val="both"/>
        <w:rPr>
          <w:rFonts w:ascii="Arial" w:hAnsi="Arial"/>
          <w:sz w:val="24"/>
          <w:szCs w:val="24"/>
        </w:rPr>
      </w:pPr>
      <w:r>
        <w:rPr>
          <w:rFonts w:ascii="Arial" w:hAnsi="Arial"/>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r>
        <w:rPr>
          <w:sz w:val="24"/>
          <w:szCs w:val="24"/>
        </w:rPr>
      </w:r>
    </w:p>
    <w:p>
      <w:pPr>
        <w:pStyle w:val="Title"/>
        <w:jc w:val="center"/>
        <w:rPr>
          <w:rFonts w:ascii="Arial" w:hAnsi="Arial"/>
          <w:sz w:val="24"/>
          <w:szCs w:val="24"/>
        </w:rPr>
      </w:pPr>
      <w:bookmarkStart w:id="0" w:name="_myxs37s19gzj"/>
      <w:bookmarkEnd w:id="0"/>
      <w:r>
        <w:rPr>
          <w:sz w:val="24"/>
          <w:szCs w:val="24"/>
        </w:rPr>
        <w:t xml:space="preserve">How Technological Innovation and Regulatory Pressures Shape The Competitive Marketing Strategies of Pioneer and Follower Firms : </w:t>
      </w:r>
    </w:p>
    <w:p>
      <w:pPr>
        <w:pStyle w:val="Title"/>
        <w:jc w:val="center"/>
        <w:rPr>
          <w:rFonts w:ascii="Arial" w:hAnsi="Arial"/>
          <w:sz w:val="24"/>
          <w:szCs w:val="24"/>
        </w:rPr>
      </w:pPr>
      <w:r>
        <w:rPr>
          <w:sz w:val="24"/>
          <w:szCs w:val="24"/>
        </w:rPr>
        <w:t>A Competitive Analysis of Huawei and Nokia</w:t>
      </w:r>
      <w:r>
        <w:br w:type="page"/>
      </w:r>
    </w:p>
    <w:p>
      <w:pPr>
        <w:pStyle w:val="Heading1"/>
        <w:spacing w:lineRule="auto" w:line="360" w:before="0" w:after="200"/>
        <w:jc w:val="both"/>
        <w:rPr>
          <w:rFonts w:ascii="Arial" w:hAnsi="Arial"/>
          <w:sz w:val="24"/>
          <w:szCs w:val="24"/>
        </w:rPr>
      </w:pPr>
      <w:r>
        <w:rPr>
          <w:rFonts w:ascii="Arial" w:hAnsi="Arial"/>
          <w:sz w:val="24"/>
          <w:szCs w:val="24"/>
        </w:rPr>
        <w:t>1.0. Introduction</w:t>
      </w:r>
    </w:p>
    <w:p>
      <w:pPr>
        <w:pStyle w:val="normal2"/>
        <w:keepNext w:val="false"/>
        <w:keepLines w:val="false"/>
        <w:pageBreakBefore w:val="false"/>
        <w:widowControl/>
        <w:spacing w:lineRule="auto" w:line="360" w:before="0" w:after="200"/>
        <w:ind w:hanging="0" w:start="0" w:end="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Strategic Marketing requires observations of external movements to predict risk and take long-term strategic steps to reduce it. The PESTLE framework allows organizations to evaluate political, economic, social, technological, environmental and legal challenges that are not in control.</w:t>
      </w:r>
    </w:p>
    <w:p>
      <w:pPr>
        <w:pStyle w:val="normal2"/>
        <w:widowControl/>
        <w:spacing w:lineRule="auto" w:line="360" w:before="0" w:after="200"/>
        <w:ind w:hanging="0" w:start="0" w:end="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This report critically analyses the impact of technological and legal factors on the markets, purchase patterns and organizational strategies. How these factors affect the first movers and late entrants differently and it’s impact on marketing, brand positioning and innovations.</w:t>
      </w:r>
    </w:p>
    <w:p>
      <w:pPr>
        <w:pStyle w:val="normal2"/>
        <w:widowControl/>
        <w:bidi w:val="0"/>
        <w:spacing w:lineRule="auto" w:line="360" w:before="0" w:after="200"/>
        <w:ind w:hanging="0" w:start="0" w:end="0"/>
        <w:jc w:val="both"/>
        <w:rPr>
          <w:rFonts w:ascii="Arial" w:hAnsi="Arial" w:eastAsia="Arial" w:cs="Arial"/>
          <w:b w:val="false"/>
          <w:i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The report first provides a summary of the macro marketing environment and its importance. Task 1 critically analyses the effects of Technological and Legal factors on both pioneers and followers. Task 2 uses Ansoff’s Growth Matrix and Porter’s Generic strategies to analyze the strategic responses of each organization. The report concludes that critical understanding of the external environment ensures competitiveness.</w:t>
      </w:r>
    </w:p>
    <w:p>
      <w:pPr>
        <w:pStyle w:val="normal2"/>
        <w:widowControl/>
        <w:bidi w:val="0"/>
        <w:spacing w:lineRule="auto" w:line="360" w:before="0" w:after="200"/>
        <w:ind w:hanging="0" w:start="0" w:end="0"/>
        <w:jc w:val="both"/>
        <w:rPr>
          <w:rFonts w:ascii="Arial" w:hAnsi="Arial" w:eastAsia="Arial" w:cs="Arial"/>
          <w:b w:val="false"/>
          <w:i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r>
        <w:br w:type="page"/>
      </w:r>
    </w:p>
    <w:p>
      <w:pPr>
        <w:pStyle w:val="Heading1"/>
        <w:spacing w:lineRule="auto" w:line="360" w:before="0" w:after="200"/>
        <w:jc w:val="both"/>
        <w:rPr>
          <w:rFonts w:ascii="Arial" w:hAnsi="Arial"/>
          <w:sz w:val="24"/>
          <w:szCs w:val="24"/>
        </w:rPr>
      </w:pPr>
      <w:r>
        <w:rPr>
          <w:rFonts w:ascii="Arial" w:hAnsi="Arial"/>
          <w:sz w:val="24"/>
          <w:szCs w:val="24"/>
        </w:rPr>
        <w:t xml:space="preserve">2.0. </w:t>
      </w:r>
      <w:r>
        <w:rPr>
          <w:rFonts w:ascii="Arial" w:hAnsi="Arial"/>
          <w:b/>
          <w:bCs/>
          <w:sz w:val="24"/>
          <w:szCs w:val="24"/>
        </w:rPr>
        <w:t>Macro Environmental Analysis</w:t>
      </w:r>
    </w:p>
    <w:p>
      <w:pPr>
        <w:pStyle w:val="Heading2"/>
        <w:spacing w:lineRule="auto" w:line="360" w:before="0" w:after="200"/>
        <w:jc w:val="both"/>
        <w:rPr>
          <w:rFonts w:ascii="Arial" w:hAnsi="Arial"/>
          <w:sz w:val="24"/>
          <w:szCs w:val="24"/>
        </w:rPr>
      </w:pPr>
      <w:r>
        <w:rPr>
          <w:rFonts w:ascii="Arial" w:hAnsi="Arial"/>
          <w:sz w:val="24"/>
          <w:szCs w:val="24"/>
        </w:rPr>
        <w:t xml:space="preserve">2.1  </w:t>
      </w:r>
      <w:r>
        <w:rPr>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Overview of the Marketing environment and it’s important in Marketing</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macro marketing environment consists of uncontrollable external factors such as political, economic, social, technological, environmental and legal forces. All these factors shape the marketing environment by altering market boundaries (political or legal), purchase patterns (economical) or by creating new opportunities through technological breakthroughs. These factors need to be taken into consideration before making strategic marketing decisions. It acts as an early warning system for organizations to identify strategic asymmetries. PESTEL analysis ensures that marketing strategies are aligned with these external forces to achieve the goals.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behindDoc="0" distT="0" distB="0" distL="0" distR="0" simplePos="0" locked="0" layoutInCell="0" allowOverlap="1" relativeHeight="21">
            <wp:simplePos x="0" y="0"/>
            <wp:positionH relativeFrom="column">
              <wp:align>center</wp:align>
            </wp:positionH>
            <wp:positionV relativeFrom="paragraph">
              <wp:posOffset>635</wp:posOffset>
            </wp:positionV>
            <wp:extent cx="5870575" cy="2820035"/>
            <wp:effectExtent l="0" t="0" r="0" b="0"/>
            <wp:wrapTopAndBottom/>
            <wp:docPr id="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pic:cNvPicPr>
                      <a:picLocks noChangeAspect="1" noChangeArrowheads="1"/>
                    </pic:cNvPicPr>
                  </pic:nvPicPr>
                  <pic:blipFill>
                    <a:blip r:embed="rId2"/>
                    <a:stretch>
                      <a:fillRect/>
                    </a:stretch>
                  </pic:blipFill>
                  <pic:spPr bwMode="auto">
                    <a:xfrm>
                      <a:off x="0" y="0"/>
                      <a:ext cx="5870575" cy="2820035"/>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2.2 Selection of Factors and It’s Impact on chosen Industry :</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While economic factors shape consumer behavior, social factors affect the acceptance and trust in AI and environmental factors compel brands to maintain an environmentally friendly image because of energy and water usage. It is technological and legal forces that really dictate the rules of the global AI landscape.</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Technological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 xml:space="preserve">Innovation is AI technology is happening at an exponential pace. ‘Cutting Edge’ technology becomes obsolete very quickly, usually within months. Market expectations are changing quickly; AI systems are expected to handle not just text, but multiple types of inputs like videos and images as well. This requires efficient models, complex R&amp;D and enormous computational resources to train such models, not to mention the billions of dollars needed to train them.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behindDoc="0" distT="0" distB="0" distL="0" distR="0" simplePos="0" locked="0" layoutInCell="0" allowOverlap="1" relativeHeight="24">
            <wp:simplePos x="0" y="0"/>
            <wp:positionH relativeFrom="column">
              <wp:align>center</wp:align>
            </wp:positionH>
            <wp:positionV relativeFrom="paragraph">
              <wp:posOffset>635</wp:posOffset>
            </wp:positionV>
            <wp:extent cx="5731510" cy="3233420"/>
            <wp:effectExtent l="0" t="0" r="0" b="0"/>
            <wp:wrapTopAndBottom/>
            <wp:docPr id="2"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6"/>
                    <pic:cNvPicPr>
                      <a:picLocks noChangeAspect="1" noChangeArrowheads="1"/>
                    </pic:cNvPicPr>
                  </pic:nvPicPr>
                  <pic:blipFill>
                    <a:blip r:embed="rId3"/>
                    <a:stretch>
                      <a:fillRect/>
                    </a:stretch>
                  </pic:blipFill>
                  <pic:spPr bwMode="auto">
                    <a:xfrm>
                      <a:off x="0" y="0"/>
                      <a:ext cx="5731510" cy="3233420"/>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Legal :</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 xml:space="preserve">As AI adoption is increasing and the industry is moving towards maturity, governments are enforcing stricter rules and boundaries that create compliance challenges. It creates issues such as liability, data protection, intellectual property and regulatory uncertainties. Legal factors decide what kind of AI technologies can be developed, deployed and who bears the responsibility responsibilities. Data protection and IP laws not only affect companies but also the users. </w:t>
      </w:r>
    </w:p>
    <w:p>
      <w:pPr>
        <w:pStyle w:val="Heading2"/>
        <w:spacing w:lineRule="auto" w:line="360" w:before="0" w:after="200"/>
        <w:jc w:val="both"/>
        <w:rPr>
          <w:rFonts w:ascii="Arial" w:hAnsi="Arial"/>
          <w:sz w:val="24"/>
          <w:szCs w:val="24"/>
        </w:rPr>
      </w:pPr>
      <w:r>
        <w:rPr>
          <w:rFonts w:ascii="Arial" w:hAnsi="Arial"/>
          <w:sz w:val="24"/>
          <w:szCs w:val="24"/>
        </w:rPr>
        <w:t xml:space="preserve">2.3  </w:t>
      </w:r>
      <w:r>
        <w:rPr>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Relevance in AI Indusry</w:t>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Technological :</w:t>
      </w:r>
      <w:r>
        <w:rPr>
          <w:rFonts w:eastAsia="Times New Roman" w:cs="Times New Roman"/>
          <w:sz w:val="24"/>
          <w:szCs w:val="24"/>
        </w:rPr>
        <w:br/>
        <w:t>AI firms spent $82 billion on AI compute and storage hardware infrastructure in the second quarter of 2025 alone, which is a 166% increase in year-over-year growth(IDC, 2025). The computational performance of AI supercomputers is doubling every nine months, while hardware acquisition costs and power needs are doubling every year (arXiv, 2025). 23% of global enterprises are scaling agentic systems that can plan and act indipendently, which is more advanced than simple text generation (McKinsey, 2025). Spending on AI infrastructure is estimated to reach $758 Billion by 2029 (IDC, 2025).</w:t>
      </w:r>
    </w:p>
    <w:p>
      <w:pPr>
        <w:pStyle w:val="Normal"/>
        <w:bidi w:val="0"/>
        <w:spacing w:lineRule="auto" w:line="360" w:before="0" w:after="200"/>
        <w:jc w:val="both"/>
        <w:rPr>
          <w:rFonts w:ascii="Arial" w:hAnsi="Arial"/>
          <w:sz w:val="24"/>
          <w:szCs w:val="24"/>
        </w:rPr>
      </w:pPr>
      <w:r>
        <w:rPr>
          <w:sz w:val="24"/>
          <w:szCs w:val="24"/>
        </w:rPr>
        <w:drawing>
          <wp:anchor behindDoc="0" distT="0" distB="0" distL="0" distR="0" simplePos="0" locked="0" layoutInCell="0" allowOverlap="1" relativeHeight="20">
            <wp:simplePos x="0" y="0"/>
            <wp:positionH relativeFrom="column">
              <wp:align>center</wp:align>
            </wp:positionH>
            <wp:positionV relativeFrom="paragraph">
              <wp:posOffset>635</wp:posOffset>
            </wp:positionV>
            <wp:extent cx="4968875" cy="2434590"/>
            <wp:effectExtent l="0" t="0" r="0" b="0"/>
            <wp:wrapTopAndBottom/>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4"/>
                    <a:stretch>
                      <a:fillRect/>
                    </a:stretch>
                  </pic:blipFill>
                  <pic:spPr bwMode="auto">
                    <a:xfrm>
                      <a:off x="0" y="0"/>
                      <a:ext cx="4968875" cy="2434590"/>
                    </a:xfrm>
                    <a:prstGeom prst="rect">
                      <a:avLst/>
                    </a:prstGeom>
                    <a:noFill/>
                  </pic:spPr>
                </pic:pic>
              </a:graphicData>
            </a:graphic>
          </wp:anchor>
        </w:drawing>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Legal :</w:t>
      </w:r>
      <w:r>
        <w:rPr>
          <w:rFonts w:eastAsia="Times New Roman" w:cs="Times New Roman"/>
          <w:sz w:val="24"/>
          <w:szCs w:val="24"/>
        </w:rPr>
        <w:br/>
        <w:t>Copyright and IP laws could complicate the AI training process; Strengthening data privacy and sovereignty rules limit the movement of data, forcing the industry to adopt new models or reduce the R&amp;D investment in that geography (Kretschmer et al., 2023; Balas &amp; Shatnawi, 2024). The American facial recognition company ‘Clearview AI’ was forced to delete the data on residents of certain countries, and it was fined €30.5 million by the Dutch Data Protection Authority for violating biometric data rules under GDPR (The Verge). Moreover, the misuse of AI raises potential legal claims for fraud, defamation lawsuits, enforcing the need for strong compliance frameworks.</w:t>
        <w:br/>
      </w:r>
    </w:p>
    <w:p>
      <w:pPr>
        <w:pStyle w:val="Heading2"/>
        <w:spacing w:lineRule="auto" w:line="360" w:before="0" w:after="200"/>
        <w:jc w:val="both"/>
        <w:rPr>
          <w:rFonts w:ascii="Arial" w:hAnsi="Arial"/>
          <w:sz w:val="24"/>
          <w:szCs w:val="24"/>
        </w:rPr>
      </w:pPr>
      <w:r>
        <w:rPr>
          <w:rFonts w:ascii="Arial" w:hAnsi="Arial"/>
          <w:sz w:val="24"/>
          <w:szCs w:val="24"/>
        </w:rPr>
        <w:t>3.3  Critical Analysis</w:t>
      </w:r>
      <w:r>
        <w:rPr>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 xml:space="preserve"> in AI Indusry</w:t>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How Technological factors influence pioneers and followers :</w:t>
      </w:r>
      <w:r>
        <w:rPr>
          <w:rFonts w:eastAsia="Times New Roman" w:cs="Times New Roman"/>
          <w:sz w:val="24"/>
          <w:szCs w:val="24"/>
        </w:rPr>
        <w:br/>
        <w:t>Technological advancements create threats and opportunities to both actors. AI firms heavily rely on high-performance, energy-hungry computing chips. Control over this infrastructure directly influences innovation capabilities, cost effectiveness and, ultimately, competitive advantage. These companies enjoy technological supremacy  by investing billions in the development and training of massive AI models, Then claim the benefits of first-mover advantage and create a data feedback loop that acts as a barrier to entry for followers. They can set the industry standards and lock in the enterprise ecosystem. Such investments allowed OpenAI to capture 62.5% of the consumer AI market and establish market dominance by early 2025 (Backlinko, 2025). However, the rapid pace of hardware improvements creates massive risk as most current, most advanced chips become obsolete within a few months. For example, pioneers risking billions on current H100 GPU clusters face "stranded assets" as newer and 30x more efficient NVIDIA Blackwell chips render previous infrastructure inefficient (NVDIa, 2024). Conversely, the democratization of AI technology significantly lowers barriers for follower companies. Currently, open-source models have reached cost-performance parity with proprietary systems, enabling followers to capitalize on pioneers’ R&amp;D without massive capital investments in training-based models (IBM, 2025).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behindDoc="0" distT="0" distB="0" distL="0" distR="0" simplePos="0" locked="0" layoutInCell="0" allowOverlap="1" relativeHeight="23">
            <wp:simplePos x="0" y="0"/>
            <wp:positionH relativeFrom="column">
              <wp:posOffset>-2540</wp:posOffset>
            </wp:positionH>
            <wp:positionV relativeFrom="paragraph">
              <wp:posOffset>-96520</wp:posOffset>
            </wp:positionV>
            <wp:extent cx="5767070" cy="2877185"/>
            <wp:effectExtent l="0" t="0" r="0" b="0"/>
            <wp:wrapTopAndBottom/>
            <wp:docPr id="4"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5"/>
                    <pic:cNvPicPr>
                      <a:picLocks noChangeAspect="1" noChangeArrowheads="1"/>
                    </pic:cNvPicPr>
                  </pic:nvPicPr>
                  <pic:blipFill>
                    <a:blip r:embed="rId5"/>
                    <a:stretch>
                      <a:fillRect/>
                    </a:stretch>
                  </pic:blipFill>
                  <pic:spPr bwMode="auto">
                    <a:xfrm>
                      <a:off x="0" y="0"/>
                      <a:ext cx="5767070" cy="2877185"/>
                    </a:xfrm>
                    <a:prstGeom prst="rect">
                      <a:avLst/>
                    </a:prstGeom>
                    <a:noFill/>
                  </pic:spPr>
                </pic:pic>
              </a:graphicData>
            </a:graphic>
          </wp:anchor>
        </w:drawing>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Implications for Pioneers :</w:t>
      </w:r>
      <w:r>
        <w:rPr>
          <w:rFonts w:eastAsia="Times New Roman" w:cs="Times New Roman"/>
          <w:sz w:val="24"/>
          <w:szCs w:val="24"/>
        </w:rPr>
        <w:t xml:space="preserve"> Pioneer organizations must spend billions on R&amp;D to stay ahead. They set the benchmarks and new norms for reasoning, multimodality and "Agentic AI workflows” that lock customers into their proprietary stack. They can effectively define the operating system for all future AI by leveraging their superior foundation models (e.g., GPT-4/5) to create the first robust frameworks. High-performing organizations are already redesigning workflows around these agentic systems, creating a dependency that allows pioneers to dictate API standards and capture long-term value (Mckinsey, 2025).</w:t>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Implications for Follower :</w:t>
      </w:r>
      <w:r>
        <w:rPr>
          <w:rFonts w:eastAsia="Times New Roman" w:cs="Times New Roman"/>
          <w:sz w:val="24"/>
          <w:szCs w:val="24"/>
        </w:rPr>
        <w:t xml:space="preserve"> The following firms must leverage a hybrid architecture strategy to maintain cost-efficiency and agility. Pioneers have already invested in R&amp;D. Flowers can adopt those proven-to-work models or use open-source ones. Followers can run smaller but efficient small models locally to avoid high infrastructure costs and privacy risks. Instead of building the foundational model itself, followers can also focus on ‘ Applications of AI Models’ – tuning foundation models for specific datasets or industry-usecases. Apple has partnered with OpenAI to incorporate its ChatGPT into Apple Intelligence. Vanguard, for example, did not build a model from scratch but applied AI to content personalization, achieving a 176% increase in engagement by focusing on application rather than training (Adobe, 2025).</w:t>
      </w:r>
    </w:p>
    <w:p>
      <w:pPr>
        <w:pStyle w:val="Normal"/>
        <w:bidi w:val="0"/>
        <w:spacing w:lineRule="auto" w:line="360" w:before="0" w:after="200"/>
        <w:jc w:val="both"/>
        <w:rPr>
          <w:rFonts w:ascii="Arial" w:hAnsi="Arial" w:eastAsia="Times New Roman" w:cs="Times New Roman"/>
          <w:sz w:val="24"/>
          <w:szCs w:val="24"/>
        </w:rPr>
      </w:pPr>
      <w:r>
        <w:drawing>
          <wp:anchor behindDoc="0" distT="0" distB="0" distL="0" distR="0" simplePos="0" locked="0" layoutInCell="0" allowOverlap="1" relativeHeight="27">
            <wp:simplePos x="0" y="0"/>
            <wp:positionH relativeFrom="column">
              <wp:align>center</wp:align>
            </wp:positionH>
            <wp:positionV relativeFrom="paragraph">
              <wp:align>top</wp:align>
            </wp:positionV>
            <wp:extent cx="4525010" cy="3427730"/>
            <wp:effectExtent l="0" t="0" r="0" b="0"/>
            <wp:wrapTopAndBottom/>
            <wp:docPr id="5"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9"/>
                    <pic:cNvPicPr>
                      <a:picLocks noChangeAspect="1" noChangeArrowheads="1"/>
                    </pic:cNvPicPr>
                  </pic:nvPicPr>
                  <pic:blipFill>
                    <a:blip r:embed="rId6"/>
                    <a:stretch>
                      <a:fillRect/>
                    </a:stretch>
                  </pic:blipFill>
                  <pic:spPr bwMode="auto">
                    <a:xfrm>
                      <a:off x="0" y="0"/>
                      <a:ext cx="4525010" cy="3427730"/>
                    </a:xfrm>
                    <a:prstGeom prst="rect">
                      <a:avLst/>
                    </a:prstGeom>
                    <a:noFill/>
                  </pic:spPr>
                </pic:pic>
              </a:graphicData>
            </a:graphic>
          </wp:anchor>
        </w:drawing>
      </w:r>
      <w:r>
        <w:rPr>
          <w:rFonts w:eastAsia="Times New Roman" w:cs="Times New Roman"/>
          <w:sz w:val="24"/>
          <w:szCs w:val="24"/>
        </w:rPr>
        <w:br/>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Legal :</w:t>
      </w:r>
      <w:r>
        <w:rPr>
          <w:rFonts w:eastAsia="Times New Roman" w:cs="Times New Roman"/>
          <w:sz w:val="24"/>
          <w:szCs w:val="24"/>
        </w:rPr>
        <w:br/>
        <w:br/>
        <w:t>The legal landscape creates liability asymmetry between prisoners and followers. Even after training the frontier models, pioneering firms face legal risks on an existential level because of copyright infringement laws and data resource regulations. Anthropic had to agree to a $1.5 billion settlement in a class-action lawsuit with Bartz to resolve the claim of training their AI model on pirated books (Copyright Alliance, 2025). Followers are largely safe from these liability risks. The EU AI Act (2025) explicitly differentiates between AI providers (Pioneers) and deployers (Followers), which grants significant "SME simplifications" and safe harbors to following organizations if they use compliant, pre-vetted models (European Commission, 2025). So, while pioneers are bogged down by such legal issues, followers can avoid them by adopting deserted, legally vetted tools to innovate in specific sectors without a compliance burden or training their models.</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behindDoc="0" distT="0" distB="0" distL="0" distR="0" simplePos="0" locked="0" layoutInCell="0" allowOverlap="1" relativeHeight="26">
            <wp:simplePos x="0" y="0"/>
            <wp:positionH relativeFrom="column">
              <wp:align>center</wp:align>
            </wp:positionH>
            <wp:positionV relativeFrom="paragraph">
              <wp:posOffset>635</wp:posOffset>
            </wp:positionV>
            <wp:extent cx="5731510" cy="3190240"/>
            <wp:effectExtent l="0" t="0" r="0" b="0"/>
            <wp:wrapTopAndBottom/>
            <wp:docPr id="6"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8"/>
                    <pic:cNvPicPr>
                      <a:picLocks noChangeAspect="1" noChangeArrowheads="1"/>
                    </pic:cNvPicPr>
                  </pic:nvPicPr>
                  <pic:blipFill>
                    <a:blip r:embed="rId7"/>
                    <a:stretch>
                      <a:fillRect/>
                    </a:stretch>
                  </pic:blipFill>
                  <pic:spPr bwMode="auto">
                    <a:xfrm>
                      <a:off x="0" y="0"/>
                      <a:ext cx="5731510" cy="3190240"/>
                    </a:xfrm>
                    <a:prstGeom prst="rect">
                      <a:avLst/>
                    </a:prstGeom>
                    <a:noFill/>
                  </pic:spPr>
                </pic:pic>
              </a:graphicData>
            </a:graphic>
          </wp:anchor>
        </w:drawing>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Implications for Pioneers:</w:t>
      </w:r>
      <w:r>
        <w:rPr>
          <w:rFonts w:eastAsia="Times New Roman" w:cs="Times New Roman"/>
          <w:sz w:val="24"/>
          <w:szCs w:val="24"/>
        </w:rPr>
        <w:t xml:space="preserve"> Pioneers can no longer use ‘Fair Use policies’ as their legal defense. OpenAI signed a multi-year partnership deal with Newscorp to clean their data supply chains (Newscorp, 2024). Pioneers who successfully invest in costly compliance (data governance, model cards, transparency) can sell these trust features as a ‘Compliance layer’ to followers. Systemic compliance becomes a high-value product, creating a strong differentiator against smaller, less-regulated competitors (EY India, 2025). </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behindDoc="0" distT="0" distB="0" distL="0" distR="0" simplePos="0" locked="0" layoutInCell="0" allowOverlap="1" relativeHeight="25">
            <wp:simplePos x="0" y="0"/>
            <wp:positionH relativeFrom="column">
              <wp:align>center</wp:align>
            </wp:positionH>
            <wp:positionV relativeFrom="paragraph">
              <wp:posOffset>635</wp:posOffset>
            </wp:positionV>
            <wp:extent cx="5507990" cy="4013200"/>
            <wp:effectExtent l="0" t="0" r="0" b="0"/>
            <wp:wrapTopAndBottom/>
            <wp:docPr id="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pic:cNvPicPr>
                      <a:picLocks noChangeAspect="1" noChangeArrowheads="1"/>
                    </pic:cNvPicPr>
                  </pic:nvPicPr>
                  <pic:blipFill>
                    <a:blip r:embed="rId8"/>
                    <a:stretch>
                      <a:fillRect/>
                    </a:stretch>
                  </pic:blipFill>
                  <pic:spPr bwMode="auto">
                    <a:xfrm>
                      <a:off x="0" y="0"/>
                      <a:ext cx="5507990" cy="4013200"/>
                    </a:xfrm>
                    <a:prstGeom prst="rect">
                      <a:avLst/>
                    </a:prstGeom>
                    <a:noFill/>
                  </pic:spPr>
                </pic:pic>
              </a:graphicData>
            </a:graphic>
          </wp:anchor>
        </w:drawing>
      </w:r>
    </w:p>
    <w:p>
      <w:pPr>
        <w:pStyle w:val="Normal"/>
        <w:bidi w:val="0"/>
        <w:spacing w:lineRule="auto" w:line="360" w:before="0" w:after="200"/>
        <w:jc w:val="both"/>
        <w:rPr>
          <w:rFonts w:ascii="Arial" w:hAnsi="Arial"/>
          <w:sz w:val="24"/>
          <w:szCs w:val="24"/>
        </w:rPr>
      </w:pPr>
      <w:r>
        <w:rPr>
          <w:rFonts w:eastAsia="Times New Roman" w:cs="Times New Roman"/>
          <w:b/>
          <w:bCs/>
          <w:sz w:val="24"/>
          <w:szCs w:val="24"/>
        </w:rPr>
        <w:t>Implications for Follower:</w:t>
      </w:r>
      <w:r>
        <w:rPr>
          <w:rFonts w:eastAsia="Times New Roman" w:cs="Times New Roman"/>
          <w:sz w:val="24"/>
          <w:szCs w:val="24"/>
        </w:rPr>
        <w:t xml:space="preserve"> This presents an opportunity for followers to build trust and position themselves better. Apple markets itself as "Privacy First" and "Ethical." By coming late, they can build models on licensed data or private user data (on-device), avoiding the copyright legal battles that pioneers face. Followers must adopt a ‘clean supply chain’ strategy. They can also outsource the legal liability by shifting to enterprise grade APIs.</w:t>
      </w:r>
    </w:p>
    <w:p>
      <w:pPr>
        <w:pStyle w:val="Normal"/>
        <w:spacing w:lineRule="auto" w:line="360" w:before="0" w:after="200"/>
        <w:jc w:val="both"/>
        <w:rPr>
          <w:rFonts w:ascii="Arial" w:hAnsi="Arial"/>
          <w:sz w:val="24"/>
          <w:szCs w:val="24"/>
        </w:rPr>
      </w:pPr>
      <w:r>
        <w:rPr>
          <w:sz w:val="24"/>
          <w:szCs w:val="24"/>
        </w:rPr>
      </w:r>
      <w:r>
        <w:br w:type="page"/>
      </w:r>
    </w:p>
    <w:p>
      <w:pPr>
        <w:pStyle w:val="Normal"/>
        <w:spacing w:lineRule="auto" w:line="360" w:before="0" w:after="200"/>
        <w:jc w:val="both"/>
        <w:rPr>
          <w:rFonts w:ascii="Arial" w:hAnsi="Arial"/>
          <w:sz w:val="24"/>
          <w:szCs w:val="24"/>
        </w:rPr>
      </w:pPr>
      <w:r>
        <w:rPr>
          <w:sz w:val="24"/>
          <w:szCs w:val="24"/>
        </w:rPr>
      </w:r>
    </w:p>
    <w:p>
      <w:pPr>
        <w:pStyle w:val="Heading1"/>
        <w:spacing w:lineRule="auto" w:line="360" w:before="0" w:after="200"/>
        <w:jc w:val="both"/>
        <w:rPr/>
      </w:pPr>
      <w:r>
        <w:rPr>
          <w:rFonts w:ascii="Arial" w:hAnsi="Arial"/>
          <w:sz w:val="24"/>
          <w:szCs w:val="24"/>
        </w:rPr>
        <w:t xml:space="preserve">5.0.  </w:t>
      </w:r>
      <w:hyperlink w:anchor="_s512dn8amhau">
        <w:r>
          <w:rPr>
            <w:rStyle w:val="Style3"/>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S</w:t>
        </w:r>
      </w:hyperlink>
      <w:r>
        <w:rPr>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trategic responses</w:t>
      </w:r>
    </w:p>
    <w:p>
      <w:pPr>
        <w:pStyle w:val="Heading2"/>
        <w:spacing w:lineRule="auto" w:line="360" w:before="0" w:after="200"/>
        <w:jc w:val="both"/>
        <w:rPr>
          <w:rFonts w:ascii="Arial" w:hAnsi="Arial"/>
          <w:sz w:val="24"/>
          <w:szCs w:val="24"/>
        </w:rPr>
      </w:pPr>
      <w:r>
        <w:rPr>
          <w:rFonts w:ascii="Arial" w:hAnsi="Arial"/>
          <w:sz w:val="24"/>
          <w:szCs w:val="24"/>
        </w:rPr>
        <w:t xml:space="preserve">5.1 How </w:t>
      </w:r>
      <w:r>
        <w:rPr>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Pioneer organisations’ Respond Strategically</w:t>
      </w:r>
    </w:p>
    <w:p>
      <w:pPr>
        <w:pStyle w:val="normal1"/>
        <w:spacing w:lineRule="auto" w:line="360"/>
        <w:jc w:val="both"/>
        <w:rPr>
          <w:rFonts w:ascii="Arial" w:hAnsi="Arial"/>
          <w:sz w:val="24"/>
          <w:szCs w:val="24"/>
        </w:rPr>
      </w:pPr>
      <w:r>
        <w:rPr>
          <w:rFonts w:eastAsia="Arial" w:cs="Arial" w:ascii="Arial" w:hAnsi="Arial"/>
          <w:b/>
          <w:bCs w:val="false"/>
          <w:sz w:val="24"/>
          <w:szCs w:val="24"/>
        </w:rPr>
        <w:t>Ansoff’s Growth Matrix</w:t>
      </w:r>
    </w:p>
    <w:p>
      <w:pPr>
        <w:pStyle w:val="normal1"/>
        <w:spacing w:lineRule="auto" w:line="360"/>
        <w:jc w:val="both"/>
        <w:rPr>
          <w:rFonts w:ascii="Arial" w:hAnsi="Arial"/>
          <w:sz w:val="24"/>
          <w:szCs w:val="24"/>
        </w:rPr>
      </w:pPr>
      <w:r>
        <w:rPr>
          <w:rFonts w:eastAsia="Arial" w:cs="Arial" w:ascii="Arial" w:hAnsi="Arial"/>
          <w:b/>
          <w:bCs/>
          <w:sz w:val="24"/>
          <w:szCs w:val="24"/>
        </w:rPr>
        <w:t>Market Penetration (Existing Products / Existing Markets)</w:t>
      </w:r>
    </w:p>
    <w:p>
      <w:pPr>
        <w:pStyle w:val="Normal"/>
        <w:bidi w:val="0"/>
        <w:spacing w:lineRule="auto" w:line="360" w:before="0" w:after="200"/>
        <w:jc w:val="both"/>
        <w:rPr>
          <w:rFonts w:ascii="Arial" w:hAnsi="Arial"/>
          <w:sz w:val="24"/>
          <w:szCs w:val="24"/>
        </w:rPr>
      </w:pPr>
      <w:r>
        <w:rPr>
          <w:rFonts w:eastAsia="Times New Roman" w:cs="Times New Roman"/>
          <w:b w:val="false"/>
          <w:bCs w:val="false"/>
          <w:sz w:val="24"/>
          <w:szCs w:val="24"/>
        </w:rPr>
        <w:t>According to the Market Penetration strategy from Ansoff’s Growth Matrix, AI companies can push faster, cheaper and more capable versions of their existing models to attract more users. Open AI launched GPT-4, a more affordable and multimodal version to increase adoption among existing enterprise and consumer users, which reached 700 Million users by 2025 (OpenAI, 2025).</w:t>
      </w:r>
    </w:p>
    <w:p>
      <w:pPr>
        <w:pStyle w:val="normal1"/>
        <w:spacing w:lineRule="auto" w:line="360"/>
        <w:jc w:val="both"/>
        <w:rPr>
          <w:rFonts w:ascii="Arial" w:hAnsi="Arial"/>
          <w:sz w:val="24"/>
          <w:szCs w:val="24"/>
        </w:rPr>
      </w:pPr>
      <w:r>
        <w:rPr>
          <w:rFonts w:eastAsia="Arial" w:cs="Arial" w:ascii="Arial" w:hAnsi="Arial"/>
          <w:b/>
          <w:bCs/>
          <w:sz w:val="24"/>
          <w:szCs w:val="24"/>
        </w:rPr>
        <w:t>Product Development (New Products / Existing  Markets)</w:t>
      </w:r>
    </w:p>
    <w:p>
      <w:pPr>
        <w:pStyle w:val="Normal"/>
        <w:bidi w:val="0"/>
        <w:spacing w:lineRule="auto" w:line="360" w:before="0" w:after="200"/>
        <w:jc w:val="both"/>
        <w:rPr>
          <w:rFonts w:ascii="Arial" w:hAnsi="Arial"/>
          <w:sz w:val="24"/>
          <w:szCs w:val="24"/>
        </w:rPr>
      </w:pPr>
      <w:r>
        <w:rPr>
          <w:rFonts w:eastAsia="Times New Roman" w:cs="Times New Roman"/>
          <w:b w:val="false"/>
          <w:bCs w:val="false"/>
          <w:sz w:val="24"/>
          <w:szCs w:val="24"/>
        </w:rPr>
        <w:t>Pioneers can leverage their huge capital investments to develop new AI products that expand the capabilities of their AI offerings for the existing customers in the same markets. Open AI launched SORA – A new AI video generation model for their creative businesses and users, who were already using ChatGPT. Google integrated Gemini into all Google Workspace apps which deepened the usage within its huge existing customer base without having to create new product offerings. Gemini reached 100 million+ global users within 3 months, and it is now integrated into 1.5 billion+ Android devices (Google, 2025).</w:t>
      </w:r>
    </w:p>
    <w:p>
      <w:pPr>
        <w:pStyle w:val="normal1"/>
        <w:spacing w:lineRule="auto" w:line="360"/>
        <w:jc w:val="both"/>
        <w:rPr>
          <w:rFonts w:ascii="Arial" w:hAnsi="Arial"/>
          <w:sz w:val="24"/>
          <w:szCs w:val="24"/>
        </w:rPr>
      </w:pPr>
      <w:r>
        <w:rPr>
          <w:rFonts w:eastAsia="Arial" w:cs="Arial" w:ascii="Arial" w:hAnsi="Arial"/>
          <w:b/>
          <w:bCs/>
          <w:sz w:val="24"/>
          <w:szCs w:val="24"/>
        </w:rPr>
        <w:t>Market Development (Existing Products / New Markets)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Pioneering companies can tune their existing technologies like LLM models, their AI tools or hardware to sell them to new customer segments or industries. Microsoft adapted Copilot for education, healthcare and public sector use, and because of that, nearly 70% of the Fortune 500 companies were using Microsoft 365 Copilot according to Microsoft (Microsoft, 2024). NVDIA rebranded and optimized their existing gaming GPU architecture for Data Centers and Cloud Providers (AWS, Azure) and established market dominance by capturing 98% marketshare in data center GPUs (Investing.com, 2025). They essentially developed the new market and expanded into multiple non-related industries like automotive (Mercedes-Benz) and logistics (Domina), selling existing AI compute power to optimize supply chains and self-driving tech. This strategy alone shifted their primary revenue source.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behindDoc="0" distT="0" distB="0" distL="0" distR="0" simplePos="0" locked="0" layoutInCell="0" allowOverlap="1" relativeHeight="22">
            <wp:simplePos x="0" y="0"/>
            <wp:positionH relativeFrom="column">
              <wp:align>center</wp:align>
            </wp:positionH>
            <wp:positionV relativeFrom="paragraph">
              <wp:posOffset>635</wp:posOffset>
            </wp:positionV>
            <wp:extent cx="5731510" cy="2880360"/>
            <wp:effectExtent l="0" t="0" r="0" b="0"/>
            <wp:wrapTopAndBottom/>
            <wp:docPr id="8"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
                    <pic:cNvPicPr>
                      <a:picLocks noChangeAspect="1" noChangeArrowheads="1"/>
                    </pic:cNvPicPr>
                  </pic:nvPicPr>
                  <pic:blipFill>
                    <a:blip r:embed="rId9"/>
                    <a:stretch>
                      <a:fillRect/>
                    </a:stretch>
                  </pic:blipFill>
                  <pic:spPr bwMode="auto">
                    <a:xfrm>
                      <a:off x="0" y="0"/>
                      <a:ext cx="5731510" cy="2880360"/>
                    </a:xfrm>
                    <a:prstGeom prst="rect">
                      <a:avLst/>
                    </a:prstGeom>
                    <a:noFill/>
                  </pic:spPr>
                </pic:pic>
              </a:graphicData>
            </a:graphic>
          </wp:anchor>
        </w:drawing>
      </w:r>
    </w:p>
    <w:p>
      <w:pPr>
        <w:pStyle w:val="normal1"/>
        <w:spacing w:lineRule="auto" w:line="360"/>
        <w:jc w:val="both"/>
        <w:rPr>
          <w:rFonts w:ascii="Arial" w:hAnsi="Arial"/>
          <w:sz w:val="24"/>
          <w:szCs w:val="24"/>
        </w:rPr>
      </w:pPr>
      <w:r>
        <w:rPr>
          <w:rFonts w:eastAsia="Arial" w:cs="Arial" w:ascii="Arial" w:hAnsi="Arial"/>
          <w:b/>
          <w:bCs/>
          <w:sz w:val="24"/>
          <w:szCs w:val="24"/>
        </w:rPr>
        <w:t>Diversification (New Products &amp; New Markets)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This is the riskiest strategy with high risk – high reward potential, where a pioneer company can either create or enter into an entirely new customer or market segment with an entirely new product. NVIDIA is moving from GPUs to robotics and humanoid-robot foundation models with Project GR00T, which is a major shift from chips and software to new products and new market territory (NVDIA, 2024).</w:t>
      </w:r>
    </w:p>
    <w:p>
      <w:pPr>
        <w:pStyle w:val="normal1"/>
        <w:spacing w:lineRule="auto" w:line="360"/>
        <w:jc w:val="both"/>
        <w:rPr>
          <w:rFonts w:ascii="Arial" w:hAnsi="Arial"/>
          <w:sz w:val="24"/>
          <w:szCs w:val="24"/>
        </w:rPr>
      </w:pPr>
      <w:r>
        <w:rPr>
          <w:rFonts w:eastAsia="Arial" w:cs="Arial" w:ascii="Arial" w:hAnsi="Arial"/>
          <w:b/>
          <w:bCs/>
          <w:sz w:val="24"/>
          <w:szCs w:val="24"/>
        </w:rPr>
        <w:t>Porter’s Generic Strategies</w:t>
      </w:r>
    </w:p>
    <w:p>
      <w:pPr>
        <w:pStyle w:val="normal1"/>
        <w:spacing w:lineRule="auto" w:line="360"/>
        <w:jc w:val="both"/>
        <w:rPr>
          <w:rFonts w:ascii="Arial" w:hAnsi="Arial"/>
          <w:sz w:val="24"/>
          <w:szCs w:val="24"/>
        </w:rPr>
      </w:pPr>
      <w:r>
        <w:rPr>
          <w:rFonts w:eastAsia="Arial" w:cs="Arial" w:ascii="Arial" w:hAnsi="Arial"/>
          <w:b/>
          <w:bCs/>
          <w:sz w:val="24"/>
          <w:szCs w:val="24"/>
        </w:rPr>
        <w:t>Cost Leadership Strategy</w:t>
      </w:r>
    </w:p>
    <w:p>
      <w:pPr>
        <w:pStyle w:val="normal1"/>
        <w:bidi w:val="0"/>
        <w:spacing w:lineRule="auto" w:line="360"/>
        <w:jc w:val="both"/>
        <w:rPr>
          <w:rFonts w:ascii="Arial" w:hAnsi="Arial" w:eastAsia="Arial" w:cs="Arial"/>
          <w:b w:val="false"/>
          <w:bCs w:val="false"/>
          <w:sz w:val="24"/>
          <w:szCs w:val="24"/>
        </w:rPr>
      </w:pPr>
      <w:r>
        <w:rPr>
          <w:rFonts w:eastAsia="Arial" w:cs="Arial" w:ascii="Arial" w:hAnsi="Arial"/>
          <w:b w:val="false"/>
          <w:bCs w:val="false"/>
          <w:sz w:val="24"/>
          <w:szCs w:val="24"/>
        </w:rPr>
        <w:t>Through this strategy, Pioneers aim to achieve the lowest cost of production in the industry, allowing the company to either undercut competitors on price or maintain industry-average prices while achieving higher margins through economy of scale. Pioneer companies like Google, Amazon and Meta achieve cost leadership by designing their own specialized AI chips (Google TPU, Amazon Inferentia) and integrating them into their cloud infrastructure. This vertical integration reduces cost at scale and makes their cloud AI services cost-effective for end users.</w:t>
        <w:br/>
        <w:t xml:space="preserve"> The open-source movement in the AI landscape that offers AI models essentially for free. It is heavily pioneered by Meta and others to put cost pressure on commercial model providers and prioritizes low operational cost and deployment flexibility over peak performance (e.g., deploying small models on edge devices). </w:t>
      </w:r>
    </w:p>
    <w:p>
      <w:pPr>
        <w:pStyle w:val="normal1"/>
        <w:spacing w:lineRule="auto" w:line="360"/>
        <w:jc w:val="both"/>
        <w:rPr>
          <w:rFonts w:ascii="Arial" w:hAnsi="Arial"/>
          <w:sz w:val="24"/>
          <w:szCs w:val="24"/>
        </w:rPr>
      </w:pPr>
      <w:r>
        <w:rPr>
          <w:rFonts w:eastAsia="Arial" w:cs="Arial" w:ascii="Arial" w:hAnsi="Arial"/>
          <w:b/>
          <w:bCs/>
          <w:sz w:val="24"/>
          <w:szCs w:val="24"/>
        </w:rPr>
        <w:t>Differentiation Strategy</w:t>
      </w:r>
    </w:p>
    <w:p>
      <w:pPr>
        <w:pStyle w:val="normal1"/>
        <w:bidi w:val="0"/>
        <w:spacing w:lineRule="auto" w:line="360"/>
        <w:jc w:val="both"/>
        <w:rPr>
          <w:rFonts w:ascii="Arial" w:hAnsi="Arial" w:eastAsia="Arial" w:cs="Arial"/>
          <w:b w:val="false"/>
          <w:bCs w:val="false"/>
          <w:sz w:val="24"/>
          <w:szCs w:val="24"/>
        </w:rPr>
      </w:pPr>
      <w:r>
        <w:rPr>
          <w:rFonts w:eastAsia="Arial" w:cs="Arial" w:ascii="Arial" w:hAnsi="Arial"/>
          <w:b w:val="false"/>
          <w:bCs w:val="false"/>
          <w:sz w:val="24"/>
          <w:szCs w:val="24"/>
        </w:rPr>
        <w:t xml:space="preserve">Pioneering companies can leverage their technical lead and massive data resources to provide unique or superior products to position themselves better across the entire market and command premium prices. NVDIA optimized its CUDA over 15+ years and created thousands of optimized libraries, which creates extremely high switching costs for competitors, and it has allowed NVDIA to capture 90%+ market share in the AI accelerators market (Investing.com, 2025). Follower organizations or competitors can not adapt quickly due to lack of required engineering expertise. </w:t>
      </w:r>
    </w:p>
    <w:p>
      <w:pPr>
        <w:pStyle w:val="normal1"/>
        <w:spacing w:lineRule="auto" w:line="360"/>
        <w:jc w:val="both"/>
        <w:rPr>
          <w:rFonts w:ascii="Arial" w:hAnsi="Arial"/>
          <w:sz w:val="24"/>
          <w:szCs w:val="24"/>
        </w:rPr>
      </w:pPr>
      <w:r>
        <w:rPr>
          <w:rFonts w:eastAsia="Arial" w:cs="Arial" w:ascii="Arial" w:hAnsi="Arial"/>
          <w:b/>
          <w:bCs/>
          <w:sz w:val="24"/>
          <w:szCs w:val="24"/>
        </w:rPr>
        <w:t>Focus Strategy</w:t>
      </w:r>
    </w:p>
    <w:p>
      <w:pPr>
        <w:pStyle w:val="normal1"/>
        <w:spacing w:lineRule="auto" w:line="360"/>
        <w:jc w:val="both"/>
        <w:rPr>
          <w:rFonts w:ascii="Arial" w:hAnsi="Arial" w:eastAsia="Arial" w:cs="Arial"/>
          <w:b w:val="false"/>
          <w:bCs w:val="false"/>
          <w:sz w:val="24"/>
          <w:szCs w:val="24"/>
        </w:rPr>
      </w:pPr>
      <w:r>
        <w:rPr>
          <w:rFonts w:eastAsia="Arial" w:cs="Arial" w:ascii="Arial" w:hAnsi="Arial"/>
          <w:b w:val="false"/>
          <w:bCs w:val="false"/>
          <w:sz w:val="24"/>
          <w:szCs w:val="24"/>
        </w:rPr>
        <w:t>Pioneer organizations can invest heavily in the costly foundation models or development of narrowly focused, cutting-edge technologies and dominate that niche through pricing or differentiation. OpenAI secured vast computational resources by partnering with Microsoft for their Azure cloud offerings, which allowed them to outsource capital-intensive infrastructure and focus on R&amp;D. Their cutting-edge high-performance foundational models allowed them to command premium API pricing and established OpenAI’s brand as the benchmark.</w:t>
      </w:r>
    </w:p>
    <w:p>
      <w:pPr>
        <w:pStyle w:val="Heading2"/>
        <w:spacing w:lineRule="auto" w:line="360" w:before="0" w:after="200"/>
        <w:jc w:val="both"/>
        <w:rPr>
          <w:rFonts w:ascii="Arial" w:hAnsi="Arial"/>
          <w:sz w:val="24"/>
          <w:szCs w:val="24"/>
        </w:rPr>
      </w:pPr>
      <w:r>
        <w:rPr>
          <w:rFonts w:ascii="Arial" w:hAnsi="Arial"/>
          <w:sz w:val="24"/>
          <w:szCs w:val="24"/>
        </w:rPr>
        <w:t xml:space="preserve">5.2  How </w:t>
      </w:r>
      <w:r>
        <w:rPr>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Follower Organisations’ Respond Strategically</w:t>
      </w:r>
    </w:p>
    <w:p>
      <w:pPr>
        <w:pStyle w:val="normal1"/>
        <w:spacing w:lineRule="auto" w:line="360"/>
        <w:jc w:val="both"/>
        <w:rPr>
          <w:rFonts w:ascii="Arial" w:hAnsi="Arial"/>
          <w:sz w:val="24"/>
          <w:szCs w:val="24"/>
        </w:rPr>
      </w:pPr>
      <w:r>
        <w:rPr>
          <w:rFonts w:eastAsia="Arial" w:cs="Arial" w:ascii="Arial" w:hAnsi="Arial"/>
          <w:b/>
          <w:bCs w:val="false"/>
          <w:sz w:val="24"/>
          <w:szCs w:val="24"/>
        </w:rPr>
        <w:t>Ansoff’s Growth Matrix</w:t>
      </w:r>
    </w:p>
    <w:p>
      <w:pPr>
        <w:pStyle w:val="normal1"/>
        <w:spacing w:lineRule="auto" w:line="360"/>
        <w:jc w:val="both"/>
        <w:rPr>
          <w:rFonts w:ascii="Arial" w:hAnsi="Arial"/>
          <w:sz w:val="24"/>
          <w:szCs w:val="24"/>
        </w:rPr>
      </w:pPr>
      <w:r>
        <w:rPr>
          <w:rFonts w:eastAsia="Arial" w:cs="Arial" w:ascii="Arial" w:hAnsi="Arial"/>
          <w:b/>
          <w:bCs/>
          <w:sz w:val="24"/>
          <w:szCs w:val="24"/>
        </w:rPr>
        <w:t>Market Penetration (Existing Products / Existing Markets)</w:t>
      </w:r>
    </w:p>
    <w:p>
      <w:pPr>
        <w:pStyle w:val="Normal"/>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 xml:space="preserve">While pioneers can leverage their superiority for market development or penetration, followers can compete with pioneers in the same markets through highly specialized products by finetuning pioneer’s general-purpose AI models with proprietary datasets or seamlessly integrating them into the client’s existing workflow software. Smaller follower organizations such as ‘Cursor’ or ‘Lovable’ offer AI coding agents that use foundational models from pioneers (Google, OpenAI) but provide superior quality code in the software development industry. These tools have the ability to access the entire codebase and make necessary changes. </w:t>
      </w:r>
    </w:p>
    <w:p>
      <w:pPr>
        <w:pStyle w:val="normal1"/>
        <w:spacing w:lineRule="auto" w:line="360"/>
        <w:jc w:val="both"/>
        <w:rPr>
          <w:rFonts w:ascii="Arial" w:hAnsi="Arial"/>
          <w:sz w:val="24"/>
          <w:szCs w:val="24"/>
        </w:rPr>
      </w:pPr>
      <w:r>
        <w:rPr>
          <w:rFonts w:eastAsia="Arial" w:cs="Arial" w:ascii="Arial" w:hAnsi="Arial"/>
          <w:b/>
          <w:bCs/>
          <w:sz w:val="24"/>
          <w:szCs w:val="24"/>
        </w:rPr>
        <w:t>Product Development (New Products / Existing  Markets)</w:t>
      </w:r>
    </w:p>
    <w:p>
      <w:pPr>
        <w:pStyle w:val="Normal"/>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 xml:space="preserve">Ansoff’s Growth Matrix indicates that followers can observe the markets created by pioneers and introduce new products of superior quality or user experience after careful analysis. Adobe integrated its AI offering as Adobe Firefly – a video/image generation model for existing Adobe product users. Sora and Stable Diffusion were available on the market, but Adobe’s model was well received because it was better aligned with creative vision, readily available in the Adobe apps (Distribution) and offered better results because of finetuning. </w:t>
      </w:r>
    </w:p>
    <w:p>
      <w:pPr>
        <w:pStyle w:val="normal1"/>
        <w:spacing w:lineRule="auto" w:line="360"/>
        <w:jc w:val="both"/>
        <w:rPr>
          <w:rFonts w:ascii="Arial" w:hAnsi="Arial"/>
          <w:sz w:val="24"/>
          <w:szCs w:val="24"/>
        </w:rPr>
      </w:pPr>
      <w:r>
        <w:rPr>
          <w:rFonts w:eastAsia="Arial" w:cs="Arial" w:ascii="Arial" w:hAnsi="Arial"/>
          <w:b/>
          <w:bCs/>
          <w:sz w:val="24"/>
          <w:szCs w:val="24"/>
        </w:rPr>
        <w:t>Market Development (Existing Products / New Markets)</w:t>
      </w:r>
    </w:p>
    <w:p>
      <w:pPr>
        <w:pStyle w:val="Normal"/>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 xml:space="preserve">Followers can identify the markets where pioneer’s generic AI solutions are under-adopted, and then deploy a slightly tailored version of the existing technology which is proven to work. Descript – an audio, video editing tool that uses OpenAI’s whisper model for its AI features, such as transcription and editing video via text prompts. </w:t>
      </w:r>
    </w:p>
    <w:p>
      <w:pPr>
        <w:pStyle w:val="normal1"/>
        <w:spacing w:lineRule="auto" w:line="360"/>
        <w:jc w:val="both"/>
        <w:rPr>
          <w:rFonts w:ascii="Arial" w:hAnsi="Arial"/>
          <w:sz w:val="24"/>
          <w:szCs w:val="24"/>
        </w:rPr>
      </w:pPr>
      <w:r>
        <w:rPr>
          <w:rFonts w:eastAsia="Arial" w:cs="Arial" w:ascii="Arial" w:hAnsi="Arial"/>
          <w:b/>
          <w:bCs/>
          <w:sz w:val="24"/>
          <w:szCs w:val="24"/>
        </w:rPr>
        <w:t>Diversification (New Products &amp; New Markets)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the end, macro environmental factors could allow followers to escape the monopoly pioneers and enter into new markets. Salesforce (a cloud-based CRM provider) has developed its proprietary AI models that are specifically trained to automate sales tasks such as generating insights, summarizing calls and nurturing the sales pipeline.</w:t>
      </w:r>
    </w:p>
    <w:p>
      <w:pPr>
        <w:pStyle w:val="normal1"/>
        <w:spacing w:lineRule="auto" w:line="360"/>
        <w:jc w:val="both"/>
        <w:rPr>
          <w:rFonts w:ascii="Arial" w:hAnsi="Arial"/>
          <w:sz w:val="24"/>
          <w:szCs w:val="24"/>
        </w:rPr>
      </w:pPr>
      <w:r>
        <w:rPr>
          <w:rFonts w:eastAsia="Arial" w:cs="Arial" w:ascii="Arial" w:hAnsi="Arial"/>
          <w:b/>
          <w:bCs/>
          <w:sz w:val="24"/>
          <w:szCs w:val="24"/>
        </w:rPr>
        <w:t>Porter’s Generic Strategies</w:t>
      </w:r>
    </w:p>
    <w:p>
      <w:pPr>
        <w:pStyle w:val="normal1"/>
        <w:spacing w:lineRule="auto" w:line="360"/>
        <w:jc w:val="both"/>
        <w:rPr>
          <w:rFonts w:ascii="Arial" w:hAnsi="Arial"/>
          <w:sz w:val="24"/>
          <w:szCs w:val="24"/>
        </w:rPr>
      </w:pPr>
      <w:r>
        <w:rPr>
          <w:rFonts w:eastAsia="Arial" w:cs="Arial" w:ascii="Arial" w:hAnsi="Arial"/>
          <w:b/>
          <w:bCs/>
          <w:sz w:val="24"/>
          <w:szCs w:val="24"/>
        </w:rPr>
        <w:t>Cost Leadership Strategy</w:t>
      </w:r>
    </w:p>
    <w:p>
      <w:pPr>
        <w:pStyle w:val="normal1"/>
        <w:spacing w:lineRule="auto" w:line="360"/>
        <w:jc w:val="both"/>
        <w:rPr>
          <w:rFonts w:ascii="Arial" w:hAnsi="Arial" w:eastAsia="Arial" w:cs="Arial"/>
          <w:b w:val="false"/>
          <w:bCs w:val="false"/>
          <w:sz w:val="24"/>
          <w:szCs w:val="24"/>
        </w:rPr>
      </w:pPr>
      <w:r>
        <w:rPr>
          <w:rFonts w:eastAsia="Arial" w:cs="Arial" w:ascii="Arial" w:hAnsi="Arial"/>
          <w:b w:val="false"/>
          <w:bCs w:val="false"/>
          <w:sz w:val="24"/>
          <w:szCs w:val="24"/>
        </w:rPr>
        <w:t xml:space="preserve">Pioneers create barriers to entry by evolving quickly and investing heavily, so followers can use open-source models to avoid training their own expensive models. Industries are rapidly adopting AI to automate expensive human processes and for optimization purposes. The oil and gas industry is moving towards predictive AI to cut maintenance costs. Supply chain companies are using AI for inventory management and find efficient routes. Instead of building these expensive models, followers can partner with existing players for cost-efficiency and rapid deployment. </w:t>
      </w:r>
    </w:p>
    <w:p>
      <w:pPr>
        <w:pStyle w:val="normal1"/>
        <w:spacing w:lineRule="auto" w:line="360"/>
        <w:jc w:val="both"/>
        <w:rPr>
          <w:rFonts w:ascii="Arial" w:hAnsi="Arial"/>
          <w:sz w:val="24"/>
          <w:szCs w:val="24"/>
        </w:rPr>
      </w:pPr>
      <w:r>
        <w:rPr>
          <w:rFonts w:eastAsia="Arial" w:cs="Arial" w:ascii="Arial" w:hAnsi="Arial"/>
          <w:b/>
          <w:bCs/>
          <w:sz w:val="24"/>
          <w:szCs w:val="24"/>
        </w:rPr>
        <w:t>Differentiation Strategy</w:t>
      </w:r>
    </w:p>
    <w:p>
      <w:pPr>
        <w:pStyle w:val="normal1"/>
        <w:spacing w:lineRule="auto" w:line="360"/>
        <w:jc w:val="both"/>
        <w:rPr>
          <w:rFonts w:ascii="Arial" w:hAnsi="Arial" w:eastAsia="Arial" w:cs="Arial"/>
          <w:b w:val="false"/>
          <w:bCs w:val="false"/>
          <w:sz w:val="24"/>
          <w:szCs w:val="24"/>
        </w:rPr>
      </w:pPr>
      <w:r>
        <w:rPr>
          <w:rFonts w:eastAsia="Arial" w:cs="Arial" w:ascii="Arial" w:hAnsi="Arial"/>
          <w:b w:val="false"/>
          <w:bCs w:val="false"/>
          <w:sz w:val="24"/>
          <w:szCs w:val="24"/>
        </w:rPr>
        <w:t xml:space="preserve">Instead of competing with pioneers, follower firms can adopt entirely new strategies and offer a unique or premium customer experience that cannot be easily copied by others. Brands can justify their premium pricing by doing this. Instead of competing with OpenAI and Google on the data-center scale, Apple embraced small language models on devices itself, negating the need for expensive investments. These models are highly efficient and do not require data-processing in the cloud, hence providing a better customer experience through faster results and brand loyalty because of trust. </w:t>
      </w:r>
    </w:p>
    <w:p>
      <w:pPr>
        <w:pStyle w:val="normal1"/>
        <w:spacing w:lineRule="auto" w:line="360"/>
        <w:jc w:val="both"/>
        <w:rPr>
          <w:rFonts w:ascii="Arial" w:hAnsi="Arial"/>
          <w:sz w:val="24"/>
          <w:szCs w:val="24"/>
        </w:rPr>
      </w:pPr>
      <w:r>
        <w:rPr>
          <w:rFonts w:eastAsia="Arial" w:cs="Arial" w:ascii="Arial" w:hAnsi="Arial"/>
          <w:b/>
          <w:bCs/>
          <w:sz w:val="24"/>
          <w:szCs w:val="24"/>
        </w:rPr>
        <w:t>Focus Strategy</w:t>
      </w:r>
    </w:p>
    <w:p>
      <w:pPr>
        <w:pStyle w:val="normal1"/>
        <w:spacing w:lineRule="auto" w:line="360"/>
        <w:jc w:val="both"/>
        <w:rPr>
          <w:rFonts w:ascii="Arial" w:hAnsi="Arial" w:eastAsia="Arial" w:cs="Arial"/>
          <w:b w:val="false"/>
          <w:bCs w:val="false"/>
          <w:sz w:val="24"/>
          <w:szCs w:val="24"/>
        </w:rPr>
      </w:pPr>
      <w:r>
        <w:rPr>
          <w:rFonts w:eastAsia="Arial" w:cs="Arial" w:ascii="Arial" w:hAnsi="Arial"/>
          <w:b w:val="false"/>
          <w:bCs w:val="false"/>
          <w:sz w:val="24"/>
          <w:szCs w:val="24"/>
        </w:rPr>
        <w:t xml:space="preserve">Followers can either become pioneers in the niche segments or survive the competition by focusing on under-served segments of the markets. Innovation is relatively cheap in these areas, hence they can offer lower pricing and followers can quickly capture a huge market because of less competition. Instead of video or image generation, ‘ElevenLabs’ focused only on AI audio generation, which allowed them to avoid competition from pioneering companies like Google or OpenAI. </w:t>
      </w:r>
    </w:p>
    <w:p>
      <w:pPr>
        <w:pStyle w:val="Heading2"/>
        <w:spacing w:lineRule="auto" w:line="360" w:before="0" w:after="200"/>
        <w:jc w:val="both"/>
        <w:rPr>
          <w:rFonts w:ascii="Arial" w:hAnsi="Arial"/>
          <w:sz w:val="24"/>
          <w:szCs w:val="24"/>
        </w:rPr>
      </w:pPr>
      <w:r>
        <w:rPr>
          <w:rFonts w:ascii="Arial" w:hAnsi="Arial"/>
          <w:sz w:val="24"/>
          <w:szCs w:val="24"/>
        </w:rPr>
        <w:t>5.3. C</w:t>
      </w:r>
      <w:r>
        <w:rPr>
          <w:rFonts w:eastAsia="Times New Roman" w:cs="Times New Roman" w:ascii="Arial" w:hAnsi="Arial"/>
          <w:b/>
          <w:bCs/>
          <w:i w:val="false"/>
          <w:caps w:val="false"/>
          <w:smallCaps w:val="false"/>
          <w:strike w:val="false"/>
          <w:dstrike w:val="false"/>
          <w:color w:val="000000"/>
          <w:position w:val="0"/>
          <w:sz w:val="24"/>
          <w:sz w:val="24"/>
          <w:szCs w:val="24"/>
          <w:u w:val="none"/>
          <w:shd w:fill="auto" w:val="clear"/>
          <w:vertAlign w:val="baseline"/>
        </w:rPr>
        <w:t>onclusion</w:t>
      </w:r>
    </w:p>
    <w:p>
      <w:pPr>
        <w:pStyle w:val="Normal"/>
        <w:bidi w:val="0"/>
        <w:spacing w:lineRule="auto" w:line="360" w:before="0" w:after="200"/>
        <w:jc w:val="both"/>
        <w:rPr>
          <w:rFonts w:ascii="Arial" w:hAnsi="Arial"/>
          <w:sz w:val="24"/>
          <w:szCs w:val="24"/>
        </w:rPr>
      </w:pPr>
      <w:r>
        <w:rPr>
          <w:rFonts w:eastAsia="Arial" w:cs="Arial"/>
          <w:b w:val="false"/>
          <w:bCs w:val="false"/>
          <w:sz w:val="24"/>
          <w:szCs w:val="24"/>
        </w:rPr>
        <w:t xml:space="preserve">The report concludes that technological and legal factors affect the followers and pioneers differently. Pioneers can create or move markets by setting proprietary standards, costly innovations, but copyright lawsuits and legal compliance create regulatory burden. OpenAI dominates the consumer AI market with a 62.5% share, but it has also attracted high-profile lawsuits from various firms, authors and publishers (OpenAI, 2025, Harvard, 2024). Followers are at advantage as they can wait for the market to settle and take safe steps by waiting for regulations to mature and investing in standardized technology. Both can use the Growth Matrix by Ansoff and General Strategies by Porter to analyze external changes and align their strategic decisions accordingly. </w:t>
      </w:r>
      <w:r>
        <w:br w:type="page"/>
      </w:r>
    </w:p>
    <w:p>
      <w:pPr>
        <w:pStyle w:val="Heading1"/>
        <w:spacing w:lineRule="auto" w:line="360" w:before="0" w:after="200"/>
        <w:jc w:val="both"/>
        <w:rPr>
          <w:rFonts w:ascii="Arial" w:hAnsi="Arial"/>
          <w:sz w:val="24"/>
          <w:szCs w:val="24"/>
        </w:rPr>
      </w:pPr>
      <w:bookmarkStart w:id="1" w:name="_pemnsk9klfvc"/>
      <w:bookmarkEnd w:id="1"/>
      <w:r>
        <w:rPr>
          <w:rFonts w:ascii="Arial" w:hAnsi="Arial"/>
          <w:sz w:val="24"/>
          <w:szCs w:val="24"/>
        </w:rPr>
        <w:t>References</w:t>
      </w:r>
    </w:p>
    <w:p>
      <w:pPr>
        <w:pStyle w:val="BodyText"/>
        <w:bidi w:val="0"/>
        <w:ind w:hanging="0" w:start="0" w:end="0"/>
        <w:jc w:val="start"/>
        <w:rPr/>
      </w:pPr>
      <w:r>
        <w:rPr>
          <w:sz w:val="24"/>
          <w:szCs w:val="24"/>
        </w:rPr>
        <w:t xml:space="preserve">1. OECD (2025), “Competition in artificial intelligence infrastructure”, OECD Roundtables on Competition Policy Papers, No. 330, OECD Publishing, Paris, </w:t>
      </w:r>
      <w:hyperlink r:id="rId10">
        <w:r>
          <w:rPr>
            <w:rStyle w:val="Hyperlink"/>
            <w:sz w:val="24"/>
            <w:szCs w:val="24"/>
          </w:rPr>
          <w:t>https://doi.org/10.1787/623d1874-en</w:t>
        </w:r>
      </w:hyperlink>
      <w:r>
        <w:rPr>
          <w:sz w:val="24"/>
          <w:szCs w:val="24"/>
        </w:rPr>
        <w:t>.</w:t>
      </w:r>
    </w:p>
    <w:p>
      <w:pPr>
        <w:pStyle w:val="BodyText"/>
        <w:bidi w:val="0"/>
        <w:ind w:hanging="0" w:start="0" w:end="0"/>
        <w:jc w:val="start"/>
        <w:rPr>
          <w:rFonts w:ascii="Arial" w:hAnsi="Arial"/>
          <w:sz w:val="24"/>
          <w:szCs w:val="24"/>
        </w:rPr>
      </w:pPr>
      <w:r>
        <w:rPr>
          <w:sz w:val="24"/>
          <w:szCs w:val="24"/>
        </w:rPr>
        <w:t xml:space="preserve">1. Pilz, Konstantin &amp; Sanders, James &amp; Rahman, Robi &amp; Heim, Lennart. (2025). Trends in AI Supercomputers. 10.48550/arXiv.2504.16026. </w:t>
      </w:r>
      <w:hyperlink r:id="rId11">
        <w:r>
          <w:rPr>
            <w:rStyle w:val="Hyperlink"/>
            <w:sz w:val="24"/>
            <w:szCs w:val="24"/>
          </w:rPr>
          <w:t>https://www.researchgate.net/publication/391018907_Trends_in_AI_Supercomputers</w:t>
        </w:r>
      </w:hyperlink>
    </w:p>
    <w:p>
      <w:pPr>
        <w:pStyle w:val="BodyText"/>
        <w:bidi w:val="0"/>
        <w:ind w:hanging="0" w:start="0" w:end="0"/>
        <w:jc w:val="start"/>
        <w:rPr/>
      </w:pPr>
      <w:r>
        <w:rPr>
          <w:sz w:val="24"/>
          <w:szCs w:val="24"/>
        </w:rPr>
        <w:t xml:space="preserve">2. AI Infrastructure spending by 2029, IDC (2025). </w:t>
      </w:r>
      <w:hyperlink r:id="rId12">
        <w:r>
          <w:rPr>
            <w:rStyle w:val="Hyperlink"/>
            <w:sz w:val="24"/>
            <w:szCs w:val="24"/>
          </w:rPr>
          <w:t>https://my.idc.com/getdoc.jsp?containerId=prUS53894425</w:t>
        </w:r>
      </w:hyperlink>
    </w:p>
    <w:p>
      <w:pPr>
        <w:pStyle w:val="BodyText"/>
        <w:bidi w:val="0"/>
        <w:ind w:hanging="0" w:start="0" w:end="0"/>
        <w:jc w:val="start"/>
        <w:rPr/>
      </w:pPr>
      <w:r>
        <w:rPr>
          <w:sz w:val="24"/>
          <w:szCs w:val="24"/>
        </w:rPr>
        <w:t xml:space="preserve">3. The state of AI in 2025: Agents, innovation, and transformation, Mckinsey (2025). </w:t>
      </w:r>
      <w:hyperlink r:id="rId13">
        <w:r>
          <w:rPr>
            <w:rStyle w:val="Hyperlink"/>
            <w:sz w:val="24"/>
            <w:szCs w:val="24"/>
          </w:rPr>
          <w:t>https://www.mckinsey.com/capabilities/quantumblack/our-insights/the-state-of-ai</w:t>
        </w:r>
      </w:hyperlink>
    </w:p>
    <w:p>
      <w:pPr>
        <w:pStyle w:val="BodyText"/>
        <w:bidi w:val="0"/>
        <w:ind w:hanging="0" w:start="0" w:end="0"/>
        <w:jc w:val="start"/>
        <w:rPr/>
      </w:pPr>
      <w:r>
        <w:rPr>
          <w:sz w:val="24"/>
          <w:szCs w:val="24"/>
        </w:rPr>
        <w:t xml:space="preserve">4. Clearview AI fined $33M Dollars, The Verge (2025). </w:t>
      </w:r>
      <w:hyperlink r:id="rId14">
        <w:r>
          <w:rPr>
            <w:rStyle w:val="Hyperlink"/>
            <w:sz w:val="24"/>
            <w:szCs w:val="24"/>
          </w:rPr>
          <w:t>https://www.theverge.com/2024/9/3/24234879/dutch-regulator-gdpr-clearview-ai-fine</w:t>
        </w:r>
      </w:hyperlink>
    </w:p>
    <w:p>
      <w:pPr>
        <w:pStyle w:val="BodyText"/>
        <w:bidi w:val="0"/>
        <w:ind w:hanging="0" w:start="0" w:end="0"/>
        <w:jc w:val="start"/>
        <w:rPr/>
      </w:pPr>
      <w:r>
        <w:rPr>
          <w:sz w:val="24"/>
          <w:szCs w:val="24"/>
        </w:rPr>
        <w:t xml:space="preserve">5. Balas, Hashim &amp; Shatnawi, Reem. (2024). Legal framework for AI applications. F1000Research. 13. 418. 10.12688/f1000research.147019.1. </w:t>
      </w:r>
      <w:hyperlink r:id="rId15">
        <w:r>
          <w:rPr>
            <w:rStyle w:val="Hyperlink"/>
            <w:sz w:val="24"/>
            <w:szCs w:val="24"/>
          </w:rPr>
          <w:t>https://f1000research.com/articles/13-418/v1</w:t>
        </w:r>
      </w:hyperlink>
    </w:p>
    <w:p>
      <w:pPr>
        <w:pStyle w:val="BodyText"/>
        <w:bidi w:val="0"/>
        <w:ind w:hanging="0" w:start="0" w:end="0"/>
        <w:jc w:val="start"/>
        <w:rPr/>
      </w:pPr>
      <w:r>
        <w:rPr>
          <w:sz w:val="24"/>
          <w:szCs w:val="24"/>
        </w:rPr>
        <w:t xml:space="preserve">6. Kashefi, Pouya &amp; Kashefi, Yasaman &amp; Ghafouri Mirsaraei, Amir Hossein. (2024). Shaping the future of AI: balancing innovation and ethics in global regulation. Uniform Law Review. 29. 10.1093/ulr/unae040. </w:t>
      </w:r>
      <w:hyperlink r:id="rId16">
        <w:r>
          <w:rPr>
            <w:rStyle w:val="Hyperlink"/>
            <w:sz w:val="24"/>
            <w:szCs w:val="24"/>
          </w:rPr>
          <w:t>https://doi.org/10.1093/ulr/unae040</w:t>
        </w:r>
      </w:hyperlink>
    </w:p>
    <w:p>
      <w:pPr>
        <w:pStyle w:val="BodyText"/>
        <w:bidi w:val="0"/>
        <w:ind w:hanging="0" w:start="0" w:end="0"/>
        <w:jc w:val="start"/>
        <w:rPr/>
      </w:pPr>
      <w:r>
        <w:rPr>
          <w:sz w:val="24"/>
          <w:szCs w:val="24"/>
        </w:rPr>
        <w:t xml:space="preserve">7. ChatGPT / OpenAI Statistics: How Many People Use ChatGPT?, Backlinko (2025). </w:t>
      </w:r>
      <w:hyperlink r:id="rId17">
        <w:r>
          <w:rPr>
            <w:rStyle w:val="Hyperlink"/>
            <w:sz w:val="24"/>
            <w:szCs w:val="24"/>
          </w:rPr>
          <w:t>https://backlinko.com/chatgpt-stats</w:t>
        </w:r>
      </w:hyperlink>
    </w:p>
    <w:p>
      <w:pPr>
        <w:pStyle w:val="BodyText"/>
        <w:bidi w:val="0"/>
        <w:ind w:hanging="0" w:start="0" w:end="0"/>
        <w:jc w:val="start"/>
        <w:rPr/>
      </w:pPr>
      <w:r>
        <w:rPr>
          <w:sz w:val="24"/>
          <w:szCs w:val="24"/>
        </w:rPr>
        <w:t xml:space="preserve">8. </w:t>
      </w:r>
      <w:bookmarkStart w:id="2" w:name="mbox-heading"/>
      <w:bookmarkEnd w:id="2"/>
      <w:r>
        <w:rPr>
          <w:rFonts w:eastAsia="Arial" w:cs="Arial"/>
          <w:sz w:val="24"/>
          <w:szCs w:val="24"/>
        </w:rPr>
        <w:t xml:space="preserve">Open-source AI in 2025: Smaller, smarter and more collaborative (2025). </w:t>
      </w:r>
      <w:hyperlink r:id="rId18">
        <w:r>
          <w:rPr>
            <w:rStyle w:val="Hyperlink"/>
            <w:rFonts w:eastAsia="Arial" w:cs="Arial"/>
            <w:sz w:val="24"/>
            <w:szCs w:val="24"/>
          </w:rPr>
          <w:t>https://www.ibm.com/think/news/2025-open-ai-trends</w:t>
        </w:r>
      </w:hyperlink>
    </w:p>
    <w:p>
      <w:pPr>
        <w:pStyle w:val="BodyText"/>
        <w:bidi w:val="0"/>
        <w:ind w:hanging="0" w:start="0" w:end="0"/>
        <w:jc w:val="start"/>
        <w:rPr/>
      </w:pPr>
      <w:r>
        <w:rPr>
          <w:rFonts w:eastAsia="Arial" w:cs="Arial"/>
          <w:sz w:val="24"/>
          <w:szCs w:val="24"/>
        </w:rPr>
        <w:t xml:space="preserve">9. NVIDIA Blackwell Platform Arrives to Power a New Era of Computing, NVDIA (2024). </w:t>
      </w:r>
      <w:hyperlink r:id="rId19">
        <w:r>
          <w:rPr>
            <w:rStyle w:val="Hyperlink"/>
            <w:rFonts w:eastAsia="Arial" w:cs="Arial"/>
            <w:sz w:val="24"/>
            <w:szCs w:val="24"/>
          </w:rPr>
          <w:t>https://nvidianews.nvidia.com/news/nvidia-blackwell-platform-arrives-to-power-a-new-era-of-computing</w:t>
        </w:r>
      </w:hyperlink>
    </w:p>
    <w:p>
      <w:pPr>
        <w:pStyle w:val="BodyText"/>
        <w:bidi w:val="0"/>
        <w:ind w:hanging="0" w:start="0" w:end="0"/>
        <w:jc w:val="start"/>
        <w:rPr/>
      </w:pPr>
      <w:r>
        <w:rPr>
          <w:rFonts w:eastAsia="Arial" w:cs="Arial"/>
          <w:sz w:val="24"/>
          <w:szCs w:val="24"/>
        </w:rPr>
        <w:t xml:space="preserve">10. Ignite 2024: Why nearly 70% of the Fortune 500 now use Microsoft 365 Copilot (2024). </w:t>
      </w:r>
      <w:hyperlink r:id="rId20">
        <w:r>
          <w:rPr>
            <w:rStyle w:val="Hyperlink"/>
            <w:rFonts w:eastAsia="Arial" w:cs="Arial"/>
            <w:sz w:val="24"/>
            <w:szCs w:val="24"/>
          </w:rPr>
          <w:t>https://news.microsoft.com/source/asia/2024/11/19/ignite-2024-why-nearly-70-of-the-fortune-500-now-use-microsoft-365-copilot-en/</w:t>
        </w:r>
      </w:hyperlink>
    </w:p>
    <w:p>
      <w:pPr>
        <w:pStyle w:val="BodyText"/>
        <w:bidi w:val="0"/>
        <w:ind w:hanging="0" w:start="0" w:end="0"/>
        <w:jc w:val="start"/>
        <w:rPr/>
      </w:pPr>
      <w:r>
        <w:rPr>
          <w:rFonts w:eastAsia="Arial" w:cs="Arial"/>
          <w:sz w:val="24"/>
          <w:szCs w:val="24"/>
        </w:rPr>
        <w:t xml:space="preserve">11. How People Use ChatGPT, OpenAI (2025). </w:t>
      </w:r>
      <w:hyperlink r:id="rId21">
        <w:r>
          <w:rPr>
            <w:rStyle w:val="Hyperlink"/>
            <w:rFonts w:eastAsia="Arial" w:cs="Arial"/>
            <w:sz w:val="24"/>
            <w:szCs w:val="24"/>
          </w:rPr>
          <w:t>https://cdn.openai.com/pdf/a253471f-8260-40c6-a2cc-aa93fe9f142e/economic-research-chatgpt-usage-paper.pdf</w:t>
        </w:r>
      </w:hyperlink>
    </w:p>
    <w:p>
      <w:pPr>
        <w:pStyle w:val="BodyText"/>
        <w:bidi w:val="0"/>
        <w:ind w:hanging="0" w:start="0" w:end="0"/>
        <w:jc w:val="start"/>
        <w:rPr/>
      </w:pPr>
      <w:r>
        <w:rPr>
          <w:rFonts w:eastAsia="Arial" w:cs="Arial"/>
          <w:sz w:val="24"/>
          <w:szCs w:val="24"/>
        </w:rPr>
        <w:t xml:space="preserve">12. A new era of intelligence with Gemini 3, Google (2025). </w:t>
      </w:r>
      <w:hyperlink r:id="rId22">
        <w:r>
          <w:rPr>
            <w:rStyle w:val="Hyperlink"/>
            <w:rFonts w:eastAsia="Arial" w:cs="Arial"/>
            <w:sz w:val="24"/>
            <w:szCs w:val="24"/>
          </w:rPr>
          <w:t>https://blog</w:t>
        </w:r>
      </w:hyperlink>
      <w:hyperlink r:id="rId23">
        <w:r>
          <w:rPr>
            <w:rStyle w:val="Hyperlink"/>
            <w:rFonts w:eastAsia="Arial" w:cs="Arial"/>
            <w:sz w:val="24"/>
            <w:szCs w:val="24"/>
          </w:rPr>
          <w:t xml:space="preserve"> google/products/gemini/gemini-3</w:t>
        </w:r>
      </w:hyperlink>
    </w:p>
    <w:p>
      <w:pPr>
        <w:pStyle w:val="BodyText"/>
        <w:bidi w:val="0"/>
        <w:ind w:hanging="0" w:start="0" w:end="0"/>
        <w:jc w:val="start"/>
        <w:rPr/>
      </w:pPr>
      <w:r>
        <w:rPr>
          <w:sz w:val="24"/>
          <w:szCs w:val="24"/>
        </w:rPr>
        <w:t xml:space="preserve">13. Investing.com. (2025). Earnings call transcript: NVIDIA Q3 2025 sees revenue surge, stock rises. [Online] Available at: </w:t>
      </w:r>
      <w:hyperlink r:id="rId24">
        <w:r>
          <w:rPr>
            <w:rStyle w:val="Hyperlink"/>
            <w:sz w:val="24"/>
            <w:szCs w:val="24"/>
          </w:rPr>
          <w:t>https://in.investing.com/news/transcripts/earnings-call-transcript-nvidia-q3-2025-sees-revenue-surge-stock-rises-93CH-5118417</w:t>
        </w:r>
      </w:hyperlink>
    </w:p>
    <w:p>
      <w:pPr>
        <w:pStyle w:val="BodyText"/>
        <w:bidi w:val="0"/>
        <w:ind w:hanging="0" w:start="0" w:end="0"/>
        <w:jc w:val="start"/>
        <w:rPr/>
      </w:pPr>
      <w:r>
        <w:rPr>
          <w:sz w:val="24"/>
          <w:szCs w:val="24"/>
        </w:rPr>
        <w:t xml:space="preserve">14. NVIDIA Announces Project GR00T Foundation Model for Humanoid Robots and Major Isaac Robotics Platform Update (2024). </w:t>
      </w:r>
      <w:hyperlink r:id="rId25">
        <w:r>
          <w:rPr>
            <w:rStyle w:val="Hyperlink"/>
            <w:sz w:val="24"/>
            <w:szCs w:val="24"/>
          </w:rPr>
          <w:t>https://investor.nvidia.com/news/press-release-details/2024/NVIDIA-Announces-Project-GR00T-Foundation-Model-for-Humanoid-Robots-and-Major-Isaac-Robotics-Platform-Update/</w:t>
        </w:r>
      </w:hyperlink>
    </w:p>
    <w:p>
      <w:pPr>
        <w:pStyle w:val="BodyText"/>
        <w:bidi w:val="0"/>
        <w:ind w:hanging="0" w:start="0" w:end="0"/>
        <w:jc w:val="start"/>
        <w:rPr/>
      </w:pPr>
      <w:r>
        <w:rPr>
          <w:sz w:val="24"/>
          <w:szCs w:val="24"/>
        </w:rPr>
        <w:t xml:space="preserve">15. Adobe 2025 AI and Digital trends report, Adobe (2025) . </w:t>
      </w:r>
      <w:hyperlink r:id="rId26">
        <w:r>
          <w:rPr>
            <w:rStyle w:val="Hyperlink"/>
            <w:sz w:val="24"/>
            <w:szCs w:val="24"/>
          </w:rPr>
          <w:t>https://business.adobe.com/resources/digital-trends-report.html</w:t>
        </w:r>
      </w:hyperlink>
    </w:p>
    <w:p>
      <w:pPr>
        <w:pStyle w:val="BodyText"/>
        <w:bidi w:val="0"/>
        <w:ind w:hanging="0" w:start="0" w:end="0"/>
        <w:jc w:val="start"/>
        <w:rPr/>
      </w:pPr>
      <w:r>
        <w:rPr>
          <w:sz w:val="24"/>
          <w:szCs w:val="24"/>
        </w:rPr>
        <w:t xml:space="preserve">16. NYT v. OpenAI: The Times’s About-Face (2024) . </w:t>
      </w:r>
      <w:hyperlink r:id="rId27">
        <w:r>
          <w:rPr>
            <w:rStyle w:val="Hyperlink"/>
            <w:sz w:val="24"/>
            <w:szCs w:val="24"/>
          </w:rPr>
          <w:t>https://harvardlawreview.org/blog/2024/04/nyt-v-openai-the-timess-about-face/</w:t>
        </w:r>
      </w:hyperlink>
    </w:p>
    <w:p>
      <w:pPr>
        <w:pStyle w:val="BodyText"/>
        <w:bidi w:val="0"/>
        <w:ind w:hanging="0" w:start="0" w:end="0"/>
        <w:jc w:val="start"/>
        <w:rPr/>
      </w:pPr>
      <w:r>
        <w:rPr>
          <w:sz w:val="24"/>
          <w:szCs w:val="24"/>
        </w:rPr>
        <w:t xml:space="preserve">17. $1.5 Billion Bartz v. Anthropic Settlement, Copyright Alliance (2025) .  </w:t>
      </w:r>
      <w:hyperlink r:id="rId28">
        <w:r>
          <w:rPr>
            <w:rStyle w:val="Hyperlink"/>
            <w:sz w:val="24"/>
            <w:szCs w:val="24"/>
          </w:rPr>
          <w:t>https://copyrightalliance.org/participating-bartz-v-anthropic-settlement/</w:t>
        </w:r>
      </w:hyperlink>
    </w:p>
    <w:p>
      <w:pPr>
        <w:pStyle w:val="BodyText"/>
        <w:bidi w:val="0"/>
        <w:ind w:hanging="0" w:start="0" w:end="0"/>
        <w:jc w:val="start"/>
        <w:rPr/>
      </w:pPr>
      <w:r>
        <w:rPr>
          <w:sz w:val="24"/>
          <w:szCs w:val="24"/>
        </w:rPr>
        <w:t xml:space="preserve">18. Shaping Europe’s digital future, AI act,  EU (2025). </w:t>
      </w:r>
      <w:hyperlink r:id="rId29">
        <w:r>
          <w:rPr>
            <w:rStyle w:val="Hyperlink"/>
            <w:sz w:val="24"/>
            <w:szCs w:val="24"/>
          </w:rPr>
          <w:t>https://digital-strategy.ec.europa.eu/en/policies/regulatory-framework-ai</w:t>
        </w:r>
      </w:hyperlink>
    </w:p>
    <w:p>
      <w:pPr>
        <w:pStyle w:val="BodyText"/>
        <w:bidi w:val="0"/>
        <w:ind w:hanging="0" w:start="0" w:end="0"/>
        <w:jc w:val="start"/>
        <w:rPr/>
      </w:pPr>
      <w:r>
        <w:rPr>
          <w:sz w:val="24"/>
          <w:szCs w:val="24"/>
        </w:rPr>
        <w:t xml:space="preserve">19. News Corp and OpenAI Sign Landmark Multi-Year Global Partnership, Newscorp (2024). </w:t>
      </w:r>
      <w:hyperlink r:id="rId30">
        <w:r>
          <w:rPr>
            <w:rStyle w:val="Hyperlink"/>
            <w:sz w:val="24"/>
            <w:szCs w:val="24"/>
          </w:rPr>
          <w:t>https://investors.newscorp.com/news-releases/news-release-details/news-corp-and-openai-sign-landmark-multi-year-global-partnership</w:t>
        </w:r>
      </w:hyperlink>
    </w:p>
    <w:p>
      <w:pPr>
        <w:pStyle w:val="BodyText"/>
        <w:bidi w:val="0"/>
        <w:ind w:hanging="0" w:start="0" w:end="0"/>
        <w:jc w:val="start"/>
        <w:rPr>
          <w:rFonts w:ascii="Arial" w:hAnsi="Arial"/>
          <w:sz w:val="24"/>
          <w:szCs w:val="24"/>
        </w:rPr>
      </w:pPr>
      <w:r>
        <w:rPr>
          <w:sz w:val="24"/>
          <w:szCs w:val="24"/>
        </w:rPr>
      </w:r>
    </w:p>
    <w:p>
      <w:pPr>
        <w:pStyle w:val="BodyText"/>
        <w:bidi w:val="0"/>
        <w:ind w:hanging="0" w:start="0" w:end="0"/>
        <w:jc w:val="start"/>
        <w:rPr>
          <w:rFonts w:ascii="Arial" w:hAnsi="Arial"/>
          <w:sz w:val="24"/>
          <w:szCs w:val="24"/>
        </w:rPr>
      </w:pPr>
      <w:r>
        <w:rPr>
          <w:sz w:val="24"/>
          <w:szCs w:val="24"/>
        </w:rPr>
      </w:r>
    </w:p>
    <w:p>
      <w:pPr>
        <w:pStyle w:val="BodyText"/>
        <w:bidi w:val="0"/>
        <w:ind w:hanging="0" w:start="0" w:end="0"/>
        <w:jc w:val="start"/>
        <w:rPr>
          <w:rFonts w:ascii="Arial" w:hAnsi="Arial"/>
          <w:sz w:val="24"/>
          <w:szCs w:val="24"/>
        </w:rPr>
      </w:pPr>
      <w:r>
        <w:rPr>
          <w:sz w:val="24"/>
          <w:szCs w:val="24"/>
        </w:rPr>
      </w:r>
    </w:p>
    <w:p>
      <w:pPr>
        <w:pStyle w:val="BodyText"/>
        <w:bidi w:val="0"/>
        <w:ind w:hanging="0" w:start="0" w:end="0"/>
        <w:jc w:val="start"/>
        <w:rPr>
          <w:rFonts w:ascii="Arial" w:hAnsi="Arial"/>
          <w:sz w:val="24"/>
          <w:szCs w:val="24"/>
        </w:rPr>
      </w:pPr>
      <w:r>
        <w:rPr>
          <w:sz w:val="24"/>
          <w:szCs w:val="24"/>
        </w:rPr>
      </w:r>
    </w:p>
    <w:p>
      <w:pPr>
        <w:pStyle w:val="BodyText"/>
        <w:bidi w:val="0"/>
        <w:ind w:hanging="0" w:start="0" w:end="0"/>
        <w:jc w:val="both"/>
        <w:rPr>
          <w:rFonts w:ascii="Arial" w:hAnsi="Arial"/>
          <w:sz w:val="24"/>
          <w:szCs w:val="24"/>
        </w:rPr>
      </w:pPr>
      <w:r>
        <w:rPr>
          <w:sz w:val="24"/>
          <w:szCs w:val="24"/>
        </w:rPr>
      </w:r>
    </w:p>
    <w:p>
      <w:pPr>
        <w:pStyle w:val="Normal"/>
        <w:widowControl w:val="false"/>
        <w:bidi w:val="0"/>
        <w:rPr>
          <w:rFonts w:ascii="Arial" w:hAnsi="Arial" w:eastAsia="Times New Roman" w:cs="Times New Roman"/>
          <w:sz w:val="24"/>
          <w:szCs w:val="24"/>
        </w:rPr>
      </w:pPr>
      <w:r>
        <w:rPr>
          <w:rFonts w:eastAsia="Times New Roman" w:cs="Times New Roman"/>
          <w:sz w:val="24"/>
          <w:szCs w:val="24"/>
        </w:rPr>
      </w:r>
    </w:p>
    <w:p>
      <w:pPr>
        <w:pStyle w:val="Normal"/>
        <w:widowControl w:val="false"/>
        <w:rPr>
          <w:rFonts w:ascii="Arial" w:hAnsi="Arial" w:eastAsia="Times New Roman" w:cs="Times New Roman"/>
          <w:sz w:val="24"/>
          <w:szCs w:val="24"/>
        </w:rPr>
      </w:pPr>
      <w:r>
        <w:rPr>
          <w:rFonts w:eastAsia="Times New Roman" w:cs="Times New Roman"/>
          <w:sz w:val="24"/>
          <w:szCs w:val="24"/>
        </w:rPr>
      </w:r>
    </w:p>
    <w:p>
      <w:pPr>
        <w:pStyle w:val="Normal"/>
        <w:widowControl w:val="false"/>
        <w:rPr>
          <w:rFonts w:ascii="Arial" w:hAnsi="Arial" w:eastAsia="Times New Roman" w:cs="Times New Roman"/>
          <w:sz w:val="24"/>
          <w:szCs w:val="24"/>
        </w:rPr>
      </w:pPr>
      <w:r>
        <w:rPr>
          <w:rFonts w:eastAsia="Times New Roman" w:cs="Times New Roman"/>
          <w:sz w:val="24"/>
          <w:szCs w:val="24"/>
        </w:rPr>
      </w:r>
    </w:p>
    <w:p>
      <w:pPr>
        <w:pStyle w:val="Normal"/>
        <w:spacing w:lineRule="auto" w:line="360" w:before="0" w:after="200"/>
        <w:jc w:val="both"/>
        <w:rPr>
          <w:rFonts w:ascii="Arial" w:hAnsi="Arial" w:eastAsia="Times New Roman" w:cs="Times New Roman"/>
          <w:sz w:val="24"/>
          <w:szCs w:val="24"/>
        </w:rPr>
      </w:pPr>
      <w:r>
        <w:rPr>
          <w:rFonts w:eastAsia="Times New Roman" w:cs="Times New Roman"/>
          <w:sz w:val="24"/>
          <w:szCs w:val="24"/>
        </w:rPr>
      </w:r>
    </w:p>
    <w:sectPr>
      <w:headerReference w:type="even" r:id="rId31"/>
      <w:headerReference w:type="default" r:id="rId32"/>
      <w:headerReference w:type="first" r:id="rId33"/>
      <w:footerReference w:type="even" r:id="rId34"/>
      <w:footerReference w:type="default" r:id="rId35"/>
      <w:footerReference w:type="first" r:id="rId36"/>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Liberation Sans">
    <w:altName w:val="Arial"/>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18</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18</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3" w:name="_GoBack"/>
    <w:bookmarkEnd w:id="3"/>
    <w:r>
      <w:rPr/>
      <w:drawing>
        <wp:inline distT="0" distB="0" distL="0" distR="0">
          <wp:extent cx="1783715" cy="951865"/>
          <wp:effectExtent l="0" t="0" r="0" b="0"/>
          <wp:docPr id="9"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4" w:name="_GoBack"/>
    <w:bookmarkEnd w:id="4"/>
    <w:r>
      <w:rPr/>
      <w:drawing>
        <wp:inline distT="0" distB="0" distL="0" distR="0">
          <wp:extent cx="1783715" cy="951865"/>
          <wp:effectExtent l="0" t="0" r="0" b="0"/>
          <wp:docPr id="10"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settings.xml><?xml version="1.0" encoding="utf-8"?>
<w:settings xmlns:w="http://schemas.openxmlformats.org/wordprocessingml/2006/main">
  <w:zoom w:percent="85"/>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hyperlink" Target="https://doi.org/10.1787/623d1874-en" TargetMode="External"/><Relationship Id="rId11" Type="http://schemas.openxmlformats.org/officeDocument/2006/relationships/hyperlink" Target="https://www.researchgate.net/publication/391018907_Trends_in_AI_Supercomputers" TargetMode="External"/><Relationship Id="rId12" Type="http://schemas.openxmlformats.org/officeDocument/2006/relationships/hyperlink" Target="https://my.idc.com/getdoc.jsp?containerId=prUS53894425" TargetMode="External"/><Relationship Id="rId13" Type="http://schemas.openxmlformats.org/officeDocument/2006/relationships/hyperlink" Target="https://www.mckinsey.com/capabilities/quantumblack/our-insights/the-state-of-ai" TargetMode="External"/><Relationship Id="rId14" Type="http://schemas.openxmlformats.org/officeDocument/2006/relationships/hyperlink" Target="https://www.theverge.com/2024/9/3/24234879/dutch-regulator-gdpr-clearview-ai-fine" TargetMode="External"/><Relationship Id="rId15" Type="http://schemas.openxmlformats.org/officeDocument/2006/relationships/hyperlink" Target="https://f1000research.com/articles/13-418/v1" TargetMode="External"/><Relationship Id="rId16" Type="http://schemas.openxmlformats.org/officeDocument/2006/relationships/hyperlink" Target="https://doi.org/10.1093/ulr/unae040" TargetMode="External"/><Relationship Id="rId17" Type="http://schemas.openxmlformats.org/officeDocument/2006/relationships/hyperlink" Target="https://backlinko.com/chatgpt-stats" TargetMode="External"/><Relationship Id="rId18" Type="http://schemas.openxmlformats.org/officeDocument/2006/relationships/hyperlink" Target="https://www.ibm.com/think/news/2025-open-ai-trends" TargetMode="External"/><Relationship Id="rId19" Type="http://schemas.openxmlformats.org/officeDocument/2006/relationships/hyperlink" Target="https://nvidianews.nvidia.com/news/nvidia-blackwell-platform-arrives-to-power-a-new-era-of-computing" TargetMode="External"/><Relationship Id="rId20" Type="http://schemas.openxmlformats.org/officeDocument/2006/relationships/hyperlink" Target="https://news.microsoft.com/source/asia/2024/11/19/ignite-2024-why-nearly-70-of-the-fortune-500-now-use-microsoft-365-copilot-en/" TargetMode="External"/><Relationship Id="rId21" Type="http://schemas.openxmlformats.org/officeDocument/2006/relationships/hyperlink" Target="https://cdn.openai.com/pdf/a253471f-8260-40c6-a2cc-aa93fe9f142e/economic-research-chatgpt-usage-paper.pdf" TargetMode="External"/><Relationship Id="rId22" Type="http://schemas.openxmlformats.org/officeDocument/2006/relationships/hyperlink" Target="https://blog/" TargetMode="External"/><Relationship Id="rId23" Type="http://schemas.openxmlformats.org/officeDocument/2006/relationships/hyperlink" Target="https://blog.google/products/gemini/gemini-3" TargetMode="External"/><Relationship Id="rId24" Type="http://schemas.openxmlformats.org/officeDocument/2006/relationships/hyperlink" Target="https://in.investing.com/news/transcripts/earnings-call-transcript-nvidia-q3-2025-sees-revenue-surge-stock-rises-93CH-5118417" TargetMode="External"/><Relationship Id="rId25" Type="http://schemas.openxmlformats.org/officeDocument/2006/relationships/hyperlink" Target="https://investor.nvidia.com/news/press-release-details/2024/NVIDIA-Announces-Project-GR00T-Foundation-Model-for-Humanoid-Robots-and-Major-Isaac-Robotics-Platform-Update/" TargetMode="External"/><Relationship Id="rId26" Type="http://schemas.openxmlformats.org/officeDocument/2006/relationships/hyperlink" Target="https://business.adobe.com/resources/digital-trends-report.html" TargetMode="External"/><Relationship Id="rId27" Type="http://schemas.openxmlformats.org/officeDocument/2006/relationships/hyperlink" Target="https://harvardlawreview.org/blog/2024/04/nyt-v-openai-the-timess-about-face/" TargetMode="External"/><Relationship Id="rId28" Type="http://schemas.openxmlformats.org/officeDocument/2006/relationships/hyperlink" Target="https://copyrightalliance.org/participating-bartz-v-anthropic-settlement/" TargetMode="External"/><Relationship Id="rId29" Type="http://schemas.openxmlformats.org/officeDocument/2006/relationships/hyperlink" Target="https://digital-strategy.ec.europa.eu/en/policies/regulatory-framework-ai" TargetMode="External"/><Relationship Id="rId30" Type="http://schemas.openxmlformats.org/officeDocument/2006/relationships/hyperlink" Target="https://investors.newscorp.com/news-releases/news-release-details/news-corp-and-openai-sign-landmark-multi-year-global-partnership" TargetMode="External"/><Relationship Id="rId31" Type="http://schemas.openxmlformats.org/officeDocument/2006/relationships/header" Target="header1.xml"/><Relationship Id="rId32" Type="http://schemas.openxmlformats.org/officeDocument/2006/relationships/header" Target="header2.xml"/><Relationship Id="rId33" Type="http://schemas.openxmlformats.org/officeDocument/2006/relationships/header" Target="header3.xml"/><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oter" Target="footer3.xml"/><Relationship Id="rId37" Type="http://schemas.openxmlformats.org/officeDocument/2006/relationships/fontTable" Target="fontTable.xml"/><Relationship Id="rId38" Type="http://schemas.openxmlformats.org/officeDocument/2006/relationships/settings" Target="settings.xml"/><Relationship Id="rId39"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9.jpeg"/>
</Relationships>
</file>

<file path=word/_rels/header3.xml.rels><?xml version="1.0" encoding="UTF-8"?>
<Relationships xmlns="http://schemas.openxmlformats.org/package/2006/relationships"><Relationship Id="rId1" Type="http://schemas.openxmlformats.org/officeDocument/2006/relationships/image" Target="media/image9.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1539</TotalTime>
  <Application>LibreOffice/25.8.2.2$Windows_X86_64 LibreOffice_project/d401f2107ccab8f924a8e2df40f573aab7605b6f</Application>
  <AppVersion>15.0000</AppVersion>
  <Pages>18</Pages>
  <Words>3114</Words>
  <Characters>20766</Characters>
  <CharactersWithSpaces>23866</CharactersWithSpaces>
  <Paragraphs>109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2025-11-21T17:02:02Z</dcterms:modified>
  <cp:revision>188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