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0"/>
        <w:jc w:val="center"/>
        <w:rPr>
          <w:rFonts w:ascii="Arial" w:cs="Arial" w:hAnsi="Arial"/>
          <w:color w:val="000000"/>
          <w:sz w:val="32"/>
          <w:szCs w:val="32"/>
          <w:lang w:val="en-GB"/>
        </w:rPr>
      </w:pPr>
      <w:r>
        <w:rPr>
          <w:rFonts w:ascii="Arial" w:cs="Arial" w:hAnsi="Arial"/>
          <w:noProof/>
          <w:color w:val="000000"/>
          <w:sz w:val="32"/>
          <w:szCs w:val="32"/>
        </w:rPr>
        <w:drawing>
          <wp:inline distL="0" distT="0" distB="0" distR="0">
            <wp:extent cx="3381375" cy="1352550"/>
            <wp:effectExtent l="0" t="0" r="9525" b="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381375" cy="1352550"/>
                    </a:xfrm>
                    <a:prstGeom prst="rect"/>
                  </pic:spPr>
                </pic:pic>
              </a:graphicData>
            </a:graphic>
          </wp:inline>
        </w:drawing>
      </w:r>
    </w:p>
    <w:p>
      <w:pPr>
        <w:pStyle w:val="style0"/>
        <w:jc w:val="center"/>
        <w:rPr>
          <w:rFonts w:ascii="Arial" w:cs="Arial" w:hAnsi="Arial"/>
          <w:color w:val="000000"/>
          <w:sz w:val="32"/>
          <w:szCs w:val="32"/>
          <w:lang w:val="en-GB"/>
        </w:rPr>
      </w:pPr>
    </w:p>
    <w:p>
      <w:pPr>
        <w:pStyle w:val="style0"/>
        <w:jc w:val="center"/>
        <w:rPr>
          <w:rFonts w:ascii="Arial" w:cs="Arial" w:hAnsi="Arial"/>
          <w:color w:val="000000"/>
          <w:sz w:val="32"/>
          <w:szCs w:val="32"/>
          <w:lang w:val="en-GB"/>
        </w:rPr>
      </w:pPr>
    </w:p>
    <w:p>
      <w:pPr>
        <w:pStyle w:val="style0"/>
        <w:jc w:val="center"/>
        <w:rPr>
          <w:rFonts w:ascii="Arial" w:cs="Arial" w:hAnsi="Arial"/>
          <w:b/>
          <w:color w:val="000000"/>
          <w:sz w:val="32"/>
          <w:szCs w:val="32"/>
          <w:lang w:val="en-GB"/>
        </w:rPr>
      </w:pPr>
      <w:r>
        <w:rPr>
          <w:rFonts w:ascii="Arial" w:cs="Arial" w:hAnsi="Arial"/>
          <w:b/>
          <w:color w:val="000000"/>
          <w:sz w:val="32"/>
          <w:szCs w:val="32"/>
          <w:lang w:val="en-GB"/>
        </w:rPr>
        <w:t>Assessment 1</w:t>
      </w:r>
    </w:p>
    <w:p>
      <w:pPr>
        <w:pStyle w:val="style0"/>
        <w:jc w:val="center"/>
        <w:rPr>
          <w:rFonts w:ascii="Arial" w:cs="Arial" w:hAnsi="Arial"/>
          <w:b/>
          <w:color w:val="000000"/>
          <w:sz w:val="32"/>
          <w:szCs w:val="32"/>
          <w:lang w:val="en-GB"/>
        </w:rPr>
      </w:pPr>
      <w:r>
        <w:rPr>
          <w:rFonts w:ascii="Arial" w:cs="Arial" w:hAnsi="Arial"/>
          <w:b/>
          <w:color w:val="000000"/>
          <w:sz w:val="32"/>
          <w:szCs w:val="32"/>
          <w:lang w:val="en-GB"/>
        </w:rPr>
        <w:t>Name: Aayushy Patel</w:t>
      </w:r>
    </w:p>
    <w:p>
      <w:pPr>
        <w:pStyle w:val="style0"/>
        <w:jc w:val="center"/>
        <w:rPr>
          <w:rFonts w:ascii="Arial" w:cs="Arial" w:hAnsi="Arial"/>
          <w:b/>
          <w:color w:val="000000"/>
          <w:sz w:val="32"/>
          <w:szCs w:val="32"/>
          <w:lang w:val="en-GB"/>
        </w:rPr>
      </w:pPr>
      <w:r>
        <w:rPr>
          <w:rFonts w:ascii="Arial" w:cs="Arial" w:hAnsi="Arial"/>
          <w:b/>
          <w:color w:val="000000"/>
          <w:sz w:val="32"/>
          <w:szCs w:val="32"/>
          <w:lang w:val="en-GB"/>
        </w:rPr>
        <w:t>Student id: 2503361</w:t>
      </w:r>
    </w:p>
    <w:p>
      <w:pPr>
        <w:pStyle w:val="style0"/>
        <w:jc w:val="center"/>
        <w:rPr>
          <w:rFonts w:ascii="Arial" w:cs="Arial" w:hAnsi="Arial"/>
          <w:b/>
          <w:bCs/>
          <w:color w:val="000000"/>
          <w:sz w:val="32"/>
          <w:szCs w:val="32"/>
          <w:lang w:val="en-GB"/>
        </w:rPr>
      </w:pPr>
      <w:r>
        <w:rPr>
          <w:rFonts w:ascii="Arial" w:cs="Arial" w:hAnsi="Arial"/>
          <w:b/>
          <w:bCs/>
          <w:color w:val="000000"/>
          <w:sz w:val="32"/>
          <w:szCs w:val="32"/>
          <w:lang w:val="en-GB"/>
        </w:rPr>
        <w:t>Module name: Marketing M</w:t>
      </w:r>
      <w:r>
        <w:rPr>
          <w:rFonts w:ascii="Arial" w:cs="Arial" w:hAnsi="Arial"/>
          <w:b/>
          <w:bCs/>
          <w:color w:val="000000"/>
          <w:sz w:val="32"/>
          <w:szCs w:val="32"/>
          <w:lang w:val="en-GB"/>
        </w:rPr>
        <w:t>anagement</w:t>
      </w:r>
    </w:p>
    <w:p>
      <w:pPr>
        <w:pStyle w:val="style0"/>
        <w:jc w:val="center"/>
        <w:rPr>
          <w:rFonts w:ascii="Arial" w:cs="Arial" w:hAnsi="Arial"/>
          <w:b/>
          <w:bCs/>
          <w:color w:val="000000"/>
          <w:sz w:val="32"/>
          <w:szCs w:val="32"/>
          <w:lang w:val="en-GB"/>
        </w:rPr>
      </w:pPr>
      <w:r>
        <w:rPr>
          <w:rFonts w:ascii="Arial" w:cs="Arial" w:hAnsi="Arial"/>
          <w:b/>
          <w:bCs/>
          <w:color w:val="000000"/>
          <w:sz w:val="32"/>
          <w:szCs w:val="32"/>
          <w:lang w:val="en-GB"/>
        </w:rPr>
        <w:t xml:space="preserve">Module code: </w:t>
      </w:r>
      <w:r>
        <w:rPr>
          <w:rFonts w:ascii="Arial" w:cs="Arial" w:hAnsi="Arial"/>
          <w:b/>
          <w:bCs/>
          <w:color w:val="000000"/>
          <w:sz w:val="32"/>
          <w:szCs w:val="32"/>
          <w:lang w:val="en-GB"/>
        </w:rPr>
        <w:t>LCMB7024</w:t>
      </w:r>
    </w:p>
    <w:p>
      <w:pPr>
        <w:pStyle w:val="style0"/>
        <w:jc w:val="center"/>
        <w:rPr>
          <w:rFonts w:ascii="Arial" w:cs="Arial" w:hAnsi="Arial"/>
          <w:b/>
          <w:bCs/>
          <w:color w:val="000000"/>
          <w:sz w:val="32"/>
          <w:szCs w:val="32"/>
          <w:lang w:val="en-GB"/>
        </w:rPr>
      </w:pPr>
      <w:r>
        <w:rPr>
          <w:rFonts w:ascii="Arial" w:cs="Arial" w:hAnsi="Arial"/>
          <w:b/>
          <w:bCs/>
          <w:color w:val="000000"/>
          <w:sz w:val="32"/>
          <w:szCs w:val="32"/>
          <w:lang w:val="en-GB"/>
        </w:rPr>
        <w:t>Lecturer’s name:</w:t>
      </w:r>
      <w:r>
        <w:rPr>
          <w:rFonts w:ascii="Arial" w:cs="Arial" w:hAnsi="Arial"/>
          <w:b/>
          <w:bCs/>
          <w:color w:val="000000"/>
          <w:sz w:val="32"/>
          <w:szCs w:val="32"/>
          <w:lang w:val="en-GB"/>
        </w:rPr>
        <w:t xml:space="preserve"> Dr jayalakhshmi</w:t>
      </w:r>
      <w:r>
        <w:rPr>
          <w:rFonts w:ascii="Arial" w:cs="Arial" w:hAnsi="Arial"/>
          <w:b/>
          <w:bCs/>
          <w:color w:val="000000"/>
          <w:sz w:val="32"/>
          <w:szCs w:val="32"/>
          <w:lang w:val="en-GB"/>
        </w:rPr>
        <w:t xml:space="preserve"> </w:t>
      </w:r>
      <w:r>
        <w:rPr>
          <w:rFonts w:ascii="Arial" w:cs="Arial" w:hAnsi="Arial"/>
          <w:b/>
          <w:bCs/>
          <w:color w:val="000000"/>
          <w:sz w:val="32"/>
          <w:szCs w:val="32"/>
          <w:lang w:val="en-GB"/>
        </w:rPr>
        <w:t xml:space="preserve">Gopalkrishnan </w:t>
      </w:r>
    </w:p>
    <w:p>
      <w:pPr>
        <w:pStyle w:val="style0"/>
        <w:jc w:val="center"/>
        <w:rPr>
          <w:rFonts w:ascii="Arial" w:cs="Arial" w:hAnsi="Arial"/>
          <w:b/>
          <w:bCs/>
          <w:color w:val="000000"/>
          <w:sz w:val="32"/>
          <w:szCs w:val="32"/>
          <w:lang w:val="en-GB"/>
        </w:rPr>
      </w:pPr>
      <w:r>
        <w:rPr>
          <w:rFonts w:ascii="Arial" w:cs="Arial" w:hAnsi="Arial"/>
          <w:b/>
          <w:bCs/>
          <w:color w:val="000000"/>
          <w:sz w:val="32"/>
          <w:szCs w:val="32"/>
          <w:lang w:val="en-GB"/>
        </w:rPr>
        <w:t xml:space="preserve">Word count: </w:t>
      </w:r>
      <w:r>
        <w:rPr>
          <w:rFonts w:ascii="Arial" w:cs="Arial" w:hAnsi="Arial"/>
          <w:b/>
          <w:bCs/>
          <w:color w:val="000000"/>
          <w:sz w:val="32"/>
          <w:szCs w:val="32"/>
          <w:lang w:val="en-GB"/>
        </w:rPr>
        <w:t>2504</w:t>
      </w:r>
    </w:p>
    <w:p>
      <w:pPr>
        <w:pStyle w:val="style0"/>
        <w:jc w:val="center"/>
        <w:rPr>
          <w:rFonts w:ascii="Arial" w:cs="Arial" w:hAnsi="Arial"/>
          <w:b/>
          <w:bCs/>
          <w:color w:val="000000"/>
          <w:sz w:val="32"/>
          <w:szCs w:val="32"/>
          <w:lang w:val="en-GB"/>
        </w:rPr>
      </w:pPr>
      <w:r>
        <w:rPr>
          <w:rFonts w:ascii="Arial" w:cs="Arial" w:hAnsi="Arial"/>
          <w:b/>
          <w:bCs/>
          <w:color w:val="000000"/>
          <w:sz w:val="32"/>
          <w:szCs w:val="32"/>
          <w:lang w:val="en-GB"/>
        </w:rPr>
        <w:t>Term 1</w:t>
      </w:r>
    </w:p>
    <w:p>
      <w:pPr>
        <w:pStyle w:val="style0"/>
        <w:rPr>
          <w:rFonts w:ascii="Arial" w:cs="Arial" w:hAnsi="Arial"/>
          <w:b/>
          <w:bCs/>
          <w:color w:val="000000"/>
          <w:sz w:val="32"/>
          <w:szCs w:val="32"/>
          <w:lang w:val="en-GB"/>
        </w:rPr>
      </w:pPr>
      <w:r>
        <w:rPr>
          <w:rFonts w:ascii="Arial" w:cs="Arial" w:hAnsi="Arial"/>
          <w:b/>
          <w:bCs/>
          <w:color w:val="000000"/>
          <w:sz w:val="32"/>
          <w:szCs w:val="32"/>
          <w:lang w:val="en-GB"/>
        </w:rPr>
        <w:br w:type="page"/>
      </w:r>
    </w:p>
    <w:p>
      <w:pPr>
        <w:pStyle w:val="style266"/>
        <w:spacing w:lineRule="auto" w:line="360"/>
        <w:jc w:val="center"/>
        <w:rPr>
          <w:rFonts w:ascii="Arial" w:cs="Arial" w:hAnsi="Arial"/>
          <w:color w:val="000000"/>
          <w:sz w:val="24"/>
          <w:szCs w:val="24"/>
          <w:lang w:val="en-GB"/>
        </w:rPr>
      </w:pPr>
      <w:r>
        <w:rPr>
          <w:rFonts w:ascii="Arial" w:cs="Arial" w:hAnsi="Arial"/>
          <w:color w:val="000000"/>
          <w:szCs w:val="24"/>
          <w:lang w:val="en-GB"/>
        </w:rPr>
        <w:t>Table of Contents</w:t>
      </w:r>
    </w:p>
    <w:p>
      <w:pPr>
        <w:pStyle w:val="style19"/>
        <w:tabs>
          <w:tab w:val="right" w:leader="dot" w:pos="9350"/>
        </w:tabs>
        <w:spacing w:lineRule="auto" w:line="360"/>
        <w:jc w:val="both"/>
        <w:rPr>
          <w:rFonts w:ascii="Arial" w:cs="Arial" w:eastAsia="宋体" w:hAnsi="Arial"/>
          <w:noProof/>
          <w:color w:val="000000"/>
          <w:sz w:val="24"/>
        </w:rPr>
      </w:pPr>
      <w:r>
        <w:rPr>
          <w:rFonts w:ascii="Arial" w:cs="Arial" w:hAnsi="Arial"/>
          <w:color w:val="000000"/>
          <w:sz w:val="24"/>
          <w:szCs w:val="24"/>
          <w:lang w:val="en-GB"/>
        </w:rPr>
        <w:fldChar w:fldCharType="begin"/>
      </w:r>
      <w:r>
        <w:rPr>
          <w:rFonts w:ascii="Arial" w:cs="Arial" w:hAnsi="Arial"/>
          <w:color w:val="000000"/>
          <w:sz w:val="24"/>
          <w:szCs w:val="24"/>
          <w:lang w:val="en-GB"/>
        </w:rPr>
        <w:instrText xml:space="preserve"> TOC \o "1-3" \h \z \u </w:instrText>
      </w:r>
      <w:r>
        <w:rPr>
          <w:rFonts w:ascii="Arial" w:cs="Arial" w:hAnsi="Arial"/>
          <w:color w:val="000000"/>
          <w:sz w:val="24"/>
          <w:szCs w:val="24"/>
          <w:lang w:val="en-GB"/>
        </w:rPr>
        <w:fldChar w:fldCharType="separate"/>
      </w:r>
      <w:r>
        <w:rPr/>
        <w:fldChar w:fldCharType="begin"/>
      </w:r>
      <w:r>
        <w:instrText xml:space="preserve"> HYPERLINK \l "_Toc214445463" </w:instrText>
      </w:r>
      <w:r>
        <w:rPr/>
        <w:fldChar w:fldCharType="separate"/>
      </w:r>
      <w:r>
        <w:rPr>
          <w:rStyle w:val="style85"/>
          <w:rFonts w:ascii="Arial" w:cs="Arial" w:hAnsi="Arial"/>
          <w:noProof/>
          <w:color w:val="000000"/>
          <w:sz w:val="24"/>
          <w:lang w:val="en-GB"/>
        </w:rPr>
        <w:t>1. Introduction</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_Toc214445463 \h </w:instrText>
      </w:r>
      <w:r>
        <w:rPr>
          <w:rFonts w:ascii="Arial" w:cs="Arial" w:hAnsi="Arial"/>
          <w:noProof/>
          <w:webHidden/>
          <w:color w:val="000000"/>
          <w:sz w:val="24"/>
        </w:rPr>
        <w:fldChar w:fldCharType="separate"/>
      </w:r>
      <w:r>
        <w:rPr>
          <w:rFonts w:ascii="Arial" w:cs="Arial" w:hAnsi="Arial"/>
          <w:noProof/>
          <w:webHidden/>
          <w:color w:val="000000"/>
          <w:sz w:val="24"/>
        </w:rPr>
        <w:t>3</w:t>
      </w:r>
      <w:r>
        <w:rPr>
          <w:rFonts w:ascii="Arial" w:cs="Arial" w:hAnsi="Arial"/>
          <w:noProof/>
          <w:webHidden/>
          <w:color w:val="000000"/>
          <w:sz w:val="24"/>
        </w:rPr>
        <w:fldChar w:fldCharType="end"/>
      </w:r>
      <w:r>
        <w:rPr/>
        <w:fldChar w:fldCharType="end"/>
      </w:r>
    </w:p>
    <w:p>
      <w:pPr>
        <w:pStyle w:val="style19"/>
        <w:tabs>
          <w:tab w:val="right" w:leader="dot" w:pos="9350"/>
        </w:tabs>
        <w:spacing w:lineRule="auto" w:line="360"/>
        <w:jc w:val="both"/>
        <w:rPr>
          <w:rFonts w:ascii="Arial" w:cs="Arial" w:eastAsia="宋体" w:hAnsi="Arial"/>
          <w:noProof/>
          <w:color w:val="000000"/>
          <w:sz w:val="24"/>
        </w:rPr>
      </w:pPr>
      <w:r>
        <w:rPr/>
        <w:fldChar w:fldCharType="begin"/>
      </w:r>
      <w:r>
        <w:instrText xml:space="preserve"> HYPERLINK \l "_Toc214445464" </w:instrText>
      </w:r>
      <w:r>
        <w:rPr/>
        <w:fldChar w:fldCharType="separate"/>
      </w:r>
      <w:r>
        <w:rPr>
          <w:rStyle w:val="style85"/>
          <w:rFonts w:ascii="Arial" w:cs="Arial" w:hAnsi="Arial"/>
          <w:noProof/>
          <w:color w:val="000000"/>
          <w:sz w:val="24"/>
          <w:lang w:val="en-GB"/>
        </w:rPr>
        <w:t>2. Task 1: Critical analysis of the macro marketing environment</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_Toc214445464 \h </w:instrText>
      </w:r>
      <w:r>
        <w:rPr>
          <w:rFonts w:ascii="Arial" w:cs="Arial" w:hAnsi="Arial"/>
          <w:noProof/>
          <w:webHidden/>
          <w:color w:val="000000"/>
          <w:sz w:val="24"/>
        </w:rPr>
        <w:fldChar w:fldCharType="separate"/>
      </w:r>
      <w:r>
        <w:rPr>
          <w:rFonts w:ascii="Arial" w:cs="Arial" w:hAnsi="Arial"/>
          <w:noProof/>
          <w:webHidden/>
          <w:color w:val="000000"/>
          <w:sz w:val="24"/>
        </w:rPr>
        <w:t>3</w:t>
      </w:r>
      <w:r>
        <w:rPr>
          <w:rFonts w:ascii="Arial" w:cs="Arial" w:hAnsi="Arial"/>
          <w:noProof/>
          <w:webHidden/>
          <w:color w:val="000000"/>
          <w:sz w:val="24"/>
        </w:rPr>
        <w:fldChar w:fldCharType="end"/>
      </w:r>
      <w:r>
        <w:rPr/>
        <w:fldChar w:fldCharType="end"/>
      </w:r>
    </w:p>
    <w:p>
      <w:pPr>
        <w:pStyle w:val="style20"/>
        <w:tabs>
          <w:tab w:val="right" w:leader="dot" w:pos="9350"/>
        </w:tabs>
        <w:spacing w:lineRule="auto" w:line="360"/>
        <w:jc w:val="both"/>
        <w:rPr>
          <w:rFonts w:ascii="Arial" w:cs="Arial" w:eastAsia="宋体" w:hAnsi="Arial"/>
          <w:noProof/>
          <w:color w:val="000000"/>
          <w:sz w:val="24"/>
        </w:rPr>
      </w:pPr>
      <w:r>
        <w:rPr/>
        <w:fldChar w:fldCharType="begin"/>
      </w:r>
      <w:r>
        <w:instrText xml:space="preserve"> HYPERLINK \l "_Toc214445465" </w:instrText>
      </w:r>
      <w:r>
        <w:rPr/>
        <w:fldChar w:fldCharType="separate"/>
      </w:r>
      <w:r>
        <w:rPr>
          <w:rStyle w:val="style85"/>
          <w:rFonts w:ascii="Arial" w:cs="Arial" w:hAnsi="Arial"/>
          <w:noProof/>
          <w:color w:val="000000"/>
          <w:sz w:val="24"/>
          <w:lang w:val="en-GB"/>
        </w:rPr>
        <w:t>2.1 Overview of the macro marketing environment</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_Toc214445465 \h </w:instrText>
      </w:r>
      <w:r>
        <w:rPr>
          <w:rFonts w:ascii="Arial" w:cs="Arial" w:hAnsi="Arial"/>
          <w:noProof/>
          <w:webHidden/>
          <w:color w:val="000000"/>
          <w:sz w:val="24"/>
        </w:rPr>
        <w:fldChar w:fldCharType="separate"/>
      </w:r>
      <w:r>
        <w:rPr>
          <w:rFonts w:ascii="Arial" w:cs="Arial" w:hAnsi="Arial"/>
          <w:noProof/>
          <w:webHidden/>
          <w:color w:val="000000"/>
          <w:sz w:val="24"/>
        </w:rPr>
        <w:t>3</w:t>
      </w:r>
      <w:r>
        <w:rPr>
          <w:rFonts w:ascii="Arial" w:cs="Arial" w:hAnsi="Arial"/>
          <w:noProof/>
          <w:webHidden/>
          <w:color w:val="000000"/>
          <w:sz w:val="24"/>
        </w:rPr>
        <w:fldChar w:fldCharType="end"/>
      </w:r>
      <w:r>
        <w:rPr/>
        <w:fldChar w:fldCharType="end"/>
      </w:r>
    </w:p>
    <w:p>
      <w:pPr>
        <w:pStyle w:val="style20"/>
        <w:tabs>
          <w:tab w:val="right" w:leader="dot" w:pos="9350"/>
        </w:tabs>
        <w:spacing w:lineRule="auto" w:line="360"/>
        <w:jc w:val="both"/>
        <w:rPr>
          <w:rFonts w:ascii="Arial" w:cs="Arial" w:eastAsia="宋体" w:hAnsi="Arial"/>
          <w:noProof/>
          <w:color w:val="000000"/>
          <w:sz w:val="24"/>
        </w:rPr>
      </w:pPr>
      <w:r>
        <w:rPr/>
        <w:fldChar w:fldCharType="begin"/>
      </w:r>
      <w:r>
        <w:instrText xml:space="preserve"> HYPERLINK \l "_Toc214445466" </w:instrText>
      </w:r>
      <w:r>
        <w:rPr/>
        <w:fldChar w:fldCharType="separate"/>
      </w:r>
      <w:r>
        <w:rPr>
          <w:rStyle w:val="style85"/>
          <w:rFonts w:ascii="Arial" w:cs="Arial" w:hAnsi="Arial"/>
          <w:noProof/>
          <w:color w:val="000000"/>
          <w:sz w:val="24"/>
          <w:lang w:val="en-GB"/>
        </w:rPr>
        <w:t>2.2 Selection of the two macro marketing actors</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_Toc214445466 \h </w:instrText>
      </w:r>
      <w:r>
        <w:rPr>
          <w:rFonts w:ascii="Arial" w:cs="Arial" w:hAnsi="Arial"/>
          <w:noProof/>
          <w:webHidden/>
          <w:color w:val="000000"/>
          <w:sz w:val="24"/>
        </w:rPr>
        <w:fldChar w:fldCharType="separate"/>
      </w:r>
      <w:r>
        <w:rPr>
          <w:rFonts w:ascii="Arial" w:cs="Arial" w:hAnsi="Arial"/>
          <w:noProof/>
          <w:webHidden/>
          <w:color w:val="000000"/>
          <w:sz w:val="24"/>
        </w:rPr>
        <w:t>5</w:t>
      </w:r>
      <w:r>
        <w:rPr>
          <w:rFonts w:ascii="Arial" w:cs="Arial" w:hAnsi="Arial"/>
          <w:noProof/>
          <w:webHidden/>
          <w:color w:val="000000"/>
          <w:sz w:val="24"/>
        </w:rPr>
        <w:fldChar w:fldCharType="end"/>
      </w:r>
      <w:r>
        <w:rPr/>
        <w:fldChar w:fldCharType="end"/>
      </w:r>
    </w:p>
    <w:p>
      <w:pPr>
        <w:pStyle w:val="style20"/>
        <w:tabs>
          <w:tab w:val="right" w:leader="dot" w:pos="9350"/>
        </w:tabs>
        <w:spacing w:lineRule="auto" w:line="360"/>
        <w:jc w:val="both"/>
        <w:rPr>
          <w:rFonts w:ascii="Arial" w:cs="Arial" w:eastAsia="宋体" w:hAnsi="Arial"/>
          <w:noProof/>
          <w:color w:val="000000"/>
          <w:sz w:val="24"/>
        </w:rPr>
      </w:pPr>
      <w:r>
        <w:rPr/>
        <w:fldChar w:fldCharType="begin"/>
      </w:r>
      <w:r>
        <w:instrText xml:space="preserve"> HYPERLINK \l "_Toc214445467" </w:instrText>
      </w:r>
      <w:r>
        <w:rPr/>
        <w:fldChar w:fldCharType="separate"/>
      </w:r>
      <w:r>
        <w:rPr>
          <w:rStyle w:val="style85"/>
          <w:rFonts w:ascii="Arial" w:cs="Arial" w:hAnsi="Arial"/>
          <w:noProof/>
          <w:color w:val="000000"/>
          <w:sz w:val="24"/>
          <w:lang w:val="en-GB"/>
        </w:rPr>
        <w:t>2.3 Critical analysis of each actor</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_Toc214445467 \h </w:instrText>
      </w:r>
      <w:r>
        <w:rPr>
          <w:rFonts w:ascii="Arial" w:cs="Arial" w:hAnsi="Arial"/>
          <w:noProof/>
          <w:webHidden/>
          <w:color w:val="000000"/>
          <w:sz w:val="24"/>
        </w:rPr>
        <w:fldChar w:fldCharType="separate"/>
      </w:r>
      <w:r>
        <w:rPr>
          <w:rFonts w:ascii="Arial" w:cs="Arial" w:hAnsi="Arial"/>
          <w:noProof/>
          <w:webHidden/>
          <w:color w:val="000000"/>
          <w:sz w:val="24"/>
        </w:rPr>
        <w:t>6</w:t>
      </w:r>
      <w:r>
        <w:rPr>
          <w:rFonts w:ascii="Arial" w:cs="Arial" w:hAnsi="Arial"/>
          <w:noProof/>
          <w:webHidden/>
          <w:color w:val="000000"/>
          <w:sz w:val="24"/>
        </w:rPr>
        <w:fldChar w:fldCharType="end"/>
      </w:r>
      <w:r>
        <w:rPr/>
        <w:fldChar w:fldCharType="end"/>
      </w:r>
    </w:p>
    <w:p>
      <w:pPr>
        <w:pStyle w:val="style19"/>
        <w:tabs>
          <w:tab w:val="right" w:leader="dot" w:pos="9350"/>
        </w:tabs>
        <w:spacing w:lineRule="auto" w:line="360"/>
        <w:jc w:val="both"/>
        <w:rPr>
          <w:rFonts w:ascii="Arial" w:cs="Arial" w:eastAsia="宋体" w:hAnsi="Arial"/>
          <w:noProof/>
          <w:color w:val="000000"/>
          <w:sz w:val="24"/>
        </w:rPr>
      </w:pPr>
      <w:r>
        <w:rPr/>
        <w:fldChar w:fldCharType="begin"/>
      </w:r>
      <w:r>
        <w:instrText xml:space="preserve"> HYPERLINK \l "_Toc214445468" </w:instrText>
      </w:r>
      <w:r>
        <w:rPr/>
        <w:fldChar w:fldCharType="separate"/>
      </w:r>
      <w:r>
        <w:rPr>
          <w:rStyle w:val="style85"/>
          <w:rFonts w:ascii="Arial" w:cs="Arial" w:hAnsi="Arial"/>
          <w:noProof/>
          <w:color w:val="000000"/>
          <w:sz w:val="24"/>
          <w:lang w:val="en-GB"/>
        </w:rPr>
        <w:t>3. Task 2: Strategic responses of pioneering and follower organisations</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_Toc214445468 \h </w:instrText>
      </w:r>
      <w:r>
        <w:rPr>
          <w:rFonts w:ascii="Arial" w:cs="Arial" w:hAnsi="Arial"/>
          <w:noProof/>
          <w:webHidden/>
          <w:color w:val="000000"/>
          <w:sz w:val="24"/>
        </w:rPr>
        <w:fldChar w:fldCharType="separate"/>
      </w:r>
      <w:r>
        <w:rPr>
          <w:rFonts w:ascii="Arial" w:cs="Arial" w:hAnsi="Arial"/>
          <w:noProof/>
          <w:webHidden/>
          <w:color w:val="000000"/>
          <w:sz w:val="24"/>
        </w:rPr>
        <w:t>8</w:t>
      </w:r>
      <w:r>
        <w:rPr>
          <w:rFonts w:ascii="Arial" w:cs="Arial" w:hAnsi="Arial"/>
          <w:noProof/>
          <w:webHidden/>
          <w:color w:val="000000"/>
          <w:sz w:val="24"/>
        </w:rPr>
        <w:fldChar w:fldCharType="end"/>
      </w:r>
      <w:r>
        <w:rPr/>
        <w:fldChar w:fldCharType="end"/>
      </w:r>
    </w:p>
    <w:p>
      <w:pPr>
        <w:pStyle w:val="style20"/>
        <w:tabs>
          <w:tab w:val="right" w:leader="dot" w:pos="9350"/>
        </w:tabs>
        <w:spacing w:lineRule="auto" w:line="360"/>
        <w:jc w:val="both"/>
        <w:rPr>
          <w:rFonts w:ascii="Arial" w:cs="Arial" w:eastAsia="宋体" w:hAnsi="Arial"/>
          <w:noProof/>
          <w:color w:val="000000"/>
          <w:sz w:val="24"/>
        </w:rPr>
      </w:pPr>
      <w:r>
        <w:rPr/>
        <w:fldChar w:fldCharType="begin"/>
      </w:r>
      <w:r>
        <w:instrText xml:space="preserve"> HYPERLINK \l "_Toc214445469" </w:instrText>
      </w:r>
      <w:r>
        <w:rPr/>
        <w:fldChar w:fldCharType="separate"/>
      </w:r>
      <w:r>
        <w:rPr>
          <w:rStyle w:val="style85"/>
          <w:rFonts w:ascii="Arial" w:cs="Arial" w:hAnsi="Arial"/>
          <w:noProof/>
          <w:color w:val="000000"/>
          <w:sz w:val="24"/>
          <w:lang w:val="en-GB"/>
        </w:rPr>
        <w:t>3.1 Pioneering organisation’s strategic responses</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_Toc214445469 \h </w:instrText>
      </w:r>
      <w:r>
        <w:rPr>
          <w:rFonts w:ascii="Arial" w:cs="Arial" w:hAnsi="Arial"/>
          <w:noProof/>
          <w:webHidden/>
          <w:color w:val="000000"/>
          <w:sz w:val="24"/>
        </w:rPr>
        <w:fldChar w:fldCharType="separate"/>
      </w:r>
      <w:r>
        <w:rPr>
          <w:rFonts w:ascii="Arial" w:cs="Arial" w:hAnsi="Arial"/>
          <w:noProof/>
          <w:webHidden/>
          <w:color w:val="000000"/>
          <w:sz w:val="24"/>
        </w:rPr>
        <w:t>8</w:t>
      </w:r>
      <w:r>
        <w:rPr>
          <w:rFonts w:ascii="Arial" w:cs="Arial" w:hAnsi="Arial"/>
          <w:noProof/>
          <w:webHidden/>
          <w:color w:val="000000"/>
          <w:sz w:val="24"/>
        </w:rPr>
        <w:fldChar w:fldCharType="end"/>
      </w:r>
      <w:r>
        <w:rPr/>
        <w:fldChar w:fldCharType="end"/>
      </w:r>
    </w:p>
    <w:p>
      <w:pPr>
        <w:pStyle w:val="style20"/>
        <w:tabs>
          <w:tab w:val="right" w:leader="dot" w:pos="9350"/>
        </w:tabs>
        <w:spacing w:lineRule="auto" w:line="360"/>
        <w:jc w:val="both"/>
        <w:rPr>
          <w:rFonts w:ascii="Arial" w:cs="Arial" w:eastAsia="宋体" w:hAnsi="Arial"/>
          <w:noProof/>
          <w:color w:val="000000"/>
          <w:sz w:val="24"/>
        </w:rPr>
      </w:pPr>
      <w:r>
        <w:rPr/>
        <w:fldChar w:fldCharType="begin"/>
      </w:r>
      <w:r>
        <w:instrText xml:space="preserve"> HYPERLINK \l "_Toc214445470" </w:instrText>
      </w:r>
      <w:r>
        <w:rPr/>
        <w:fldChar w:fldCharType="separate"/>
      </w:r>
      <w:r>
        <w:rPr>
          <w:rStyle w:val="style85"/>
          <w:rFonts w:ascii="Arial" w:cs="Arial" w:hAnsi="Arial"/>
          <w:noProof/>
          <w:color w:val="000000"/>
          <w:sz w:val="24"/>
          <w:lang w:val="en-GB"/>
        </w:rPr>
        <w:t>3.2 Follower organisation’s strategic responses</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_Toc214445470 \h </w:instrText>
      </w:r>
      <w:r>
        <w:rPr>
          <w:rFonts w:ascii="Arial" w:cs="Arial" w:hAnsi="Arial"/>
          <w:noProof/>
          <w:webHidden/>
          <w:color w:val="000000"/>
          <w:sz w:val="24"/>
        </w:rPr>
        <w:fldChar w:fldCharType="separate"/>
      </w:r>
      <w:r>
        <w:rPr>
          <w:rFonts w:ascii="Arial" w:cs="Arial" w:hAnsi="Arial"/>
          <w:noProof/>
          <w:webHidden/>
          <w:color w:val="000000"/>
          <w:sz w:val="24"/>
        </w:rPr>
        <w:t>12</w:t>
      </w:r>
      <w:r>
        <w:rPr>
          <w:rFonts w:ascii="Arial" w:cs="Arial" w:hAnsi="Arial"/>
          <w:noProof/>
          <w:webHidden/>
          <w:color w:val="000000"/>
          <w:sz w:val="24"/>
        </w:rPr>
        <w:fldChar w:fldCharType="end"/>
      </w:r>
      <w:r>
        <w:rPr/>
        <w:fldChar w:fldCharType="end"/>
      </w:r>
    </w:p>
    <w:p>
      <w:pPr>
        <w:pStyle w:val="style19"/>
        <w:tabs>
          <w:tab w:val="right" w:leader="dot" w:pos="9350"/>
        </w:tabs>
        <w:spacing w:lineRule="auto" w:line="360"/>
        <w:jc w:val="both"/>
        <w:rPr>
          <w:rFonts w:ascii="Arial" w:cs="Arial" w:eastAsia="宋体" w:hAnsi="Arial"/>
          <w:noProof/>
          <w:color w:val="000000"/>
          <w:sz w:val="24"/>
        </w:rPr>
      </w:pPr>
      <w:r>
        <w:rPr/>
        <w:fldChar w:fldCharType="begin"/>
      </w:r>
      <w:r>
        <w:instrText xml:space="preserve"> HYPERLINK \l "_Toc214445471" </w:instrText>
      </w:r>
      <w:r>
        <w:rPr/>
        <w:fldChar w:fldCharType="separate"/>
      </w:r>
      <w:r>
        <w:rPr>
          <w:rStyle w:val="style85"/>
          <w:rFonts w:ascii="Arial" w:cs="Arial" w:hAnsi="Arial"/>
          <w:noProof/>
          <w:color w:val="000000"/>
          <w:sz w:val="24"/>
          <w:lang w:val="en-GB"/>
        </w:rPr>
        <w:t>4. Conclusion</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_Toc214445471 \h </w:instrText>
      </w:r>
      <w:r>
        <w:rPr>
          <w:rFonts w:ascii="Arial" w:cs="Arial" w:hAnsi="Arial"/>
          <w:noProof/>
          <w:webHidden/>
          <w:color w:val="000000"/>
          <w:sz w:val="24"/>
        </w:rPr>
        <w:fldChar w:fldCharType="separate"/>
      </w:r>
      <w:r>
        <w:rPr>
          <w:rFonts w:ascii="Arial" w:cs="Arial" w:hAnsi="Arial"/>
          <w:noProof/>
          <w:webHidden/>
          <w:color w:val="000000"/>
          <w:sz w:val="24"/>
        </w:rPr>
        <w:t>15</w:t>
      </w:r>
      <w:r>
        <w:rPr>
          <w:rFonts w:ascii="Arial" w:cs="Arial" w:hAnsi="Arial"/>
          <w:noProof/>
          <w:webHidden/>
          <w:color w:val="000000"/>
          <w:sz w:val="24"/>
        </w:rPr>
        <w:fldChar w:fldCharType="end"/>
      </w:r>
      <w:r>
        <w:rPr/>
        <w:fldChar w:fldCharType="end"/>
      </w:r>
    </w:p>
    <w:p>
      <w:pPr>
        <w:pStyle w:val="style19"/>
        <w:tabs>
          <w:tab w:val="right" w:leader="dot" w:pos="9350"/>
        </w:tabs>
        <w:spacing w:lineRule="auto" w:line="360"/>
        <w:jc w:val="both"/>
        <w:rPr>
          <w:rFonts w:eastAsia="宋体"/>
          <w:noProof/>
          <w:color w:val="000000"/>
        </w:rPr>
      </w:pPr>
      <w:r>
        <w:rPr/>
        <w:fldChar w:fldCharType="begin"/>
      </w:r>
      <w:r>
        <w:instrText xml:space="preserve"> HYPERLINK \l "_Toc214445472" </w:instrText>
      </w:r>
      <w:r>
        <w:rPr/>
        <w:fldChar w:fldCharType="separate"/>
      </w:r>
      <w:r>
        <w:rPr>
          <w:rStyle w:val="style85"/>
          <w:rFonts w:ascii="Arial" w:cs="Arial" w:hAnsi="Arial"/>
          <w:noProof/>
          <w:color w:val="000000"/>
          <w:sz w:val="24"/>
          <w:lang w:val="en-GB"/>
        </w:rPr>
        <w:t>References</w:t>
      </w:r>
      <w:r>
        <w:rPr>
          <w:rFonts w:ascii="Arial" w:cs="Arial" w:hAnsi="Arial"/>
          <w:noProof/>
          <w:webHidden/>
          <w:color w:val="000000"/>
          <w:sz w:val="24"/>
        </w:rPr>
        <w:tab/>
      </w:r>
      <w:r>
        <w:rPr>
          <w:rFonts w:ascii="Arial" w:cs="Arial" w:hAnsi="Arial"/>
          <w:noProof/>
          <w:webHidden/>
          <w:color w:val="000000"/>
          <w:sz w:val="24"/>
        </w:rPr>
        <w:fldChar w:fldCharType="begin"/>
      </w:r>
      <w:r>
        <w:rPr>
          <w:rFonts w:ascii="Arial" w:cs="Arial" w:hAnsi="Arial"/>
          <w:noProof/>
          <w:webHidden/>
          <w:color w:val="000000"/>
          <w:sz w:val="24"/>
        </w:rPr>
        <w:instrText xml:space="preserve"> PAGEREF _Toc214445472 \h </w:instrText>
      </w:r>
      <w:r>
        <w:rPr>
          <w:rFonts w:ascii="Arial" w:cs="Arial" w:hAnsi="Arial"/>
          <w:noProof/>
          <w:webHidden/>
          <w:color w:val="000000"/>
          <w:sz w:val="24"/>
        </w:rPr>
        <w:fldChar w:fldCharType="separate"/>
      </w:r>
      <w:r>
        <w:rPr>
          <w:rFonts w:ascii="Arial" w:cs="Arial" w:hAnsi="Arial"/>
          <w:noProof/>
          <w:webHidden/>
          <w:color w:val="000000"/>
          <w:sz w:val="24"/>
        </w:rPr>
        <w:t>17</w:t>
      </w:r>
      <w:r>
        <w:rPr>
          <w:rFonts w:ascii="Arial" w:cs="Arial" w:hAnsi="Arial"/>
          <w:noProof/>
          <w:webHidden/>
          <w:color w:val="000000"/>
          <w:sz w:val="24"/>
        </w:rPr>
        <w:fldChar w:fldCharType="end"/>
      </w:r>
      <w:r>
        <w:rPr/>
        <w:fldChar w:fldCharType="end"/>
      </w:r>
    </w:p>
    <w:p>
      <w:pPr>
        <w:pStyle w:val="style0"/>
        <w:spacing w:lineRule="auto" w:line="360"/>
        <w:jc w:val="both"/>
        <w:rPr>
          <w:color w:val="000000"/>
          <w:lang w:val="en-GB"/>
        </w:rPr>
      </w:pPr>
      <w:r>
        <w:rPr>
          <w:rFonts w:ascii="Arial" w:cs="Arial" w:hAnsi="Arial"/>
          <w:color w:val="000000"/>
          <w:sz w:val="24"/>
          <w:szCs w:val="24"/>
          <w:lang w:val="en-GB"/>
        </w:rPr>
        <w:fldChar w:fldCharType="end"/>
      </w:r>
    </w:p>
    <w:p>
      <w:pPr>
        <w:pStyle w:val="style0"/>
        <w:jc w:val="center"/>
        <w:rPr>
          <w:rFonts w:ascii="Arial" w:cs="Arial" w:hAnsi="Arial"/>
          <w:b/>
          <w:bCs/>
          <w:color w:val="000000"/>
          <w:sz w:val="32"/>
          <w:szCs w:val="32"/>
          <w:lang w:val="en-GB"/>
        </w:rPr>
      </w:pPr>
    </w:p>
    <w:p>
      <w:pPr>
        <w:pStyle w:val="style0"/>
        <w:rPr>
          <w:rFonts w:ascii="Arial" w:cs="Arial" w:hAnsi="Arial"/>
          <w:b/>
          <w:bCs/>
          <w:color w:val="000000"/>
          <w:sz w:val="32"/>
          <w:szCs w:val="32"/>
          <w:lang w:val="en-GB"/>
        </w:rPr>
      </w:pPr>
      <w:r>
        <w:rPr>
          <w:rFonts w:ascii="Arial" w:cs="Arial" w:hAnsi="Arial"/>
          <w:b/>
          <w:bCs/>
          <w:color w:val="000000"/>
          <w:sz w:val="32"/>
          <w:szCs w:val="32"/>
          <w:lang w:val="en-GB"/>
        </w:rPr>
        <w:br w:type="page"/>
      </w:r>
    </w:p>
    <w:bookmarkStart w:id="0" w:name="_Toc213701466"/>
    <w:bookmarkStart w:id="1" w:name="_Toc214445463"/>
    <w:p>
      <w:pPr>
        <w:pStyle w:val="style1"/>
        <w:rPr>
          <w:color w:val="000000"/>
          <w:lang w:val="en-GB"/>
        </w:rPr>
      </w:pPr>
      <w:r>
        <w:rPr>
          <w:color w:val="000000"/>
          <w:lang w:val="en-GB"/>
        </w:rPr>
        <w:t>1. Introduction</w:t>
      </w:r>
      <w:bookmarkEnd w:id="0"/>
      <w:bookmarkEnd w:id="1"/>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The purpose of the report is to evaluate the marketing environment analysis of a pioneering company of the global automobile industry and its follower company. It is related to strategic marketing management and assessing the importance of external macro marketing factors. </w:t>
      </w:r>
      <w:r>
        <w:rPr>
          <w:rFonts w:ascii="Arial" w:cs="Arial" w:hAnsi="Arial"/>
          <w:color w:val="000000"/>
          <w:sz w:val="24"/>
          <w:lang w:val="en-GB"/>
        </w:rPr>
        <w:t xml:space="preserve">The pioneer company is BMW and the follower company is VinFast which is a Vietnam based automobile company. </w:t>
      </w:r>
      <w:r>
        <w:rPr>
          <w:rFonts w:ascii="Arial" w:cs="Arial" w:hAnsi="Arial"/>
          <w:color w:val="000000"/>
          <w:sz w:val="24"/>
          <w:lang w:val="en-GB"/>
        </w:rPr>
        <w:t xml:space="preserve">The analysis of the macro marketing environment is crucial in terms of strategic decision-making as it helps in identifying market threats and opportunities (Nair and Gupta, 2021). Hence, the report will discuss the environment of macro marketing related to BMW operations in the UK in Task 1. It will lead to the discussion of strategic responses of BMW as a pioneering organisation and VinFast as a follower organisation using relevant strategic models in Task 2. </w:t>
      </w:r>
    </w:p>
    <w:bookmarkStart w:id="2" w:name="_Toc213701467"/>
    <w:bookmarkStart w:id="3" w:name="_Toc214445464"/>
    <w:p>
      <w:pPr>
        <w:pStyle w:val="style1"/>
        <w:rPr>
          <w:color w:val="000000"/>
          <w:lang w:val="en-GB"/>
        </w:rPr>
      </w:pPr>
      <w:r>
        <w:rPr>
          <w:color w:val="000000"/>
          <w:lang w:val="en-GB"/>
        </w:rPr>
        <w:t>2. Task 1: Critical analysis of the macro marketing environment</w:t>
      </w:r>
      <w:bookmarkEnd w:id="2"/>
      <w:bookmarkEnd w:id="3"/>
    </w:p>
    <w:bookmarkStart w:id="4" w:name="_Toc213701468"/>
    <w:bookmarkStart w:id="5" w:name="_Toc214445465"/>
    <w:p>
      <w:pPr>
        <w:pStyle w:val="style2"/>
        <w:rPr>
          <w:color w:val="000000"/>
          <w:lang w:val="en-GB"/>
        </w:rPr>
      </w:pPr>
      <w:r>
        <w:rPr>
          <w:color w:val="000000"/>
          <w:lang w:val="en-GB"/>
        </w:rPr>
        <w:t>2.1 Overview of the macro marketing environment</w:t>
      </w:r>
      <w:bookmarkEnd w:id="4"/>
      <w:bookmarkEnd w:id="5"/>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Gini and Agala (2023) have described the macro environment for a business as a larger social force that impacts the marketing environment. The working of external forces, such as political, economic, social, legal, and other factors, is important to comprehend as they are important to determine marketing strategies. Hence, these factors can be regarded as uncontrollable and necessitate a proactive approach to identifying market opportunities and threats.</w:t>
      </w:r>
      <w:r>
        <w:rPr>
          <w:rFonts w:ascii="Arial" w:cs="Arial" w:hAnsi="Arial"/>
          <w:color w:val="000000"/>
          <w:sz w:val="24"/>
          <w:szCs w:val="24"/>
          <w:lang w:val="en-GB"/>
        </w:rPr>
        <w:t xml:space="preserve"> </w:t>
      </w:r>
    </w:p>
    <w:p>
      <w:pPr>
        <w:pStyle w:val="style0"/>
        <w:spacing w:lineRule="auto" w:line="360"/>
        <w:jc w:val="both"/>
        <w:rPr>
          <w:rFonts w:ascii="Arial" w:cs="Arial" w:hAnsi="Arial"/>
          <w:color w:val="000000"/>
          <w:sz w:val="24"/>
          <w:szCs w:val="24"/>
          <w:lang w:val="en-GB"/>
        </w:rPr>
      </w:pPr>
      <w:r>
        <w:rPr>
          <w:rFonts w:ascii="Arial" w:cs="Arial" w:hAnsi="Arial"/>
          <w:b/>
          <w:i/>
          <w:color w:val="000000"/>
          <w:sz w:val="24"/>
          <w:szCs w:val="24"/>
          <w:lang w:val="en-GB"/>
        </w:rPr>
        <w:t>Political</w:t>
      </w:r>
      <w:r>
        <w:rPr>
          <w:rFonts w:ascii="Arial" w:cs="Arial" w:hAnsi="Arial"/>
          <w:color w:val="000000"/>
          <w:sz w:val="24"/>
          <w:szCs w:val="24"/>
          <w:lang w:val="en-GB"/>
        </w:rPr>
        <w:t xml:space="preserve"> factors have a high impact as Brexit has created uncertainty for trade, customs, and the supply chain and there is political pressure to meet carbon emission targets. </w:t>
      </w:r>
      <w:r>
        <w:rPr>
          <w:rFonts w:ascii="Arial" w:cs="Arial" w:hAnsi="Arial"/>
          <w:b/>
          <w:i/>
          <w:color w:val="000000"/>
          <w:sz w:val="24"/>
          <w:szCs w:val="24"/>
          <w:lang w:val="en-GB"/>
        </w:rPr>
        <w:t>Economic</w:t>
      </w:r>
      <w:r>
        <w:rPr>
          <w:rFonts w:ascii="Arial" w:cs="Arial" w:hAnsi="Arial"/>
          <w:color w:val="000000"/>
          <w:sz w:val="24"/>
          <w:szCs w:val="24"/>
          <w:lang w:val="en-GB"/>
        </w:rPr>
        <w:t xml:space="preserve"> factors create a moderate impact as corporate tax affects profitability and the inflation rate of the UK is 3.8% as of September 2025 (Clark, 2025). </w:t>
      </w:r>
      <w:r>
        <w:rPr>
          <w:rFonts w:ascii="Arial" w:cs="Arial" w:hAnsi="Arial"/>
          <w:b/>
          <w:i/>
          <w:color w:val="000000"/>
          <w:sz w:val="24"/>
          <w:szCs w:val="24"/>
          <w:lang w:val="en-GB"/>
        </w:rPr>
        <w:t>Social</w:t>
      </w:r>
      <w:r>
        <w:rPr>
          <w:rFonts w:ascii="Arial" w:cs="Arial" w:hAnsi="Arial"/>
          <w:color w:val="000000"/>
          <w:sz w:val="24"/>
          <w:szCs w:val="24"/>
          <w:lang w:val="en-GB"/>
        </w:rPr>
        <w:t xml:space="preserve"> factors cast a high impact for the growing consumer demand for hybrid and electric vehicles (EVs) and the consumer base is being impacted by an aging population in the European market. </w:t>
      </w:r>
      <w:r>
        <w:rPr>
          <w:rFonts w:ascii="Arial" w:cs="Arial" w:hAnsi="Arial"/>
          <w:b/>
          <w:i/>
          <w:color w:val="000000"/>
          <w:sz w:val="24"/>
          <w:szCs w:val="24"/>
          <w:lang w:val="en-GB"/>
        </w:rPr>
        <w:t>Technological</w:t>
      </w:r>
      <w:r>
        <w:rPr>
          <w:rFonts w:ascii="Arial" w:cs="Arial" w:hAnsi="Arial"/>
          <w:color w:val="000000"/>
          <w:sz w:val="24"/>
          <w:szCs w:val="24"/>
          <w:lang w:val="en-GB"/>
        </w:rPr>
        <w:t xml:space="preserve"> elements have a high impact due to integrating AI-enabled technologies in vehicles is a key trend and self-driving technology as a key </w:t>
      </w:r>
      <w:r>
        <w:rPr>
          <w:rFonts w:ascii="Arial" w:cs="Arial" w:hAnsi="Arial"/>
          <w:color w:val="000000"/>
          <w:sz w:val="24"/>
          <w:szCs w:val="24"/>
          <w:lang w:val="en-GB"/>
        </w:rPr>
        <w:t xml:space="preserve">technological frontier. </w:t>
      </w:r>
      <w:r>
        <w:rPr>
          <w:rFonts w:ascii="Arial" w:cs="Arial" w:hAnsi="Arial"/>
          <w:color w:val="000000"/>
          <w:sz w:val="24"/>
          <w:szCs w:val="24"/>
          <w:lang w:val="en-GB"/>
        </w:rPr>
        <w:t xml:space="preserve">However, </w:t>
      </w:r>
      <w:r>
        <w:rPr>
          <w:rFonts w:ascii="Arial" w:cs="Arial" w:hAnsi="Arial"/>
          <w:b/>
          <w:i/>
          <w:color w:val="000000"/>
          <w:sz w:val="24"/>
          <w:szCs w:val="24"/>
          <w:lang w:val="en-GB"/>
        </w:rPr>
        <w:t>legal</w:t>
      </w:r>
      <w:r>
        <w:rPr>
          <w:rFonts w:ascii="Arial" w:cs="Arial" w:hAnsi="Arial"/>
          <w:color w:val="000000"/>
          <w:sz w:val="24"/>
          <w:szCs w:val="24"/>
          <w:lang w:val="en-GB"/>
        </w:rPr>
        <w:t xml:space="preserve"> factors cause a moderate impact by complying with the EU and stringent UK regulations and strict adherence to the </w:t>
      </w:r>
      <w:r>
        <w:rPr>
          <w:rFonts w:ascii="Arial" w:cs="Arial" w:hAnsi="Arial"/>
          <w:b/>
          <w:i/>
          <w:color w:val="000000"/>
          <w:sz w:val="24"/>
          <w:szCs w:val="24"/>
          <w:lang w:val="en-GB"/>
        </w:rPr>
        <w:t xml:space="preserve">Consumer Rights Act 2015 </w:t>
      </w:r>
      <w:r>
        <w:rPr>
          <w:rFonts w:ascii="Arial" w:cs="Arial" w:hAnsi="Arial"/>
          <w:color w:val="000000"/>
          <w:sz w:val="24"/>
          <w:szCs w:val="24"/>
          <w:lang w:val="en-GB"/>
        </w:rPr>
        <w:t>(</w:t>
      </w:r>
      <w:r>
        <w:rPr/>
        <w:fldChar w:fldCharType="begin"/>
      </w:r>
      <w:r>
        <w:instrText xml:space="preserve"> HYPERLINK "http://gov.uk" </w:instrText>
      </w:r>
      <w:r>
        <w:rPr/>
        <w:fldChar w:fldCharType="separate"/>
      </w:r>
      <w:r>
        <w:rPr>
          <w:rStyle w:val="style85"/>
          <w:rFonts w:ascii="Arial" w:cs="Arial" w:hAnsi="Arial"/>
          <w:color w:val="000000"/>
          <w:sz w:val="24"/>
          <w:szCs w:val="24"/>
          <w:u w:val="none"/>
          <w:lang w:val="en-GB"/>
        </w:rPr>
        <w:t>GOV.UK</w:t>
      </w:r>
      <w:r>
        <w:rPr/>
        <w:fldChar w:fldCharType="end"/>
      </w:r>
      <w:r>
        <w:rPr>
          <w:rFonts w:ascii="Arial" w:cs="Arial" w:hAnsi="Arial"/>
          <w:color w:val="000000"/>
          <w:sz w:val="24"/>
          <w:szCs w:val="24"/>
          <w:lang w:val="en-GB"/>
        </w:rPr>
        <w:t xml:space="preserve">, 2025). Finally, the </w:t>
      </w:r>
      <w:r>
        <w:rPr>
          <w:rFonts w:ascii="Arial" w:cs="Arial" w:hAnsi="Arial"/>
          <w:b/>
          <w:i/>
          <w:color w:val="000000"/>
          <w:sz w:val="24"/>
          <w:szCs w:val="24"/>
          <w:lang w:val="en-GB"/>
        </w:rPr>
        <w:t>environmental</w:t>
      </w:r>
      <w:r>
        <w:rPr>
          <w:rFonts w:ascii="Arial" w:cs="Arial" w:hAnsi="Arial"/>
          <w:color w:val="000000"/>
          <w:sz w:val="24"/>
          <w:szCs w:val="24"/>
          <w:lang w:val="en-GB"/>
        </w:rPr>
        <w:t xml:space="preserve"> factors create a moderate impact through product development and low-emission powertrains and regulatory focus on the complete car lifecycle and changes in waste management policies (</w:t>
      </w:r>
      <w:r>
        <w:rPr/>
        <w:fldChar w:fldCharType="begin"/>
      </w:r>
      <w:r>
        <w:instrText xml:space="preserve"> HYPERLINK "http://gov.uk" </w:instrText>
      </w:r>
      <w:r>
        <w:rPr/>
        <w:fldChar w:fldCharType="separate"/>
      </w:r>
      <w:r>
        <w:rPr>
          <w:rStyle w:val="style85"/>
          <w:rFonts w:ascii="Arial" w:cs="Arial" w:hAnsi="Arial"/>
          <w:color w:val="000000"/>
          <w:sz w:val="24"/>
          <w:szCs w:val="24"/>
          <w:u w:val="none"/>
          <w:lang w:val="en-GB"/>
        </w:rPr>
        <w:t>GOV.UK</w:t>
      </w:r>
      <w:r>
        <w:rPr/>
        <w:fldChar w:fldCharType="end"/>
      </w:r>
      <w:r>
        <w:rPr>
          <w:rFonts w:ascii="Arial" w:cs="Arial" w:hAnsi="Arial"/>
          <w:color w:val="000000"/>
          <w:sz w:val="24"/>
          <w:szCs w:val="24"/>
          <w:lang w:val="en-GB"/>
        </w:rPr>
        <w:t xml:space="preserve">, 2025). </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T</w:t>
      </w:r>
      <w:r>
        <w:rPr>
          <w:rFonts w:ascii="Arial" w:cs="Arial" w:hAnsi="Arial"/>
          <w:color w:val="000000"/>
          <w:sz w:val="24"/>
          <w:lang w:val="en-GB"/>
        </w:rPr>
        <w:t xml:space="preserve">he PESTLE </w:t>
      </w:r>
      <w:r>
        <w:rPr>
          <w:rFonts w:ascii="Arial" w:cs="Arial" w:hAnsi="Arial"/>
          <w:color w:val="000000"/>
          <w:sz w:val="24"/>
          <w:lang w:val="en-GB"/>
        </w:rPr>
        <w:t>analysis demonstrates</w:t>
      </w:r>
      <w:r>
        <w:rPr>
          <w:rFonts w:ascii="Arial" w:cs="Arial" w:hAnsi="Arial"/>
          <w:color w:val="000000"/>
          <w:sz w:val="24"/>
          <w:lang w:val="en-GB"/>
        </w:rPr>
        <w:t xml:space="preserve"> the differences between the macro-environment of the UK. From the analysis, it can be stated that product range and demands are the key differentiators in the UK. For instance, BMW offers a wide range of models in the UK, such as large SUVs and M models, which are more appealing in the road network of this nation (BMW Group, 2025).</w:t>
      </w:r>
      <w:r>
        <w:rPr>
          <w:rFonts w:ascii="Arial" w:cs="Arial" w:hAnsi="Arial"/>
          <w:color w:val="000000"/>
          <w:sz w:val="24"/>
          <w:lang w:val="en-GB"/>
        </w:rPr>
        <w:t xml:space="preserve"> From the point of view of promotional focus, the advertising of BMW is bolder in the UK to promote the joy of driving and car performance.</w:t>
      </w:r>
      <w:r>
        <w:rPr>
          <w:rFonts w:ascii="Arial" w:cs="Arial" w:hAnsi="Arial"/>
          <w:color w:val="000000"/>
          <w:sz w:val="24"/>
          <w:lang w:val="en-GB"/>
        </w:rPr>
        <w:t xml:space="preserve"> Contrarily, meeting the European emissions standards is challenging for BMW in the UK market with the emergence of strong dealer franchise laws (IEA, 2025). Hence, despite sharing a common brand identity in these two nations, BMW has adapted to the unique market environments as a premium and performance-oriented car manufacturer.</w:t>
      </w:r>
    </w:p>
    <w:bookmarkStart w:id="6" w:name="_Toc213701469"/>
    <w:bookmarkStart w:id="7" w:name="_Toc214445466"/>
    <w:p>
      <w:pPr>
        <w:pStyle w:val="style2"/>
        <w:rPr>
          <w:color w:val="000000"/>
          <w:lang w:val="en-GB"/>
        </w:rPr>
      </w:pPr>
      <w:r>
        <w:rPr>
          <w:color w:val="000000"/>
          <w:lang w:val="en-GB"/>
        </w:rPr>
        <w:t>2.2 Selection of the two ma</w:t>
      </w:r>
      <w:r>
        <w:rPr>
          <w:color w:val="000000"/>
          <w:lang w:val="en-GB"/>
        </w:rPr>
        <w:t>c</w:t>
      </w:r>
      <w:r>
        <w:rPr>
          <w:color w:val="000000"/>
          <w:lang w:val="en-GB"/>
        </w:rPr>
        <w:t>r</w:t>
      </w:r>
      <w:r>
        <w:rPr>
          <w:color w:val="000000"/>
          <w:lang w:val="en-GB"/>
        </w:rPr>
        <w:t>o marketing actors</w:t>
      </w:r>
      <w:bookmarkEnd w:id="6"/>
      <w:bookmarkEnd w:id="7"/>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 xml:space="preserve">Technological and environmental factors can be selected as two external macro environmental actors in this context. </w:t>
      </w:r>
    </w:p>
    <w:p>
      <w:pPr>
        <w:pStyle w:val="style0"/>
        <w:spacing w:lineRule="auto" w:line="360"/>
        <w:jc w:val="both"/>
        <w:rPr>
          <w:rFonts w:ascii="Arial" w:cs="Arial" w:hAnsi="Arial"/>
          <w:b/>
          <w:bCs/>
          <w:color w:val="000000"/>
          <w:sz w:val="24"/>
          <w:szCs w:val="24"/>
          <w:lang w:val="en-GB"/>
        </w:rPr>
      </w:pPr>
      <w:r>
        <w:rPr>
          <w:rFonts w:ascii="Arial" w:cs="Arial" w:hAnsi="Arial"/>
          <w:b/>
          <w:bCs/>
          <w:color w:val="000000"/>
          <w:sz w:val="24"/>
          <w:szCs w:val="24"/>
          <w:lang w:val="en-GB"/>
        </w:rPr>
        <w:t xml:space="preserve">a) Technological </w:t>
      </w:r>
    </w:p>
    <w:p>
      <w:pPr>
        <w:pStyle w:val="style0"/>
        <w:spacing w:lineRule="auto" w:line="360"/>
        <w:jc w:val="both"/>
        <w:rPr>
          <w:rFonts w:ascii="Arial" w:cs="Arial" w:hAnsi="Arial"/>
          <w:b/>
          <w:bCs/>
          <w:i/>
          <w:iCs/>
          <w:color w:val="000000"/>
          <w:sz w:val="24"/>
          <w:szCs w:val="24"/>
          <w:lang w:val="en-GB"/>
        </w:rPr>
      </w:pPr>
      <w:r>
        <w:rPr>
          <w:rFonts w:ascii="Arial" w:cs="Arial" w:hAnsi="Arial"/>
          <w:b/>
          <w:bCs/>
          <w:i/>
          <w:iCs/>
          <w:color w:val="000000"/>
          <w:sz w:val="24"/>
          <w:szCs w:val="24"/>
          <w:lang w:val="en-GB"/>
        </w:rPr>
        <w:t>Justification as an environmental actor</w:t>
      </w:r>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 xml:space="preserve">In the context of strategic analysis using the PESTLE framework, technological factors are distinct and significantly impact business operations. It has a direct connection with ecology as it is a core component of the business environment (Leroi-Werelds </w:t>
      </w:r>
      <w:r>
        <w:rPr>
          <w:rFonts w:ascii="Arial" w:cs="Arial" w:hAnsi="Arial"/>
          <w:i/>
          <w:iCs/>
          <w:color w:val="000000"/>
          <w:sz w:val="24"/>
          <w:szCs w:val="24"/>
          <w:lang w:val="en-GB"/>
        </w:rPr>
        <w:t xml:space="preserve">et al. </w:t>
      </w:r>
      <w:r>
        <w:rPr>
          <w:rFonts w:ascii="Arial" w:cs="Arial" w:hAnsi="Arial"/>
          <w:color w:val="000000"/>
          <w:sz w:val="24"/>
          <w:szCs w:val="24"/>
          <w:lang w:val="en-GB"/>
        </w:rPr>
        <w:t xml:space="preserve">2021). For instance, industrial technologies are crucial to reduce pollution from internal-combustion engines. </w:t>
      </w:r>
    </w:p>
    <w:p>
      <w:pPr>
        <w:pStyle w:val="style0"/>
        <w:spacing w:lineRule="auto" w:line="360"/>
        <w:jc w:val="both"/>
        <w:rPr>
          <w:rFonts w:ascii="Arial" w:cs="Arial" w:hAnsi="Arial"/>
          <w:b/>
          <w:bCs/>
          <w:i/>
          <w:iCs/>
          <w:color w:val="000000"/>
          <w:sz w:val="24"/>
          <w:szCs w:val="24"/>
          <w:lang w:val="en-GB"/>
        </w:rPr>
      </w:pPr>
      <w:r>
        <w:rPr>
          <w:rFonts w:ascii="Arial" w:cs="Arial" w:hAnsi="Arial"/>
          <w:b/>
          <w:bCs/>
          <w:i/>
          <w:iCs/>
          <w:color w:val="000000"/>
          <w:sz w:val="24"/>
          <w:szCs w:val="24"/>
          <w:lang w:val="en-GB"/>
        </w:rPr>
        <w:t xml:space="preserve">Relevance and influence within the automobile industry </w:t>
      </w:r>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 xml:space="preserve">Technology is highly relevant and influential in the current automobile industry as an environmental actor, as it primarily drives innovation. As per the reports of mid-2025, 20-25% of new car sales in the UK include battery electric vehicles (BEVs), which is a technological innovation of this industry (UK Parliament, 2025). This growth has been supported by UK policies like the </w:t>
      </w:r>
      <w:r>
        <w:rPr>
          <w:rFonts w:ascii="Arial" w:cs="Arial" w:hAnsi="Arial"/>
          <w:b/>
          <w:bCs/>
          <w:i/>
          <w:iCs/>
          <w:color w:val="000000"/>
          <w:sz w:val="24"/>
          <w:szCs w:val="24"/>
          <w:lang w:val="en-GB"/>
        </w:rPr>
        <w:t xml:space="preserve">Zero Emission Vehicle (ZEV), </w:t>
      </w:r>
      <w:r>
        <w:rPr>
          <w:rFonts w:ascii="Arial" w:cs="Arial" w:hAnsi="Arial"/>
          <w:color w:val="000000"/>
          <w:sz w:val="24"/>
          <w:szCs w:val="24"/>
          <w:lang w:val="en-GB"/>
        </w:rPr>
        <w:t xml:space="preserve">which projects the relevance and impact of technology. Therefore, choosing this environmental actor in this context is justified to understand the current market trends. </w:t>
      </w:r>
    </w:p>
    <w:p>
      <w:pPr>
        <w:pStyle w:val="style0"/>
        <w:spacing w:lineRule="auto" w:line="360"/>
        <w:jc w:val="both"/>
        <w:rPr>
          <w:rFonts w:ascii="Arial" w:cs="Arial" w:hAnsi="Arial"/>
          <w:b/>
          <w:bCs/>
          <w:color w:val="000000"/>
          <w:sz w:val="24"/>
          <w:szCs w:val="24"/>
          <w:lang w:val="en-GB"/>
        </w:rPr>
      </w:pPr>
      <w:r>
        <w:rPr>
          <w:rFonts w:ascii="Arial" w:cs="Arial" w:hAnsi="Arial"/>
          <w:b/>
          <w:bCs/>
          <w:color w:val="000000"/>
          <w:sz w:val="24"/>
          <w:szCs w:val="24"/>
          <w:lang w:val="en-GB"/>
        </w:rPr>
        <w:t xml:space="preserve">b) Environmental </w:t>
      </w:r>
    </w:p>
    <w:p>
      <w:pPr>
        <w:pStyle w:val="style0"/>
        <w:spacing w:lineRule="auto" w:line="360"/>
        <w:jc w:val="both"/>
        <w:rPr>
          <w:rFonts w:ascii="Arial" w:cs="Arial" w:hAnsi="Arial"/>
          <w:b/>
          <w:bCs/>
          <w:i/>
          <w:iCs/>
          <w:color w:val="000000"/>
          <w:sz w:val="24"/>
          <w:szCs w:val="24"/>
          <w:lang w:val="en-GB"/>
        </w:rPr>
      </w:pPr>
      <w:r>
        <w:rPr>
          <w:rFonts w:ascii="Arial" w:cs="Arial" w:hAnsi="Arial"/>
          <w:b/>
          <w:bCs/>
          <w:i/>
          <w:iCs/>
          <w:color w:val="000000"/>
          <w:sz w:val="24"/>
          <w:szCs w:val="24"/>
          <w:lang w:val="en-GB"/>
        </w:rPr>
        <w:t>Justification as an environmental actor</w:t>
      </w:r>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 xml:space="preserve">Environmental factors are important to consider while discussing the market analysis and environmental actors of the automobile industry. The paradigm of this industry has shifted due to the rising environmental concerns (Neolaka </w:t>
      </w:r>
      <w:r>
        <w:rPr>
          <w:rFonts w:ascii="Arial" w:cs="Arial" w:hAnsi="Arial"/>
          <w:i/>
          <w:iCs/>
          <w:color w:val="000000"/>
          <w:sz w:val="24"/>
          <w:szCs w:val="24"/>
          <w:lang w:val="en-GB"/>
        </w:rPr>
        <w:t xml:space="preserve">et al. </w:t>
      </w:r>
      <w:r>
        <w:rPr>
          <w:rFonts w:ascii="Arial" w:cs="Arial" w:hAnsi="Arial"/>
          <w:color w:val="000000"/>
          <w:sz w:val="24"/>
          <w:szCs w:val="24"/>
          <w:lang w:val="en-GB"/>
        </w:rPr>
        <w:t xml:space="preserve">2023). It has transformed the methods of manufacturing vehicles, how they are used, and how they are disposed of as well. The influence of the environmental factors stems from the ecological problems resulting from the industry itself. </w:t>
      </w:r>
    </w:p>
    <w:p>
      <w:pPr>
        <w:pStyle w:val="style0"/>
        <w:spacing w:lineRule="auto" w:line="360"/>
        <w:jc w:val="both"/>
        <w:rPr>
          <w:rFonts w:ascii="Arial" w:cs="Arial" w:hAnsi="Arial"/>
          <w:b/>
          <w:bCs/>
          <w:i/>
          <w:iCs/>
          <w:color w:val="000000"/>
          <w:sz w:val="24"/>
          <w:szCs w:val="24"/>
          <w:lang w:val="en-GB"/>
        </w:rPr>
      </w:pPr>
      <w:r>
        <w:rPr>
          <w:rFonts w:ascii="Arial" w:cs="Arial" w:hAnsi="Arial"/>
          <w:b/>
          <w:bCs/>
          <w:i/>
          <w:iCs/>
          <w:color w:val="000000"/>
          <w:sz w:val="24"/>
          <w:szCs w:val="24"/>
          <w:lang w:val="en-GB"/>
        </w:rPr>
        <w:t>Relevance and influence within the automobile industry</w:t>
      </w:r>
    </w:p>
    <w:p>
      <w:pPr>
        <w:pStyle w:val="style0"/>
        <w:spacing w:lineRule="auto" w:line="360"/>
        <w:jc w:val="both"/>
        <w:rPr>
          <w:rFonts w:ascii="Arial" w:cs="Arial" w:hAnsi="Arial"/>
          <w:color w:val="000000"/>
          <w:lang w:val="en-GB"/>
        </w:rPr>
      </w:pPr>
      <w:r>
        <w:rPr>
          <w:rFonts w:ascii="Arial" w:cs="Arial" w:hAnsi="Arial"/>
          <w:color w:val="000000"/>
          <w:sz w:val="24"/>
          <w:szCs w:val="24"/>
          <w:lang w:val="en-GB"/>
        </w:rPr>
        <w:t>The automobile industry of the UK is constantly striving to reduce carbon emissions and resource depletion, which makes this actor highly relevant and impactful. The industry has introduced plug-in hybrids in EVs that share the sales of 32.1% as per the reports of April 2025 (UK Parliament, 2025). The market has also shown a steady growth with EV sales increasing by 39.6% in June 2025 as compared to the previous year. Hence, charging infrastructure is also developing on UK roads, which makes environmental factors a suitable macro marketing actor.</w:t>
      </w:r>
    </w:p>
    <w:bookmarkStart w:id="8" w:name="_Toc213701470"/>
    <w:bookmarkStart w:id="9" w:name="_Toc214445467"/>
    <w:p>
      <w:pPr>
        <w:pStyle w:val="style2"/>
        <w:rPr>
          <w:color w:val="000000"/>
          <w:lang w:val="en-GB"/>
        </w:rPr>
      </w:pPr>
      <w:r>
        <w:rPr>
          <w:color w:val="000000"/>
          <w:lang w:val="en-GB"/>
        </w:rPr>
        <w:t>2.3 Critical analysis of each actor</w:t>
      </w:r>
      <w:bookmarkEnd w:id="8"/>
      <w:bookmarkEnd w:id="9"/>
    </w:p>
    <w:p>
      <w:pPr>
        <w:pStyle w:val="style0"/>
        <w:spacing w:lineRule="auto" w:line="360"/>
        <w:jc w:val="both"/>
        <w:rPr>
          <w:rFonts w:ascii="Arial" w:cs="Arial" w:hAnsi="Arial"/>
          <w:b/>
          <w:bCs/>
          <w:color w:val="000000"/>
          <w:sz w:val="24"/>
          <w:szCs w:val="24"/>
          <w:lang w:val="en-GB"/>
        </w:rPr>
      </w:pPr>
      <w:r>
        <w:rPr>
          <w:rFonts w:ascii="Arial" w:cs="Arial" w:hAnsi="Arial"/>
          <w:b/>
          <w:bCs/>
          <w:color w:val="000000"/>
          <w:sz w:val="24"/>
          <w:szCs w:val="24"/>
          <w:lang w:val="en-GB"/>
        </w:rPr>
        <w:t xml:space="preserve">Technological factors </w:t>
      </w:r>
    </w:p>
    <w:p>
      <w:pPr>
        <w:pStyle w:val="style0"/>
        <w:spacing w:lineRule="auto" w:line="360"/>
        <w:jc w:val="both"/>
        <w:rPr>
          <w:rFonts w:ascii="Arial" w:cs="Arial" w:hAnsi="Arial"/>
          <w:b/>
          <w:bCs/>
          <w:i/>
          <w:iCs/>
          <w:color w:val="000000"/>
          <w:sz w:val="24"/>
          <w:szCs w:val="24"/>
          <w:lang w:val="en-GB"/>
        </w:rPr>
      </w:pPr>
      <w:r>
        <w:rPr>
          <w:rFonts w:ascii="Arial" w:cs="Arial" w:hAnsi="Arial"/>
          <w:b/>
          <w:bCs/>
          <w:i/>
          <w:iCs/>
          <w:color w:val="000000"/>
          <w:sz w:val="24"/>
          <w:szCs w:val="24"/>
          <w:lang w:val="en-GB"/>
        </w:rPr>
        <w:t xml:space="preserve">Impact analysis </w:t>
      </w:r>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BMW, as a pioneer, is a premium leader where technological actors have offered the opportunity of high control of high-end R&amp;D. For instance, BMW has invested around €9.1 billion in R&amp;D in 2024 to lead next-gen tech, which has increased its sales by 427,000 units in the same year (BMW Group, 2025). On the other hand, VinFast is a follower organisation, which has obtained the opportunity of a “clean-sheet” design and adopted a vertical integration strategy to launch its EV line</w:t>
      </w:r>
      <w:r>
        <w:rPr>
          <w:rFonts w:ascii="Arial" w:cs="Arial" w:hAnsi="Arial"/>
          <w:color w:val="000000"/>
          <w:sz w:val="24"/>
          <w:szCs w:val="24"/>
          <w:lang w:val="en-GB"/>
        </w:rPr>
        <w:t>-</w:t>
      </w:r>
      <w:r>
        <w:rPr>
          <w:rFonts w:ascii="Arial" w:cs="Arial" w:hAnsi="Arial"/>
          <w:color w:val="000000"/>
          <w:sz w:val="24"/>
          <w:szCs w:val="24"/>
          <w:lang w:val="en-GB"/>
        </w:rPr>
        <w:t>up. However, technology presents BMW with a high transition cost as a threat and quality concerns for VinFast.</w:t>
      </w:r>
    </w:p>
    <w:p>
      <w:pPr>
        <w:pStyle w:val="style0"/>
        <w:spacing w:lineRule="auto" w:line="360"/>
        <w:jc w:val="both"/>
        <w:rPr>
          <w:rFonts w:ascii="Arial" w:cs="Arial" w:hAnsi="Arial"/>
          <w:b/>
          <w:bCs/>
          <w:i/>
          <w:iCs/>
          <w:color w:val="000000"/>
          <w:sz w:val="24"/>
          <w:szCs w:val="24"/>
          <w:lang w:val="en-GB"/>
        </w:rPr>
      </w:pPr>
      <w:r>
        <w:rPr>
          <w:rFonts w:ascii="Arial" w:cs="Arial" w:hAnsi="Arial"/>
          <w:b/>
          <w:bCs/>
          <w:i/>
          <w:iCs/>
          <w:color w:val="000000"/>
          <w:sz w:val="24"/>
          <w:szCs w:val="24"/>
          <w:lang w:val="en-GB"/>
        </w:rPr>
        <w:t xml:space="preserve">Key strategic implications </w:t>
      </w:r>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 xml:space="preserve">The strategic implications of technology for BMW involve sustained R&amp;D and platform shift with the focus area of software experience and hydrogen exploration (Pascucci </w:t>
      </w:r>
      <w:r>
        <w:rPr>
          <w:rFonts w:ascii="Arial" w:cs="Arial" w:hAnsi="Arial"/>
          <w:i/>
          <w:iCs/>
          <w:color w:val="000000"/>
          <w:sz w:val="24"/>
          <w:szCs w:val="24"/>
          <w:lang w:val="en-GB"/>
        </w:rPr>
        <w:t xml:space="preserve">et al. </w:t>
      </w:r>
      <w:r>
        <w:rPr>
          <w:rFonts w:ascii="Arial" w:cs="Arial" w:hAnsi="Arial"/>
          <w:color w:val="000000"/>
          <w:sz w:val="24"/>
          <w:szCs w:val="24"/>
          <w:lang w:val="en-GB"/>
        </w:rPr>
        <w:t xml:space="preserve">2023). Whereas, the implications of the technological actor for VinFast lie in its aggressive localisation and value capture, focusing on cost optimisation and quality control. </w:t>
      </w:r>
    </w:p>
    <w:p>
      <w:pPr>
        <w:pStyle w:val="style0"/>
        <w:spacing w:lineRule="auto" w:line="360"/>
        <w:jc w:val="both"/>
        <w:rPr>
          <w:rFonts w:ascii="Arial" w:cs="Arial" w:hAnsi="Arial"/>
          <w:b/>
          <w:bCs/>
          <w:color w:val="000000"/>
          <w:sz w:val="24"/>
          <w:szCs w:val="24"/>
          <w:lang w:val="en-GB"/>
        </w:rPr>
      </w:pPr>
      <w:r>
        <w:rPr>
          <w:rFonts w:ascii="Arial" w:cs="Arial" w:hAnsi="Arial"/>
          <w:b/>
          <w:bCs/>
          <w:color w:val="000000"/>
          <w:sz w:val="24"/>
          <w:szCs w:val="24"/>
          <w:lang w:val="en-GB"/>
        </w:rPr>
        <w:t xml:space="preserve">Environmental factors </w:t>
      </w:r>
    </w:p>
    <w:p>
      <w:pPr>
        <w:pStyle w:val="style0"/>
        <w:spacing w:lineRule="auto" w:line="360"/>
        <w:jc w:val="both"/>
        <w:rPr>
          <w:rFonts w:ascii="Arial" w:cs="Arial" w:hAnsi="Arial"/>
          <w:b/>
          <w:bCs/>
          <w:i/>
          <w:iCs/>
          <w:color w:val="000000"/>
          <w:sz w:val="24"/>
          <w:szCs w:val="24"/>
          <w:lang w:val="en-GB"/>
        </w:rPr>
      </w:pPr>
      <w:r>
        <w:rPr>
          <w:rFonts w:ascii="Arial" w:cs="Arial" w:hAnsi="Arial"/>
          <w:b/>
          <w:bCs/>
          <w:i/>
          <w:iCs/>
          <w:color w:val="000000"/>
          <w:sz w:val="24"/>
          <w:szCs w:val="24"/>
          <w:lang w:val="en-GB"/>
        </w:rPr>
        <w:t xml:space="preserve">Impact analysis </w:t>
      </w:r>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 xml:space="preserve">The environmental elements provide BMW with the opportunity of leadership in sustainability and premium pricing by embedding an approach of a holistic circular economy. For instance, BMW is committed to reducing carbon emissions by 40% per vehicle by 2030 (ET Auto, 2022). For VinFast, a follower organisation of BMW, environmental factors have helped in defining the brand as the company has promoted zero-tailpipe emissions. In contrast, Scope 3 Emissions scrutiny and supply chain dependency are threats for BMW and VinFast, respectively. </w:t>
      </w:r>
    </w:p>
    <w:p>
      <w:pPr>
        <w:pStyle w:val="style0"/>
        <w:spacing w:lineRule="auto" w:line="360"/>
        <w:jc w:val="both"/>
        <w:rPr>
          <w:rFonts w:ascii="Arial" w:cs="Arial" w:hAnsi="Arial"/>
          <w:b/>
          <w:bCs/>
          <w:i/>
          <w:iCs/>
          <w:color w:val="000000"/>
          <w:sz w:val="24"/>
          <w:szCs w:val="24"/>
          <w:lang w:val="en-GB"/>
        </w:rPr>
      </w:pPr>
      <w:r>
        <w:rPr>
          <w:rFonts w:ascii="Arial" w:cs="Arial" w:hAnsi="Arial"/>
          <w:b/>
          <w:bCs/>
          <w:i/>
          <w:iCs/>
          <w:color w:val="000000"/>
          <w:sz w:val="24"/>
          <w:szCs w:val="24"/>
          <w:lang w:val="en-GB"/>
        </w:rPr>
        <w:t>Key strategic implications</w:t>
      </w:r>
    </w:p>
    <w:p>
      <w:pPr>
        <w:pStyle w:val="style0"/>
        <w:spacing w:lineRule="auto" w:line="360"/>
        <w:jc w:val="both"/>
        <w:rPr>
          <w:rFonts w:ascii="Arial" w:cs="Arial" w:hAnsi="Arial"/>
          <w:color w:val="000000"/>
          <w:lang w:val="en-GB"/>
        </w:rPr>
      </w:pPr>
      <w:r>
        <w:rPr>
          <w:rFonts w:ascii="Arial" w:cs="Arial" w:hAnsi="Arial"/>
          <w:color w:val="000000"/>
          <w:sz w:val="24"/>
          <w:szCs w:val="24"/>
          <w:lang w:val="en-GB"/>
        </w:rPr>
        <w:t xml:space="preserve">BMW, being the pioneer company, has mandated a circular economy for protective resource management as a strategic implication of the environmental factors. Similarly, the focus areas of VinFast are factory green certification and energy efficiency in manufacturing using cost-effective green compliance (Kumar </w:t>
      </w:r>
      <w:r>
        <w:rPr>
          <w:rFonts w:ascii="Arial" w:cs="Arial" w:hAnsi="Arial"/>
          <w:i/>
          <w:iCs/>
          <w:color w:val="000000"/>
          <w:sz w:val="24"/>
          <w:szCs w:val="24"/>
          <w:lang w:val="en-GB"/>
        </w:rPr>
        <w:t xml:space="preserve">et al. </w:t>
      </w:r>
      <w:r>
        <w:rPr>
          <w:rFonts w:ascii="Arial" w:cs="Arial" w:hAnsi="Arial"/>
          <w:color w:val="000000"/>
          <w:sz w:val="24"/>
          <w:szCs w:val="24"/>
          <w:lang w:val="en-GB"/>
        </w:rPr>
        <w:t>2021).</w:t>
      </w:r>
    </w:p>
    <w:bookmarkStart w:id="10" w:name="_Toc213701471"/>
    <w:bookmarkStart w:id="11" w:name="_Toc214445468"/>
    <w:p>
      <w:pPr>
        <w:pStyle w:val="style1"/>
        <w:rPr>
          <w:color w:val="000000"/>
          <w:lang w:val="en-GB"/>
        </w:rPr>
      </w:pPr>
      <w:r>
        <w:rPr>
          <w:color w:val="000000"/>
          <w:lang w:val="en-GB"/>
        </w:rPr>
        <w:t xml:space="preserve">3. </w:t>
      </w:r>
      <w:r>
        <w:rPr>
          <w:color w:val="000000"/>
          <w:lang w:val="en-GB"/>
        </w:rPr>
        <w:t xml:space="preserve">Task 2: </w:t>
      </w:r>
      <w:r>
        <w:rPr>
          <w:color w:val="000000"/>
          <w:lang w:val="en-GB"/>
        </w:rPr>
        <w:t>Strategic responses of pioneering and follower organisations</w:t>
      </w:r>
      <w:bookmarkEnd w:id="10"/>
      <w:bookmarkEnd w:id="11"/>
    </w:p>
    <w:bookmarkStart w:id="12" w:name="_Toc213701472"/>
    <w:bookmarkStart w:id="13" w:name="_Toc214445469"/>
    <w:p>
      <w:pPr>
        <w:pStyle w:val="style2"/>
        <w:rPr>
          <w:color w:val="000000"/>
          <w:lang w:val="en-GB"/>
        </w:rPr>
      </w:pPr>
      <w:r>
        <w:rPr>
          <w:color w:val="000000"/>
          <w:lang w:val="en-GB"/>
        </w:rPr>
        <w:t>3.1 Pioneering organisation’s strategic responses</w:t>
      </w:r>
      <w:bookmarkEnd w:id="12"/>
      <w:bookmarkEnd w:id="13"/>
    </w:p>
    <w:p>
      <w:pPr>
        <w:pStyle w:val="style0"/>
        <w:spacing w:lineRule="auto" w:line="360"/>
        <w:jc w:val="both"/>
        <w:rPr>
          <w:rFonts w:ascii="Arial" w:cs="Arial" w:hAnsi="Arial"/>
          <w:b/>
          <w:color w:val="000000"/>
          <w:sz w:val="24"/>
          <w:lang w:val="en-GB"/>
        </w:rPr>
      </w:pPr>
      <w:r>
        <w:rPr>
          <w:rFonts w:ascii="Arial" w:cs="Arial" w:hAnsi="Arial"/>
          <w:b/>
          <w:color w:val="000000"/>
          <w:sz w:val="24"/>
          <w:lang w:val="en-GB"/>
        </w:rPr>
        <w:t>BMW responding to external challenges and opportunities</w:t>
      </w:r>
    </w:p>
    <w:p>
      <w:pPr>
        <w:pStyle w:val="style0"/>
        <w:spacing w:lineRule="auto" w:line="360"/>
        <w:jc w:val="both"/>
        <w:rPr>
          <w:rFonts w:ascii="Arial" w:cs="Arial" w:hAnsi="Arial"/>
          <w:color w:val="000000"/>
          <w:sz w:val="24"/>
          <w:lang w:val="en-GB"/>
        </w:rPr>
      </w:pPr>
      <w:r>
        <w:rPr>
          <w:rFonts w:ascii="Arial" w:cs="Arial" w:hAnsi="Arial"/>
          <w:b/>
          <w:color w:val="000000"/>
          <w:sz w:val="24"/>
          <w:lang w:val="en-GB"/>
        </w:rPr>
        <w:t xml:space="preserve">Response to </w:t>
      </w:r>
      <w:r>
        <w:rPr>
          <w:rFonts w:ascii="Arial" w:cs="Arial" w:hAnsi="Arial"/>
          <w:b/>
          <w:color w:val="000000"/>
          <w:sz w:val="24"/>
          <w:lang w:val="en-GB"/>
        </w:rPr>
        <w:t>opportunities</w:t>
      </w:r>
      <w:r>
        <w:rPr>
          <w:rFonts w:ascii="Arial" w:cs="Arial" w:hAnsi="Arial"/>
          <w:b/>
          <w:color w:val="000000"/>
          <w:sz w:val="24"/>
          <w:lang w:val="en-GB"/>
        </w:rPr>
        <w:t xml:space="preserve">: </w:t>
      </w:r>
      <w:r>
        <w:rPr>
          <w:rFonts w:ascii="Arial" w:cs="Arial" w:hAnsi="Arial"/>
          <w:color w:val="000000"/>
          <w:sz w:val="24"/>
          <w:lang w:val="en-GB"/>
        </w:rPr>
        <w:t xml:space="preserve">BMW has responded to its </w:t>
      </w:r>
      <w:r>
        <w:rPr>
          <w:rFonts w:ascii="Arial" w:cs="Arial" w:hAnsi="Arial"/>
          <w:color w:val="000000"/>
          <w:sz w:val="24"/>
          <w:lang w:val="en-GB"/>
        </w:rPr>
        <w:t xml:space="preserve">technological </w:t>
      </w:r>
      <w:r>
        <w:rPr>
          <w:rFonts w:ascii="Arial" w:cs="Arial" w:hAnsi="Arial"/>
          <w:color w:val="000000"/>
          <w:sz w:val="24"/>
          <w:lang w:val="en-GB"/>
        </w:rPr>
        <w:t>opportunity of “high control of high-end R&amp;D” by developing the Gen6 battery cells using in-house R&amp;D</w:t>
      </w:r>
      <w:r>
        <w:rPr>
          <w:rFonts w:ascii="Arial" w:cs="Arial" w:hAnsi="Arial"/>
          <w:color w:val="000000"/>
          <w:sz w:val="24"/>
          <w:lang w:val="en-GB"/>
        </w:rPr>
        <w:t>, which has its uniqueness to provide the company competitiveness</w:t>
      </w:r>
      <w:r>
        <w:rPr>
          <w:rFonts w:ascii="Arial" w:cs="Arial" w:hAnsi="Arial"/>
          <w:color w:val="000000"/>
          <w:sz w:val="24"/>
          <w:lang w:val="en-GB"/>
        </w:rPr>
        <w:t xml:space="preserve">. Similarly, the </w:t>
      </w:r>
      <w:r>
        <w:rPr>
          <w:rFonts w:ascii="Arial" w:cs="Arial" w:hAnsi="Arial"/>
          <w:color w:val="000000"/>
          <w:sz w:val="24"/>
          <w:lang w:val="en-GB"/>
        </w:rPr>
        <w:t xml:space="preserve">environmental </w:t>
      </w:r>
      <w:r>
        <w:rPr>
          <w:rFonts w:ascii="Arial" w:cs="Arial" w:hAnsi="Arial"/>
          <w:color w:val="000000"/>
          <w:sz w:val="24"/>
          <w:lang w:val="en-GB"/>
        </w:rPr>
        <w:t xml:space="preserve">opportunity of “leadership in sustainability and premium pricing” has been responded to by using </w:t>
      </w:r>
      <w:r>
        <w:rPr>
          <w:rFonts w:ascii="Arial" w:cs="Arial" w:hAnsi="Arial"/>
          <w:color w:val="000000"/>
          <w:sz w:val="24"/>
          <w:lang w:val="en-GB"/>
        </w:rPr>
        <w:t xml:space="preserve">AI and automation with </w:t>
      </w:r>
      <w:r>
        <w:rPr>
          <w:rFonts w:ascii="Arial" w:cs="Arial" w:hAnsi="Arial"/>
          <w:color w:val="000000"/>
          <w:sz w:val="24"/>
          <w:lang w:val="en-GB"/>
        </w:rPr>
        <w:t xml:space="preserve">“design for circularity” and cutting manufacturing cost by 25% </w:t>
      </w:r>
      <w:r>
        <w:rPr>
          <w:rFonts w:ascii="Arial" w:cs="Arial" w:hAnsi="Arial"/>
          <w:color w:val="000000"/>
          <w:sz w:val="24"/>
          <w:lang w:val="en-GB"/>
        </w:rPr>
        <w:t>for resource optimisation and more availability</w:t>
      </w:r>
      <w:r>
        <w:rPr>
          <w:rFonts w:ascii="Arial" w:cs="Arial" w:hAnsi="Arial"/>
          <w:color w:val="000000"/>
          <w:sz w:val="24"/>
          <w:lang w:val="en-GB"/>
        </w:rPr>
        <w:t xml:space="preserve"> (</w:t>
      </w:r>
      <w:r>
        <w:rPr>
          <w:rFonts w:ascii="Arial" w:cs="Arial" w:hAnsi="Arial"/>
          <w:color w:val="000000"/>
          <w:sz w:val="24"/>
          <w:lang w:val="en-GB"/>
        </w:rPr>
        <w:t>Evison, 2025</w:t>
      </w:r>
      <w:r>
        <w:rPr>
          <w:rFonts w:ascii="Arial" w:cs="Arial" w:hAnsi="Arial"/>
          <w:color w:val="000000"/>
          <w:sz w:val="24"/>
          <w:lang w:val="en-GB"/>
        </w:rPr>
        <w:t>)</w:t>
      </w:r>
      <w:r>
        <w:rPr>
          <w:rFonts w:ascii="Arial" w:cs="Arial" w:hAnsi="Arial"/>
          <w:color w:val="000000"/>
          <w:sz w:val="24"/>
          <w:lang w:val="en-GB"/>
        </w:rPr>
        <w:t>.</w:t>
      </w:r>
    </w:p>
    <w:p>
      <w:pPr>
        <w:pStyle w:val="style0"/>
        <w:spacing w:lineRule="auto" w:line="360"/>
        <w:jc w:val="both"/>
        <w:rPr>
          <w:rFonts w:ascii="Arial" w:cs="Arial" w:hAnsi="Arial"/>
          <w:b/>
          <w:color w:val="000000"/>
          <w:sz w:val="24"/>
          <w:lang w:val="en-GB"/>
        </w:rPr>
      </w:pPr>
      <w:r>
        <w:rPr>
          <w:rFonts w:ascii="Arial" w:cs="Arial" w:hAnsi="Arial"/>
          <w:b/>
          <w:color w:val="000000"/>
          <w:sz w:val="24"/>
          <w:lang w:val="en-GB"/>
        </w:rPr>
        <w:t xml:space="preserve">Response to </w:t>
      </w:r>
      <w:r>
        <w:rPr>
          <w:rFonts w:ascii="Arial" w:cs="Arial" w:hAnsi="Arial"/>
          <w:b/>
          <w:color w:val="000000"/>
          <w:sz w:val="24"/>
          <w:lang w:val="en-GB"/>
        </w:rPr>
        <w:t>threats</w:t>
      </w:r>
      <w:r>
        <w:rPr>
          <w:rFonts w:ascii="Arial" w:cs="Arial" w:hAnsi="Arial"/>
          <w:b/>
          <w:color w:val="000000"/>
          <w:sz w:val="24"/>
          <w:lang w:val="en-GB"/>
        </w:rPr>
        <w:t>:</w:t>
      </w:r>
      <w:r>
        <w:rPr>
          <w:rFonts w:ascii="Arial" w:cs="Arial" w:hAnsi="Arial"/>
          <w:color w:val="000000"/>
          <w:sz w:val="24"/>
          <w:lang w:val="en-GB"/>
        </w:rPr>
        <w:t xml:space="preserve"> BMW has responded to the </w:t>
      </w:r>
      <w:r>
        <w:rPr>
          <w:rFonts w:ascii="Arial" w:cs="Arial" w:hAnsi="Arial"/>
          <w:color w:val="000000"/>
          <w:sz w:val="24"/>
          <w:lang w:val="en-GB"/>
        </w:rPr>
        <w:t xml:space="preserve">technological </w:t>
      </w:r>
      <w:r>
        <w:rPr>
          <w:rFonts w:ascii="Arial" w:cs="Arial" w:hAnsi="Arial"/>
          <w:color w:val="000000"/>
          <w:sz w:val="24"/>
          <w:lang w:val="en-GB"/>
        </w:rPr>
        <w:t xml:space="preserve">threat of “high transition cost” by creating the Neue Klasse platform for scaling and efficiency. The </w:t>
      </w:r>
      <w:r>
        <w:rPr>
          <w:rFonts w:ascii="Arial" w:cs="Arial" w:hAnsi="Arial"/>
          <w:color w:val="000000"/>
          <w:sz w:val="24"/>
          <w:lang w:val="en-GB"/>
        </w:rPr>
        <w:t xml:space="preserve">environmental </w:t>
      </w:r>
      <w:r>
        <w:rPr>
          <w:rFonts w:ascii="Arial" w:cs="Arial" w:hAnsi="Arial"/>
          <w:color w:val="000000"/>
          <w:sz w:val="24"/>
          <w:lang w:val="en-GB"/>
        </w:rPr>
        <w:t xml:space="preserve">threat of “Scope 3 emissions scrutiny” has been responded to by the Science-Based Emission Targets (SBTi) to significantly cut </w:t>
      </w:r>
      <w:r>
        <w:rPr>
          <w:rFonts w:ascii="Arial" w:cs="Arial" w:hAnsi="Arial"/>
          <w:color w:val="000000"/>
          <w:sz w:val="24"/>
          <w:lang w:val="en-GB"/>
        </w:rPr>
        <w:t xml:space="preserve">greenhouse </w:t>
      </w:r>
      <w:r>
        <w:rPr>
          <w:rFonts w:ascii="Arial" w:cs="Arial" w:hAnsi="Arial"/>
          <w:color w:val="000000"/>
          <w:sz w:val="24"/>
          <w:lang w:val="en-GB"/>
        </w:rPr>
        <w:t>emissions</w:t>
      </w:r>
      <w:r>
        <w:rPr>
          <w:rFonts w:ascii="Arial" w:cs="Arial" w:hAnsi="Arial"/>
          <w:color w:val="000000"/>
          <w:sz w:val="24"/>
          <w:lang w:val="en-GB"/>
        </w:rPr>
        <w:t xml:space="preserve"> (</w:t>
      </w:r>
      <w:r>
        <w:rPr>
          <w:rFonts w:ascii="Arial" w:cs="Arial" w:hAnsi="Arial"/>
          <w:color w:val="000000"/>
          <w:sz w:val="24"/>
          <w:lang w:val="en-GB"/>
        </w:rPr>
        <w:t>BMW Group, 2025</w:t>
      </w:r>
      <w:r>
        <w:rPr>
          <w:rFonts w:ascii="Arial" w:cs="Arial" w:hAnsi="Arial"/>
          <w:color w:val="000000"/>
          <w:sz w:val="24"/>
          <w:lang w:val="en-GB"/>
        </w:rPr>
        <w:t>)</w:t>
      </w:r>
      <w:r>
        <w:rPr>
          <w:rFonts w:ascii="Arial" w:cs="Arial" w:hAnsi="Arial"/>
          <w:color w:val="000000"/>
          <w:sz w:val="24"/>
          <w:lang w:val="en-GB"/>
        </w:rPr>
        <w:t>.</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The marketing strategies of BMW are more successful in the UK as the company </w:t>
      </w:r>
      <w:r>
        <w:rPr>
          <w:rFonts w:ascii="Arial" w:cs="Arial" w:hAnsi="Arial"/>
          <w:color w:val="000000"/>
          <w:sz w:val="24"/>
          <w:lang w:val="en-GB"/>
        </w:rPr>
        <w:t>responds strategically to overcome the external issues</w:t>
      </w:r>
      <w:r>
        <w:rPr>
          <w:rFonts w:ascii="Arial" w:cs="Arial" w:hAnsi="Arial"/>
          <w:color w:val="000000"/>
          <w:sz w:val="24"/>
          <w:lang w:val="en-GB"/>
        </w:rPr>
        <w:t xml:space="preserve">. The growth rate of BMW in the UK is 12% as a leading premium luxury car brand with a market share of 22.6% in this sector in 2024 (BMW Group, 2025). In the success metric of EV adoption and future-proofing, the e-mobility strategy of BMW focuses on electrification in the UK. As per the statistics of 2024, 26.9% BMW registrations are BEV and PHEV in the UK (Evison, 2025). The application of </w:t>
      </w:r>
      <w:r>
        <w:rPr>
          <w:rFonts w:ascii="Arial" w:cs="Arial" w:hAnsi="Arial"/>
          <w:b/>
          <w:i/>
          <w:color w:val="000000"/>
          <w:sz w:val="24"/>
          <w:lang w:val="en-GB"/>
        </w:rPr>
        <w:t xml:space="preserve">Cultural Relativism </w:t>
      </w:r>
      <w:r>
        <w:rPr>
          <w:rFonts w:ascii="Arial" w:cs="Arial" w:hAnsi="Arial"/>
          <w:color w:val="000000"/>
          <w:sz w:val="24"/>
          <w:lang w:val="en-GB"/>
        </w:rPr>
        <w:t xml:space="preserve">in the context of BMW's ethical marketing practice demonstrates that the practices of BMW are ethical in the UK. </w:t>
      </w:r>
      <w:r>
        <w:rPr>
          <w:rFonts w:ascii="Arial" w:cs="Arial" w:hAnsi="Arial"/>
          <w:color w:val="000000"/>
          <w:sz w:val="24"/>
          <w:lang w:val="en-GB"/>
        </w:rPr>
        <w:t xml:space="preserve">However, BMW faces ethical issues of </w:t>
      </w:r>
      <w:r>
        <w:rPr>
          <w:rFonts w:ascii="Arial" w:cs="Arial" w:hAnsi="Arial"/>
          <w:b/>
          <w:i/>
          <w:color w:val="000000"/>
          <w:sz w:val="24"/>
          <w:lang w:val="en-GB"/>
        </w:rPr>
        <w:t xml:space="preserve">greenwashing </w:t>
      </w:r>
      <w:r>
        <w:rPr>
          <w:rFonts w:ascii="Arial" w:cs="Arial" w:hAnsi="Arial"/>
          <w:color w:val="000000"/>
          <w:sz w:val="24"/>
          <w:lang w:val="en-GB"/>
        </w:rPr>
        <w:t xml:space="preserve">in this region, especially related to environmental impacts. </w:t>
      </w:r>
      <w:r>
        <w:rPr>
          <w:rFonts w:ascii="Arial" w:cs="Arial" w:hAnsi="Arial"/>
          <w:color w:val="000000"/>
          <w:sz w:val="24"/>
          <w:lang w:val="en-GB"/>
        </w:rPr>
        <w:t xml:space="preserve">For instance, the primary ethical </w:t>
      </w:r>
      <w:r>
        <w:rPr>
          <w:rFonts w:ascii="Arial" w:cs="Arial" w:hAnsi="Arial"/>
          <w:color w:val="000000"/>
          <w:sz w:val="24"/>
          <w:lang w:val="en-GB"/>
        </w:rPr>
        <w:t>response</w:t>
      </w:r>
      <w:r>
        <w:rPr>
          <w:rFonts w:ascii="Arial" w:cs="Arial" w:hAnsi="Arial"/>
          <w:color w:val="000000"/>
          <w:sz w:val="24"/>
          <w:lang w:val="en-GB"/>
        </w:rPr>
        <w:t xml:space="preserve"> in the UK involves transparency and literal truth by complying with regulatory bodies like the ASA. </w:t>
      </w:r>
    </w:p>
    <w:p>
      <w:pPr>
        <w:pStyle w:val="style0"/>
        <w:spacing w:lineRule="auto" w:line="360"/>
        <w:jc w:val="both"/>
        <w:rPr>
          <w:rFonts w:ascii="Arial" w:cs="Arial" w:hAnsi="Arial"/>
          <w:b/>
          <w:color w:val="000000"/>
          <w:sz w:val="24"/>
          <w:lang w:val="en-GB"/>
        </w:rPr>
      </w:pPr>
      <w:r>
        <w:rPr>
          <w:rFonts w:ascii="Arial" w:cs="Arial" w:hAnsi="Arial"/>
          <w:b/>
          <w:color w:val="000000"/>
          <w:sz w:val="24"/>
          <w:lang w:val="en-GB"/>
        </w:rPr>
        <w:t>Ansoff’s Growth Matrix</w:t>
      </w:r>
    </w:p>
    <w:p>
      <w:pPr>
        <w:pStyle w:val="style0"/>
        <w:spacing w:lineRule="auto" w:line="360"/>
        <w:jc w:val="center"/>
        <w:rPr>
          <w:rFonts w:ascii="Arial" w:cs="Arial" w:hAnsi="Arial"/>
          <w:b/>
          <w:color w:val="000000"/>
          <w:sz w:val="24"/>
          <w:lang w:val="en-GB"/>
        </w:rPr>
      </w:pPr>
      <w:r>
        <w:rPr>
          <w:rFonts w:ascii="Arial" w:cs="Arial" w:hAnsi="Arial"/>
          <w:b/>
          <w:noProof/>
          <w:color w:val="000000"/>
          <w:sz w:val="24"/>
        </w:rPr>
        <w:drawing>
          <wp:inline distL="0" distT="0" distB="0" distR="0">
            <wp:extent cx="4633383" cy="5377275"/>
            <wp:effectExtent l="38100" t="57150" r="110067" b="90075"/>
            <wp:docPr id="1027" name="Picture 16"/>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6"/>
                    <pic:cNvPicPr/>
                  </pic:nvPicPr>
                  <pic:blipFill>
                    <a:blip r:embed="rId3" cstate="print"/>
                    <a:srcRect l="0" t="0" r="0" b="0"/>
                    <a:stretch/>
                  </pic:blipFill>
                  <pic:spPr>
                    <a:xfrm rot="0">
                      <a:off x="0" y="0"/>
                      <a:ext cx="4633383" cy="537727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Arial" w:cs="Arial" w:hAnsi="Arial"/>
          <w:b/>
          <w:color w:val="000000"/>
          <w:sz w:val="24"/>
          <w:lang w:val="en-GB"/>
        </w:rPr>
      </w:pPr>
      <w:r>
        <w:rPr>
          <w:rFonts w:ascii="Arial" w:cs="Arial" w:hAnsi="Arial"/>
          <w:b/>
          <w:color w:val="000000"/>
          <w:sz w:val="24"/>
          <w:lang w:val="en-GB"/>
        </w:rPr>
        <w:t>Figure 1: Ansoff Matrix of BMW</w:t>
      </w:r>
    </w:p>
    <w:p>
      <w:pPr>
        <w:pStyle w:val="style0"/>
        <w:spacing w:lineRule="auto" w:line="360"/>
        <w:jc w:val="center"/>
        <w:rPr>
          <w:rFonts w:ascii="Arial" w:cs="Arial" w:hAnsi="Arial"/>
          <w:color w:val="000000"/>
          <w:sz w:val="24"/>
          <w:lang w:val="en-GB"/>
        </w:rPr>
      </w:pPr>
      <w:r>
        <w:rPr>
          <w:rFonts w:ascii="Arial" w:cs="Arial" w:hAnsi="Arial"/>
          <w:color w:val="000000"/>
          <w:sz w:val="24"/>
          <w:lang w:val="en-GB"/>
        </w:rPr>
        <w:t xml:space="preserve">(Source: Influenced by Pascucci </w:t>
      </w:r>
      <w:r>
        <w:rPr>
          <w:rFonts w:ascii="Arial" w:cs="Arial" w:hAnsi="Arial"/>
          <w:i/>
          <w:iCs/>
          <w:color w:val="000000"/>
          <w:sz w:val="24"/>
          <w:lang w:val="en-GB"/>
        </w:rPr>
        <w:t xml:space="preserve">et al. </w:t>
      </w:r>
      <w:r>
        <w:rPr>
          <w:rFonts w:ascii="Arial" w:cs="Arial" w:hAnsi="Arial"/>
          <w:color w:val="000000"/>
          <w:sz w:val="24"/>
          <w:lang w:val="en-GB"/>
        </w:rPr>
        <w:t>2023)</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As per this matrix, using the strategy of market penetration comes with the lowest risk for BMW with existing products in the existing markets. The critical evaluation of this business shows that the response of this pioneer company involves incumbency and </w:t>
      </w:r>
      <w:r>
        <w:rPr>
          <w:rFonts w:ascii="Arial" w:cs="Arial" w:hAnsi="Arial"/>
          <w:color w:val="000000"/>
          <w:sz w:val="24"/>
          <w:lang w:val="en-GB"/>
        </w:rPr>
        <w:t>defence</w:t>
      </w:r>
      <w:r>
        <w:rPr>
          <w:rFonts w:ascii="Arial" w:cs="Arial" w:hAnsi="Arial"/>
          <w:color w:val="000000"/>
          <w:sz w:val="24"/>
          <w:lang w:val="en-GB"/>
        </w:rPr>
        <w:t xml:space="preserve"> by leveraging a strong distribution network and brand loyalty (Pascucci </w:t>
      </w:r>
      <w:r>
        <w:rPr>
          <w:rFonts w:ascii="Arial" w:cs="Arial" w:hAnsi="Arial"/>
          <w:i/>
          <w:iCs/>
          <w:color w:val="000000"/>
          <w:sz w:val="24"/>
          <w:lang w:val="en-GB"/>
        </w:rPr>
        <w:t xml:space="preserve">et al. </w:t>
      </w:r>
      <w:r>
        <w:rPr>
          <w:rFonts w:ascii="Arial" w:cs="Arial" w:hAnsi="Arial"/>
          <w:color w:val="000000"/>
          <w:sz w:val="24"/>
          <w:lang w:val="en-GB"/>
        </w:rPr>
        <w:t xml:space="preserve">2023). </w:t>
      </w:r>
      <w:r>
        <w:rPr>
          <w:rFonts w:ascii="Arial" w:cs="Arial" w:hAnsi="Arial"/>
          <w:color w:val="000000"/>
          <w:sz w:val="24"/>
          <w:lang w:val="en-GB"/>
        </w:rPr>
        <w:t xml:space="preserve">In terms of brand awareness, BMW has created a top position in the UK with a strong sales growth of 7 Series (+48%) and XM (+184%) (BMW Group, 2025). </w:t>
      </w:r>
      <w:r>
        <w:rPr>
          <w:rFonts w:ascii="Arial" w:cs="Arial" w:hAnsi="Arial"/>
          <w:color w:val="000000"/>
          <w:sz w:val="24"/>
          <w:lang w:val="en-GB"/>
        </w:rPr>
        <w:t xml:space="preserve">Hence, it </w:t>
      </w:r>
      <w:r>
        <w:rPr>
          <w:rFonts w:ascii="Arial" w:cs="Arial" w:hAnsi="Arial"/>
          <w:color w:val="000000"/>
          <w:sz w:val="24"/>
          <w:lang w:val="en-GB"/>
        </w:rPr>
        <w:t xml:space="preserve">meets the technological opportunity of “leadership in sustainability and premium pricing”. </w:t>
      </w:r>
      <w:r>
        <w:rPr>
          <w:rFonts w:ascii="Arial" w:cs="Arial" w:hAnsi="Arial"/>
          <w:color w:val="000000"/>
          <w:sz w:val="24"/>
          <w:lang w:val="en-GB"/>
        </w:rPr>
        <w:t>It has been suggested that the success of bold and luxury innovation is a key component of marketing strategies in this region. BMW has 160 physical sites involving 120 full dealerships in the UK, providing an exceptional customer experience. Therefore, the marketing strategy of BMW in the UK is successful in capitalising on the growing demand for EVs.</w:t>
      </w:r>
      <w:r>
        <w:rPr>
          <w:rFonts w:ascii="Arial" w:cs="Arial" w:hAnsi="Arial"/>
          <w:color w:val="000000"/>
          <w:sz w:val="24"/>
          <w:lang w:val="en-GB"/>
        </w:rPr>
        <w:t xml:space="preserve"> On the other hand, using product development strategies </w:t>
      </w:r>
      <w:r>
        <w:rPr>
          <w:rFonts w:ascii="Arial" w:cs="Arial" w:hAnsi="Arial"/>
          <w:color w:val="000000"/>
          <w:sz w:val="24"/>
          <w:lang w:val="en-GB"/>
        </w:rPr>
        <w:t>can cause moderate risk for BMW.</w:t>
      </w:r>
      <w:r>
        <w:rPr>
          <w:rFonts w:ascii="Arial" w:cs="Arial" w:hAnsi="Arial"/>
          <w:color w:val="000000"/>
          <w:sz w:val="24"/>
          <w:lang w:val="en-GB"/>
        </w:rPr>
        <w:t xml:space="preserve"> </w:t>
      </w:r>
      <w:r>
        <w:rPr>
          <w:rFonts w:ascii="Arial" w:cs="Arial" w:hAnsi="Arial"/>
          <w:color w:val="000000"/>
          <w:sz w:val="24"/>
          <w:lang w:val="en-GB"/>
        </w:rPr>
        <w:t>The example</w:t>
      </w:r>
      <w:r>
        <w:rPr>
          <w:rFonts w:ascii="Arial" w:cs="Arial" w:hAnsi="Arial"/>
          <w:color w:val="000000"/>
          <w:sz w:val="24"/>
          <w:lang w:val="en-GB"/>
        </w:rPr>
        <w:t xml:space="preserve"> </w:t>
      </w:r>
      <w:r>
        <w:rPr>
          <w:rFonts w:ascii="Arial" w:cs="Arial" w:hAnsi="Arial"/>
          <w:color w:val="000000"/>
          <w:sz w:val="24"/>
          <w:lang w:val="en-GB"/>
        </w:rPr>
        <w:t>of the Neue Klasse platform has</w:t>
      </w:r>
      <w:r>
        <w:rPr>
          <w:rFonts w:ascii="Arial" w:cs="Arial" w:hAnsi="Arial"/>
          <w:color w:val="000000"/>
          <w:sz w:val="24"/>
          <w:lang w:val="en-GB"/>
        </w:rPr>
        <w:t xml:space="preserve"> shown</w:t>
      </w:r>
      <w:r>
        <w:rPr>
          <w:rFonts w:ascii="Arial" w:cs="Arial" w:hAnsi="Arial"/>
          <w:color w:val="000000"/>
          <w:sz w:val="24"/>
          <w:lang w:val="en-GB"/>
        </w:rPr>
        <w:t xml:space="preserve"> as response to the environmental threat of “high transition cost”</w:t>
      </w:r>
      <w:r>
        <w:rPr>
          <w:rFonts w:ascii="Arial" w:cs="Arial" w:hAnsi="Arial"/>
          <w:color w:val="000000"/>
          <w:sz w:val="24"/>
          <w:lang w:val="en-GB"/>
        </w:rPr>
        <w:t>.</w:t>
      </w:r>
      <w:r>
        <w:rPr>
          <w:rFonts w:ascii="Arial" w:cs="Arial" w:hAnsi="Arial"/>
          <w:color w:val="000000"/>
          <w:sz w:val="24"/>
          <w:lang w:val="en-GB"/>
        </w:rPr>
        <w:t xml:space="preserve"> The</w:t>
      </w:r>
      <w:r>
        <w:rPr>
          <w:rFonts w:ascii="Arial" w:cs="Arial" w:hAnsi="Arial"/>
          <w:color w:val="000000"/>
          <w:sz w:val="24"/>
          <w:lang w:val="en-GB"/>
        </w:rPr>
        <w:t xml:space="preserve"> response </w:t>
      </w:r>
      <w:r>
        <w:rPr>
          <w:rFonts w:ascii="Arial" w:cs="Arial" w:hAnsi="Arial"/>
          <w:color w:val="000000"/>
          <w:sz w:val="24"/>
          <w:lang w:val="en-GB"/>
        </w:rPr>
        <w:t>of</w:t>
      </w:r>
      <w:r>
        <w:rPr>
          <w:rFonts w:ascii="Arial" w:cs="Arial" w:hAnsi="Arial"/>
          <w:color w:val="000000"/>
          <w:sz w:val="24"/>
          <w:lang w:val="en-GB"/>
        </w:rPr>
        <w:t xml:space="preserve"> innovation-as-defence strategy through the development of the 6th-gen EV platform and battery technology </w:t>
      </w:r>
      <w:r>
        <w:rPr>
          <w:rFonts w:ascii="Arial" w:cs="Arial" w:hAnsi="Arial"/>
          <w:color w:val="000000"/>
          <w:sz w:val="24"/>
          <w:lang w:val="en-GB"/>
        </w:rPr>
        <w:t xml:space="preserve">meets the technological opportunity of “high control of high-end R&amp;D” </w:t>
      </w:r>
      <w:r>
        <w:rPr>
          <w:rFonts w:ascii="Arial" w:cs="Arial" w:hAnsi="Arial"/>
          <w:color w:val="000000"/>
          <w:sz w:val="24"/>
          <w:lang w:val="en-GB"/>
        </w:rPr>
        <w:t>(Chakravarty, 2025)</w:t>
      </w:r>
      <w:r>
        <w:rPr>
          <w:rFonts w:ascii="Arial" w:cs="Arial" w:hAnsi="Arial"/>
          <w:color w:val="000000"/>
          <w:sz w:val="24"/>
          <w:lang w:val="en-GB"/>
        </w:rPr>
        <w:t>.</w:t>
      </w:r>
    </w:p>
    <w:p>
      <w:pPr>
        <w:pStyle w:val="style0"/>
        <w:spacing w:lineRule="auto" w:line="360"/>
        <w:jc w:val="both"/>
        <w:rPr>
          <w:rFonts w:ascii="Arial" w:cs="Arial" w:hAnsi="Arial"/>
          <w:b/>
          <w:color w:val="000000"/>
          <w:sz w:val="24"/>
          <w:lang w:val="en-GB"/>
        </w:rPr>
      </w:pPr>
      <w:r>
        <w:rPr>
          <w:rFonts w:ascii="Arial" w:cs="Arial" w:hAnsi="Arial"/>
          <w:b/>
          <w:color w:val="000000"/>
          <w:sz w:val="24"/>
          <w:lang w:val="en-GB"/>
        </w:rPr>
        <w:t xml:space="preserve">Porter’s Generic Matrix </w:t>
      </w:r>
    </w:p>
    <w:p>
      <w:pPr>
        <w:pStyle w:val="style0"/>
        <w:spacing w:lineRule="auto" w:line="360"/>
        <w:jc w:val="center"/>
        <w:rPr>
          <w:rFonts w:ascii="Arial" w:cs="Arial" w:hAnsi="Arial"/>
          <w:b/>
          <w:color w:val="000000"/>
          <w:sz w:val="24"/>
          <w:lang w:val="en-GB"/>
        </w:rPr>
      </w:pPr>
      <w:r>
        <w:rPr>
          <w:rFonts w:ascii="Arial" w:cs="Arial" w:hAnsi="Arial"/>
          <w:b/>
          <w:noProof/>
          <w:color w:val="000000"/>
          <w:sz w:val="24"/>
        </w:rPr>
        <w:drawing>
          <wp:inline distL="0" distT="0" distB="0" distR="0">
            <wp:extent cx="4311485" cy="5548280"/>
            <wp:effectExtent l="38100" t="57150" r="108115" b="90520"/>
            <wp:docPr id="1028"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4" cstate="print"/>
                    <a:srcRect l="0" t="0" r="0" b="0"/>
                    <a:stretch/>
                  </pic:blipFill>
                  <pic:spPr>
                    <a:xfrm rot="0">
                      <a:off x="0" y="0"/>
                      <a:ext cx="4311485" cy="554828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Arial" w:cs="Arial" w:hAnsi="Arial"/>
          <w:b/>
          <w:color w:val="000000"/>
          <w:sz w:val="24"/>
          <w:lang w:val="en-GB"/>
        </w:rPr>
      </w:pPr>
      <w:r>
        <w:rPr>
          <w:rFonts w:ascii="Arial" w:cs="Arial" w:hAnsi="Arial"/>
          <w:b/>
          <w:color w:val="000000"/>
          <w:sz w:val="24"/>
          <w:lang w:val="en-GB"/>
        </w:rPr>
        <w:t>Figure 2: Porter’s Generic Matrix for BMW</w:t>
      </w:r>
    </w:p>
    <w:p>
      <w:pPr>
        <w:pStyle w:val="style0"/>
        <w:spacing w:lineRule="auto" w:line="360"/>
        <w:jc w:val="center"/>
        <w:rPr>
          <w:rFonts w:ascii="Arial" w:cs="Arial" w:hAnsi="Arial"/>
          <w:color w:val="000000"/>
          <w:sz w:val="24"/>
          <w:lang w:val="en-GB"/>
        </w:rPr>
      </w:pPr>
      <w:r>
        <w:rPr>
          <w:rFonts w:ascii="Arial" w:cs="Arial" w:hAnsi="Arial"/>
          <w:color w:val="000000"/>
          <w:sz w:val="24"/>
          <w:lang w:val="en-GB"/>
        </w:rPr>
        <w:t>(Source: Influenced by Ali and Anwar, 2021)</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As per Porter's Matrix, differentiation is the primary strategy of BMW to create products and services that are industry-wide perceived. The introduction of the "Ultimate Driving Machine" can be seen as a pioneering response to </w:t>
      </w:r>
      <w:r>
        <w:rPr>
          <w:rFonts w:ascii="Arial" w:cs="Arial" w:hAnsi="Arial"/>
          <w:color w:val="000000"/>
          <w:sz w:val="24"/>
          <w:lang w:val="en-GB"/>
        </w:rPr>
        <w:t>to the opportunity of “high-end R&amp;D”</w:t>
      </w:r>
      <w:r>
        <w:rPr>
          <w:rFonts w:ascii="Arial" w:cs="Arial" w:hAnsi="Arial"/>
          <w:color w:val="000000"/>
          <w:sz w:val="24"/>
          <w:lang w:val="en-GB"/>
        </w:rPr>
        <w:t xml:space="preserve"> (Ali and Anwar, 2021). However, it imposes the challenge of digital differentiation as Tesla, a prominent rival company, has superior software. Besides, cost leadership is a supporting strategy of BMW to </w:t>
      </w:r>
      <w:r>
        <w:rPr>
          <w:rFonts w:ascii="Arial" w:cs="Arial" w:hAnsi="Arial"/>
          <w:color w:val="000000"/>
          <w:sz w:val="24"/>
          <w:lang w:val="en-GB"/>
        </w:rPr>
        <w:t>mitigate the technologial threat of “high transition cost”</w:t>
      </w:r>
      <w:r>
        <w:rPr>
          <w:rFonts w:ascii="Arial" w:cs="Arial" w:hAnsi="Arial"/>
          <w:color w:val="000000"/>
          <w:sz w:val="24"/>
          <w:lang w:val="en-GB"/>
        </w:rPr>
        <w:t xml:space="preserve">. It </w:t>
      </w:r>
      <w:r>
        <w:rPr>
          <w:rFonts w:ascii="Arial" w:cs="Arial" w:hAnsi="Arial"/>
          <w:color w:val="000000"/>
          <w:sz w:val="24"/>
          <w:lang w:val="en-GB"/>
        </w:rPr>
        <w:t xml:space="preserve">imposes the challenge of economies of scale for which BMW has applied the iFACTORY modularity and production system (BMW Group, 2022). This response can be regarded as a </w:t>
      </w:r>
      <w:r>
        <w:rPr>
          <w:rFonts w:ascii="Arial" w:cs="Arial" w:hAnsi="Arial"/>
          <w:color w:val="000000"/>
          <w:sz w:val="24"/>
          <w:lang w:val="en-GB"/>
        </w:rPr>
        <w:t>defence</w:t>
      </w:r>
      <w:r>
        <w:rPr>
          <w:rFonts w:ascii="Arial" w:cs="Arial" w:hAnsi="Arial"/>
          <w:color w:val="000000"/>
          <w:sz w:val="24"/>
          <w:lang w:val="en-GB"/>
        </w:rPr>
        <w:t xml:space="preserve"> against the </w:t>
      </w:r>
      <w:r>
        <w:rPr>
          <w:rFonts w:ascii="Arial" w:cs="Arial" w:hAnsi="Arial"/>
          <w:color w:val="000000"/>
          <w:sz w:val="24"/>
          <w:lang w:val="en-GB"/>
        </w:rPr>
        <w:t>environmental opportunity of “leadership in sustainability and premium pricing”</w:t>
      </w:r>
      <w:r>
        <w:rPr>
          <w:rFonts w:ascii="Arial" w:cs="Arial" w:hAnsi="Arial"/>
          <w:color w:val="000000"/>
          <w:sz w:val="24"/>
          <w:lang w:val="en-GB"/>
        </w:rPr>
        <w:t>. Therefore, BMW is currently focusing on promoting its high-end niches, such as M and 7/8 Series, to overcome this challenge during the uncertain EV transition. These segments are less price sensitive, providing the brand with an 8-10% EBIT margin (BMW Group, 2025).</w:t>
      </w:r>
    </w:p>
    <w:bookmarkStart w:id="14" w:name="_Toc213701473"/>
    <w:bookmarkStart w:id="15" w:name="_Toc214445470"/>
    <w:p>
      <w:pPr>
        <w:pStyle w:val="style2"/>
        <w:rPr>
          <w:color w:val="000000"/>
          <w:lang w:val="en-GB"/>
        </w:rPr>
      </w:pPr>
      <w:r>
        <w:rPr>
          <w:color w:val="000000"/>
          <w:lang w:val="en-GB"/>
        </w:rPr>
        <w:t>3.2 Follower organisation’s strategic responses</w:t>
      </w:r>
      <w:bookmarkEnd w:id="14"/>
      <w:bookmarkEnd w:id="15"/>
    </w:p>
    <w:p>
      <w:pPr>
        <w:pStyle w:val="style0"/>
        <w:spacing w:lineRule="auto" w:line="360"/>
        <w:jc w:val="both"/>
        <w:rPr>
          <w:rFonts w:ascii="Arial" w:cs="Arial" w:hAnsi="Arial"/>
          <w:b/>
          <w:bCs/>
          <w:color w:val="000000"/>
          <w:sz w:val="24"/>
          <w:szCs w:val="24"/>
          <w:lang w:val="en-GB"/>
        </w:rPr>
      </w:pPr>
      <w:r>
        <w:rPr>
          <w:rFonts w:ascii="Arial" w:cs="Arial" w:hAnsi="Arial"/>
          <w:b/>
          <w:bCs/>
          <w:color w:val="000000"/>
          <w:sz w:val="24"/>
          <w:szCs w:val="24"/>
          <w:lang w:val="en-GB"/>
        </w:rPr>
        <w:t>VinFast adopts its strategies to sustain competitiveness</w:t>
      </w:r>
    </w:p>
    <w:p>
      <w:pPr>
        <w:pStyle w:val="style0"/>
        <w:spacing w:lineRule="auto" w:line="360"/>
        <w:jc w:val="both"/>
        <w:rPr>
          <w:rFonts w:ascii="Arial" w:cs="Arial" w:hAnsi="Arial"/>
          <w:bCs/>
          <w:color w:val="000000"/>
          <w:sz w:val="24"/>
          <w:szCs w:val="24"/>
          <w:lang w:val="en-GB"/>
        </w:rPr>
      </w:pPr>
      <w:r>
        <w:rPr>
          <w:rFonts w:ascii="Arial" w:cs="Arial" w:hAnsi="Arial"/>
          <w:b/>
          <w:bCs/>
          <w:color w:val="000000"/>
          <w:sz w:val="24"/>
          <w:szCs w:val="24"/>
          <w:lang w:val="en-GB"/>
        </w:rPr>
        <w:t xml:space="preserve">Response to </w:t>
      </w:r>
      <w:r>
        <w:rPr>
          <w:rFonts w:ascii="Arial" w:cs="Arial" w:hAnsi="Arial"/>
          <w:b/>
          <w:bCs/>
          <w:color w:val="000000"/>
          <w:sz w:val="24"/>
          <w:szCs w:val="24"/>
          <w:lang w:val="en-GB"/>
        </w:rPr>
        <w:t>opportunities</w:t>
      </w:r>
      <w:r>
        <w:rPr>
          <w:rFonts w:ascii="Arial" w:cs="Arial" w:hAnsi="Arial"/>
          <w:b/>
          <w:bCs/>
          <w:color w:val="000000"/>
          <w:sz w:val="24"/>
          <w:szCs w:val="24"/>
          <w:lang w:val="en-GB"/>
        </w:rPr>
        <w:t>:</w:t>
      </w:r>
      <w:r>
        <w:rPr>
          <w:rFonts w:ascii="Arial" w:cs="Arial" w:hAnsi="Arial"/>
          <w:b/>
          <w:bCs/>
          <w:color w:val="000000"/>
          <w:sz w:val="24"/>
          <w:szCs w:val="24"/>
          <w:lang w:val="en-GB"/>
        </w:rPr>
        <w:t xml:space="preserve"> </w:t>
      </w:r>
      <w:r>
        <w:rPr>
          <w:rFonts w:ascii="Arial" w:cs="Arial" w:hAnsi="Arial"/>
          <w:bCs/>
          <w:color w:val="000000"/>
          <w:sz w:val="24"/>
          <w:szCs w:val="24"/>
          <w:lang w:val="en-GB"/>
        </w:rPr>
        <w:t>VinFast's response to its technological opportunity, “clean-sheet design,” is embedded within its EV-optimised interiors using modern digital technologies</w:t>
      </w:r>
      <w:r>
        <w:rPr>
          <w:rFonts w:ascii="Arial" w:cs="Arial" w:hAnsi="Arial"/>
          <w:bCs/>
          <w:color w:val="000000"/>
          <w:sz w:val="24"/>
          <w:szCs w:val="24"/>
          <w:lang w:val="en-GB"/>
        </w:rPr>
        <w:t>, such as AI and automation</w:t>
      </w:r>
      <w:r>
        <w:rPr>
          <w:rFonts w:ascii="Arial" w:cs="Arial" w:hAnsi="Arial"/>
          <w:bCs/>
          <w:color w:val="000000"/>
          <w:sz w:val="24"/>
          <w:szCs w:val="24"/>
          <w:lang w:val="en-GB"/>
        </w:rPr>
        <w:t>. The environmental opportunity of “brand definition” is responded to by the utilisation of smart technology</w:t>
      </w:r>
      <w:r>
        <w:rPr>
          <w:rFonts w:ascii="Arial" w:cs="Arial" w:hAnsi="Arial"/>
          <w:bCs/>
          <w:color w:val="000000"/>
          <w:sz w:val="24"/>
          <w:szCs w:val="24"/>
          <w:lang w:val="en-GB"/>
        </w:rPr>
        <w:t>, like AI</w:t>
      </w:r>
      <w:r>
        <w:rPr>
          <w:rFonts w:ascii="Arial" w:cs="Arial" w:hAnsi="Arial"/>
          <w:bCs/>
          <w:color w:val="000000"/>
          <w:sz w:val="24"/>
          <w:szCs w:val="24"/>
          <w:lang w:val="en-GB"/>
        </w:rPr>
        <w:t xml:space="preserve"> with a 125,000-mile warranty (</w:t>
      </w:r>
      <w:r>
        <w:rPr>
          <w:rFonts w:ascii="Arial" w:cs="Arial" w:hAnsi="Arial"/>
          <w:bCs/>
          <w:color w:val="000000"/>
          <w:sz w:val="24"/>
          <w:szCs w:val="24"/>
          <w:lang w:val="en-GB"/>
        </w:rPr>
        <w:t>Nguyen, 2025</w:t>
      </w:r>
      <w:r>
        <w:rPr>
          <w:rFonts w:ascii="Arial" w:cs="Arial" w:hAnsi="Arial"/>
          <w:bCs/>
          <w:color w:val="000000"/>
          <w:sz w:val="24"/>
          <w:szCs w:val="24"/>
          <w:lang w:val="en-GB"/>
        </w:rPr>
        <w:t>).</w:t>
      </w:r>
    </w:p>
    <w:p>
      <w:pPr>
        <w:pStyle w:val="style0"/>
        <w:spacing w:lineRule="auto" w:line="360"/>
        <w:jc w:val="both"/>
        <w:rPr>
          <w:rFonts w:ascii="Arial" w:cs="Arial" w:hAnsi="Arial"/>
          <w:b/>
          <w:bCs/>
          <w:color w:val="000000"/>
          <w:sz w:val="24"/>
          <w:szCs w:val="24"/>
          <w:lang w:val="en-GB"/>
        </w:rPr>
      </w:pPr>
      <w:r>
        <w:rPr>
          <w:rFonts w:ascii="Arial" w:cs="Arial" w:hAnsi="Arial"/>
          <w:b/>
          <w:bCs/>
          <w:color w:val="000000"/>
          <w:sz w:val="24"/>
          <w:szCs w:val="24"/>
          <w:lang w:val="en-GB"/>
        </w:rPr>
        <w:t xml:space="preserve">Response to threats: </w:t>
      </w:r>
      <w:r>
        <w:rPr>
          <w:rFonts w:ascii="Arial" w:cs="Arial" w:hAnsi="Arial"/>
          <w:bCs/>
          <w:color w:val="000000"/>
          <w:sz w:val="24"/>
          <w:szCs w:val="24"/>
          <w:lang w:val="en-GB"/>
        </w:rPr>
        <w:t>VinFast has responded to the technological threat of “quality concerns” with the implementation of Kaizen and process improvement to address manufacturing inconsistencies. Besides, the environmental threat of “supply chain dependency” is addressed with vertical integration with the usage of in-house battery technology</w:t>
      </w:r>
      <w:r>
        <w:rPr>
          <w:rFonts w:ascii="Arial" w:cs="Arial" w:hAnsi="Arial"/>
          <w:bCs/>
          <w:color w:val="000000"/>
          <w:sz w:val="24"/>
          <w:szCs w:val="24"/>
          <w:lang w:val="en-GB"/>
        </w:rPr>
        <w:t xml:space="preserve"> to increase resource availability</w:t>
      </w:r>
      <w:r>
        <w:rPr>
          <w:rFonts w:ascii="Arial" w:cs="Arial" w:hAnsi="Arial"/>
          <w:bCs/>
          <w:color w:val="000000"/>
          <w:sz w:val="24"/>
          <w:szCs w:val="24"/>
          <w:lang w:val="en-GB"/>
        </w:rPr>
        <w:t>.</w:t>
      </w:r>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 xml:space="preserve">VinFast is a relatively new competitor in the fiercely competitive international EV market that must employ a high-risk and aggressive strategy. The right implementation of such strategies can help the company establish a strong position against its existing competitors, like BMW (Gini and Agala, 2023). VinFast has set a speedy and vertical integration so that competitive advantages can be gained. The company promotes a unique customer policy, including an original battery leasing model and warranty. The introduction of the </w:t>
      </w:r>
      <w:r>
        <w:rPr>
          <w:rFonts w:ascii="Arial" w:cs="Arial" w:hAnsi="Arial"/>
          <w:b/>
          <w:bCs/>
          <w:i/>
          <w:iCs/>
          <w:color w:val="000000"/>
          <w:sz w:val="24"/>
          <w:szCs w:val="24"/>
          <w:lang w:val="en-GB"/>
        </w:rPr>
        <w:t xml:space="preserve">Vingroup tech ecosystem </w:t>
      </w:r>
      <w:r>
        <w:rPr>
          <w:rFonts w:ascii="Arial" w:cs="Arial" w:hAnsi="Arial"/>
          <w:color w:val="000000"/>
          <w:sz w:val="24"/>
          <w:szCs w:val="24"/>
          <w:lang w:val="en-GB"/>
        </w:rPr>
        <w:t xml:space="preserve">is considered crucial for its differentiation tactics to attract EV buyers purchasing such products for the first time (Neolaka </w:t>
      </w:r>
      <w:r>
        <w:rPr>
          <w:rFonts w:ascii="Arial" w:cs="Arial" w:hAnsi="Arial"/>
          <w:i/>
          <w:iCs/>
          <w:color w:val="000000"/>
          <w:sz w:val="24"/>
          <w:szCs w:val="24"/>
          <w:lang w:val="en-GB"/>
        </w:rPr>
        <w:t xml:space="preserve">et al. </w:t>
      </w:r>
      <w:r>
        <w:rPr>
          <w:rFonts w:ascii="Arial" w:cs="Arial" w:hAnsi="Arial"/>
          <w:color w:val="000000"/>
          <w:sz w:val="24"/>
          <w:szCs w:val="24"/>
          <w:lang w:val="en-GB"/>
        </w:rPr>
        <w:t xml:space="preserve">2023). As per the reports of October 2025, VinFast has delivered over 20,000 EVs, with its VF 3 being the top seller (Nguyen, 2025). Besides, the company holds 26.7% of the </w:t>
      </w:r>
      <w:r>
        <w:rPr>
          <w:rFonts w:ascii="Arial" w:cs="Arial" w:hAnsi="Arial"/>
          <w:color w:val="000000"/>
          <w:sz w:val="24"/>
          <w:szCs w:val="24"/>
          <w:lang w:val="en-GB"/>
        </w:rPr>
        <w:t xml:space="preserve">market share in the passenger car market of Vietnam, showing the effectiveness of its strategies to acquire competitive benefits. </w:t>
      </w:r>
    </w:p>
    <w:p>
      <w:pPr>
        <w:pStyle w:val="style0"/>
        <w:spacing w:lineRule="auto" w:line="360"/>
        <w:jc w:val="both"/>
        <w:rPr>
          <w:rFonts w:ascii="Arial" w:cs="Arial" w:hAnsi="Arial"/>
          <w:b/>
          <w:bCs/>
          <w:color w:val="000000"/>
          <w:sz w:val="24"/>
          <w:szCs w:val="24"/>
          <w:lang w:val="en-GB"/>
        </w:rPr>
      </w:pPr>
      <w:r>
        <w:rPr>
          <w:rFonts w:ascii="Arial" w:cs="Arial" w:hAnsi="Arial"/>
          <w:b/>
          <w:bCs/>
          <w:color w:val="000000"/>
          <w:sz w:val="24"/>
          <w:szCs w:val="24"/>
          <w:lang w:val="en-GB"/>
        </w:rPr>
        <w:t xml:space="preserve">Ansoff's Growth Matrix </w:t>
      </w:r>
    </w:p>
    <w:p>
      <w:pPr>
        <w:pStyle w:val="style0"/>
        <w:spacing w:lineRule="auto" w:line="360"/>
        <w:jc w:val="center"/>
        <w:rPr>
          <w:rFonts w:ascii="Arial" w:cs="Arial" w:hAnsi="Arial"/>
          <w:b/>
          <w:bCs/>
          <w:color w:val="000000"/>
          <w:sz w:val="24"/>
          <w:szCs w:val="24"/>
          <w:lang w:val="en-GB"/>
        </w:rPr>
      </w:pPr>
      <w:r>
        <w:rPr>
          <w:rFonts w:ascii="Arial" w:cs="Arial" w:hAnsi="Arial"/>
          <w:b/>
          <w:bCs/>
          <w:noProof/>
          <w:color w:val="000000"/>
          <w:sz w:val="24"/>
          <w:szCs w:val="24"/>
        </w:rPr>
        <w:drawing>
          <wp:inline distL="0" distT="0" distB="0" distR="0">
            <wp:extent cx="4707467" cy="5483794"/>
            <wp:effectExtent l="38100" t="57150" r="112183" b="97856"/>
            <wp:docPr id="1029" name="Picture 1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3"/>
                    <pic:cNvPicPr/>
                  </pic:nvPicPr>
                  <pic:blipFill>
                    <a:blip r:embed="rId5" cstate="print"/>
                    <a:srcRect l="0" t="0" r="0" b="0"/>
                    <a:stretch/>
                  </pic:blipFill>
                  <pic:spPr>
                    <a:xfrm rot="0">
                      <a:off x="0" y="0"/>
                      <a:ext cx="4707467" cy="5483794"/>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Arial" w:cs="Arial" w:hAnsi="Arial"/>
          <w:b/>
          <w:bCs/>
          <w:color w:val="000000"/>
          <w:sz w:val="24"/>
          <w:szCs w:val="24"/>
          <w:lang w:val="en-GB"/>
        </w:rPr>
      </w:pPr>
      <w:r>
        <w:rPr>
          <w:rFonts w:ascii="Arial" w:cs="Arial" w:hAnsi="Arial"/>
          <w:b/>
          <w:bCs/>
          <w:color w:val="000000"/>
          <w:sz w:val="24"/>
          <w:szCs w:val="24"/>
          <w:lang w:val="en-GB"/>
        </w:rPr>
        <w:t xml:space="preserve">Figure 3: Ansoff Matrix for VinFast </w:t>
      </w:r>
    </w:p>
    <w:p>
      <w:pPr>
        <w:pStyle w:val="style0"/>
        <w:spacing w:lineRule="auto" w:line="360"/>
        <w:jc w:val="center"/>
        <w:rPr>
          <w:rFonts w:ascii="Arial" w:cs="Arial" w:hAnsi="Arial"/>
          <w:bCs/>
          <w:color w:val="000000"/>
          <w:sz w:val="24"/>
          <w:szCs w:val="24"/>
          <w:lang w:val="en-GB"/>
        </w:rPr>
      </w:pPr>
      <w:r>
        <w:rPr>
          <w:rFonts w:ascii="Arial" w:cs="Arial" w:hAnsi="Arial"/>
          <w:bCs/>
          <w:color w:val="000000"/>
          <w:sz w:val="24"/>
          <w:szCs w:val="24"/>
          <w:lang w:val="en-GB"/>
        </w:rPr>
        <w:t xml:space="preserve">(Source: Influenced by </w:t>
      </w:r>
      <w:r>
        <w:rPr>
          <w:rFonts w:ascii="Arial" w:cs="Arial" w:hAnsi="Arial"/>
          <w:color w:val="000000"/>
          <w:sz w:val="24"/>
          <w:szCs w:val="24"/>
          <w:lang w:val="en-GB"/>
        </w:rPr>
        <w:t>Kuc and Borkowski, 2021)</w:t>
      </w:r>
    </w:p>
    <w:p>
      <w:pPr>
        <w:pStyle w:val="style0"/>
        <w:spacing w:lineRule="auto" w:line="360"/>
        <w:jc w:val="both"/>
        <w:rPr>
          <w:rFonts w:ascii="Arial" w:cs="Arial" w:hAnsi="Arial"/>
          <w:color w:val="000000"/>
          <w:sz w:val="24"/>
          <w:szCs w:val="24"/>
          <w:lang w:val="en-GB"/>
        </w:rPr>
      </w:pPr>
      <w:r>
        <w:rPr>
          <w:rFonts w:ascii="Arial" w:cs="Arial" w:hAnsi="Arial"/>
          <w:color w:val="000000"/>
          <w:sz w:val="24"/>
          <w:szCs w:val="24"/>
          <w:lang w:val="en-GB"/>
        </w:rPr>
        <w:t xml:space="preserve">As per the Ansoff Matrix, market development is the primary strategy of VinFast to grow its existing product line (EV SUVs) into new markets (Kuc and Borkowski, 2021). This </w:t>
      </w:r>
      <w:r>
        <w:rPr>
          <w:rFonts w:ascii="Arial" w:cs="Arial" w:hAnsi="Arial"/>
          <w:color w:val="000000"/>
          <w:sz w:val="24"/>
          <w:szCs w:val="24"/>
          <w:lang w:val="en-GB"/>
        </w:rPr>
        <w:t xml:space="preserve">dominant strategy is highly supported </w:t>
      </w:r>
      <w:r>
        <w:rPr>
          <w:rFonts w:ascii="Arial" w:cs="Arial" w:hAnsi="Arial"/>
          <w:color w:val="000000"/>
          <w:sz w:val="24"/>
          <w:szCs w:val="24"/>
          <w:lang w:val="en-GB"/>
        </w:rPr>
        <w:t>by its environmental opportunity of “brand definition”</w:t>
      </w:r>
      <w:r>
        <w:rPr>
          <w:rFonts w:ascii="Arial" w:cs="Arial" w:hAnsi="Arial"/>
          <w:color w:val="000000"/>
          <w:sz w:val="24"/>
          <w:szCs w:val="24"/>
          <w:lang w:val="en-GB"/>
        </w:rPr>
        <w:t xml:space="preserve">. For instance, the key action of VinFast in terms of market development involves aggressive global expansion. The brand has already tapped into developed markets, such as Germany, the US, Canada, and France. North Carolina is the major manufacturing plant of VinFast to enter high-growth emerging markets, like India (Banka </w:t>
      </w:r>
      <w:r>
        <w:rPr>
          <w:rFonts w:ascii="Arial" w:cs="Arial" w:hAnsi="Arial"/>
          <w:i/>
          <w:iCs/>
          <w:color w:val="000000"/>
          <w:sz w:val="24"/>
          <w:szCs w:val="24"/>
          <w:lang w:val="en-GB"/>
        </w:rPr>
        <w:t xml:space="preserve">et al. </w:t>
      </w:r>
      <w:r>
        <w:rPr>
          <w:rFonts w:ascii="Arial" w:cs="Arial" w:hAnsi="Arial"/>
          <w:color w:val="000000"/>
          <w:sz w:val="24"/>
          <w:szCs w:val="24"/>
          <w:lang w:val="en-GB"/>
        </w:rPr>
        <w:t>2022). It shows the core strategy of high-risk and high-reward as the company carried</w:t>
      </w:r>
      <w:r>
        <w:rPr>
          <w:rFonts w:ascii="Arial" w:cs="Arial" w:hAnsi="Arial"/>
          <w:color w:val="000000"/>
          <w:sz w:val="24"/>
          <w:szCs w:val="24"/>
          <w:lang w:val="en-GB"/>
        </w:rPr>
        <w:t xml:space="preserve"> the technological threat of</w:t>
      </w:r>
      <w:r>
        <w:rPr>
          <w:rFonts w:ascii="Arial" w:cs="Arial" w:hAnsi="Arial"/>
          <w:color w:val="000000"/>
          <w:sz w:val="24"/>
          <w:szCs w:val="24"/>
          <w:lang w:val="en-GB"/>
        </w:rPr>
        <w:t xml:space="preserve"> quality issues. </w:t>
      </w:r>
    </w:p>
    <w:p>
      <w:pPr>
        <w:pStyle w:val="style0"/>
        <w:spacing w:lineRule="auto" w:line="360"/>
        <w:jc w:val="both"/>
        <w:rPr>
          <w:rFonts w:ascii="Arial" w:cs="Arial" w:hAnsi="Arial"/>
          <w:b/>
          <w:bCs/>
          <w:color w:val="000000"/>
          <w:sz w:val="24"/>
          <w:szCs w:val="24"/>
          <w:lang w:val="en-GB"/>
        </w:rPr>
      </w:pPr>
      <w:r>
        <w:rPr>
          <w:rFonts w:ascii="Arial" w:cs="Arial" w:hAnsi="Arial"/>
          <w:b/>
          <w:bCs/>
          <w:color w:val="000000"/>
          <w:sz w:val="24"/>
          <w:szCs w:val="24"/>
          <w:lang w:val="en-GB"/>
        </w:rPr>
        <w:t xml:space="preserve">Porter’s Generic Strategy </w:t>
      </w:r>
    </w:p>
    <w:p>
      <w:pPr>
        <w:pStyle w:val="style0"/>
        <w:spacing w:lineRule="auto" w:line="360"/>
        <w:jc w:val="center"/>
        <w:rPr>
          <w:rFonts w:ascii="Arial" w:cs="Arial" w:hAnsi="Arial"/>
          <w:b/>
          <w:bCs/>
          <w:color w:val="000000"/>
          <w:sz w:val="24"/>
          <w:szCs w:val="24"/>
          <w:lang w:val="en-GB"/>
        </w:rPr>
      </w:pPr>
      <w:r>
        <w:rPr>
          <w:rFonts w:ascii="Arial" w:cs="Arial" w:hAnsi="Arial"/>
          <w:b/>
          <w:bCs/>
          <w:noProof/>
          <w:color w:val="000000"/>
          <w:sz w:val="24"/>
          <w:szCs w:val="24"/>
        </w:rPr>
        <w:drawing>
          <wp:inline distL="0" distT="0" distB="0" distR="0">
            <wp:extent cx="4157345" cy="5225637"/>
            <wp:effectExtent l="38100" t="57150" r="109855" b="89313"/>
            <wp:docPr id="1030" name="Picture 10"/>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0"/>
                    <pic:cNvPicPr/>
                  </pic:nvPicPr>
                  <pic:blipFill>
                    <a:blip r:embed="rId6" cstate="print"/>
                    <a:srcRect l="0" t="0" r="0" b="0"/>
                    <a:stretch/>
                  </pic:blipFill>
                  <pic:spPr>
                    <a:xfrm rot="0">
                      <a:off x="0" y="0"/>
                      <a:ext cx="4157345" cy="5225637"/>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pPr>
        <w:pStyle w:val="style0"/>
        <w:spacing w:lineRule="auto" w:line="360"/>
        <w:jc w:val="center"/>
        <w:rPr>
          <w:rFonts w:ascii="Arial" w:cs="Arial" w:hAnsi="Arial"/>
          <w:b/>
          <w:bCs/>
          <w:color w:val="000000"/>
          <w:sz w:val="24"/>
          <w:szCs w:val="24"/>
          <w:lang w:val="en-GB"/>
        </w:rPr>
      </w:pPr>
      <w:r>
        <w:rPr>
          <w:rFonts w:ascii="Arial" w:cs="Arial" w:hAnsi="Arial"/>
          <w:b/>
          <w:bCs/>
          <w:color w:val="000000"/>
          <w:sz w:val="24"/>
          <w:szCs w:val="24"/>
          <w:lang w:val="en-GB"/>
        </w:rPr>
        <w:t>Figure 4: Porter’s Generic Strategy of VinFast</w:t>
      </w:r>
    </w:p>
    <w:p>
      <w:pPr>
        <w:pStyle w:val="style0"/>
        <w:spacing w:lineRule="auto" w:line="360"/>
        <w:jc w:val="center"/>
        <w:rPr>
          <w:rFonts w:ascii="Arial" w:cs="Arial" w:hAnsi="Arial"/>
          <w:bCs/>
          <w:color w:val="000000"/>
          <w:sz w:val="24"/>
          <w:szCs w:val="24"/>
          <w:lang w:val="en-GB"/>
        </w:rPr>
      </w:pPr>
      <w:r>
        <w:rPr>
          <w:rFonts w:ascii="Arial" w:cs="Arial" w:hAnsi="Arial"/>
          <w:bCs/>
          <w:color w:val="000000"/>
          <w:sz w:val="24"/>
          <w:szCs w:val="24"/>
          <w:lang w:val="en-GB"/>
        </w:rPr>
        <w:t xml:space="preserve">(Source: Influenced by </w:t>
      </w:r>
      <w:r>
        <w:rPr>
          <w:rFonts w:ascii="Arial" w:cs="Arial" w:hAnsi="Arial"/>
          <w:color w:val="000000"/>
          <w:sz w:val="24"/>
          <w:szCs w:val="24"/>
          <w:lang w:val="en-GB"/>
        </w:rPr>
        <w:t xml:space="preserve">Guarascio </w:t>
      </w:r>
      <w:r>
        <w:rPr>
          <w:rFonts w:ascii="Arial" w:cs="Arial" w:hAnsi="Arial"/>
          <w:i/>
          <w:iCs/>
          <w:color w:val="000000"/>
          <w:sz w:val="24"/>
          <w:szCs w:val="24"/>
          <w:lang w:val="en-GB"/>
        </w:rPr>
        <w:t xml:space="preserve">et al. </w:t>
      </w:r>
      <w:r>
        <w:rPr>
          <w:rFonts w:ascii="Arial" w:cs="Arial" w:hAnsi="Arial"/>
          <w:color w:val="000000"/>
          <w:sz w:val="24"/>
          <w:szCs w:val="24"/>
          <w:lang w:val="en-GB"/>
        </w:rPr>
        <w:t>2024)</w:t>
      </w:r>
    </w:p>
    <w:p>
      <w:pPr>
        <w:pStyle w:val="style0"/>
        <w:spacing w:lineRule="auto" w:line="360"/>
        <w:jc w:val="both"/>
        <w:rPr>
          <w:rFonts w:ascii="Arial" w:cs="Arial" w:hAnsi="Arial"/>
          <w:color w:val="000000"/>
          <w:lang w:val="en-GB"/>
        </w:rPr>
      </w:pPr>
      <w:r>
        <w:rPr>
          <w:rFonts w:ascii="Arial" w:cs="Arial" w:hAnsi="Arial"/>
          <w:color w:val="000000"/>
          <w:sz w:val="24"/>
          <w:szCs w:val="24"/>
          <w:lang w:val="en-GB"/>
        </w:rPr>
        <w:t>The position of VinFast in its market is a strategic hybrid that focuses on obtaining a lower relative price point. The company offers high technological features in the global market</w:t>
      </w:r>
      <w:r>
        <w:rPr>
          <w:rFonts w:ascii="Arial" w:cs="Arial" w:hAnsi="Arial"/>
          <w:color w:val="000000"/>
          <w:sz w:val="24"/>
          <w:szCs w:val="24"/>
          <w:lang w:val="en-GB"/>
        </w:rPr>
        <w:t xml:space="preserve"> distribution channels</w:t>
      </w:r>
      <w:r>
        <w:rPr>
          <w:rFonts w:ascii="Arial" w:cs="Arial" w:hAnsi="Arial"/>
          <w:color w:val="000000"/>
          <w:sz w:val="24"/>
          <w:szCs w:val="24"/>
          <w:lang w:val="en-GB"/>
        </w:rPr>
        <w:t xml:space="preserve">, which </w:t>
      </w:r>
      <w:r>
        <w:rPr>
          <w:rFonts w:ascii="Arial" w:cs="Arial" w:hAnsi="Arial"/>
          <w:color w:val="000000"/>
          <w:sz w:val="24"/>
          <w:szCs w:val="24"/>
          <w:lang w:val="en-GB"/>
        </w:rPr>
        <w:t>helps in overcoming the environmental threat of “supply chain dependency”</w:t>
      </w:r>
      <w:r>
        <w:rPr>
          <w:rFonts w:ascii="Arial" w:cs="Arial" w:hAnsi="Arial"/>
          <w:color w:val="000000"/>
          <w:sz w:val="24"/>
          <w:szCs w:val="24"/>
          <w:lang w:val="en-GB"/>
        </w:rPr>
        <w:t xml:space="preserve"> (Business Standard, 2025). VinFast uses the cost leadership strategy with its vertical integration and scale to control R&amp;D and manufacturing. This strategy aims to reduce the costs of the external supply chain, and the market development helps in achieving vast economies of scale. It is essential to maintain cost leadership, yet it imposes the challenge of competition against local market giants like BYD, a mass market player (WIPO, 2023). Thus, VinFast needs to scale its EU and the US plants to distribute its high fixed costs and achieve sustainable pricing. It has resulted in a 38% plunge in the share price of Vingroup with a combined loss of $5.7 billion from 2020 (Guarascio </w:t>
      </w:r>
      <w:r>
        <w:rPr>
          <w:rFonts w:ascii="Arial" w:cs="Arial" w:hAnsi="Arial"/>
          <w:i/>
          <w:iCs/>
          <w:color w:val="000000"/>
          <w:sz w:val="24"/>
          <w:szCs w:val="24"/>
          <w:lang w:val="en-GB"/>
        </w:rPr>
        <w:t xml:space="preserve">et al. </w:t>
      </w:r>
      <w:r>
        <w:rPr>
          <w:rFonts w:ascii="Arial" w:cs="Arial" w:hAnsi="Arial"/>
          <w:color w:val="000000"/>
          <w:sz w:val="24"/>
          <w:szCs w:val="24"/>
          <w:lang w:val="en-GB"/>
        </w:rPr>
        <w:t>2024).</w:t>
      </w:r>
    </w:p>
    <w:bookmarkStart w:id="16" w:name="_Toc213701474"/>
    <w:bookmarkStart w:id="17" w:name="_Toc214445471"/>
    <w:p>
      <w:pPr>
        <w:pStyle w:val="style1"/>
        <w:rPr>
          <w:color w:val="000000"/>
          <w:lang w:val="en-GB"/>
        </w:rPr>
      </w:pPr>
      <w:r>
        <w:rPr>
          <w:color w:val="000000"/>
          <w:lang w:val="en-GB"/>
        </w:rPr>
        <w:t>4. Conclusion</w:t>
      </w:r>
      <w:bookmarkEnd w:id="16"/>
      <w:bookmarkEnd w:id="17"/>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The critical evaluation of marketing strategies related to BMW in the UK shows that the strategies used in the UK are more appropriate and successful. </w:t>
      </w:r>
      <w:r>
        <w:rPr>
          <w:rFonts w:ascii="Arial" w:cs="Arial" w:hAnsi="Arial"/>
          <w:color w:val="000000"/>
          <w:sz w:val="24"/>
          <w:lang w:val="en-GB"/>
        </w:rPr>
        <w:t>The major focus of this report has relied on assessing the macro marketing environment, which is a primary element of strategic decision-making. The report has included a discussion on the macro environment related to the automotive industry. BMW has been chosen as a pioneer brand, whereas VinFast is a follower company selected to be studied in this report. Besides, the macro environment has been predicted using PESTLE as a theoretical framework. It has been indicated that the European emissions standards are strict, imposing a challenge for BMW to meet them. Technological and environmental actors have been chosen as external macro</w:t>
      </w:r>
      <w:r>
        <w:rPr>
          <w:rFonts w:ascii="Arial" w:cs="Arial" w:hAnsi="Arial"/>
          <w:color w:val="000000"/>
          <w:sz w:val="24"/>
          <w:lang w:val="en-GB"/>
        </w:rPr>
        <w:t xml:space="preserve"> marketing factors, along with j</w:t>
      </w:r>
      <w:r>
        <w:rPr>
          <w:rFonts w:ascii="Arial" w:cs="Arial" w:hAnsi="Arial"/>
          <w:color w:val="000000"/>
          <w:sz w:val="24"/>
          <w:lang w:val="en-GB"/>
        </w:rPr>
        <w:t>ustification and their relevance to the automobile industry. For a detailed analysis of strategic responses of BMW and VinFast, Ansoff's Matrix and Porter’s Generic Strategy have been implemented. The analyses have shown that both of these companies have taken calculated moves as their responses.</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The marketing responses of both the pioneer and the follower organisations are related to environmental scanning and adaptive marketing. For instance, the marketing strategies and responses are strategically significant to establish the EV line</w:t>
      </w:r>
      <w:r>
        <w:rPr>
          <w:rFonts w:ascii="Arial" w:cs="Arial" w:hAnsi="Arial"/>
          <w:color w:val="000000"/>
          <w:sz w:val="24"/>
          <w:lang w:val="en-GB"/>
        </w:rPr>
        <w:t>-</w:t>
      </w:r>
      <w:r>
        <w:rPr>
          <w:rFonts w:ascii="Arial" w:cs="Arial" w:hAnsi="Arial"/>
          <w:color w:val="000000"/>
          <w:sz w:val="24"/>
          <w:lang w:val="en-GB"/>
        </w:rPr>
        <w:t>up as per the environmental standards. It can proactively identify new opportunities and manage uncertainties to maintain competitive advantages. Environmental scanning gathers and analyses information about external business factors to recognise potential trends. Companies can obtain the necessary data to make informed decisions for successful strategic planning. Similarly, adaptive marketing responses modify marketing strategies based on the acquired insights to enhance business resilience.</w:t>
      </w:r>
    </w:p>
    <w:bookmarkStart w:id="18" w:name="_Toc213701475"/>
    <w:p>
      <w:pPr>
        <w:pStyle w:val="style0"/>
        <w:rPr>
          <w:rFonts w:ascii="Arial" w:cs="Arial" w:hAnsi="Arial"/>
          <w:b/>
          <w:color w:val="000000"/>
          <w:sz w:val="28"/>
          <w:lang w:val="en-GB"/>
        </w:rPr>
      </w:pPr>
      <w:r>
        <w:rPr>
          <w:color w:val="000000"/>
          <w:lang w:val="en-GB"/>
        </w:rPr>
        <w:br w:type="page"/>
      </w:r>
    </w:p>
    <w:bookmarkStart w:id="19" w:name="_Toc214445472"/>
    <w:p>
      <w:pPr>
        <w:pStyle w:val="style1"/>
        <w:rPr>
          <w:color w:val="000000"/>
          <w:lang w:val="en-GB"/>
        </w:rPr>
      </w:pPr>
      <w:r>
        <w:rPr>
          <w:color w:val="000000"/>
          <w:lang w:val="en-GB"/>
        </w:rPr>
        <w:t>References</w:t>
      </w:r>
      <w:bookmarkEnd w:id="18"/>
      <w:bookmarkEnd w:id="19"/>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Ali, B.J. and Anwar, G., 2021. Porter’s Generic Competitive Strategies and its influence on the Competitive Advantage. </w:t>
      </w:r>
      <w:r>
        <w:rPr>
          <w:rFonts w:ascii="Arial" w:cs="Arial" w:hAnsi="Arial"/>
          <w:i/>
          <w:iCs/>
          <w:color w:val="000000"/>
          <w:sz w:val="24"/>
          <w:lang w:val="en-GB"/>
        </w:rPr>
        <w:t>International Journal of Advanced Engineering, Management and Science</w:t>
      </w:r>
      <w:r>
        <w:rPr>
          <w:rFonts w:ascii="Arial" w:cs="Arial" w:hAnsi="Arial"/>
          <w:color w:val="000000"/>
          <w:sz w:val="24"/>
          <w:lang w:val="en-GB"/>
        </w:rPr>
        <w:t xml:space="preserve">, </w:t>
      </w:r>
      <w:r>
        <w:rPr>
          <w:rFonts w:ascii="Arial" w:cs="Arial" w:hAnsi="Arial"/>
          <w:i/>
          <w:iCs/>
          <w:color w:val="000000"/>
          <w:sz w:val="24"/>
          <w:lang w:val="en-GB"/>
        </w:rPr>
        <w:t>7</w:t>
      </w:r>
      <w:r>
        <w:rPr>
          <w:rFonts w:ascii="Arial" w:cs="Arial" w:hAnsi="Arial"/>
          <w:color w:val="000000"/>
          <w:sz w:val="24"/>
          <w:lang w:val="en-GB"/>
        </w:rPr>
        <w:t>(6), pp.42-51.</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Banka, M., Dao, M.T.H. and Minh, D.T., 2022. Analysis of business strategy of real estate developers in Vietnam: the application of QSPM matrix. </w:t>
      </w:r>
      <w:r>
        <w:rPr>
          <w:rFonts w:ascii="Arial" w:cs="Arial" w:hAnsi="Arial"/>
          <w:i/>
          <w:iCs/>
          <w:color w:val="000000"/>
          <w:sz w:val="24"/>
          <w:lang w:val="en-GB"/>
        </w:rPr>
        <w:t>International journal of multidisciplinary research and growth evaluation</w:t>
      </w:r>
      <w:r>
        <w:rPr>
          <w:rFonts w:ascii="Arial" w:cs="Arial" w:hAnsi="Arial"/>
          <w:color w:val="000000"/>
          <w:sz w:val="24"/>
          <w:lang w:val="en-GB"/>
        </w:rPr>
        <w:t xml:space="preserve">, </w:t>
      </w:r>
      <w:r>
        <w:rPr>
          <w:rFonts w:ascii="Arial" w:cs="Arial" w:hAnsi="Arial"/>
          <w:i/>
          <w:iCs/>
          <w:color w:val="000000"/>
          <w:sz w:val="24"/>
          <w:lang w:val="en-GB"/>
        </w:rPr>
        <w:t>3</w:t>
      </w:r>
      <w:r>
        <w:rPr>
          <w:rFonts w:ascii="Arial" w:cs="Arial" w:hAnsi="Arial"/>
          <w:color w:val="000000"/>
          <w:sz w:val="24"/>
          <w:lang w:val="en-GB"/>
        </w:rPr>
        <w:t>(1), pp.188-196.</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BMW Group (2025) ‘Strong today, strong tomorrow’, </w:t>
      </w:r>
      <w:r>
        <w:rPr>
          <w:rFonts w:ascii="Arial" w:cs="Arial" w:hAnsi="Arial"/>
          <w:i/>
          <w:color w:val="000000"/>
          <w:sz w:val="24"/>
          <w:lang w:val="en-GB"/>
        </w:rPr>
        <w:t>BMW Group</w:t>
      </w:r>
      <w:r>
        <w:rPr>
          <w:rFonts w:ascii="Arial" w:cs="Arial" w:hAnsi="Arial"/>
          <w:color w:val="000000"/>
          <w:sz w:val="24"/>
          <w:lang w:val="en-GB"/>
        </w:rPr>
        <w:t>. Available at:</w:t>
      </w:r>
      <w:r>
        <w:rPr/>
        <w:fldChar w:fldCharType="begin"/>
      </w:r>
      <w:r>
        <w:instrText xml:space="preserve"> HYPERLINK "https://www.bmwgroup.com/en/news/general/2024/annualconference2024.html" \l ":~:text=Profitable%20growth%20expected%20for%202024,8%2D10%25%20in%202024" </w:instrText>
      </w:r>
      <w:r>
        <w:rPr/>
        <w:fldChar w:fldCharType="separate"/>
      </w:r>
      <w:r>
        <w:rPr/>
        <w:fldChar w:fldCharType="end"/>
      </w:r>
      <w:r>
        <w:rPr/>
        <w:fldChar w:fldCharType="begin"/>
      </w:r>
      <w:r>
        <w:instrText xml:space="preserve"> HYPERLINK "https://www.bmwgroup.com/en/news/general/2024/annualconference2024.html" \l ":~:text=Profitable%20growth%20expected%20for%202024,8%2D10%25%20in%202024" </w:instrText>
      </w:r>
      <w:r>
        <w:rPr/>
        <w:fldChar w:fldCharType="separate"/>
      </w:r>
      <w:r>
        <w:rPr>
          <w:rStyle w:val="style85"/>
          <w:rFonts w:ascii="Arial" w:cs="Arial" w:hAnsi="Arial"/>
          <w:color w:val="000000"/>
          <w:sz w:val="24"/>
          <w:u w:val="none"/>
          <w:lang w:val="en-GB"/>
        </w:rPr>
        <w:t>https://www.bmwgroup.com/en/news/general/2024/annualconference2024.html#:~:text=Profitable%20growth%20expected%20for%202024,8%2D10%25%20in%202024</w:t>
      </w:r>
      <w:r>
        <w:rPr/>
        <w:fldChar w:fldCharType="end"/>
      </w:r>
      <w:r>
        <w:rPr>
          <w:rFonts w:ascii="Arial" w:cs="Arial" w:hAnsi="Arial"/>
          <w:color w:val="000000"/>
          <w:sz w:val="24"/>
          <w:lang w:val="en-GB"/>
        </w:rPr>
        <w:t>. [Accessed: 7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BMW Group (2025) ‘The BMW Group at the Japan Mobility Show 2025’, </w:t>
      </w:r>
      <w:r>
        <w:rPr>
          <w:rFonts w:ascii="Arial" w:cs="Arial" w:hAnsi="Arial"/>
          <w:i/>
          <w:color w:val="000000"/>
          <w:sz w:val="24"/>
          <w:lang w:val="en-GB"/>
        </w:rPr>
        <w:t>BMW Group</w:t>
      </w:r>
      <w:r>
        <w:rPr>
          <w:rFonts w:ascii="Arial" w:cs="Arial" w:hAnsi="Arial"/>
          <w:color w:val="000000"/>
          <w:sz w:val="24"/>
          <w:lang w:val="en-GB"/>
        </w:rPr>
        <w:t>. Available at:</w:t>
      </w:r>
      <w:r>
        <w:rPr/>
        <w:fldChar w:fldCharType="begin"/>
      </w:r>
      <w:r>
        <w:instrText xml:space="preserve"> HYPERLINK "https://www.press.bmwgroup.com/global/article/detail/T0453548EN/the-bmw-group-at-the-japan-mobility-show-2025?language=en" </w:instrText>
      </w:r>
      <w:r>
        <w:rPr/>
        <w:fldChar w:fldCharType="separate"/>
      </w:r>
      <w:r>
        <w:rPr/>
        <w:fldChar w:fldCharType="end"/>
      </w:r>
      <w:r>
        <w:rPr/>
        <w:fldChar w:fldCharType="begin"/>
      </w:r>
      <w:r>
        <w:instrText xml:space="preserve"> HYPERLINK "https://www.press.bmwgroup.com/global/article/detail/T0453548EN/the-bmw-group-at-the-japan-mobility-show-2025?language=en" </w:instrText>
      </w:r>
      <w:r>
        <w:rPr/>
        <w:fldChar w:fldCharType="separate"/>
      </w:r>
      <w:r>
        <w:rPr>
          <w:rStyle w:val="style85"/>
          <w:rFonts w:ascii="Arial" w:cs="Arial" w:hAnsi="Arial"/>
          <w:color w:val="000000"/>
          <w:sz w:val="24"/>
          <w:u w:val="none"/>
          <w:lang w:val="en-GB"/>
        </w:rPr>
        <w:t>https://www.press.bmwgroup.com/global/article/detail/T0453548EN/the-bmw-group-at-the-japan-mobility-show-2025?language=en</w:t>
      </w:r>
      <w:r>
        <w:rPr/>
        <w:fldChar w:fldCharType="end"/>
      </w:r>
      <w:r>
        <w:rPr>
          <w:rFonts w:ascii="Arial" w:cs="Arial" w:hAnsi="Arial"/>
          <w:color w:val="000000"/>
          <w:sz w:val="24"/>
          <w:lang w:val="en-GB"/>
        </w:rPr>
        <w:t xml:space="preserve"> [Accessed: 7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BMW Group 2022. BMW iFactory. LEAN. GREEN. DIGITAL. - Master plan for the production of the future. </w:t>
      </w:r>
      <w:r>
        <w:rPr>
          <w:rFonts w:ascii="Arial" w:cs="Arial" w:hAnsi="Arial"/>
          <w:i/>
          <w:iCs/>
          <w:color w:val="000000"/>
          <w:sz w:val="24"/>
          <w:lang w:val="en-GB"/>
        </w:rPr>
        <w:t>BMW Group</w:t>
      </w:r>
      <w:r>
        <w:rPr>
          <w:rFonts w:ascii="Arial" w:cs="Arial" w:hAnsi="Arial"/>
          <w:color w:val="000000"/>
          <w:sz w:val="24"/>
          <w:lang w:val="en-GB"/>
        </w:rPr>
        <w:t>. Available at:</w:t>
      </w:r>
      <w:r>
        <w:rPr/>
        <w:fldChar w:fldCharType="begin"/>
      </w:r>
      <w:r>
        <w:instrText xml:space="preserve"> HYPERLINK "https://www.press.bmwgroup.com/global/article/detail/T0384893EN/bmw-ifactory-lean-green-digital-master-plan-for-the-production-of-the-future?language=en" </w:instrText>
      </w:r>
      <w:r>
        <w:rPr/>
        <w:fldChar w:fldCharType="separate"/>
      </w:r>
      <w:r>
        <w:rPr/>
        <w:fldChar w:fldCharType="end"/>
      </w:r>
      <w:r>
        <w:rPr/>
        <w:fldChar w:fldCharType="begin"/>
      </w:r>
      <w:r>
        <w:instrText xml:space="preserve"> HYPERLINK "https://www.press.bmwgroup.com/global/article/detail/T0384893EN/bmw-ifactory-lean-green-digital-master-plan-for-the-production-of-the-future?language=en" </w:instrText>
      </w:r>
      <w:r>
        <w:rPr/>
        <w:fldChar w:fldCharType="separate"/>
      </w:r>
      <w:r>
        <w:rPr>
          <w:rStyle w:val="style85"/>
          <w:rFonts w:ascii="Arial" w:cs="Arial" w:hAnsi="Arial"/>
          <w:color w:val="000000"/>
          <w:sz w:val="24"/>
          <w:u w:val="none"/>
          <w:lang w:val="en-GB"/>
        </w:rPr>
        <w:t>https://www.press.bmwgroup.com/global/article/detail/T0384893EN/bmw-ifactory-lean-green-digital-master-plan-for-the-production-of-the-future?language=en</w:t>
      </w:r>
      <w:r>
        <w:rPr/>
        <w:fldChar w:fldCharType="end"/>
      </w:r>
      <w:r>
        <w:rPr>
          <w:rFonts w:ascii="Arial" w:cs="Arial" w:hAnsi="Arial"/>
          <w:color w:val="000000"/>
          <w:sz w:val="24"/>
          <w:lang w:val="en-GB"/>
        </w:rPr>
        <w:t xml:space="preserve"> [Accessed: 13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BMW Group 2025. Forward momentum through technology openness, strong product line-up and NEUE KLASSE: BMW Group on track for growth in 2025. </w:t>
      </w:r>
      <w:r>
        <w:rPr>
          <w:rFonts w:ascii="Arial" w:cs="Arial" w:hAnsi="Arial"/>
          <w:i/>
          <w:iCs/>
          <w:color w:val="000000"/>
          <w:sz w:val="24"/>
          <w:lang w:val="en-GB"/>
        </w:rPr>
        <w:t>BMW Group</w:t>
      </w:r>
      <w:r>
        <w:rPr>
          <w:rFonts w:ascii="Arial" w:cs="Arial" w:hAnsi="Arial"/>
          <w:color w:val="000000"/>
          <w:sz w:val="24"/>
          <w:lang w:val="en-GB"/>
        </w:rPr>
        <w:t>. Available at:</w:t>
      </w:r>
      <w:r>
        <w:rPr/>
        <w:fldChar w:fldCharType="begin"/>
      </w:r>
      <w:r>
        <w:instrText xml:space="preserve"> HYPERLINK "https://www.press.bmwgroup.com/global/article/detail/T0448841EN/forward-momentum-through-technology-openness-strong-product-line-up-and-neue-klasse:-bmw-group-on-track-for-growth-in-2025?language=en" \l ":~:text=Investment%20in%20the%20future%20reach,to%20decrease%2C%20starting%20in%202025" </w:instrText>
      </w:r>
      <w:r>
        <w:rPr/>
        <w:fldChar w:fldCharType="separate"/>
      </w:r>
      <w:r>
        <w:rPr/>
        <w:fldChar w:fldCharType="end"/>
      </w:r>
      <w:r>
        <w:rPr/>
        <w:fldChar w:fldCharType="begin"/>
      </w:r>
      <w:r>
        <w:instrText xml:space="preserve"> HYPERLINK "https://www.press.bmwgroup.com/global/article/detail/T0448841EN/forward-momentum-through-technology-openness-strong-product-line-up-and-neue-klasse:-bmw-group-on-track-for-growth-in-2025?language=en" \l ":~:text=Investment%20in%20the%20future%20reach,to%20decrease%2C%20starting%20in%202025" </w:instrText>
      </w:r>
      <w:r>
        <w:rPr/>
        <w:fldChar w:fldCharType="separate"/>
      </w:r>
      <w:r>
        <w:rPr>
          <w:rStyle w:val="style85"/>
          <w:rFonts w:ascii="Arial" w:cs="Arial" w:hAnsi="Arial"/>
          <w:color w:val="000000"/>
          <w:sz w:val="24"/>
          <w:u w:val="none"/>
          <w:lang w:val="en-GB"/>
        </w:rPr>
        <w:t>https://www.press.bmwgroup.com/global/article/detail/T0448841EN/forward-momentum-through-technology-openness-strong-product-line-up-and-neue-klasse:-bmw-group-on-track-for-growth-in-2025?language=en#:~:text=Investment%20in%20the%20future%20reach,to%20decrease%2C%20starting%20in%202025</w:t>
      </w:r>
      <w:r>
        <w:rPr/>
        <w:fldChar w:fldCharType="end"/>
      </w:r>
      <w:r>
        <w:rPr>
          <w:rFonts w:ascii="Arial" w:cs="Arial" w:hAnsi="Arial"/>
          <w:color w:val="000000"/>
          <w:sz w:val="24"/>
          <w:lang w:val="en-GB"/>
        </w:rPr>
        <w:t>. [Accessed: 13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Business Standard 2025. A Conglomerate's Strategy to Keep Vietnam's Growth in Its Own Hands. </w:t>
      </w:r>
      <w:r>
        <w:rPr>
          <w:rFonts w:ascii="Arial" w:cs="Arial" w:hAnsi="Arial"/>
          <w:i/>
          <w:iCs/>
          <w:color w:val="000000"/>
          <w:sz w:val="24"/>
          <w:lang w:val="en-GB"/>
        </w:rPr>
        <w:t>Business Standard</w:t>
      </w:r>
      <w:r>
        <w:rPr>
          <w:rFonts w:ascii="Arial" w:cs="Arial" w:hAnsi="Arial"/>
          <w:color w:val="000000"/>
          <w:sz w:val="24"/>
          <w:lang w:val="en-GB"/>
        </w:rPr>
        <w:t>. Available at:</w:t>
      </w:r>
      <w:r>
        <w:rPr/>
        <w:fldChar w:fldCharType="begin"/>
      </w:r>
      <w:r>
        <w:instrText xml:space="preserve"> HYPERLINK "https://www.business-standard.com/content/press-releases-ani/a-conglomerate-s-strategy-to-keep-vietnam-s-growth-in-its-own-hands-125101601130_1.html" </w:instrText>
      </w:r>
      <w:r>
        <w:rPr/>
        <w:fldChar w:fldCharType="separate"/>
      </w:r>
      <w:r>
        <w:rPr/>
        <w:fldChar w:fldCharType="end"/>
      </w:r>
      <w:r>
        <w:rPr/>
        <w:fldChar w:fldCharType="begin"/>
      </w:r>
      <w:r>
        <w:instrText xml:space="preserve"> HYPERLINK "https://www.business-standard.com/content/press-releases-ani/a-conglomerate-s-strategy-to-keep-vietnam-s-growth-in-its-own-hands-125101601130_1.html" </w:instrText>
      </w:r>
      <w:r>
        <w:rPr/>
        <w:fldChar w:fldCharType="separate"/>
      </w:r>
      <w:r>
        <w:rPr>
          <w:rStyle w:val="style85"/>
          <w:rFonts w:ascii="Arial" w:cs="Arial" w:hAnsi="Arial"/>
          <w:color w:val="000000"/>
          <w:sz w:val="24"/>
          <w:u w:val="none"/>
          <w:lang w:val="en-GB"/>
        </w:rPr>
        <w:t>https://www.business-standard.com/content/press-releases-ani/a-conglomerate-s-strategy-to-keep-vietnam-s-growth-in-its-own-hands-125101601130_1.html</w:t>
      </w:r>
      <w:r>
        <w:rPr/>
        <w:fldChar w:fldCharType="end"/>
      </w:r>
      <w:r>
        <w:rPr>
          <w:rFonts w:ascii="Arial" w:cs="Arial" w:hAnsi="Arial"/>
          <w:color w:val="000000"/>
          <w:sz w:val="24"/>
          <w:lang w:val="en-GB"/>
        </w:rPr>
        <w:t xml:space="preserve"> [Accessed: 13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Chakravarty, S., 2025. Next-gen batteries on BMW EVs promise to muscle out competition. Here’s how. </w:t>
      </w:r>
      <w:r>
        <w:rPr>
          <w:rFonts w:ascii="Arial" w:cs="Arial" w:hAnsi="Arial"/>
          <w:i/>
          <w:iCs/>
          <w:color w:val="000000"/>
          <w:sz w:val="24"/>
          <w:lang w:val="en-GB"/>
        </w:rPr>
        <w:t>HT Auto</w:t>
      </w:r>
      <w:r>
        <w:rPr>
          <w:rFonts w:ascii="Arial" w:cs="Arial" w:hAnsi="Arial"/>
          <w:color w:val="000000"/>
          <w:sz w:val="24"/>
          <w:lang w:val="en-GB"/>
        </w:rPr>
        <w:t>. Available at:</w:t>
      </w:r>
      <w:r>
        <w:rPr/>
        <w:fldChar w:fldCharType="begin"/>
      </w:r>
      <w:r>
        <w:instrText xml:space="preserve"> HYPERLINK "https://auto.hindustantimes.com/auto/electric-vehicles/gen-6-batteries-on-bmw-evs-promise-to-blow-competition-out-heres-how-41740369777820.html" \l ":~:text=The%20Gen%206%20batteries%20are,Woorduff%20in%20the%20United%20States" </w:instrText>
      </w:r>
      <w:r>
        <w:rPr/>
        <w:fldChar w:fldCharType="separate"/>
      </w:r>
      <w:r>
        <w:rPr/>
        <w:fldChar w:fldCharType="end"/>
      </w:r>
      <w:r>
        <w:rPr/>
        <w:fldChar w:fldCharType="begin"/>
      </w:r>
      <w:r>
        <w:instrText xml:space="preserve"> HYPERLINK "https://auto.hindustantimes.com/auto/electric-vehicles/gen-6-batteries-on-bmw-evs-promise-to-blow-competition-out-heres-how-41740369777820.html" \l ":~:text=The%20Gen%206%20batteries%20are,Woorduff%20in%20the%20United%20States" </w:instrText>
      </w:r>
      <w:r>
        <w:rPr/>
        <w:fldChar w:fldCharType="separate"/>
      </w:r>
      <w:r>
        <w:rPr>
          <w:rStyle w:val="style85"/>
          <w:rFonts w:ascii="Arial" w:cs="Arial" w:hAnsi="Arial"/>
          <w:color w:val="000000"/>
          <w:sz w:val="24"/>
          <w:u w:val="none"/>
          <w:lang w:val="en-GB"/>
        </w:rPr>
        <w:t>https://auto.hindustantimes.com/auto/electric-vehicles/gen-6-batteries-on-bmw-evs-promise-to-blow-competition-out-heres-how-41740369777820.html#:~:text=The%20Gen%206%20batteries%20are,Woorduff%20in%20the%20United%20States</w:t>
      </w:r>
      <w:r>
        <w:rPr/>
        <w:fldChar w:fldCharType="end"/>
      </w:r>
      <w:r>
        <w:rPr>
          <w:rFonts w:ascii="Arial" w:cs="Arial" w:hAnsi="Arial"/>
          <w:color w:val="000000"/>
          <w:sz w:val="24"/>
          <w:lang w:val="en-GB"/>
        </w:rPr>
        <w:t>. [Accessed: 13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Clark, D., (2025) ‘Inflation rate for the Consumer Price Index (CPI) in the United Kingdom from January 2015 to September 2025’, </w:t>
      </w:r>
      <w:r>
        <w:rPr>
          <w:rFonts w:ascii="Arial" w:cs="Arial" w:hAnsi="Arial"/>
          <w:i/>
          <w:color w:val="000000"/>
          <w:sz w:val="24"/>
          <w:lang w:val="en-GB"/>
        </w:rPr>
        <w:t>Statista</w:t>
      </w:r>
      <w:r>
        <w:rPr>
          <w:rFonts w:ascii="Arial" w:cs="Arial" w:hAnsi="Arial"/>
          <w:color w:val="000000"/>
          <w:sz w:val="24"/>
          <w:lang w:val="en-GB"/>
        </w:rPr>
        <w:t>. Available at:</w:t>
      </w:r>
      <w:r>
        <w:rPr/>
        <w:fldChar w:fldCharType="begin"/>
      </w:r>
      <w:r>
        <w:instrText xml:space="preserve"> HYPERLINK "https://www.statista.com/statistics/306648/inflation-rate-consumer-price-index-cpi-united-kingdom-uk/" </w:instrText>
      </w:r>
      <w:r>
        <w:rPr/>
        <w:fldChar w:fldCharType="separate"/>
      </w:r>
      <w:r>
        <w:rPr/>
        <w:fldChar w:fldCharType="end"/>
      </w:r>
      <w:r>
        <w:rPr/>
        <w:fldChar w:fldCharType="begin"/>
      </w:r>
      <w:r>
        <w:instrText xml:space="preserve"> HYPERLINK "https://www.statista.com/statistics/306648/inflation-rate-consumer-price-index-cpi-united-kingdom-uk/" </w:instrText>
      </w:r>
      <w:r>
        <w:rPr/>
        <w:fldChar w:fldCharType="separate"/>
      </w:r>
      <w:r>
        <w:rPr>
          <w:rStyle w:val="style85"/>
          <w:rFonts w:ascii="Arial" w:cs="Arial" w:hAnsi="Arial"/>
          <w:color w:val="000000"/>
          <w:sz w:val="24"/>
          <w:u w:val="none"/>
          <w:lang w:val="en-GB"/>
        </w:rPr>
        <w:t>https://www.statista.com/statistics/306648/inflation-rate-consumer-price-index-cpi-united-kingdom-uk/</w:t>
      </w:r>
      <w:r>
        <w:rPr/>
        <w:fldChar w:fldCharType="end"/>
      </w:r>
      <w:r>
        <w:rPr>
          <w:rFonts w:ascii="Arial" w:cs="Arial" w:hAnsi="Arial"/>
          <w:color w:val="000000"/>
          <w:sz w:val="24"/>
          <w:lang w:val="en-GB"/>
        </w:rPr>
        <w:t xml:space="preserve"> [Accessed: 7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ET Auto 2022. BMW to reduce CO2 emissions by 40% per vehicle by 2030. </w:t>
      </w:r>
      <w:r>
        <w:rPr>
          <w:rFonts w:ascii="Arial" w:cs="Arial" w:hAnsi="Arial"/>
          <w:i/>
          <w:iCs/>
          <w:color w:val="000000"/>
          <w:sz w:val="24"/>
          <w:lang w:val="en-GB"/>
        </w:rPr>
        <w:t>ET Auto</w:t>
      </w:r>
      <w:r>
        <w:rPr>
          <w:rFonts w:ascii="Arial" w:cs="Arial" w:hAnsi="Arial"/>
          <w:color w:val="000000"/>
          <w:sz w:val="24"/>
          <w:lang w:val="en-GB"/>
        </w:rPr>
        <w:t>. Available at:</w:t>
      </w:r>
      <w:r>
        <w:rPr/>
        <w:fldChar w:fldCharType="begin"/>
      </w:r>
      <w:r>
        <w:instrText xml:space="preserve"> HYPERLINK "https://auto.economictimes.indiatimes.com/news/bmw-to-reduce-co2-emissions-by-40-per-vehicle-by-2030/93185774" \l ":~:text=File%20Image%20New%20Delhi:%20The,Sustainability%20and%20Mobility%2C%20BMW%20Group" </w:instrText>
      </w:r>
      <w:r>
        <w:rPr/>
        <w:fldChar w:fldCharType="separate"/>
      </w:r>
      <w:r>
        <w:rPr/>
        <w:fldChar w:fldCharType="end"/>
      </w:r>
      <w:r>
        <w:rPr/>
        <w:fldChar w:fldCharType="begin"/>
      </w:r>
      <w:r>
        <w:instrText xml:space="preserve"> HYPERLINK "https://auto.economictimes.indiatimes.com/news/bmw-to-reduce-co2-emissions-by-40-per-vehicle-by-2030/93185774" \l ":~:text=File%20Image%20New%20Delhi:%20The,Sustainability%20and%20Mobility%2C%20BMW%20Group" </w:instrText>
      </w:r>
      <w:r>
        <w:rPr/>
        <w:fldChar w:fldCharType="separate"/>
      </w:r>
      <w:r>
        <w:rPr>
          <w:rStyle w:val="style85"/>
          <w:rFonts w:ascii="Arial" w:cs="Arial" w:hAnsi="Arial"/>
          <w:color w:val="000000"/>
          <w:sz w:val="24"/>
          <w:u w:val="none"/>
          <w:lang w:val="en-GB"/>
        </w:rPr>
        <w:t>https://auto.economictimes.indiatimes.com/news/bmw-to-reduce-co2-emissions-by-40-per-vehicle-by-2030/93185774#:~:text=File%20Image%20New%20Delhi:%20The,Sustainability%20and%20Mobility%2C%20BMW%20Group</w:t>
      </w:r>
      <w:r>
        <w:rPr/>
        <w:fldChar w:fldCharType="end"/>
      </w:r>
      <w:r>
        <w:rPr>
          <w:rFonts w:ascii="Arial" w:cs="Arial" w:hAnsi="Arial"/>
          <w:color w:val="000000"/>
          <w:sz w:val="24"/>
          <w:lang w:val="en-GB"/>
        </w:rPr>
        <w:t>. [Accessed: 13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Evison, J., (2025) ‘BEVs hit 26.8% market share’, </w:t>
      </w:r>
      <w:r>
        <w:rPr>
          <w:rFonts w:ascii="Arial" w:cs="Arial" w:hAnsi="Arial"/>
          <w:i/>
          <w:color w:val="000000"/>
          <w:sz w:val="24"/>
          <w:lang w:val="en-GB"/>
        </w:rPr>
        <w:t>Transport and Energy</w:t>
      </w:r>
      <w:r>
        <w:rPr>
          <w:rFonts w:ascii="Arial" w:cs="Arial" w:hAnsi="Arial"/>
          <w:color w:val="000000"/>
          <w:sz w:val="24"/>
          <w:lang w:val="en-GB"/>
        </w:rPr>
        <w:t>. Available at:</w:t>
      </w:r>
      <w:r>
        <w:rPr/>
        <w:fldChar w:fldCharType="begin"/>
      </w:r>
      <w:r>
        <w:instrText xml:space="preserve"> HYPERLINK "https://transportandenergy.com/2025/09/04/bevs-hit-26-8-market-share/" </w:instrText>
      </w:r>
      <w:r>
        <w:rPr/>
        <w:fldChar w:fldCharType="separate"/>
      </w:r>
      <w:r>
        <w:rPr/>
        <w:fldChar w:fldCharType="end"/>
      </w:r>
      <w:r>
        <w:rPr/>
        <w:fldChar w:fldCharType="begin"/>
      </w:r>
      <w:r>
        <w:instrText xml:space="preserve"> HYPERLINK "https://transportandenergy.com/2025/09/04/bevs-hit-26-8-market-share/" </w:instrText>
      </w:r>
      <w:r>
        <w:rPr/>
        <w:fldChar w:fldCharType="separate"/>
      </w:r>
      <w:r>
        <w:rPr>
          <w:rStyle w:val="style85"/>
          <w:rFonts w:ascii="Arial" w:cs="Arial" w:hAnsi="Arial"/>
          <w:color w:val="000000"/>
          <w:sz w:val="24"/>
          <w:u w:val="none"/>
          <w:lang w:val="en-GB"/>
        </w:rPr>
        <w:t>https://transportandenergy.com/2025/09/04/bevs-hit-26-8-market-share/</w:t>
      </w:r>
      <w:r>
        <w:rPr/>
        <w:fldChar w:fldCharType="end"/>
      </w:r>
      <w:r>
        <w:rPr>
          <w:rFonts w:ascii="Arial" w:cs="Arial" w:hAnsi="Arial"/>
          <w:color w:val="000000"/>
          <w:sz w:val="24"/>
          <w:lang w:val="en-GB"/>
        </w:rPr>
        <w:t xml:space="preserve"> [Accessed: 7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Gini, K.B. and Agala, H.O., 2023. The Impact of Macro-Environmental Factors on Business Performance. </w:t>
      </w:r>
      <w:r>
        <w:rPr>
          <w:rFonts w:ascii="Arial" w:cs="Arial" w:hAnsi="Arial"/>
          <w:i/>
          <w:iCs/>
          <w:color w:val="000000"/>
          <w:sz w:val="24"/>
          <w:lang w:val="en-GB"/>
        </w:rPr>
        <w:t>International Journal of Research and Innovation in Social Science</w:t>
      </w:r>
      <w:r>
        <w:rPr>
          <w:rFonts w:ascii="Arial" w:cs="Arial" w:hAnsi="Arial"/>
          <w:color w:val="000000"/>
          <w:sz w:val="24"/>
          <w:lang w:val="en-GB"/>
        </w:rPr>
        <w:t xml:space="preserve">, </w:t>
      </w:r>
      <w:r>
        <w:rPr>
          <w:rFonts w:ascii="Arial" w:cs="Arial" w:hAnsi="Arial"/>
          <w:i/>
          <w:iCs/>
          <w:color w:val="000000"/>
          <w:sz w:val="24"/>
          <w:lang w:val="en-GB"/>
        </w:rPr>
        <w:t>7</w:t>
      </w:r>
      <w:r>
        <w:rPr>
          <w:rFonts w:ascii="Arial" w:cs="Arial" w:hAnsi="Arial"/>
          <w:color w:val="000000"/>
          <w:sz w:val="24"/>
          <w:lang w:val="en-GB"/>
        </w:rPr>
        <w:t>(11), pp.1837-1843.</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GOV.UK (2025) ‘Consumer rights’, </w:t>
      </w:r>
      <w:r>
        <w:rPr>
          <w:rFonts w:ascii="Arial" w:cs="Arial" w:hAnsi="Arial"/>
          <w:i/>
          <w:color w:val="000000"/>
          <w:sz w:val="24"/>
          <w:lang w:val="en-GB"/>
        </w:rPr>
        <w:t>GOV.UK</w:t>
      </w:r>
      <w:r>
        <w:rPr>
          <w:rFonts w:ascii="Arial" w:cs="Arial" w:hAnsi="Arial"/>
          <w:color w:val="000000"/>
          <w:sz w:val="24"/>
          <w:lang w:val="en-GB"/>
        </w:rPr>
        <w:t xml:space="preserve">. Available at: </w:t>
      </w:r>
      <w:r>
        <w:rPr/>
        <w:fldChar w:fldCharType="begin"/>
      </w:r>
      <w:r>
        <w:instrText xml:space="preserve"> HYPERLINK "https://www.gov.uk/consumer-protection-rights" </w:instrText>
      </w:r>
      <w:r>
        <w:rPr/>
        <w:fldChar w:fldCharType="separate"/>
      </w:r>
      <w:r>
        <w:rPr/>
        <w:fldChar w:fldCharType="end"/>
      </w:r>
      <w:r>
        <w:rPr/>
        <w:fldChar w:fldCharType="begin"/>
      </w:r>
      <w:r>
        <w:instrText xml:space="preserve"> HYPERLINK "https://www.gov.uk/consumer-protection-rights" </w:instrText>
      </w:r>
      <w:r>
        <w:rPr/>
        <w:fldChar w:fldCharType="separate"/>
      </w:r>
      <w:r>
        <w:rPr>
          <w:rStyle w:val="style85"/>
          <w:rFonts w:ascii="Arial" w:cs="Arial" w:hAnsi="Arial"/>
          <w:color w:val="000000"/>
          <w:sz w:val="24"/>
          <w:u w:val="none"/>
          <w:lang w:val="en-GB"/>
        </w:rPr>
        <w:t>https://www.gov.uk/consumer-protection-rights</w:t>
      </w:r>
      <w:r>
        <w:rPr/>
        <w:fldChar w:fldCharType="end"/>
      </w:r>
      <w:r>
        <w:rPr>
          <w:rFonts w:ascii="Arial" w:cs="Arial" w:hAnsi="Arial"/>
          <w:color w:val="000000"/>
          <w:sz w:val="24"/>
          <w:lang w:val="en-GB"/>
        </w:rPr>
        <w:t xml:space="preserve"> [Accessed: 7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Guarascio, F. Kim, M., Nguyen, P., 2024. Vietnam EV maker VinFast's challenges escalate risk for parent Vingroup. </w:t>
      </w:r>
      <w:r>
        <w:rPr>
          <w:rFonts w:ascii="Arial" w:cs="Arial" w:hAnsi="Arial"/>
          <w:i/>
          <w:iCs/>
          <w:color w:val="000000"/>
          <w:sz w:val="24"/>
          <w:lang w:val="en-GB"/>
        </w:rPr>
        <w:t>Reuters</w:t>
      </w:r>
      <w:r>
        <w:rPr>
          <w:rFonts w:ascii="Arial" w:cs="Arial" w:hAnsi="Arial"/>
          <w:color w:val="000000"/>
          <w:sz w:val="24"/>
          <w:lang w:val="en-GB"/>
        </w:rPr>
        <w:t>. Available at:</w:t>
      </w:r>
      <w:r>
        <w:rPr/>
        <w:fldChar w:fldCharType="begin"/>
      </w:r>
      <w:r>
        <w:instrText xml:space="preserve"> HYPERLINK "https://www.reuters.com/business/autos-transportation/vietnam-ev-maker-vinfasts-challenges-escalate-risk-parent-vingroup-2024-04-12/" </w:instrText>
      </w:r>
      <w:r>
        <w:rPr/>
        <w:fldChar w:fldCharType="separate"/>
      </w:r>
      <w:r>
        <w:rPr/>
        <w:fldChar w:fldCharType="end"/>
      </w:r>
      <w:r>
        <w:rPr/>
        <w:fldChar w:fldCharType="begin"/>
      </w:r>
      <w:r>
        <w:instrText xml:space="preserve"> HYPERLINK "https://www.reuters.com/business/autos-transportation/vietnam-ev-maker-vinfasts-challenges-escalate-risk-parent-vingroup-2024-04-12/" </w:instrText>
      </w:r>
      <w:r>
        <w:rPr/>
        <w:fldChar w:fldCharType="separate"/>
      </w:r>
      <w:r>
        <w:rPr>
          <w:rStyle w:val="style85"/>
          <w:rFonts w:ascii="Arial" w:cs="Arial" w:hAnsi="Arial"/>
          <w:color w:val="000000"/>
          <w:sz w:val="24"/>
          <w:u w:val="none"/>
          <w:lang w:val="en-GB"/>
        </w:rPr>
        <w:t>https://www.reuters.com/business/autos-transportation/vietnam-ev-maker-vinfasts-challenges-escalate-risk-parent-vingroup-2024-04-12/</w:t>
      </w:r>
      <w:r>
        <w:rPr/>
        <w:fldChar w:fldCharType="end"/>
      </w:r>
      <w:r>
        <w:rPr>
          <w:rFonts w:ascii="Arial" w:cs="Arial" w:hAnsi="Arial"/>
          <w:color w:val="000000"/>
          <w:sz w:val="24"/>
          <w:lang w:val="en-GB"/>
        </w:rPr>
        <w:t xml:space="preserve"> [Accessed: 13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IEA (2025) ‘Trends in electric car markets’, </w:t>
      </w:r>
      <w:r>
        <w:rPr>
          <w:rFonts w:ascii="Arial" w:cs="Arial" w:hAnsi="Arial"/>
          <w:i/>
          <w:color w:val="000000"/>
          <w:sz w:val="24"/>
          <w:lang w:val="en-GB"/>
        </w:rPr>
        <w:t>IEA</w:t>
      </w:r>
      <w:r>
        <w:rPr>
          <w:rFonts w:ascii="Arial" w:cs="Arial" w:hAnsi="Arial"/>
          <w:color w:val="000000"/>
          <w:sz w:val="24"/>
          <w:lang w:val="en-GB"/>
        </w:rPr>
        <w:t>. Available at:</w:t>
      </w:r>
      <w:r>
        <w:rPr/>
        <w:fldChar w:fldCharType="begin"/>
      </w:r>
      <w:r>
        <w:instrText xml:space="preserve"> HYPERLINK "https://www.iea.org/reports/global-ev-outlook-2025/trends-in-electric-car-markets-2" </w:instrText>
      </w:r>
      <w:r>
        <w:rPr/>
        <w:fldChar w:fldCharType="separate"/>
      </w:r>
      <w:r>
        <w:rPr/>
        <w:fldChar w:fldCharType="end"/>
      </w:r>
      <w:r>
        <w:rPr/>
        <w:fldChar w:fldCharType="begin"/>
      </w:r>
      <w:r>
        <w:instrText xml:space="preserve"> HYPERLINK "https://www.iea.org/reports/global-ev-outlook-2025/trends-in-electric-car-markets-2" </w:instrText>
      </w:r>
      <w:r>
        <w:rPr/>
        <w:fldChar w:fldCharType="separate"/>
      </w:r>
      <w:r>
        <w:rPr>
          <w:rStyle w:val="style85"/>
          <w:rFonts w:ascii="Arial" w:cs="Arial" w:hAnsi="Arial"/>
          <w:color w:val="000000"/>
          <w:sz w:val="24"/>
          <w:u w:val="none"/>
          <w:lang w:val="en-GB"/>
        </w:rPr>
        <w:t>https://www.iea.org/reports/global-ev-outlook-2025/trends-in-electric-car-markets-2</w:t>
      </w:r>
      <w:r>
        <w:rPr/>
        <w:fldChar w:fldCharType="end"/>
      </w:r>
      <w:r>
        <w:rPr>
          <w:rFonts w:ascii="Arial" w:cs="Arial" w:hAnsi="Arial"/>
          <w:color w:val="000000"/>
          <w:sz w:val="24"/>
          <w:lang w:val="en-GB"/>
        </w:rPr>
        <w:t xml:space="preserve"> [Accessed: 7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Kuc, B.R. and Borkowski, S., 2021. Hung Hau corporate business analysis using BCG matrix.“. </w:t>
      </w:r>
      <w:r>
        <w:rPr>
          <w:rFonts w:ascii="Arial" w:cs="Arial" w:hAnsi="Arial"/>
          <w:i/>
          <w:iCs/>
          <w:color w:val="000000"/>
          <w:sz w:val="24"/>
          <w:lang w:val="en-GB"/>
        </w:rPr>
        <w:t>International Journal of Advanced Multidisciplinary Research and Studies</w:t>
      </w:r>
      <w:r>
        <w:rPr>
          <w:rFonts w:ascii="Arial" w:cs="Arial" w:hAnsi="Arial"/>
          <w:color w:val="000000"/>
          <w:sz w:val="24"/>
          <w:lang w:val="en-GB"/>
        </w:rPr>
        <w:t xml:space="preserve">, </w:t>
      </w:r>
      <w:r>
        <w:rPr>
          <w:rFonts w:ascii="Arial" w:cs="Arial" w:hAnsi="Arial"/>
          <w:i/>
          <w:iCs/>
          <w:color w:val="000000"/>
          <w:sz w:val="24"/>
          <w:lang w:val="en-GB"/>
        </w:rPr>
        <w:t>1</w:t>
      </w:r>
      <w:r>
        <w:rPr>
          <w:rFonts w:ascii="Arial" w:cs="Arial" w:hAnsi="Arial"/>
          <w:color w:val="000000"/>
          <w:sz w:val="24"/>
          <w:lang w:val="en-GB"/>
        </w:rPr>
        <w:t>(1), pp.1-6.</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Kumar, S., Sureka, R., Lim, W.M., Kumar Mangla, S. and Goyal, N., 2021. What do we know about business strategy and environmental research? Insights from Business Strategy and the Environment. </w:t>
      </w:r>
      <w:r>
        <w:rPr>
          <w:rFonts w:ascii="Arial" w:cs="Arial" w:hAnsi="Arial"/>
          <w:i/>
          <w:iCs/>
          <w:color w:val="000000"/>
          <w:sz w:val="24"/>
          <w:lang w:val="en-GB"/>
        </w:rPr>
        <w:t>Business Strategy and the Environment</w:t>
      </w:r>
      <w:r>
        <w:rPr>
          <w:rFonts w:ascii="Arial" w:cs="Arial" w:hAnsi="Arial"/>
          <w:color w:val="000000"/>
          <w:sz w:val="24"/>
          <w:lang w:val="en-GB"/>
        </w:rPr>
        <w:t xml:space="preserve">, </w:t>
      </w:r>
      <w:r>
        <w:rPr>
          <w:rFonts w:ascii="Arial" w:cs="Arial" w:hAnsi="Arial"/>
          <w:i/>
          <w:iCs/>
          <w:color w:val="000000"/>
          <w:sz w:val="24"/>
          <w:lang w:val="en-GB"/>
        </w:rPr>
        <w:t>30</w:t>
      </w:r>
      <w:r>
        <w:rPr>
          <w:rFonts w:ascii="Arial" w:cs="Arial" w:hAnsi="Arial"/>
          <w:color w:val="000000"/>
          <w:sz w:val="24"/>
          <w:lang w:val="en-GB"/>
        </w:rPr>
        <w:t>(8), pp.3454-3469.</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Leroi-Werelds, S., Verleye, K., Line, N. and Bove, L., 2021. Value proposition dynamics in response to external event triggers. </w:t>
      </w:r>
      <w:r>
        <w:rPr>
          <w:rFonts w:ascii="Arial" w:cs="Arial" w:hAnsi="Arial"/>
          <w:i/>
          <w:iCs/>
          <w:color w:val="000000"/>
          <w:sz w:val="24"/>
          <w:lang w:val="en-GB"/>
        </w:rPr>
        <w:t>Journal of business research</w:t>
      </w:r>
      <w:r>
        <w:rPr>
          <w:rFonts w:ascii="Arial" w:cs="Arial" w:hAnsi="Arial"/>
          <w:color w:val="000000"/>
          <w:sz w:val="24"/>
          <w:lang w:val="en-GB"/>
        </w:rPr>
        <w:t xml:space="preserve">, </w:t>
      </w:r>
      <w:r>
        <w:rPr>
          <w:rFonts w:ascii="Arial" w:cs="Arial" w:hAnsi="Arial"/>
          <w:i/>
          <w:iCs/>
          <w:color w:val="000000"/>
          <w:sz w:val="24"/>
          <w:lang w:val="en-GB"/>
        </w:rPr>
        <w:t>136</w:t>
      </w:r>
      <w:r>
        <w:rPr>
          <w:rFonts w:ascii="Arial" w:cs="Arial" w:hAnsi="Arial"/>
          <w:color w:val="000000"/>
          <w:sz w:val="24"/>
          <w:lang w:val="en-GB"/>
        </w:rPr>
        <w:t>, pp.274-283.</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Nair, K. and Gupta, R., 2021. Application of AI technology in modern digital marketing environment. </w:t>
      </w:r>
      <w:r>
        <w:rPr>
          <w:rFonts w:ascii="Arial" w:cs="Arial" w:hAnsi="Arial"/>
          <w:i/>
          <w:iCs/>
          <w:color w:val="000000"/>
          <w:sz w:val="24"/>
          <w:lang w:val="en-GB"/>
        </w:rPr>
        <w:t>World Journal of Entrepreneurship, Management and Sustainable Development</w:t>
      </w:r>
      <w:r>
        <w:rPr>
          <w:rFonts w:ascii="Arial" w:cs="Arial" w:hAnsi="Arial"/>
          <w:color w:val="000000"/>
          <w:sz w:val="24"/>
          <w:lang w:val="en-GB"/>
        </w:rPr>
        <w:t xml:space="preserve">, </w:t>
      </w:r>
      <w:r>
        <w:rPr>
          <w:rFonts w:ascii="Arial" w:cs="Arial" w:hAnsi="Arial"/>
          <w:i/>
          <w:iCs/>
          <w:color w:val="000000"/>
          <w:sz w:val="24"/>
          <w:lang w:val="en-GB"/>
        </w:rPr>
        <w:t>17</w:t>
      </w:r>
      <w:r>
        <w:rPr>
          <w:rFonts w:ascii="Arial" w:cs="Arial" w:hAnsi="Arial"/>
          <w:color w:val="000000"/>
          <w:sz w:val="24"/>
          <w:lang w:val="en-GB"/>
        </w:rPr>
        <w:t>(3), pp.318-328.</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Neolaka, A.M.Y., Faulina, M., Akromah, P., Novilasari, T.A. and Napitupulu, R.H.M., 2023. Marketing strategy using swot analysis (case study: stima IMMI). </w:t>
      </w:r>
      <w:r>
        <w:rPr>
          <w:rFonts w:ascii="Arial" w:cs="Arial" w:hAnsi="Arial"/>
          <w:i/>
          <w:iCs/>
          <w:color w:val="000000"/>
          <w:sz w:val="24"/>
          <w:lang w:val="en-GB"/>
        </w:rPr>
        <w:t>Jurnal Ekonomi</w:t>
      </w:r>
      <w:r>
        <w:rPr>
          <w:rFonts w:ascii="Arial" w:cs="Arial" w:hAnsi="Arial"/>
          <w:color w:val="000000"/>
          <w:sz w:val="24"/>
          <w:lang w:val="en-GB"/>
        </w:rPr>
        <w:t xml:space="preserve">, </w:t>
      </w:r>
      <w:r>
        <w:rPr>
          <w:rFonts w:ascii="Arial" w:cs="Arial" w:hAnsi="Arial"/>
          <w:i/>
          <w:iCs/>
          <w:color w:val="000000"/>
          <w:sz w:val="24"/>
          <w:lang w:val="en-GB"/>
        </w:rPr>
        <w:t>12</w:t>
      </w:r>
      <w:r>
        <w:rPr>
          <w:rFonts w:ascii="Arial" w:cs="Arial" w:hAnsi="Arial"/>
          <w:color w:val="000000"/>
          <w:sz w:val="24"/>
          <w:lang w:val="en-GB"/>
        </w:rPr>
        <w:t>(02), pp.1650-1659.</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Nguyen, P., 2025. VinFast speeds up EVs deliveries, but struggles to sell outside Vietnam. </w:t>
      </w:r>
      <w:r>
        <w:rPr>
          <w:rFonts w:ascii="Arial" w:cs="Arial" w:hAnsi="Arial"/>
          <w:i/>
          <w:iCs/>
          <w:color w:val="000000"/>
          <w:sz w:val="24"/>
          <w:lang w:val="en-GB"/>
        </w:rPr>
        <w:t>Reuters</w:t>
      </w:r>
      <w:r>
        <w:rPr>
          <w:rFonts w:ascii="Arial" w:cs="Arial" w:hAnsi="Arial"/>
          <w:color w:val="000000"/>
          <w:sz w:val="24"/>
          <w:lang w:val="en-GB"/>
        </w:rPr>
        <w:t>. Available at:</w:t>
      </w:r>
      <w:r>
        <w:rPr/>
        <w:fldChar w:fldCharType="begin"/>
      </w:r>
      <w:r>
        <w:instrText xml:space="preserve"> HYPERLINK "https://www.reuters.com/business/autos-transportation/vinfast-speeds-up-ev-deliveries-struggles-sell-outside-vietnam-2025-02-13/" \l ":~:text=Summary,much%20cheaper%20and%20smaller%20model" </w:instrText>
      </w:r>
      <w:r>
        <w:rPr/>
        <w:fldChar w:fldCharType="separate"/>
      </w:r>
      <w:r>
        <w:rPr/>
        <w:fldChar w:fldCharType="end"/>
      </w:r>
      <w:r>
        <w:rPr/>
        <w:fldChar w:fldCharType="begin"/>
      </w:r>
      <w:r>
        <w:instrText xml:space="preserve"> HYPERLINK "https://www.reuters.com/business/autos-transportation/vinfast-speeds-up-ev-deliveries-struggles-sell-outside-vietnam-2025-02-13/" \l ":~:text=Summary,much%20cheaper%20and%20smaller%20model" </w:instrText>
      </w:r>
      <w:r>
        <w:rPr/>
        <w:fldChar w:fldCharType="separate"/>
      </w:r>
      <w:r>
        <w:rPr>
          <w:rStyle w:val="style85"/>
          <w:rFonts w:ascii="Arial" w:cs="Arial" w:hAnsi="Arial"/>
          <w:color w:val="000000"/>
          <w:sz w:val="24"/>
          <w:u w:val="none"/>
          <w:lang w:val="en-GB"/>
        </w:rPr>
        <w:t>https://www.reuters.com/business/autos-transportation/vinfast-speeds-up-ev-deliveries-struggles-sell-outside-vietnam-2025-02-13/#:~:text=Summary,much%20cheaper%20and%20smaller%20model</w:t>
      </w:r>
      <w:r>
        <w:rPr/>
        <w:fldChar w:fldCharType="end"/>
      </w:r>
      <w:r>
        <w:rPr>
          <w:rFonts w:ascii="Arial" w:cs="Arial" w:hAnsi="Arial"/>
          <w:color w:val="000000"/>
          <w:sz w:val="24"/>
          <w:lang w:val="en-GB"/>
        </w:rPr>
        <w:t>. [Accessed: 13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Pascucci, F., Savelli, E. and Gistri, G., 2023. How digital technologies reshape marketing: evidence from a qualitative investigation. Italian Journal of Marketing, 2023(1), pp.27-58.</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UK Parliament 2025. Electric vehicles and infrastructure. </w:t>
      </w:r>
      <w:r>
        <w:rPr>
          <w:rFonts w:ascii="Arial" w:cs="Arial" w:hAnsi="Arial"/>
          <w:i/>
          <w:iCs/>
          <w:color w:val="000000"/>
          <w:sz w:val="24"/>
          <w:lang w:val="en-GB"/>
        </w:rPr>
        <w:t>UK Parliament</w:t>
      </w:r>
      <w:r>
        <w:rPr>
          <w:rFonts w:ascii="Arial" w:cs="Arial" w:hAnsi="Arial"/>
          <w:color w:val="000000"/>
          <w:sz w:val="24"/>
          <w:lang w:val="en-GB"/>
        </w:rPr>
        <w:t>. Available at:</w:t>
      </w:r>
      <w:r>
        <w:rPr/>
        <w:fldChar w:fldCharType="begin"/>
      </w:r>
      <w:r>
        <w:instrText xml:space="preserve"> HYPERLINK "https://commonslibrary.parliament.uk/research-briefings/cbp-7480/" \l ":~:text=The%20market%20for%20EVs%20is,outside%20homes%20and%20at%20workplaces" </w:instrText>
      </w:r>
      <w:r>
        <w:rPr/>
        <w:fldChar w:fldCharType="separate"/>
      </w:r>
      <w:r>
        <w:rPr/>
        <w:fldChar w:fldCharType="end"/>
      </w:r>
      <w:r>
        <w:rPr/>
        <w:fldChar w:fldCharType="begin"/>
      </w:r>
      <w:r>
        <w:instrText xml:space="preserve"> HYPERLINK "https://commonslibrary.parliament.uk/research-briefings/cbp-7480/" \l ":~:text=The%20market%20for%20EVs%20is,outside%20homes%20and%20at%20workplaces" </w:instrText>
      </w:r>
      <w:r>
        <w:rPr/>
        <w:fldChar w:fldCharType="separate"/>
      </w:r>
      <w:r>
        <w:rPr>
          <w:rStyle w:val="style85"/>
          <w:rFonts w:ascii="Arial" w:cs="Arial" w:hAnsi="Arial"/>
          <w:color w:val="000000"/>
          <w:sz w:val="24"/>
          <w:u w:val="none"/>
          <w:lang w:val="en-GB"/>
        </w:rPr>
        <w:t>https://commonslibrary.parliament.uk/research-briefings/cbp-7480/#:~:text=The%20market%20for%20EVs%20is,outside%20homes%20and%20at%20workplaces</w:t>
      </w:r>
      <w:r>
        <w:rPr/>
        <w:fldChar w:fldCharType="end"/>
      </w:r>
      <w:r>
        <w:rPr>
          <w:rFonts w:ascii="Arial" w:cs="Arial" w:hAnsi="Arial"/>
          <w:color w:val="000000"/>
          <w:sz w:val="24"/>
          <w:lang w:val="en-GB"/>
        </w:rPr>
        <w:t>. [Accessed: 13 November 2025]</w:t>
      </w:r>
    </w:p>
    <w:p>
      <w:pPr>
        <w:pStyle w:val="style0"/>
        <w:spacing w:lineRule="auto" w:line="360"/>
        <w:jc w:val="both"/>
        <w:rPr>
          <w:rFonts w:ascii="Arial" w:cs="Arial" w:hAnsi="Arial"/>
          <w:color w:val="000000"/>
          <w:sz w:val="24"/>
          <w:lang w:val="en-GB"/>
        </w:rPr>
      </w:pPr>
      <w:r>
        <w:rPr>
          <w:rFonts w:ascii="Arial" w:cs="Arial" w:hAnsi="Arial"/>
          <w:color w:val="000000"/>
          <w:sz w:val="24"/>
          <w:lang w:val="en-GB"/>
        </w:rPr>
        <w:t xml:space="preserve">WIPO 2023. VinFast, Viet Nam's Leading Electric Cars Manufacturer. </w:t>
      </w:r>
      <w:r>
        <w:rPr>
          <w:rFonts w:ascii="Arial" w:cs="Arial" w:hAnsi="Arial"/>
          <w:i/>
          <w:iCs/>
          <w:color w:val="000000"/>
          <w:sz w:val="24"/>
          <w:lang w:val="en-GB"/>
        </w:rPr>
        <w:t>WIPO</w:t>
      </w:r>
      <w:r>
        <w:rPr>
          <w:rFonts w:ascii="Arial" w:cs="Arial" w:hAnsi="Arial"/>
          <w:color w:val="000000"/>
          <w:sz w:val="24"/>
          <w:lang w:val="en-GB"/>
        </w:rPr>
        <w:t>. Available at:</w:t>
      </w:r>
      <w:r>
        <w:rPr/>
        <w:fldChar w:fldCharType="begin"/>
      </w:r>
      <w:r>
        <w:instrText xml:space="preserve"> HYPERLINK "https://www.wipo.int/en/web/ip-advantage/w/stories/vinfast-viet-nam-s-leading-electric-cars-manufacturer" </w:instrText>
      </w:r>
      <w:r>
        <w:rPr/>
        <w:fldChar w:fldCharType="separate"/>
      </w:r>
      <w:r>
        <w:rPr/>
        <w:fldChar w:fldCharType="end"/>
      </w:r>
      <w:r>
        <w:rPr/>
        <w:fldChar w:fldCharType="begin"/>
      </w:r>
      <w:r>
        <w:instrText xml:space="preserve"> HYPERLINK "https://www.wipo.int/en/web/ip-advantage/w/stories/vinfast-viet-nam-s-leading-electric-cars-manufacturer" </w:instrText>
      </w:r>
      <w:r>
        <w:rPr/>
        <w:fldChar w:fldCharType="separate"/>
      </w:r>
      <w:r>
        <w:rPr>
          <w:rStyle w:val="style85"/>
          <w:rFonts w:ascii="Arial" w:cs="Arial" w:hAnsi="Arial"/>
          <w:color w:val="000000"/>
          <w:sz w:val="24"/>
          <w:u w:val="none"/>
          <w:lang w:val="en-GB"/>
        </w:rPr>
        <w:t>https://www.wipo.int/en/web/ip-advantage/w/stories/vinfast-viet-nam-s-leading-electric-cars-manufacturer</w:t>
      </w:r>
      <w:r>
        <w:rPr/>
        <w:fldChar w:fldCharType="end"/>
      </w:r>
      <w:r>
        <w:rPr>
          <w:rFonts w:ascii="Arial" w:cs="Arial" w:hAnsi="Arial"/>
          <w:color w:val="000000"/>
          <w:sz w:val="24"/>
          <w:lang w:val="en-GB"/>
        </w:rPr>
        <w:t xml:space="preserve"> [Accessed: 13 November 2025]</w:t>
      </w:r>
    </w:p>
    <w:p>
      <w:pPr>
        <w:pStyle w:val="style0"/>
        <w:spacing w:lineRule="auto" w:line="360"/>
        <w:jc w:val="both"/>
        <w:rPr>
          <w:rFonts w:ascii="Arial" w:cs="Arial" w:hAnsi="Arial"/>
          <w:color w:val="000000"/>
          <w:sz w:val="24"/>
          <w:lang w:val="en-GB"/>
        </w:rPr>
      </w:pPr>
    </w:p>
    <w:p>
      <w:pPr>
        <w:pStyle w:val="style0"/>
        <w:spacing w:lineRule="auto" w:line="360"/>
        <w:jc w:val="both"/>
        <w:rPr>
          <w:rFonts w:ascii="Arial" w:cs="Arial" w:hAnsi="Arial"/>
          <w:b/>
          <w:color w:val="000000"/>
          <w:sz w:val="24"/>
          <w:lang w:val="en-GB"/>
        </w:rPr>
      </w:pPr>
    </w:p>
    <w:sectPr>
      <w:footerReference w:type="default" r:id="rId7"/>
      <w:pgSz w:w="12240" w:h="15840" w:orient="portrait"/>
      <w:pgMar w:top="1440" w:right="1440" w:bottom="1440" w:left="1440" w:header="708" w:footer="708" w:gutter="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mbria">
    <w:altName w:val="Cambria"/>
    <w:panose1 w:val="02040503050004030204"/>
    <w:charset w:val="00"/>
    <w:family w:val="roman"/>
    <w:pitch w:val="variable"/>
    <w:sig w:usb0="E00006FF" w:usb1="420024FF" w:usb2="02000000" w:usb3="00000000" w:csb0="0000019F" w:csb1="00000000"/>
  </w:font>
  <w:font w:name="SimSun">
    <w:altName w:val="宋体"/>
    <w:panose1 w:val="02010600030001010101"/>
    <w:charset w:val="86"/>
    <w:family w:val="auto"/>
    <w:pitch w:val="variable"/>
    <w:sig w:usb0="00000203" w:usb1="288F0000" w:usb2="00000016" w:usb3="00000000" w:csb0="00040001" w:csb1="00000000"/>
  </w:font>
  <w:font w:name="宋体">
    <w:altName w:val=""/>
    <w:panose1 w:val="00000000000000000000"/>
    <w:charset w:val="00"/>
    <w:family w:val="auto"/>
    <w:pitch w:val="default"/>
    <w:sig w:usb0="E0002AFF" w:usb1="C0007841"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32"/>
      <w:jc w:val="right"/>
      <w:rPr/>
    </w:pPr>
    <w:r>
      <w:rPr>
        <w:rFonts w:ascii="Arial" w:cs="Arial" w:hAnsi="Arial"/>
        <w:sz w:val="20"/>
      </w:rPr>
      <w:fldChar w:fldCharType="begin"/>
    </w:r>
    <w:r>
      <w:rPr>
        <w:rFonts w:ascii="Arial" w:cs="Arial" w:hAnsi="Arial"/>
        <w:sz w:val="20"/>
      </w:rPr>
      <w:instrText xml:space="preserve"> PAGE   \* MERGEFORMAT </w:instrText>
    </w:r>
    <w:r>
      <w:rPr>
        <w:rFonts w:ascii="Arial" w:cs="Arial" w:hAnsi="Arial"/>
        <w:sz w:val="20"/>
      </w:rPr>
      <w:fldChar w:fldCharType="separate"/>
    </w:r>
    <w:r>
      <w:rPr>
        <w:rFonts w:ascii="Arial" w:cs="Arial" w:hAnsi="Arial"/>
        <w:noProof/>
        <w:sz w:val="20"/>
      </w:rPr>
      <w:t>5</w:t>
    </w:r>
    <w:r>
      <w:rPr>
        <w:rFonts w:ascii="Arial" w:cs="Arial" w:hAnsi="Arial"/>
        <w:sz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00000000"/>
    <w:lvl w:ilvl="0" w:tplc="13B8EFE6">
      <w:start w:val="1"/>
      <w:numFmt w:val="bullet"/>
      <w:lvlText w:val="●"/>
      <w:lvlJc w:val="left"/>
      <w:pPr>
        <w:ind w:left="720" w:hanging="360"/>
      </w:pPr>
      <w:rPr>
        <w:u w:val="none"/>
      </w:rPr>
    </w:lvl>
    <w:lvl w:ilvl="1" w:tplc="EA7E6EFA">
      <w:start w:val="1"/>
      <w:numFmt w:val="bullet"/>
      <w:lvlText w:val="○"/>
      <w:lvlJc w:val="left"/>
      <w:pPr>
        <w:ind w:left="1440" w:hanging="360"/>
      </w:pPr>
      <w:rPr>
        <w:u w:val="none"/>
      </w:rPr>
    </w:lvl>
    <w:lvl w:ilvl="2" w:tplc="D406A5E2">
      <w:start w:val="1"/>
      <w:numFmt w:val="bullet"/>
      <w:lvlText w:val="■"/>
      <w:lvlJc w:val="left"/>
      <w:pPr>
        <w:ind w:left="2160" w:hanging="360"/>
      </w:pPr>
      <w:rPr>
        <w:u w:val="none"/>
      </w:rPr>
    </w:lvl>
    <w:lvl w:ilvl="3" w:tplc="3CF6180E">
      <w:start w:val="1"/>
      <w:numFmt w:val="bullet"/>
      <w:lvlText w:val="●"/>
      <w:lvlJc w:val="left"/>
      <w:pPr>
        <w:ind w:left="2880" w:hanging="360"/>
      </w:pPr>
      <w:rPr>
        <w:u w:val="none"/>
      </w:rPr>
    </w:lvl>
    <w:lvl w:ilvl="4" w:tplc="39EC6C50">
      <w:start w:val="1"/>
      <w:numFmt w:val="bullet"/>
      <w:lvlText w:val="○"/>
      <w:lvlJc w:val="left"/>
      <w:pPr>
        <w:ind w:left="3600" w:hanging="360"/>
      </w:pPr>
      <w:rPr>
        <w:u w:val="none"/>
      </w:rPr>
    </w:lvl>
    <w:lvl w:ilvl="5" w:tplc="A4F496D0">
      <w:start w:val="1"/>
      <w:numFmt w:val="bullet"/>
      <w:lvlText w:val="■"/>
      <w:lvlJc w:val="left"/>
      <w:pPr>
        <w:ind w:left="4320" w:hanging="360"/>
      </w:pPr>
      <w:rPr>
        <w:u w:val="none"/>
      </w:rPr>
    </w:lvl>
    <w:lvl w:ilvl="6" w:tplc="2EF83E88">
      <w:start w:val="1"/>
      <w:numFmt w:val="bullet"/>
      <w:lvlText w:val="●"/>
      <w:lvlJc w:val="left"/>
      <w:pPr>
        <w:ind w:left="5040" w:hanging="360"/>
      </w:pPr>
      <w:rPr>
        <w:u w:val="none"/>
      </w:rPr>
    </w:lvl>
    <w:lvl w:ilvl="7" w:tplc="73F62596">
      <w:start w:val="1"/>
      <w:numFmt w:val="bullet"/>
      <w:lvlText w:val="○"/>
      <w:lvlJc w:val="left"/>
      <w:pPr>
        <w:ind w:left="5760" w:hanging="360"/>
      </w:pPr>
      <w:rPr>
        <w:u w:val="none"/>
      </w:rPr>
    </w:lvl>
    <w:lvl w:ilvl="8" w:tplc="5FA4A4AC">
      <w:start w:val="1"/>
      <w:numFmt w:val="bullet"/>
      <w:lvlText w:val="■"/>
      <w:lvlJc w:val="left"/>
      <w:pPr>
        <w:ind w:left="6480" w:hanging="360"/>
      </w:pPr>
      <w:rPr>
        <w:u w:val="none"/>
      </w:rPr>
    </w:lvl>
  </w:abstractNum>
  <w:abstractNum w:abstractNumId="1">
    <w:nsid w:val="00000001"/>
    <w:multiLevelType w:val="hybridMultilevel"/>
    <w:tmpl w:val="00000000"/>
    <w:lvl w:ilvl="0" w:tplc="1F405510">
      <w:start w:val="1"/>
      <w:numFmt w:val="bullet"/>
      <w:lvlText w:val="●"/>
      <w:lvlJc w:val="left"/>
      <w:pPr>
        <w:ind w:left="720" w:hanging="360"/>
      </w:pPr>
      <w:rPr>
        <w:u w:val="none"/>
      </w:rPr>
    </w:lvl>
    <w:lvl w:ilvl="1" w:tplc="C10EB526">
      <w:start w:val="1"/>
      <w:numFmt w:val="bullet"/>
      <w:lvlText w:val="○"/>
      <w:lvlJc w:val="left"/>
      <w:pPr>
        <w:ind w:left="1440" w:hanging="360"/>
      </w:pPr>
      <w:rPr>
        <w:u w:val="none"/>
      </w:rPr>
    </w:lvl>
    <w:lvl w:ilvl="2" w:tplc="1952CF7A">
      <w:start w:val="1"/>
      <w:numFmt w:val="bullet"/>
      <w:lvlText w:val="■"/>
      <w:lvlJc w:val="left"/>
      <w:pPr>
        <w:ind w:left="2160" w:hanging="360"/>
      </w:pPr>
      <w:rPr>
        <w:u w:val="none"/>
      </w:rPr>
    </w:lvl>
    <w:lvl w:ilvl="3" w:tplc="16F05892">
      <w:start w:val="1"/>
      <w:numFmt w:val="bullet"/>
      <w:lvlText w:val="●"/>
      <w:lvlJc w:val="left"/>
      <w:pPr>
        <w:ind w:left="2880" w:hanging="360"/>
      </w:pPr>
      <w:rPr>
        <w:u w:val="none"/>
      </w:rPr>
    </w:lvl>
    <w:lvl w:ilvl="4" w:tplc="664AAA44">
      <w:start w:val="1"/>
      <w:numFmt w:val="bullet"/>
      <w:lvlText w:val="○"/>
      <w:lvlJc w:val="left"/>
      <w:pPr>
        <w:ind w:left="3600" w:hanging="360"/>
      </w:pPr>
      <w:rPr>
        <w:u w:val="none"/>
      </w:rPr>
    </w:lvl>
    <w:lvl w:ilvl="5" w:tplc="86E6AFB4">
      <w:start w:val="1"/>
      <w:numFmt w:val="bullet"/>
      <w:lvlText w:val="■"/>
      <w:lvlJc w:val="left"/>
      <w:pPr>
        <w:ind w:left="4320" w:hanging="360"/>
      </w:pPr>
      <w:rPr>
        <w:u w:val="none"/>
      </w:rPr>
    </w:lvl>
    <w:lvl w:ilvl="6" w:tplc="32763BF4">
      <w:start w:val="1"/>
      <w:numFmt w:val="bullet"/>
      <w:lvlText w:val="●"/>
      <w:lvlJc w:val="left"/>
      <w:pPr>
        <w:ind w:left="5040" w:hanging="360"/>
      </w:pPr>
      <w:rPr>
        <w:u w:val="none"/>
      </w:rPr>
    </w:lvl>
    <w:lvl w:ilvl="7" w:tplc="834C841C">
      <w:start w:val="1"/>
      <w:numFmt w:val="bullet"/>
      <w:lvlText w:val="○"/>
      <w:lvlJc w:val="left"/>
      <w:pPr>
        <w:ind w:left="5760" w:hanging="360"/>
      </w:pPr>
      <w:rPr>
        <w:u w:val="none"/>
      </w:rPr>
    </w:lvl>
    <w:lvl w:ilvl="8" w:tplc="A1CA5C22">
      <w:start w:val="1"/>
      <w:numFmt w:val="bullet"/>
      <w:lvlText w:val="■"/>
      <w:lvlJc w:val="left"/>
      <w:pPr>
        <w:ind w:left="6480" w:hanging="360"/>
      </w:pPr>
      <w:rPr>
        <w:u w:val="none"/>
      </w:rPr>
    </w:lvl>
  </w:abstractNum>
  <w:abstractNum w:abstractNumId="2">
    <w:nsid w:val="00000002"/>
    <w:multiLevelType w:val="hybridMultilevel"/>
    <w:tmpl w:val="E41814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00000003"/>
    <w:multiLevelType w:val="hybridMultilevel"/>
    <w:tmpl w:val="00000000"/>
    <w:lvl w:ilvl="0" w:tplc="240898FE">
      <w:start w:val="1"/>
      <w:numFmt w:val="bullet"/>
      <w:lvlText w:val="●"/>
      <w:lvlJc w:val="left"/>
      <w:pPr>
        <w:ind w:left="720" w:hanging="360"/>
      </w:pPr>
      <w:rPr>
        <w:u w:val="none"/>
      </w:rPr>
    </w:lvl>
    <w:lvl w:ilvl="1" w:tplc="B3A415AC">
      <w:start w:val="1"/>
      <w:numFmt w:val="bullet"/>
      <w:lvlText w:val="○"/>
      <w:lvlJc w:val="left"/>
      <w:pPr>
        <w:ind w:left="1440" w:hanging="360"/>
      </w:pPr>
      <w:rPr>
        <w:u w:val="none"/>
      </w:rPr>
    </w:lvl>
    <w:lvl w:ilvl="2" w:tplc="DEC4B87E">
      <w:start w:val="1"/>
      <w:numFmt w:val="bullet"/>
      <w:lvlText w:val="■"/>
      <w:lvlJc w:val="left"/>
      <w:pPr>
        <w:ind w:left="2160" w:hanging="360"/>
      </w:pPr>
      <w:rPr>
        <w:u w:val="none"/>
      </w:rPr>
    </w:lvl>
    <w:lvl w:ilvl="3" w:tplc="4B600E20">
      <w:start w:val="1"/>
      <w:numFmt w:val="bullet"/>
      <w:lvlText w:val="●"/>
      <w:lvlJc w:val="left"/>
      <w:pPr>
        <w:ind w:left="2880" w:hanging="360"/>
      </w:pPr>
      <w:rPr>
        <w:u w:val="none"/>
      </w:rPr>
    </w:lvl>
    <w:lvl w:ilvl="4" w:tplc="40F8C1AE">
      <w:start w:val="1"/>
      <w:numFmt w:val="bullet"/>
      <w:lvlText w:val="○"/>
      <w:lvlJc w:val="left"/>
      <w:pPr>
        <w:ind w:left="3600" w:hanging="360"/>
      </w:pPr>
      <w:rPr>
        <w:u w:val="none"/>
      </w:rPr>
    </w:lvl>
    <w:lvl w:ilvl="5" w:tplc="B92EC37A">
      <w:start w:val="1"/>
      <w:numFmt w:val="bullet"/>
      <w:lvlText w:val="■"/>
      <w:lvlJc w:val="left"/>
      <w:pPr>
        <w:ind w:left="4320" w:hanging="360"/>
      </w:pPr>
      <w:rPr>
        <w:u w:val="none"/>
      </w:rPr>
    </w:lvl>
    <w:lvl w:ilvl="6" w:tplc="98D22872">
      <w:start w:val="1"/>
      <w:numFmt w:val="bullet"/>
      <w:lvlText w:val="●"/>
      <w:lvlJc w:val="left"/>
      <w:pPr>
        <w:ind w:left="5040" w:hanging="360"/>
      </w:pPr>
      <w:rPr>
        <w:u w:val="none"/>
      </w:rPr>
    </w:lvl>
    <w:lvl w:ilvl="7" w:tplc="E4067C5C">
      <w:start w:val="1"/>
      <w:numFmt w:val="bullet"/>
      <w:lvlText w:val="○"/>
      <w:lvlJc w:val="left"/>
      <w:pPr>
        <w:ind w:left="5760" w:hanging="360"/>
      </w:pPr>
      <w:rPr>
        <w:u w:val="none"/>
      </w:rPr>
    </w:lvl>
    <w:lvl w:ilvl="8" w:tplc="79808CE0">
      <w:start w:val="1"/>
      <w:numFmt w:val="bullet"/>
      <w:lvlText w:val="■"/>
      <w:lvlJc w:val="left"/>
      <w:pPr>
        <w:ind w:left="6480" w:hanging="360"/>
      </w:pPr>
      <w:rPr>
        <w:u w:val="none"/>
      </w:rPr>
    </w:lvl>
  </w:abstractNum>
  <w:abstractNum w:abstractNumId="4">
    <w:nsid w:val="00000004"/>
    <w:multiLevelType w:val="hybridMultilevel"/>
    <w:tmpl w:val="00000000"/>
    <w:lvl w:ilvl="0" w:tplc="9F18DC20">
      <w:start w:val="1"/>
      <w:numFmt w:val="bullet"/>
      <w:lvlText w:val="●"/>
      <w:lvlJc w:val="left"/>
      <w:pPr>
        <w:ind w:left="720" w:hanging="360"/>
      </w:pPr>
      <w:rPr>
        <w:u w:val="none"/>
      </w:rPr>
    </w:lvl>
    <w:lvl w:ilvl="1" w:tplc="6B8A16F2">
      <w:start w:val="1"/>
      <w:numFmt w:val="bullet"/>
      <w:lvlText w:val="○"/>
      <w:lvlJc w:val="left"/>
      <w:pPr>
        <w:ind w:left="1440" w:hanging="360"/>
      </w:pPr>
      <w:rPr>
        <w:u w:val="none"/>
      </w:rPr>
    </w:lvl>
    <w:lvl w:ilvl="2" w:tplc="8586FD22">
      <w:start w:val="1"/>
      <w:numFmt w:val="bullet"/>
      <w:lvlText w:val="■"/>
      <w:lvlJc w:val="left"/>
      <w:pPr>
        <w:ind w:left="2160" w:hanging="360"/>
      </w:pPr>
      <w:rPr>
        <w:u w:val="none"/>
      </w:rPr>
    </w:lvl>
    <w:lvl w:ilvl="3" w:tplc="C1AEE306">
      <w:start w:val="1"/>
      <w:numFmt w:val="bullet"/>
      <w:lvlText w:val="●"/>
      <w:lvlJc w:val="left"/>
      <w:pPr>
        <w:ind w:left="2880" w:hanging="360"/>
      </w:pPr>
      <w:rPr>
        <w:u w:val="none"/>
      </w:rPr>
    </w:lvl>
    <w:lvl w:ilvl="4" w:tplc="EB4AFE0C">
      <w:start w:val="1"/>
      <w:numFmt w:val="bullet"/>
      <w:lvlText w:val="○"/>
      <w:lvlJc w:val="left"/>
      <w:pPr>
        <w:ind w:left="3600" w:hanging="360"/>
      </w:pPr>
      <w:rPr>
        <w:u w:val="none"/>
      </w:rPr>
    </w:lvl>
    <w:lvl w:ilvl="5" w:tplc="BFC2FE04">
      <w:start w:val="1"/>
      <w:numFmt w:val="bullet"/>
      <w:lvlText w:val="■"/>
      <w:lvlJc w:val="left"/>
      <w:pPr>
        <w:ind w:left="4320" w:hanging="360"/>
      </w:pPr>
      <w:rPr>
        <w:u w:val="none"/>
      </w:rPr>
    </w:lvl>
    <w:lvl w:ilvl="6" w:tplc="7A101FBA">
      <w:start w:val="1"/>
      <w:numFmt w:val="bullet"/>
      <w:lvlText w:val="●"/>
      <w:lvlJc w:val="left"/>
      <w:pPr>
        <w:ind w:left="5040" w:hanging="360"/>
      </w:pPr>
      <w:rPr>
        <w:u w:val="none"/>
      </w:rPr>
    </w:lvl>
    <w:lvl w:ilvl="7" w:tplc="671AC724">
      <w:start w:val="1"/>
      <w:numFmt w:val="bullet"/>
      <w:lvlText w:val="○"/>
      <w:lvlJc w:val="left"/>
      <w:pPr>
        <w:ind w:left="5760" w:hanging="360"/>
      </w:pPr>
      <w:rPr>
        <w:u w:val="none"/>
      </w:rPr>
    </w:lvl>
    <w:lvl w:ilvl="8" w:tplc="4F62E2E0">
      <w:start w:val="1"/>
      <w:numFmt w:val="bullet"/>
      <w:lvlText w:val="■"/>
      <w:lvlJc w:val="left"/>
      <w:pPr>
        <w:ind w:left="6480" w:hanging="360"/>
      </w:pPr>
      <w:rPr>
        <w:u w:val="none"/>
      </w:rPr>
    </w:lvl>
  </w:abstractNum>
  <w:abstractNum w:abstractNumId="5">
    <w:nsid w:val="00000005"/>
    <w:multiLevelType w:val="hybridMultilevel"/>
    <w:tmpl w:val="00000000"/>
    <w:lvl w:ilvl="0" w:tplc="77545696">
      <w:start w:val="1"/>
      <w:numFmt w:val="bullet"/>
      <w:lvlText w:val="●"/>
      <w:lvlJc w:val="left"/>
      <w:pPr>
        <w:ind w:left="720" w:hanging="360"/>
      </w:pPr>
      <w:rPr>
        <w:u w:val="none"/>
      </w:rPr>
    </w:lvl>
    <w:lvl w:ilvl="1" w:tplc="1316BA1E">
      <w:start w:val="1"/>
      <w:numFmt w:val="bullet"/>
      <w:lvlText w:val="○"/>
      <w:lvlJc w:val="left"/>
      <w:pPr>
        <w:ind w:left="1440" w:hanging="360"/>
      </w:pPr>
      <w:rPr>
        <w:u w:val="none"/>
      </w:rPr>
    </w:lvl>
    <w:lvl w:ilvl="2" w:tplc="B3A096E0">
      <w:start w:val="1"/>
      <w:numFmt w:val="bullet"/>
      <w:lvlText w:val="■"/>
      <w:lvlJc w:val="left"/>
      <w:pPr>
        <w:ind w:left="2160" w:hanging="360"/>
      </w:pPr>
      <w:rPr>
        <w:u w:val="none"/>
      </w:rPr>
    </w:lvl>
    <w:lvl w:ilvl="3" w:tplc="7CE276F2">
      <w:start w:val="1"/>
      <w:numFmt w:val="bullet"/>
      <w:lvlText w:val="●"/>
      <w:lvlJc w:val="left"/>
      <w:pPr>
        <w:ind w:left="2880" w:hanging="360"/>
      </w:pPr>
      <w:rPr>
        <w:u w:val="none"/>
      </w:rPr>
    </w:lvl>
    <w:lvl w:ilvl="4" w:tplc="B07276C8">
      <w:start w:val="1"/>
      <w:numFmt w:val="bullet"/>
      <w:lvlText w:val="○"/>
      <w:lvlJc w:val="left"/>
      <w:pPr>
        <w:ind w:left="3600" w:hanging="360"/>
      </w:pPr>
      <w:rPr>
        <w:u w:val="none"/>
      </w:rPr>
    </w:lvl>
    <w:lvl w:ilvl="5" w:tplc="456CA180">
      <w:start w:val="1"/>
      <w:numFmt w:val="bullet"/>
      <w:lvlText w:val="■"/>
      <w:lvlJc w:val="left"/>
      <w:pPr>
        <w:ind w:left="4320" w:hanging="360"/>
      </w:pPr>
      <w:rPr>
        <w:u w:val="none"/>
      </w:rPr>
    </w:lvl>
    <w:lvl w:ilvl="6" w:tplc="1AF8FE2A">
      <w:start w:val="1"/>
      <w:numFmt w:val="bullet"/>
      <w:lvlText w:val="●"/>
      <w:lvlJc w:val="left"/>
      <w:pPr>
        <w:ind w:left="5040" w:hanging="360"/>
      </w:pPr>
      <w:rPr>
        <w:u w:val="none"/>
      </w:rPr>
    </w:lvl>
    <w:lvl w:ilvl="7" w:tplc="1ED2D708">
      <w:start w:val="1"/>
      <w:numFmt w:val="bullet"/>
      <w:lvlText w:val="○"/>
      <w:lvlJc w:val="left"/>
      <w:pPr>
        <w:ind w:left="5760" w:hanging="360"/>
      </w:pPr>
      <w:rPr>
        <w:u w:val="none"/>
      </w:rPr>
    </w:lvl>
    <w:lvl w:ilvl="8" w:tplc="C4F0BA70">
      <w:start w:val="1"/>
      <w:numFmt w:val="bullet"/>
      <w:lvlText w:val="■"/>
      <w:lvlJc w:val="left"/>
      <w:pPr>
        <w:ind w:left="6480" w:hanging="360"/>
      </w:pPr>
      <w:rPr>
        <w:u w:val="none"/>
      </w:rPr>
    </w:lvl>
  </w:abstractNum>
  <w:abstractNum w:abstractNumId="6">
    <w:nsid w:val="00000006"/>
    <w:multiLevelType w:val="hybridMultilevel"/>
    <w:tmpl w:val="00000000"/>
    <w:lvl w:ilvl="0" w:tplc="4F74A874">
      <w:start w:val="1"/>
      <w:numFmt w:val="bullet"/>
      <w:lvlText w:val="●"/>
      <w:lvlJc w:val="left"/>
      <w:pPr>
        <w:ind w:left="720" w:hanging="360"/>
      </w:pPr>
      <w:rPr>
        <w:u w:val="none"/>
      </w:rPr>
    </w:lvl>
    <w:lvl w:ilvl="1" w:tplc="F8BCD262">
      <w:start w:val="1"/>
      <w:numFmt w:val="bullet"/>
      <w:lvlText w:val="○"/>
      <w:lvlJc w:val="left"/>
      <w:pPr>
        <w:ind w:left="1440" w:hanging="360"/>
      </w:pPr>
      <w:rPr>
        <w:u w:val="none"/>
      </w:rPr>
    </w:lvl>
    <w:lvl w:ilvl="2" w:tplc="B89A9514">
      <w:start w:val="1"/>
      <w:numFmt w:val="bullet"/>
      <w:lvlText w:val="■"/>
      <w:lvlJc w:val="left"/>
      <w:pPr>
        <w:ind w:left="2160" w:hanging="360"/>
      </w:pPr>
      <w:rPr>
        <w:u w:val="none"/>
      </w:rPr>
    </w:lvl>
    <w:lvl w:ilvl="3" w:tplc="C2780BAA">
      <w:start w:val="1"/>
      <w:numFmt w:val="bullet"/>
      <w:lvlText w:val="●"/>
      <w:lvlJc w:val="left"/>
      <w:pPr>
        <w:ind w:left="2880" w:hanging="360"/>
      </w:pPr>
      <w:rPr>
        <w:u w:val="none"/>
      </w:rPr>
    </w:lvl>
    <w:lvl w:ilvl="4" w:tplc="DD665358">
      <w:start w:val="1"/>
      <w:numFmt w:val="bullet"/>
      <w:lvlText w:val="○"/>
      <w:lvlJc w:val="left"/>
      <w:pPr>
        <w:ind w:left="3600" w:hanging="360"/>
      </w:pPr>
      <w:rPr>
        <w:u w:val="none"/>
      </w:rPr>
    </w:lvl>
    <w:lvl w:ilvl="5" w:tplc="EB3E4262">
      <w:start w:val="1"/>
      <w:numFmt w:val="bullet"/>
      <w:lvlText w:val="■"/>
      <w:lvlJc w:val="left"/>
      <w:pPr>
        <w:ind w:left="4320" w:hanging="360"/>
      </w:pPr>
      <w:rPr>
        <w:u w:val="none"/>
      </w:rPr>
    </w:lvl>
    <w:lvl w:ilvl="6" w:tplc="3F1C8786">
      <w:start w:val="1"/>
      <w:numFmt w:val="bullet"/>
      <w:lvlText w:val="●"/>
      <w:lvlJc w:val="left"/>
      <w:pPr>
        <w:ind w:left="5040" w:hanging="360"/>
      </w:pPr>
      <w:rPr>
        <w:u w:val="none"/>
      </w:rPr>
    </w:lvl>
    <w:lvl w:ilvl="7" w:tplc="9B06CF56">
      <w:start w:val="1"/>
      <w:numFmt w:val="bullet"/>
      <w:lvlText w:val="○"/>
      <w:lvlJc w:val="left"/>
      <w:pPr>
        <w:ind w:left="5760" w:hanging="360"/>
      </w:pPr>
      <w:rPr>
        <w:u w:val="none"/>
      </w:rPr>
    </w:lvl>
    <w:lvl w:ilvl="8" w:tplc="A1EC49A8">
      <w:start w:val="1"/>
      <w:numFmt w:val="bullet"/>
      <w:lvlText w:val="■"/>
      <w:lvlJc w:val="left"/>
      <w:pPr>
        <w:ind w:left="6480" w:hanging="360"/>
      </w:pPr>
      <w:rPr>
        <w:u w:val="none"/>
      </w:rPr>
    </w:lvl>
  </w:abstractNum>
  <w:num w:numId="1">
    <w:abstractNumId w:val="1"/>
  </w:num>
  <w:num w:numId="2">
    <w:abstractNumId w:val="4"/>
  </w:num>
  <w:num w:numId="3">
    <w:abstractNumId w:val="3"/>
  </w:num>
  <w:num w:numId="4">
    <w:abstractNumId w:val="0"/>
  </w:num>
  <w:num w:numId="5">
    <w:abstractNumId w:val="6"/>
  </w:num>
  <w:num w:numId="6">
    <w:abstractNumId w:val="5"/>
  </w:num>
  <w:num w:numId="7">
    <w:abstractNumId w:val="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1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sz w:val="22"/>
        <w:szCs w:val="22"/>
        <w:lang w:val="en-US" w:bidi="ar-SA" w:eastAsia="en-US"/>
      </w:rPr>
    </w:rPrDefault>
    <w:pPrDefault>
      <w:pPr>
        <w:spacing w:after="200" w:lineRule="auto" w:line="276"/>
      </w:pPr>
    </w:pPrDefault>
  </w:docDefaults>
  <w:style w:type="paragraph" w:default="1" w:styleId="style0">
    <w:name w:val="Normal"/>
    <w:next w:val="style0"/>
    <w:qFormat/>
    <w:pPr/>
  </w:style>
  <w:style w:type="paragraph" w:styleId="style1">
    <w:name w:val="heading 1"/>
    <w:basedOn w:val="style0"/>
    <w:next w:val="style0"/>
    <w:link w:val="style4099"/>
    <w:qFormat/>
    <w:uiPriority w:val="9"/>
    <w:pPr>
      <w:spacing w:lineRule="auto" w:line="360"/>
      <w:jc w:val="both"/>
      <w:outlineLvl w:val="0"/>
    </w:pPr>
    <w:rPr>
      <w:rFonts w:ascii="Arial" w:cs="Arial" w:hAnsi="Arial"/>
      <w:b/>
      <w:sz w:val="28"/>
    </w:rPr>
  </w:style>
  <w:style w:type="paragraph" w:styleId="style2">
    <w:name w:val="heading 2"/>
    <w:basedOn w:val="style0"/>
    <w:next w:val="style0"/>
    <w:link w:val="style4100"/>
    <w:qFormat/>
    <w:uiPriority w:val="9"/>
    <w:pPr>
      <w:spacing w:lineRule="auto" w:line="360"/>
      <w:jc w:val="both"/>
      <w:outlineLvl w:val="1"/>
    </w:pPr>
    <w:rPr>
      <w:rFonts w:ascii="Arial" w:cs="Arial" w:hAnsi="Arial"/>
      <w:b/>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styleId="style153">
    <w:name w:val="Balloon Text"/>
    <w:basedOn w:val="style0"/>
    <w:next w:val="style153"/>
    <w:link w:val="style4097"/>
    <w:uiPriority w:val="99"/>
    <w:pPr>
      <w:spacing w:after="0" w:lineRule="auto" w:line="240"/>
    </w:pPr>
    <w:rPr>
      <w:rFonts w:ascii="Tahoma" w:cs="Tahoma" w:hAnsi="Tahoma"/>
      <w:sz w:val="16"/>
      <w:szCs w:val="16"/>
    </w:rPr>
  </w:style>
  <w:style w:type="character" w:customStyle="1" w:styleId="style4097">
    <w:name w:val="Balloon Text Char"/>
    <w:basedOn w:val="style65"/>
    <w:next w:val="style4097"/>
    <w:link w:val="style153"/>
    <w:uiPriority w:val="99"/>
    <w:rPr>
      <w:rFonts w:ascii="Tahoma" w:cs="Tahoma" w:hAnsi="Tahoma"/>
      <w:sz w:val="16"/>
      <w:szCs w:val="16"/>
    </w:rPr>
  </w:style>
  <w:style w:type="paragraph" w:styleId="style179">
    <w:name w:val="List Paragraph"/>
    <w:basedOn w:val="style0"/>
    <w:next w:val="style179"/>
    <w:qFormat/>
    <w:uiPriority w:val="34"/>
    <w:pPr>
      <w:ind w:left="720"/>
      <w:contextualSpacing/>
    </w:pPr>
    <w:rPr/>
  </w:style>
  <w:style w:type="table" w:customStyle="1" w:styleId="style4098">
    <w:name w:val="Table1"/>
    <w:basedOn w:val="style105"/>
    <w:next w:val="style4098"/>
    <w:pPr>
      <w:spacing w:after="0"/>
    </w:pPr>
    <w:rPr>
      <w:rFonts w:ascii="Arial" w:cs="Arial" w:eastAsia="Arial" w:hAnsi="Arial"/>
    </w:rPr>
    <w:tblPr>
      <w:tblStyleRowBandSize w:val="1"/>
      <w:tblStyleColBandSize w:val="1"/>
      <w:tblCellMar>
        <w:top w:w="100" w:type="dxa"/>
        <w:left w:w="100" w:type="dxa"/>
        <w:bottom w:w="100" w:type="dxa"/>
        <w:right w:w="100" w:type="dxa"/>
      </w:tblCellMar>
    </w:tblPr>
    <w:tcPr>
      <w:tcBorders/>
    </w:tcPr>
  </w:style>
  <w:style w:type="character" w:styleId="style85">
    <w:name w:val="Hyperlink"/>
    <w:basedOn w:val="style65"/>
    <w:next w:val="style85"/>
    <w:uiPriority w:val="99"/>
    <w:rPr>
      <w:color w:val="0000ff"/>
      <w:u w:val="single"/>
    </w:rPr>
  </w:style>
  <w:style w:type="character" w:customStyle="1" w:styleId="style4099">
    <w:name w:val="Heading 1 Char_d05c65e8-1d12-470d-95f3-dac2f1325c1b"/>
    <w:basedOn w:val="style65"/>
    <w:next w:val="style4099"/>
    <w:link w:val="style1"/>
    <w:uiPriority w:val="9"/>
    <w:rPr>
      <w:rFonts w:ascii="Arial" w:cs="Arial" w:hAnsi="Arial"/>
      <w:b/>
      <w:sz w:val="28"/>
    </w:rPr>
  </w:style>
  <w:style w:type="character" w:customStyle="1" w:styleId="style4100">
    <w:name w:val="Heading 2 Char_5bf078f2-482e-4ff6-8383-a55e101cbd09"/>
    <w:basedOn w:val="style65"/>
    <w:next w:val="style4100"/>
    <w:link w:val="style2"/>
    <w:uiPriority w:val="9"/>
    <w:rPr>
      <w:rFonts w:ascii="Arial" w:cs="Arial" w:hAnsi="Arial"/>
      <w:b/>
      <w:sz w:val="26"/>
      <w:szCs w:val="26"/>
    </w:rPr>
  </w:style>
  <w:style w:type="paragraph" w:styleId="style266">
    <w:name w:val="TOC Heading"/>
    <w:basedOn w:val="style1"/>
    <w:next w:val="style0"/>
    <w:qFormat/>
    <w:uiPriority w:val="39"/>
    <w:pPr>
      <w:keepNext/>
      <w:keepLines/>
      <w:spacing w:before="480" w:after="0" w:lineRule="auto" w:line="276"/>
      <w:jc w:val="left"/>
      <w:outlineLvl w:val="9"/>
    </w:pPr>
    <w:rPr>
      <w:rFonts w:ascii="Cambria" w:cs="宋体" w:eastAsia="宋体" w:hAnsi="Cambria"/>
      <w:bCs/>
      <w:color w:val="365f91"/>
      <w:szCs w:val="28"/>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31">
    <w:name w:val="header"/>
    <w:basedOn w:val="style0"/>
    <w:next w:val="style31"/>
    <w:link w:val="style4101"/>
    <w:uiPriority w:val="99"/>
    <w:pPr>
      <w:tabs>
        <w:tab w:val="center" w:leader="none" w:pos="4680"/>
        <w:tab w:val="right" w:leader="none" w:pos="9360"/>
      </w:tabs>
      <w:spacing w:after="0" w:lineRule="auto" w:line="240"/>
    </w:pPr>
    <w:rPr/>
  </w:style>
  <w:style w:type="character" w:customStyle="1" w:styleId="style4101">
    <w:name w:val="Header Char_c59c235a-99d1-4dd7-aab9-02d458d25920"/>
    <w:basedOn w:val="style65"/>
    <w:next w:val="style4101"/>
    <w:link w:val="style31"/>
    <w:uiPriority w:val="99"/>
  </w:style>
  <w:style w:type="paragraph" w:styleId="style32">
    <w:name w:val="footer"/>
    <w:basedOn w:val="style0"/>
    <w:next w:val="style32"/>
    <w:link w:val="style4102"/>
    <w:uiPriority w:val="99"/>
    <w:pPr>
      <w:tabs>
        <w:tab w:val="center" w:leader="none" w:pos="4680"/>
        <w:tab w:val="right" w:leader="none" w:pos="9360"/>
      </w:tabs>
      <w:spacing w:after="0" w:lineRule="auto" w:line="240"/>
    </w:pPr>
    <w:rPr/>
  </w:style>
  <w:style w:type="character" w:customStyle="1" w:styleId="style4102">
    <w:name w:val="Footer Char_7a0648d1-34ee-4997-86bb-a2f18115f050"/>
    <w:basedOn w:val="style65"/>
    <w:next w:val="style4102"/>
    <w:link w:val="style32"/>
    <w:uiPriority w:val="99"/>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theme" Target="theme/theme1.xml"/><Relationship Id="rId10" Type="http://schemas.openxmlformats.org/officeDocument/2006/relationships/settings" Target="settings.xml"/><Relationship Id="rId12" Type="http://schemas.openxmlformats.org/officeDocument/2006/relationships/customXml" Target="../customXml/item1.xml"/><Relationship Id="rId9" Type="http://schemas.openxmlformats.org/officeDocument/2006/relationships/fontTable" Target="fontTable.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footer" Target="footer1.xml"/><Relationship Id="rId8"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2658239-52E0-4D5A-9DE4-3DEBEBB1B3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3365</Words>
  <Pages>19</Pages>
  <Characters>21212</Characters>
  <Application>WPS Office</Application>
  <DocSecurity>0</DocSecurity>
  <Paragraphs>121</Paragraphs>
  <ScaleCrop>false</ScaleCrop>
  <LinksUpToDate>false</LinksUpToDate>
  <CharactersWithSpaces>24497</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2025-11-21T09:52:05Z</dcterms:created>
  <dc:creator>SIDDHARTHA SAHA</dc:creator>
  <lastModifiedBy>RMX3940</lastModifiedBy>
  <dcterms:modified xsi:type="dcterms:W3CDTF">2025-11-21T09:52:06Z</dcterms:modified>
  <revision>86</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9284e121-1706-499b-b8e1-4b4d420db0f8</vt:lpwstr>
  </property>
</Properties>
</file>