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eastAsia="宋体"/>
          <w:b/>
          <w:bCs/>
          <w:sz w:val="28"/>
          <w:szCs w:val="28"/>
        </w:rPr>
      </w:pPr>
    </w:p>
    <w:p>
      <w:pPr>
        <w:jc w:val="center"/>
        <w:rPr>
          <w:rFonts w:ascii="Times New Roman" w:hAnsi="Times New Roman" w:eastAsia="宋体"/>
          <w:b/>
          <w:bCs/>
          <w:sz w:val="28"/>
          <w:szCs w:val="28"/>
        </w:rPr>
      </w:pPr>
      <w:r>
        <w:rPr>
          <w:rFonts w:cs="Arial"/>
          <w:sz w:val="22"/>
          <w:szCs w:val="22"/>
        </w:rPr>
        <w:drawing>
          <wp:inline distT="0" distB="0" distL="0" distR="0">
            <wp:extent cx="2469515" cy="1029335"/>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6">
                      <a:extLst>
                        <a:ext uri="{28A0092B-C50C-407E-A947-70E740481C1C}">
                          <a14:useLocalDpi xmlns:a14="http://schemas.microsoft.com/office/drawing/2010/main" val="0"/>
                        </a:ext>
                      </a:extLst>
                    </a:blip>
                    <a:srcRect l="7813" t="25781" b="16580"/>
                    <a:stretch>
                      <a:fillRect/>
                    </a:stretch>
                  </pic:blipFill>
                  <pic:spPr>
                    <a:xfrm>
                      <a:off x="0" y="0"/>
                      <a:ext cx="2469600" cy="1029600"/>
                    </a:xfrm>
                    <a:prstGeom prst="rect">
                      <a:avLst/>
                    </a:prstGeom>
                    <a:noFill/>
                    <a:ln>
                      <a:noFill/>
                    </a:ln>
                  </pic:spPr>
                </pic:pic>
              </a:graphicData>
            </a:graphic>
          </wp:inline>
        </w:drawing>
      </w:r>
    </w:p>
    <w:p>
      <w:pPr>
        <w:jc w:val="center"/>
        <w:rPr>
          <w:rFonts w:ascii="Times New Roman" w:hAnsi="Times New Roman" w:eastAsia="宋体"/>
          <w:b/>
          <w:bCs/>
          <w:sz w:val="28"/>
          <w:szCs w:val="28"/>
        </w:rPr>
      </w:pPr>
    </w:p>
    <w:p>
      <w:pPr>
        <w:jc w:val="center"/>
        <w:rPr>
          <w:rFonts w:ascii="Times New Roman" w:hAnsi="Times New Roman" w:eastAsia="宋体"/>
          <w:b/>
          <w:bCs/>
          <w:sz w:val="48"/>
          <w:szCs w:val="48"/>
        </w:rPr>
      </w:pPr>
      <w:r>
        <w:rPr>
          <w:rFonts w:ascii="Times New Roman" w:hAnsi="Times New Roman" w:eastAsia="宋体"/>
          <w:b/>
          <w:bCs/>
          <w:sz w:val="48"/>
          <w:szCs w:val="48"/>
        </w:rPr>
        <w:t>MBA</w:t>
      </w:r>
    </w:p>
    <w:p>
      <w:pPr>
        <w:jc w:val="center"/>
        <w:rPr>
          <w:rFonts w:ascii="Times New Roman" w:hAnsi="Times New Roman" w:eastAsia="宋体"/>
          <w:b/>
          <w:bCs/>
          <w:sz w:val="28"/>
          <w:szCs w:val="28"/>
        </w:rPr>
      </w:pPr>
      <w:r>
        <w:rPr>
          <w:rFonts w:ascii="Times New Roman" w:hAnsi="Times New Roman" w:eastAsia="宋体"/>
          <w:b/>
          <w:bCs/>
          <w:sz w:val="28"/>
          <w:szCs w:val="28"/>
        </w:rPr>
        <w:t>Lecturer:</w:t>
      </w:r>
    </w:p>
    <w:p>
      <w:pPr>
        <w:jc w:val="center"/>
        <w:rPr>
          <w:rFonts w:ascii="Times New Roman" w:hAnsi="Times New Roman" w:eastAsia="宋体"/>
          <w:b/>
          <w:bCs/>
          <w:sz w:val="32"/>
          <w:szCs w:val="32"/>
        </w:rPr>
      </w:pPr>
      <w:r>
        <w:rPr>
          <w:rFonts w:ascii="Times New Roman" w:hAnsi="Times New Roman" w:eastAsia="宋体"/>
          <w:b/>
          <w:bCs/>
          <w:sz w:val="28"/>
          <w:szCs w:val="28"/>
        </w:rPr>
        <w:t>Marie Pitson</w:t>
      </w:r>
    </w:p>
    <w:p>
      <w:pPr>
        <w:jc w:val="center"/>
        <w:rPr>
          <w:rFonts w:ascii="Times New Roman" w:hAnsi="Times New Roman" w:eastAsia="宋体"/>
          <w:b/>
          <w:bCs/>
          <w:sz w:val="28"/>
          <w:szCs w:val="28"/>
        </w:rPr>
      </w:pPr>
    </w:p>
    <w:p>
      <w:pPr>
        <w:jc w:val="center"/>
        <w:rPr>
          <w:rFonts w:ascii="Times New Roman" w:hAnsi="Times New Roman" w:eastAsia="宋体"/>
          <w:b/>
          <w:bCs/>
          <w:sz w:val="40"/>
          <w:szCs w:val="40"/>
        </w:rPr>
      </w:pPr>
      <w:r>
        <w:rPr>
          <w:rFonts w:ascii="Times New Roman" w:hAnsi="Times New Roman" w:eastAsia="宋体"/>
          <w:b/>
          <w:bCs/>
          <w:sz w:val="40"/>
          <w:szCs w:val="40"/>
        </w:rPr>
        <w:t>BMMB7000</w:t>
      </w:r>
    </w:p>
    <w:p>
      <w:pPr>
        <w:jc w:val="center"/>
        <w:rPr>
          <w:rFonts w:ascii="Times New Roman" w:hAnsi="Times New Roman" w:eastAsia="宋体"/>
          <w:b/>
          <w:bCs/>
          <w:sz w:val="40"/>
          <w:szCs w:val="40"/>
        </w:rPr>
      </w:pPr>
      <w:r>
        <w:rPr>
          <w:rFonts w:ascii="Times New Roman" w:hAnsi="Times New Roman" w:eastAsia="宋体"/>
          <w:b/>
          <w:bCs/>
          <w:sz w:val="40"/>
          <w:szCs w:val="40"/>
        </w:rPr>
        <w:t>Change &amp; Stability Management</w:t>
      </w:r>
    </w:p>
    <w:p>
      <w:pPr>
        <w:snapToGrid w:val="0"/>
        <w:spacing w:after="156" w:afterLines="50" w:line="360" w:lineRule="auto"/>
        <w:rPr>
          <w:rFonts w:ascii="Times New Roman" w:hAnsi="Times New Roman" w:eastAsia="宋体"/>
          <w:b/>
          <w:bCs/>
          <w:sz w:val="28"/>
          <w:szCs w:val="28"/>
        </w:rPr>
      </w:pPr>
    </w:p>
    <w:p>
      <w:pPr>
        <w:snapToGrid w:val="0"/>
        <w:spacing w:after="156" w:afterLines="50" w:line="360" w:lineRule="auto"/>
        <w:jc w:val="center"/>
        <w:rPr>
          <w:rFonts w:ascii="Times New Roman" w:hAnsi="Times New Roman" w:eastAsia="宋体"/>
          <w:b/>
          <w:bCs/>
          <w:sz w:val="28"/>
          <w:szCs w:val="28"/>
        </w:rPr>
      </w:pPr>
    </w:p>
    <w:p>
      <w:pPr>
        <w:snapToGrid w:val="0"/>
        <w:jc w:val="center"/>
        <w:rPr>
          <w:rFonts w:ascii="Times New Roman" w:hAnsi="Times New Roman" w:eastAsia="宋体"/>
          <w:b/>
          <w:bCs/>
          <w:sz w:val="36"/>
          <w:szCs w:val="36"/>
        </w:rPr>
      </w:pPr>
      <w:r>
        <w:rPr>
          <w:rFonts w:ascii="Times New Roman" w:hAnsi="Times New Roman" w:eastAsia="宋体"/>
          <w:b/>
          <w:bCs/>
          <w:sz w:val="36"/>
          <w:szCs w:val="36"/>
        </w:rPr>
        <w:t xml:space="preserve">Case Study on Organizational Change of </w:t>
      </w:r>
    </w:p>
    <w:p>
      <w:pPr>
        <w:snapToGrid w:val="0"/>
        <w:jc w:val="center"/>
        <w:rPr>
          <w:rFonts w:ascii="Times New Roman" w:hAnsi="Times New Roman" w:eastAsia="宋体"/>
          <w:b/>
          <w:bCs/>
          <w:sz w:val="36"/>
          <w:szCs w:val="36"/>
        </w:rPr>
      </w:pPr>
      <w:r>
        <w:rPr>
          <w:rFonts w:ascii="Times New Roman" w:hAnsi="Times New Roman" w:eastAsia="宋体"/>
          <w:b/>
          <w:bCs/>
          <w:sz w:val="36"/>
          <w:szCs w:val="36"/>
        </w:rPr>
        <w:t>Chongqing Gearbox Co., Ltd</w:t>
      </w:r>
    </w:p>
    <w:p>
      <w:pPr>
        <w:snapToGrid w:val="0"/>
        <w:spacing w:after="156" w:afterLines="50" w:line="360" w:lineRule="auto"/>
        <w:jc w:val="center"/>
        <w:rPr>
          <w:rFonts w:ascii="Times New Roman" w:hAnsi="Times New Roman" w:eastAsia="宋体"/>
          <w:b/>
          <w:bCs/>
          <w:sz w:val="28"/>
          <w:szCs w:val="28"/>
        </w:rPr>
      </w:pPr>
    </w:p>
    <w:p>
      <w:pPr>
        <w:snapToGrid w:val="0"/>
        <w:spacing w:after="156" w:afterLines="50" w:line="360" w:lineRule="auto"/>
        <w:jc w:val="center"/>
        <w:rPr>
          <w:rFonts w:ascii="Times New Roman" w:hAnsi="Times New Roman" w:eastAsia="宋体"/>
          <w:b/>
          <w:bCs/>
          <w:sz w:val="28"/>
          <w:szCs w:val="28"/>
        </w:rPr>
      </w:pPr>
      <w:r>
        <w:rPr>
          <w:rFonts w:hint="eastAsia" w:ascii="Times New Roman" w:hAnsi="Times New Roman" w:eastAsia="宋体"/>
          <w:b/>
          <w:bCs/>
          <w:sz w:val="28"/>
          <w:szCs w:val="28"/>
          <w:lang w:val="en-US" w:eastAsia="zh-CN"/>
        </w:rPr>
        <w:t>Ziyang Guo</w:t>
      </w:r>
    </w:p>
    <w:p>
      <w:pPr>
        <w:snapToGrid w:val="0"/>
        <w:spacing w:after="156" w:afterLines="50" w:line="360" w:lineRule="auto"/>
        <w:jc w:val="center"/>
        <w:rPr>
          <w:rFonts w:ascii="Times New Roman" w:hAnsi="Times New Roman" w:eastAsia="宋体"/>
          <w:b/>
          <w:bCs/>
          <w:sz w:val="28"/>
          <w:szCs w:val="28"/>
        </w:rPr>
      </w:pPr>
      <w:r>
        <w:rPr>
          <w:rFonts w:hint="eastAsia" w:ascii="Times New Roman" w:hAnsi="Times New Roman" w:eastAsia="宋体"/>
          <w:b/>
          <w:bCs/>
          <w:sz w:val="28"/>
          <w:szCs w:val="28"/>
          <w:lang w:val="en-US" w:eastAsia="zh-CN"/>
        </w:rPr>
        <w:t>2233445</w:t>
      </w:r>
      <w:bookmarkStart w:id="14" w:name="_GoBack"/>
      <w:bookmarkEnd w:id="14"/>
    </w:p>
    <w:p>
      <w:pPr>
        <w:widowControl/>
        <w:jc w:val="left"/>
        <w:rPr>
          <w:rFonts w:ascii="Times New Roman" w:hAnsi="Times New Roman" w:eastAsia="Times New Roman" w:cs="Times New Roman"/>
          <w:b/>
          <w:bCs/>
          <w:kern w:val="44"/>
          <w:sz w:val="28"/>
          <w:szCs w:val="44"/>
        </w:rPr>
      </w:pPr>
    </w:p>
    <w:p>
      <w:pPr>
        <w:widowControl/>
        <w:jc w:val="left"/>
        <w:rPr>
          <w:rFonts w:ascii="Times New Roman" w:hAnsi="Times New Roman" w:eastAsia="Times New Roman" w:cs="Times New Roman"/>
          <w:b/>
          <w:bCs/>
          <w:kern w:val="44"/>
          <w:sz w:val="28"/>
          <w:szCs w:val="44"/>
        </w:rPr>
      </w:pPr>
      <w:r>
        <w:rPr>
          <w:rFonts w:ascii="Times New Roman" w:hAnsi="Times New Roman" w:eastAsia="Times New Roman" w:cs="Times New Roman"/>
          <w:b/>
          <w:bCs/>
          <w:kern w:val="44"/>
          <w:sz w:val="28"/>
          <w:szCs w:val="44"/>
        </w:rPr>
        <w:br w:type="page"/>
      </w:r>
    </w:p>
    <w:p>
      <w:pPr>
        <w:widowControl/>
        <w:spacing w:line="480" w:lineRule="auto"/>
        <w:jc w:val="center"/>
        <w:rPr>
          <w:rFonts w:ascii="Times New Roman" w:hAnsi="Times New Roman" w:eastAsia="Times New Roman" w:cs="Times New Roman"/>
          <w:b/>
          <w:bCs/>
          <w:kern w:val="44"/>
          <w:sz w:val="28"/>
          <w:szCs w:val="44"/>
        </w:rPr>
      </w:pPr>
      <w:r>
        <w:rPr>
          <w:rFonts w:ascii="Times New Roman" w:hAnsi="Times New Roman" w:eastAsia="Times New Roman" w:cs="Times New Roman"/>
          <w:b/>
          <w:bCs/>
          <w:kern w:val="44"/>
          <w:sz w:val="28"/>
          <w:szCs w:val="44"/>
        </w:rPr>
        <w:t>EXECUTIVE SUMMARY</w:t>
      </w:r>
    </w:p>
    <w:p>
      <w:pPr>
        <w:widowControl/>
        <w:spacing w:line="480" w:lineRule="auto"/>
        <w:rPr>
          <w:rFonts w:ascii="Times New Roman" w:hAnsi="Times New Roman" w:eastAsia="Times New Roman" w:cs="Times New Roman"/>
          <w:kern w:val="44"/>
          <w:sz w:val="24"/>
          <w:szCs w:val="40"/>
        </w:rPr>
      </w:pPr>
      <w:r>
        <w:rPr>
          <w:rFonts w:ascii="Times New Roman" w:hAnsi="Times New Roman" w:eastAsia="Times New Roman" w:cs="Times New Roman"/>
          <w:kern w:val="44"/>
          <w:sz w:val="24"/>
          <w:szCs w:val="40"/>
        </w:rPr>
        <w:t>In recent years, Chinese industrial enterprises have been trying to find new driving forces for development. Internet plus, integration of industrialization and industrialization, Industrial Internet, intelligent manufacturing, high-quality development and other innovative paths have emerged one after another. However, the exploration path of many industrial enterprises is very tortuous, with high exploration costs. However, the exploration results are disheartening, and phenomena such as declining sales performance, insufficient production and operation, rapid decline in profit margins, and employee layoffs are gradually spreading.</w:t>
      </w:r>
    </w:p>
    <w:p>
      <w:pPr>
        <w:widowControl/>
        <w:spacing w:line="480" w:lineRule="auto"/>
        <w:rPr>
          <w:rFonts w:ascii="Times New Roman" w:hAnsi="Times New Roman" w:eastAsia="Times New Roman" w:cs="Times New Roman"/>
          <w:kern w:val="44"/>
          <w:sz w:val="24"/>
          <w:szCs w:val="40"/>
        </w:rPr>
      </w:pPr>
      <w:r>
        <w:rPr>
          <w:rFonts w:ascii="Times New Roman" w:hAnsi="Times New Roman" w:eastAsia="Times New Roman" w:cs="Times New Roman"/>
          <w:kern w:val="44"/>
          <w:sz w:val="24"/>
          <w:szCs w:val="40"/>
        </w:rPr>
        <w:t>This article is based on the actual situation of large state-owned industrial consumer goods manufacturing enterprises in China at present, combined with the current research status at home and abroad, and applies system theory to analyze the progress and shortcomings of the transformation measures implemented by Chongqing Gearbox Co., Ltd. in terms of internal and external environment, transformation pressure, transformation conditions, internal value chain, business processes, control system, organizational structure, and other aspects, A strategy oriented organizational reform plan of "Internet plus" was proposed. And identified the risks of organizational change and proposed corresponding suggestions.</w:t>
      </w:r>
    </w:p>
    <w:p>
      <w:pPr>
        <w:widowControl/>
        <w:jc w:val="left"/>
        <w:rPr>
          <w:rFonts w:ascii="Times New Roman" w:hAnsi="Times New Roman" w:cs="Times New Roman"/>
        </w:rPr>
      </w:pPr>
      <w:r>
        <w:rPr>
          <w:rFonts w:ascii="Times New Roman" w:hAnsi="Times New Roman" w:cs="Times New Roman"/>
        </w:rPr>
        <w:br w:type="page"/>
      </w:r>
    </w:p>
    <w:p>
      <w:pPr>
        <w:widowControl/>
        <w:spacing w:line="480" w:lineRule="auto"/>
        <w:jc w:val="center"/>
        <w:rPr>
          <w:rFonts w:ascii="Times New Roman" w:hAnsi="Times New Roman" w:eastAsia="Times New Roman" w:cs="Times New Roman"/>
          <w:b/>
          <w:bCs/>
          <w:kern w:val="44"/>
          <w:sz w:val="28"/>
          <w:szCs w:val="28"/>
        </w:rPr>
      </w:pPr>
      <w:r>
        <w:rPr>
          <w:rFonts w:ascii="Times New Roman" w:hAnsi="Times New Roman" w:eastAsia="Times New Roman" w:cs="Times New Roman"/>
          <w:b/>
          <w:bCs/>
          <w:kern w:val="44"/>
          <w:sz w:val="28"/>
          <w:szCs w:val="28"/>
        </w:rPr>
        <w:t>CONTENTS</w:t>
      </w:r>
    </w:p>
    <w:p>
      <w:pPr>
        <w:pStyle w:val="9"/>
        <w:spacing w:line="360" w:lineRule="auto"/>
        <w:rPr>
          <w:rFonts w:ascii="Times New Roman" w:hAnsi="Times New Roman" w:cs="Times New Roman" w:eastAsiaTheme="minorEastAsia"/>
          <w:b w:val="0"/>
          <w:bCs w:val="0"/>
          <w:caps w:val="0"/>
          <w:sz w:val="24"/>
          <w:szCs w:val="24"/>
        </w:rPr>
      </w:pPr>
      <w:r>
        <w:rPr>
          <w:rFonts w:ascii="Times New Roman" w:hAnsi="Times New Roman" w:eastAsia="Times New Roman" w:cs="Times New Roman"/>
          <w:kern w:val="44"/>
          <w:sz w:val="24"/>
          <w:szCs w:val="24"/>
        </w:rPr>
        <w:fldChar w:fldCharType="begin"/>
      </w:r>
      <w:r>
        <w:rPr>
          <w:rFonts w:ascii="Times New Roman" w:hAnsi="Times New Roman" w:eastAsia="Times New Roman" w:cs="Times New Roman"/>
          <w:kern w:val="44"/>
          <w:sz w:val="24"/>
          <w:szCs w:val="24"/>
        </w:rPr>
        <w:instrText xml:space="preserve"> TOC \o "1-3" \h \z \u </w:instrText>
      </w:r>
      <w:r>
        <w:rPr>
          <w:rFonts w:ascii="Times New Roman" w:hAnsi="Times New Roman" w:eastAsia="Times New Roman" w:cs="Times New Roman"/>
          <w:kern w:val="44"/>
          <w:sz w:val="24"/>
          <w:szCs w:val="24"/>
        </w:rPr>
        <w:fldChar w:fldCharType="separate"/>
      </w:r>
      <w:r>
        <w:fldChar w:fldCharType="begin"/>
      </w:r>
      <w:r>
        <w:instrText xml:space="preserve"> HYPERLINK \l "_Toc134098441" </w:instrText>
      </w:r>
      <w:r>
        <w:fldChar w:fldCharType="separate"/>
      </w:r>
      <w:r>
        <w:rPr>
          <w:rStyle w:val="18"/>
          <w:rFonts w:ascii="Times New Roman" w:hAnsi="Times New Roman" w:cs="Times New Roman"/>
          <w:sz w:val="24"/>
          <w:szCs w:val="24"/>
        </w:rPr>
        <w:t>Company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_Toc134098441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spacing w:line="360" w:lineRule="auto"/>
        <w:rPr>
          <w:rFonts w:ascii="Times New Roman" w:hAnsi="Times New Roman" w:cs="Times New Roman" w:eastAsiaTheme="minorEastAsia"/>
          <w:b w:val="0"/>
          <w:bCs w:val="0"/>
          <w:caps w:val="0"/>
          <w:sz w:val="24"/>
          <w:szCs w:val="24"/>
        </w:rPr>
      </w:pPr>
      <w:r>
        <w:fldChar w:fldCharType="begin"/>
      </w:r>
      <w:r>
        <w:instrText xml:space="preserve"> HYPERLINK \l "_Toc134098442" </w:instrText>
      </w:r>
      <w:r>
        <w:fldChar w:fldCharType="separate"/>
      </w:r>
      <w:r>
        <w:rPr>
          <w:rStyle w:val="18"/>
          <w:rFonts w:ascii="Times New Roman" w:hAnsi="Times New Roman" w:cs="Times New Roman"/>
          <w:sz w:val="24"/>
          <w:szCs w:val="24"/>
        </w:rPr>
        <w:t>Internal/External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_Toc134098442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8296"/>
        </w:tabs>
        <w:spacing w:line="360" w:lineRule="auto"/>
        <w:rPr>
          <w:rFonts w:ascii="Times New Roman" w:hAnsi="Times New Roman" w:cs="Times New Roman" w:eastAsiaTheme="minorEastAsia"/>
          <w:smallCaps w:val="0"/>
          <w:sz w:val="24"/>
          <w:szCs w:val="24"/>
        </w:rPr>
      </w:pPr>
      <w:r>
        <w:fldChar w:fldCharType="begin"/>
      </w:r>
      <w:r>
        <w:instrText xml:space="preserve"> HYPERLINK \l "_Toc134098443" </w:instrText>
      </w:r>
      <w:r>
        <w:fldChar w:fldCharType="separate"/>
      </w:r>
      <w:r>
        <w:rPr>
          <w:rStyle w:val="18"/>
          <w:rFonts w:ascii="Times New Roman" w:hAnsi="Times New Roman" w:cs="Times New Roman"/>
          <w:sz w:val="24"/>
          <w:szCs w:val="24"/>
        </w:rPr>
        <w:t>2.1 External environment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_Toc134098443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8296"/>
        </w:tabs>
        <w:spacing w:line="360" w:lineRule="auto"/>
        <w:rPr>
          <w:rFonts w:ascii="Times New Roman" w:hAnsi="Times New Roman" w:cs="Times New Roman" w:eastAsiaTheme="minorEastAsia"/>
          <w:smallCaps w:val="0"/>
          <w:sz w:val="24"/>
          <w:szCs w:val="24"/>
        </w:rPr>
      </w:pPr>
      <w:r>
        <w:fldChar w:fldCharType="begin"/>
      </w:r>
      <w:r>
        <w:instrText xml:space="preserve"> HYPERLINK \l "_Toc134098444" </w:instrText>
      </w:r>
      <w:r>
        <w:fldChar w:fldCharType="separate"/>
      </w:r>
      <w:r>
        <w:rPr>
          <w:rStyle w:val="18"/>
          <w:rFonts w:ascii="Times New Roman" w:hAnsi="Times New Roman" w:cs="Times New Roman"/>
          <w:sz w:val="24"/>
          <w:szCs w:val="24"/>
        </w:rPr>
        <w:t>2.2 Internal environment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_Toc134098444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spacing w:line="360" w:lineRule="auto"/>
        <w:rPr>
          <w:rFonts w:ascii="Times New Roman" w:hAnsi="Times New Roman" w:cs="Times New Roman" w:eastAsiaTheme="minorEastAsia"/>
          <w:b w:val="0"/>
          <w:bCs w:val="0"/>
          <w:caps w:val="0"/>
          <w:sz w:val="24"/>
          <w:szCs w:val="24"/>
        </w:rPr>
      </w:pPr>
      <w:r>
        <w:fldChar w:fldCharType="begin"/>
      </w:r>
      <w:r>
        <w:instrText xml:space="preserve"> HYPERLINK \l "_Toc134098445" </w:instrText>
      </w:r>
      <w:r>
        <w:fldChar w:fldCharType="separate"/>
      </w:r>
      <w:r>
        <w:rPr>
          <w:rStyle w:val="18"/>
          <w:rFonts w:ascii="Times New Roman" w:hAnsi="Times New Roman" w:cs="Times New Roman"/>
          <w:sz w:val="24"/>
          <w:szCs w:val="24"/>
        </w:rPr>
        <w:t>Force Field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_Toc134098445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8296"/>
        </w:tabs>
        <w:spacing w:line="360" w:lineRule="auto"/>
        <w:rPr>
          <w:rFonts w:ascii="Times New Roman" w:hAnsi="Times New Roman" w:cs="Times New Roman" w:eastAsiaTheme="minorEastAsia"/>
          <w:smallCaps w:val="0"/>
          <w:sz w:val="24"/>
          <w:szCs w:val="24"/>
        </w:rPr>
      </w:pPr>
      <w:r>
        <w:fldChar w:fldCharType="begin"/>
      </w:r>
      <w:r>
        <w:instrText xml:space="preserve"> HYPERLINK \l "_Toc134098446" </w:instrText>
      </w:r>
      <w:r>
        <w:fldChar w:fldCharType="separate"/>
      </w:r>
      <w:r>
        <w:rPr>
          <w:rStyle w:val="18"/>
          <w:rFonts w:ascii="Times New Roman" w:hAnsi="Times New Roman" w:cs="Times New Roman"/>
          <w:sz w:val="24"/>
          <w:szCs w:val="24"/>
        </w:rPr>
        <w:t>3.1 Key drivers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_Toc134098446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8296"/>
        </w:tabs>
        <w:spacing w:line="360" w:lineRule="auto"/>
        <w:rPr>
          <w:rFonts w:ascii="Times New Roman" w:hAnsi="Times New Roman" w:cs="Times New Roman" w:eastAsiaTheme="minorEastAsia"/>
          <w:smallCaps w:val="0"/>
          <w:sz w:val="24"/>
          <w:szCs w:val="24"/>
        </w:rPr>
      </w:pPr>
      <w:r>
        <w:fldChar w:fldCharType="begin"/>
      </w:r>
      <w:r>
        <w:instrText xml:space="preserve"> HYPERLINK \l "_Toc134098447" </w:instrText>
      </w:r>
      <w:r>
        <w:fldChar w:fldCharType="separate"/>
      </w:r>
      <w:r>
        <w:rPr>
          <w:rStyle w:val="18"/>
          <w:rFonts w:ascii="Times New Roman" w:hAnsi="Times New Roman" w:cs="Times New Roman"/>
          <w:sz w:val="24"/>
          <w:szCs w:val="24"/>
        </w:rPr>
        <w:t>3.2 Key resistance factors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_Toc134098447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spacing w:line="360" w:lineRule="auto"/>
        <w:rPr>
          <w:rFonts w:ascii="Times New Roman" w:hAnsi="Times New Roman" w:cs="Times New Roman" w:eastAsiaTheme="minorEastAsia"/>
          <w:b w:val="0"/>
          <w:bCs w:val="0"/>
          <w:caps w:val="0"/>
          <w:sz w:val="24"/>
          <w:szCs w:val="24"/>
        </w:rPr>
      </w:pPr>
      <w:r>
        <w:fldChar w:fldCharType="begin"/>
      </w:r>
      <w:r>
        <w:instrText xml:space="preserve"> HYPERLINK \l "_Toc134098448" </w:instrText>
      </w:r>
      <w:r>
        <w:fldChar w:fldCharType="separate"/>
      </w:r>
      <w:r>
        <w:rPr>
          <w:rStyle w:val="18"/>
          <w:rFonts w:ascii="Times New Roman" w:hAnsi="Times New Roman" w:cs="Times New Roman"/>
          <w:sz w:val="24"/>
          <w:szCs w:val="24"/>
        </w:rPr>
        <w:t>Lewin’S Three-Step Model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_Toc134098448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spacing w:line="360" w:lineRule="auto"/>
        <w:rPr>
          <w:rFonts w:ascii="Times New Roman" w:hAnsi="Times New Roman" w:cs="Times New Roman" w:eastAsiaTheme="minorEastAsia"/>
          <w:b w:val="0"/>
          <w:bCs w:val="0"/>
          <w:caps w:val="0"/>
          <w:sz w:val="24"/>
          <w:szCs w:val="24"/>
        </w:rPr>
      </w:pPr>
      <w:r>
        <w:fldChar w:fldCharType="begin"/>
      </w:r>
      <w:r>
        <w:instrText xml:space="preserve"> HYPERLINK \l "_Toc134098449" </w:instrText>
      </w:r>
      <w:r>
        <w:fldChar w:fldCharType="separate"/>
      </w:r>
      <w:r>
        <w:rPr>
          <w:rStyle w:val="18"/>
          <w:rFonts w:ascii="Times New Roman" w:hAnsi="Times New Roman" w:cs="Times New Roman"/>
          <w:sz w:val="24"/>
          <w:szCs w:val="24"/>
        </w:rPr>
        <w:t>Kotter's Eight Step Method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_Toc134098449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spacing w:line="360" w:lineRule="auto"/>
        <w:rPr>
          <w:rFonts w:ascii="Times New Roman" w:hAnsi="Times New Roman" w:cs="Times New Roman" w:eastAsiaTheme="minorEastAsia"/>
          <w:b w:val="0"/>
          <w:bCs w:val="0"/>
          <w:caps w:val="0"/>
          <w:sz w:val="24"/>
          <w:szCs w:val="24"/>
        </w:rPr>
      </w:pPr>
      <w:r>
        <w:fldChar w:fldCharType="begin"/>
      </w:r>
      <w:r>
        <w:instrText xml:space="preserve"> HYPERLINK \l "_Toc134098450" </w:instrText>
      </w:r>
      <w:r>
        <w:fldChar w:fldCharType="separate"/>
      </w:r>
      <w:r>
        <w:rPr>
          <w:rStyle w:val="18"/>
          <w:rFonts w:ascii="Times New Roman" w:hAnsi="Times New Roman" w:cs="Times New Roman"/>
          <w:sz w:val="24"/>
          <w:szCs w:val="24"/>
        </w:rPr>
        <w:t>6.</w:t>
      </w:r>
      <w:r>
        <w:rPr>
          <w:rFonts w:ascii="Times New Roman" w:hAnsi="Times New Roman" w:cs="Times New Roman" w:eastAsiaTheme="minorEastAsia"/>
          <w:b w:val="0"/>
          <w:bCs w:val="0"/>
          <w:caps w:val="0"/>
          <w:sz w:val="24"/>
          <w:szCs w:val="24"/>
        </w:rPr>
        <w:tab/>
      </w:r>
      <w:r>
        <w:rPr>
          <w:rStyle w:val="18"/>
          <w:rFonts w:ascii="Times New Roman" w:hAnsi="Times New Roman" w:cs="Times New Roman"/>
          <w:sz w:val="24"/>
          <w:szCs w:val="24"/>
        </w:rPr>
        <w:t>Stakeholder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_Toc134098450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spacing w:line="360" w:lineRule="auto"/>
        <w:rPr>
          <w:rFonts w:ascii="Times New Roman" w:hAnsi="Times New Roman" w:cs="Times New Roman" w:eastAsiaTheme="minorEastAsia"/>
          <w:b w:val="0"/>
          <w:bCs w:val="0"/>
          <w:caps w:val="0"/>
          <w:sz w:val="24"/>
          <w:szCs w:val="24"/>
        </w:rPr>
      </w:pPr>
      <w:r>
        <w:fldChar w:fldCharType="begin"/>
      </w:r>
      <w:r>
        <w:instrText xml:space="preserve"> HYPERLINK \l "_Toc134098451" </w:instrText>
      </w:r>
      <w:r>
        <w:fldChar w:fldCharType="separate"/>
      </w:r>
      <w:r>
        <w:rPr>
          <w:rStyle w:val="18"/>
          <w:rFonts w:ascii="Times New Roman" w:hAnsi="Times New Roman" w:cs="Times New Roman"/>
          <w:sz w:val="24"/>
          <w:szCs w:val="24"/>
        </w:rPr>
        <w:t>7.</w:t>
      </w:r>
      <w:r>
        <w:rPr>
          <w:rFonts w:ascii="Times New Roman" w:hAnsi="Times New Roman" w:cs="Times New Roman" w:eastAsiaTheme="minorEastAsia"/>
          <w:b w:val="0"/>
          <w:bCs w:val="0"/>
          <w:caps w:val="0"/>
          <w:sz w:val="24"/>
          <w:szCs w:val="24"/>
        </w:rPr>
        <w:tab/>
      </w:r>
      <w:r>
        <w:rPr>
          <w:rStyle w:val="18"/>
          <w:rFonts w:ascii="Times New Roman" w:hAnsi="Times New Roman" w:cs="Times New Roman"/>
          <w:sz w:val="24"/>
          <w:szCs w:val="24"/>
        </w:rPr>
        <w:t>Evaluation of change plans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_Toc134098451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spacing w:line="360" w:lineRule="auto"/>
        <w:rPr>
          <w:rFonts w:ascii="Times New Roman" w:hAnsi="Times New Roman" w:cs="Times New Roman" w:eastAsiaTheme="minorEastAsia"/>
          <w:b w:val="0"/>
          <w:bCs w:val="0"/>
          <w:caps w:val="0"/>
          <w:sz w:val="24"/>
          <w:szCs w:val="24"/>
        </w:rPr>
      </w:pPr>
      <w:r>
        <w:fldChar w:fldCharType="begin"/>
      </w:r>
      <w:r>
        <w:instrText xml:space="preserve"> HYPERLINK \l "_Toc134098452" </w:instrText>
      </w:r>
      <w:r>
        <w:fldChar w:fldCharType="separate"/>
      </w:r>
      <w:r>
        <w:rPr>
          <w:rStyle w:val="18"/>
          <w:rFonts w:ascii="Times New Roman" w:hAnsi="Times New Roman" w:cs="Times New Roman"/>
          <w:sz w:val="24"/>
          <w:szCs w:val="24"/>
        </w:rPr>
        <w:t>8.</w:t>
      </w:r>
      <w:r>
        <w:rPr>
          <w:rFonts w:ascii="Times New Roman" w:hAnsi="Times New Roman" w:cs="Times New Roman" w:eastAsiaTheme="minorEastAsia"/>
          <w:b w:val="0"/>
          <w:bCs w:val="0"/>
          <w:caps w:val="0"/>
          <w:sz w:val="24"/>
          <w:szCs w:val="24"/>
        </w:rPr>
        <w:tab/>
      </w:r>
      <w:r>
        <w:rPr>
          <w:rStyle w:val="18"/>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_Toc134098452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spacing w:line="360" w:lineRule="auto"/>
        <w:rPr>
          <w:rFonts w:ascii="Times New Roman" w:hAnsi="Times New Roman" w:cs="Times New Roman" w:eastAsiaTheme="minorEastAsia"/>
          <w:b w:val="0"/>
          <w:bCs w:val="0"/>
          <w:caps w:val="0"/>
          <w:sz w:val="24"/>
          <w:szCs w:val="24"/>
        </w:rPr>
      </w:pPr>
      <w:r>
        <w:fldChar w:fldCharType="begin"/>
      </w:r>
      <w:r>
        <w:instrText xml:space="preserve"> HYPERLINK \l "_Toc134098453" </w:instrText>
      </w:r>
      <w:r>
        <w:fldChar w:fldCharType="separate"/>
      </w:r>
      <w:r>
        <w:rPr>
          <w:rStyle w:val="18"/>
          <w:rFonts w:ascii="Times New Roman" w:hAnsi="Times New Roman" w:cs="Times New Roman"/>
          <w:sz w:val="24"/>
          <w:szCs w:val="24"/>
        </w:rPr>
        <w:t>9.</w:t>
      </w:r>
      <w:r>
        <w:rPr>
          <w:rFonts w:ascii="Times New Roman" w:hAnsi="Times New Roman" w:cs="Times New Roman" w:eastAsiaTheme="minorEastAsia"/>
          <w:b w:val="0"/>
          <w:bCs w:val="0"/>
          <w:caps w:val="0"/>
          <w:sz w:val="24"/>
          <w:szCs w:val="24"/>
        </w:rPr>
        <w:tab/>
      </w:r>
      <w:r>
        <w:rPr>
          <w:rStyle w:val="18"/>
          <w:rFonts w:ascii="Times New Roman" w:hAnsi="Times New Roman" w:cs="Times New Roman"/>
          <w:sz w:val="24"/>
          <w:szCs w:val="24"/>
        </w:rPr>
        <w:t>Recommendation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_Toc134098453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spacing w:line="360" w:lineRule="auto"/>
        <w:rPr>
          <w:rFonts w:ascii="Times New Roman" w:hAnsi="Times New Roman" w:cs="Times New Roman" w:eastAsiaTheme="minorEastAsia"/>
          <w:b w:val="0"/>
          <w:bCs w:val="0"/>
          <w:caps w:val="0"/>
          <w:sz w:val="24"/>
          <w:szCs w:val="24"/>
        </w:rPr>
      </w:pPr>
      <w:r>
        <w:fldChar w:fldCharType="begin"/>
      </w:r>
      <w:r>
        <w:instrText xml:space="preserve"> HYPERLINK \l "_Toc134098454" </w:instrText>
      </w:r>
      <w:r>
        <w:fldChar w:fldCharType="separate"/>
      </w:r>
      <w:r>
        <w:rPr>
          <w:rStyle w:val="18"/>
          <w:rFonts w:ascii="Times New Roman" w:hAnsi="Times New Roman" w:cs="Times New Roman"/>
          <w:sz w:val="24"/>
          <w:szCs w:val="24"/>
        </w:rPr>
        <w:t>Reference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_Toc134098454 \h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widowControl/>
        <w:spacing w:line="360" w:lineRule="auto"/>
        <w:rPr>
          <w:rFonts w:ascii="Times New Roman" w:hAnsi="Times New Roman" w:eastAsia="Times New Roman" w:cs="Times New Roman"/>
          <w:b/>
          <w:bCs/>
          <w:kern w:val="44"/>
          <w:sz w:val="28"/>
          <w:szCs w:val="44"/>
        </w:rPr>
      </w:pPr>
      <w:r>
        <w:rPr>
          <w:rFonts w:ascii="Times New Roman" w:hAnsi="Times New Roman" w:eastAsia="Times New Roman" w:cs="Times New Roman"/>
          <w:b/>
          <w:bCs/>
          <w:kern w:val="44"/>
          <w:sz w:val="24"/>
        </w:rPr>
        <w:fldChar w:fldCharType="end"/>
      </w:r>
    </w:p>
    <w:p>
      <w:pPr>
        <w:widowControl/>
        <w:jc w:val="left"/>
        <w:rPr>
          <w:rFonts w:ascii="Times New Roman" w:hAnsi="Times New Roman" w:eastAsia="Times New Roman" w:cs="Times New Roman"/>
          <w:b/>
          <w:bCs/>
          <w:kern w:val="44"/>
          <w:sz w:val="28"/>
          <w:szCs w:val="44"/>
        </w:rPr>
      </w:pPr>
    </w:p>
    <w:p>
      <w:pPr>
        <w:widowControl/>
        <w:jc w:val="left"/>
        <w:rPr>
          <w:rFonts w:cs="Times New Roman"/>
        </w:rPr>
      </w:pPr>
      <w:r>
        <w:rPr>
          <w:rFonts w:cs="Times New Roman"/>
        </w:rPr>
        <w:br w:type="page"/>
      </w:r>
    </w:p>
    <w:p>
      <w:pPr>
        <w:pStyle w:val="2"/>
        <w:numPr>
          <w:ilvl w:val="0"/>
          <w:numId w:val="1"/>
        </w:numPr>
      </w:pPr>
      <w:bookmarkStart w:id="0" w:name="_Toc134098441"/>
      <w:r>
        <w:t>Company Introduction</w:t>
      </w:r>
      <w:bookmarkEnd w:id="0"/>
    </w:p>
    <w:p>
      <w:pPr>
        <w:spacing w:after="156" w:afterLines="50" w:line="480" w:lineRule="auto"/>
        <w:rPr>
          <w:rFonts w:ascii="Times New Roman" w:hAnsi="Times New Roman" w:cs="Times New Roman"/>
          <w:sz w:val="24"/>
        </w:rPr>
      </w:pPr>
      <w:r>
        <w:rPr>
          <w:rFonts w:ascii="Times New Roman" w:hAnsi="Times New Roman" w:cs="Times New Roman"/>
          <w:sz w:val="24"/>
        </w:rPr>
        <w:t>Chongqing Gearbox Co., Ltd. (hereinafter referred to as CG Company) is a large state-owned industrial enterprise. Covering an area of approximately 1 million square meters, with assets of over 7 billion RMB and over 2000 employees, our main business is the design, manufacturing, and service of gear transmission devices, vibration damping devices, and transmission clutch devices. The products are widely used in industries such as military and marine engineering, building materials equipment, electrical (hydraulic, thermal, wind, solar) equipment, metallurgical equipment, environmental protection equipment, transportation facilities (equipment), oil and gas extraction equipment, solid waste treatment equipment, etc. Users are spread across various continents (oceans) around the world, and their market share in China is ranked first and second by industry segment; The ranking of technical capabilities among domestic enterprises in the same industry is also ranked first in some fields and second in some fields; The company's hardware facilities and equipment are at the top level in the same industry in China; The overall scale of the company ranks second in the domestic industry.</w:t>
      </w:r>
    </w:p>
    <w:p>
      <w:pPr>
        <w:spacing w:after="156" w:afterLines="50" w:line="480" w:lineRule="auto"/>
        <w:rPr>
          <w:rFonts w:ascii="Times New Roman" w:hAnsi="Times New Roman" w:cs="Times New Roman"/>
          <w:sz w:val="24"/>
        </w:rPr>
      </w:pPr>
      <w:r>
        <w:rPr>
          <w:rFonts w:ascii="Times New Roman" w:hAnsi="Times New Roman" w:cs="Times New Roman"/>
          <w:sz w:val="24"/>
        </w:rPr>
        <w:t>Although the enterprise is still among the top two pioneers in the industry, the slow pace of implementing the "Internet plus Enterprise" has resulted in weak value added capacity of the enterprise's internal value chain, poor efficiency and stability of business processes, excessive control over people by the management and control system, insufficient management and stimulation functions, bloated organizational structure, and serious departmental walls and insulation. As a result, the company's development is hindered and strategic implementation is weak. This also makes the pressure of organizational change of enterprises in the "Internet plus" era more and more great, the problems more and more prominent, and the conditions for change more and more mature.</w:t>
      </w:r>
    </w:p>
    <w:p>
      <w:pPr>
        <w:spacing w:after="156" w:afterLines="50" w:line="480" w:lineRule="auto"/>
        <w:rPr>
          <w:rFonts w:ascii="Times New Roman" w:hAnsi="Times New Roman" w:cs="Times New Roman"/>
          <w:sz w:val="24"/>
        </w:rPr>
      </w:pPr>
    </w:p>
    <w:p>
      <w:pPr>
        <w:spacing w:after="156" w:afterLines="50" w:line="480" w:lineRule="auto"/>
        <w:rPr>
          <w:rFonts w:ascii="Times New Roman" w:hAnsi="Times New Roman" w:cs="Times New Roman"/>
          <w:sz w:val="24"/>
        </w:rPr>
      </w:pPr>
    </w:p>
    <w:p>
      <w:pPr>
        <w:pStyle w:val="2"/>
      </w:pPr>
      <w:bookmarkStart w:id="1" w:name="_Toc134098442"/>
      <w:r>
        <w:t>2. Internal/External Analysis</w:t>
      </w:r>
      <w:bookmarkEnd w:id="1"/>
    </w:p>
    <w:p>
      <w:pPr>
        <w:pStyle w:val="3"/>
        <w:spacing w:after="156"/>
        <w:rPr>
          <w:rFonts w:cs="Times New Roman"/>
        </w:rPr>
      </w:pPr>
      <w:bookmarkStart w:id="2" w:name="_Toc134098443"/>
      <w:r>
        <w:rPr>
          <w:rFonts w:cs="Times New Roman"/>
        </w:rPr>
        <w:t>2.1 External environment analysis</w:t>
      </w:r>
      <w:bookmarkEnd w:id="2"/>
    </w:p>
    <w:p>
      <w:pPr>
        <w:spacing w:after="156" w:afterLines="50" w:line="480" w:lineRule="auto"/>
        <w:rPr>
          <w:rFonts w:ascii="Times New Roman" w:hAnsi="Times New Roman" w:cs="Times New Roman"/>
          <w:sz w:val="24"/>
        </w:rPr>
      </w:pPr>
      <w:r>
        <w:rPr>
          <w:rFonts w:ascii="Times New Roman" w:hAnsi="Times New Roman" w:cs="Times New Roman"/>
          <w:sz w:val="24"/>
        </w:rPr>
        <w:t>The increasingly rapid pace of "Internet plus World" has triggered a series of international and domestic environments, social environments, technological environments and economic environments that affect and affect CG.</w:t>
      </w:r>
    </w:p>
    <w:p>
      <w:pPr>
        <w:spacing w:after="156" w:afterLines="50" w:line="480" w:lineRule="auto"/>
        <w:rPr>
          <w:rFonts w:ascii="Times New Roman" w:hAnsi="Times New Roman" w:cs="Times New Roman"/>
          <w:sz w:val="24"/>
        </w:rPr>
      </w:pPr>
      <w:r>
        <w:rPr>
          <w:rFonts w:ascii="Times New Roman" w:hAnsi="Times New Roman" w:cs="Times New Roman"/>
          <w:sz w:val="24"/>
        </w:rPr>
        <w:t>International and domestic political environment: Due to China's rapid approach to the world's number one United States in terms of comprehensive national strength, the United States has felt uneasy, leading to trade frictions between China and the United States. The domestic political forces of some major world powers have contributed to the anti globalization trend, resulting in a sharp deterioration of the competitive environment faced by Chinese enterprises and an increasingly fierce level of competition. Therefore, Premier Li Keqiang made the conclusion in the Report on the Work of the Government on March 5, 2019 that "after comprehensive analysis of the domestic and international situation, the environment faced by China's development this year is more complex and severe, and more and more predictable and unpredictable risks and challenges, we should be fully prepared to fight hard". At the same time, national strategies such as the the Belt and Road construction, Made in China 2025, and high-quality development have brought infinite opportunities to Chinese enterprises.</w:t>
      </w:r>
    </w:p>
    <w:p>
      <w:pPr>
        <w:spacing w:after="156" w:afterLines="50" w:line="480" w:lineRule="auto"/>
        <w:rPr>
          <w:rFonts w:ascii="Times New Roman" w:hAnsi="Times New Roman" w:cs="Times New Roman"/>
          <w:sz w:val="24"/>
        </w:rPr>
      </w:pPr>
      <w:r>
        <w:rPr>
          <w:rFonts w:ascii="Times New Roman" w:hAnsi="Times New Roman" w:cs="Times New Roman"/>
          <w:sz w:val="24"/>
        </w:rPr>
        <w:t>Social environment: The value needs of customers are increasing, and the demand for personalization and customization is becoming stronger and stronger. The demand is changing faster and faster. The products that were once all inclusive in the past 10 years may now be just a flash in the pan; The supply capacity and strain capacity of suppliers have increased significantly; The social legal system is becoming more perfect, social management standards are higher, and behavior is more standardized; The social culture of innovation, openness, co creation, and sharing is increasingly accepted and implemented by the public. Technical environment: "Internet plus industry" technology is developing rapidly, and various new technologies such as Internet of Things technology, 3D printing technology, intelligent manufacturing technology, information management technology are developing vigorously. Guo Chaoxian, from the Institute of Industrial Economics of the Chinese Academy of Social Sciences, believes that promoting "Internet plus+industry", especially "Internet plus manufacturing", is the only way for China to move from an industrial power to an industrial power.</w:t>
      </w:r>
    </w:p>
    <w:p>
      <w:pPr>
        <w:spacing w:after="156" w:afterLines="50" w:line="480" w:lineRule="auto"/>
        <w:rPr>
          <w:rFonts w:ascii="Times New Roman" w:hAnsi="Times New Roman" w:cs="Times New Roman"/>
          <w:sz w:val="24"/>
        </w:rPr>
      </w:pPr>
      <w:r>
        <w:rPr>
          <w:rFonts w:ascii="Times New Roman" w:hAnsi="Times New Roman" w:cs="Times New Roman"/>
          <w:sz w:val="24"/>
        </w:rPr>
        <w:t>Economic environment: Economic globalization has been hindered, and the domestic economic situation has shifted from material scarcity to material surplus. The era of relying on importing technology from abroad and rapidly producing products to meet market demand has basically passed, and the driving mode of economic development has changed from quantity driven to quality driven.</w:t>
      </w:r>
    </w:p>
    <w:p>
      <w:pPr>
        <w:spacing w:after="156" w:afterLines="50" w:line="480" w:lineRule="auto"/>
        <w:rPr>
          <w:rFonts w:ascii="Times New Roman" w:hAnsi="Times New Roman" w:cs="Times New Roman"/>
          <w:sz w:val="24"/>
        </w:rPr>
      </w:pPr>
      <w:r>
        <w:rPr>
          <w:rFonts w:ascii="Times New Roman" w:hAnsi="Times New Roman" w:cs="Times New Roman"/>
          <w:sz w:val="24"/>
        </w:rPr>
        <w:t>External pressure: In recent years, because the main competitors "Internet plus products, Internet plus services, Internet plus manufacturing" are faster than CG companies, it has formed obvious external pressure on the company. Mainly manifested in three aspects: the economic scale, operational quality, and growth potential of the enterprise.</w:t>
      </w:r>
    </w:p>
    <w:p>
      <w:pPr>
        <w:spacing w:line="480" w:lineRule="auto"/>
        <w:rPr>
          <w:rFonts w:ascii="Times New Roman" w:hAnsi="Times New Roman" w:cs="Times New Roman"/>
          <w:sz w:val="24"/>
        </w:rPr>
      </w:pPr>
      <w:r>
        <w:rPr>
          <w:rFonts w:ascii="Times New Roman" w:hAnsi="Times New Roman" w:cs="Times New Roman"/>
          <w:sz w:val="24"/>
        </w:rPr>
        <w:drawing>
          <wp:inline distT="0" distB="0" distL="0" distR="0">
            <wp:extent cx="5270500" cy="26035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270500" cy="2603500"/>
                    </a:xfrm>
                    <a:prstGeom prst="rect">
                      <a:avLst/>
                    </a:prstGeom>
                  </pic:spPr>
                </pic:pic>
              </a:graphicData>
            </a:graphic>
          </wp:inline>
        </w:drawing>
      </w:r>
    </w:p>
    <w:p>
      <w:pPr>
        <w:spacing w:after="156" w:afterLines="50" w:line="480" w:lineRule="auto"/>
        <w:jc w:val="right"/>
        <w:rPr>
          <w:rFonts w:ascii="Times New Roman" w:hAnsi="Times New Roman" w:cs="Times New Roman"/>
          <w:sz w:val="22"/>
          <w:szCs w:val="22"/>
        </w:rPr>
      </w:pPr>
      <w:r>
        <w:rPr>
          <w:rFonts w:ascii="Times New Roman" w:hAnsi="Times New Roman" w:cs="Times New Roman"/>
          <w:sz w:val="22"/>
          <w:szCs w:val="22"/>
        </w:rPr>
        <w:t>Comparison of CG Company's Asset Size and Market Size with Major Competitors</w:t>
      </w:r>
    </w:p>
    <w:p>
      <w:pPr>
        <w:spacing w:after="156" w:afterLines="50" w:line="480" w:lineRule="auto"/>
        <w:rPr>
          <w:rFonts w:ascii="Times New Roman" w:hAnsi="Times New Roman" w:cs="Times New Roman"/>
          <w:sz w:val="24"/>
        </w:rPr>
      </w:pPr>
      <w:r>
        <w:rPr>
          <w:rFonts w:ascii="Times New Roman" w:hAnsi="Times New Roman" w:cs="Times New Roman"/>
          <w:sz w:val="24"/>
        </w:rPr>
        <w:t>From the graph, it can be seen that the company's market size hovers around 30% of its main competitors, and its asset size is less than 30% of its main competitors.</w:t>
      </w:r>
    </w:p>
    <w:p>
      <w:pPr>
        <w:spacing w:line="480" w:lineRule="auto"/>
        <w:rPr>
          <w:rFonts w:ascii="Times New Roman" w:hAnsi="Times New Roman" w:cs="Times New Roman"/>
          <w:sz w:val="24"/>
        </w:rPr>
      </w:pPr>
      <w:r>
        <w:rPr>
          <w:rFonts w:ascii="Times New Roman" w:hAnsi="Times New Roman" w:cs="Times New Roman"/>
          <w:sz w:val="24"/>
        </w:rPr>
        <w:drawing>
          <wp:inline distT="0" distB="0" distL="0" distR="0">
            <wp:extent cx="5270500" cy="243840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270500" cy="2438400"/>
                    </a:xfrm>
                    <a:prstGeom prst="rect">
                      <a:avLst/>
                    </a:prstGeom>
                  </pic:spPr>
                </pic:pic>
              </a:graphicData>
            </a:graphic>
          </wp:inline>
        </w:drawing>
      </w:r>
    </w:p>
    <w:p>
      <w:pPr>
        <w:spacing w:after="156" w:afterLines="50" w:line="480" w:lineRule="auto"/>
        <w:jc w:val="right"/>
        <w:rPr>
          <w:rFonts w:ascii="Times New Roman" w:hAnsi="Times New Roman" w:cs="Times New Roman"/>
          <w:szCs w:val="21"/>
        </w:rPr>
      </w:pPr>
      <w:r>
        <w:rPr>
          <w:rFonts w:ascii="Times New Roman" w:hAnsi="Times New Roman" w:cs="Times New Roman"/>
          <w:szCs w:val="21"/>
        </w:rPr>
        <w:t>Comparison between CG Company's Sales Revenue Growth Rate and Major Competitors</w:t>
      </w:r>
    </w:p>
    <w:p>
      <w:pPr>
        <w:spacing w:after="156" w:afterLines="50" w:line="480" w:lineRule="auto"/>
        <w:rPr>
          <w:rFonts w:ascii="Times New Roman" w:hAnsi="Times New Roman" w:cs="Times New Roman"/>
          <w:sz w:val="24"/>
        </w:rPr>
      </w:pPr>
      <w:r>
        <w:rPr>
          <w:rFonts w:ascii="Times New Roman" w:hAnsi="Times New Roman" w:cs="Times New Roman"/>
          <w:sz w:val="24"/>
        </w:rPr>
        <w:t>The entire industry seems to be in a downward trend. Comparatively speaking, the company's market growth indicators were better than its main competitors in the first two years, but in the past year, there has been a situation where they are much lower than their main competitors; From a trend perspective, the main competitors have stopped negative growth and shown an upward trend of positive growth, while CG company is still in the downward range. From this, it can be seen that the growth pressure of the company has doubled.</w:t>
      </w:r>
    </w:p>
    <w:p>
      <w:pPr>
        <w:spacing w:after="156" w:afterLines="50" w:line="480" w:lineRule="auto"/>
        <w:rPr>
          <w:rFonts w:ascii="Times New Roman" w:hAnsi="Times New Roman" w:cs="Times New Roman"/>
          <w:sz w:val="24"/>
        </w:rPr>
      </w:pPr>
    </w:p>
    <w:p>
      <w:pPr>
        <w:pStyle w:val="3"/>
        <w:spacing w:after="156"/>
        <w:rPr>
          <w:rFonts w:cs="Times New Roman"/>
        </w:rPr>
      </w:pPr>
      <w:bookmarkStart w:id="3" w:name="_Toc134098444"/>
      <w:r>
        <w:rPr>
          <w:rFonts w:cs="Times New Roman"/>
        </w:rPr>
        <w:t>2.2 Internal environment analysis</w:t>
      </w:r>
      <w:bookmarkEnd w:id="3"/>
    </w:p>
    <w:p>
      <w:pPr>
        <w:spacing w:after="156" w:afterLines="50" w:line="480" w:lineRule="auto"/>
        <w:rPr>
          <w:rFonts w:ascii="Times New Roman" w:hAnsi="Times New Roman" w:cs="Times New Roman"/>
          <w:sz w:val="24"/>
        </w:rPr>
      </w:pPr>
      <w:r>
        <w:rPr>
          <w:rFonts w:ascii="Times New Roman" w:hAnsi="Times New Roman" w:cs="Times New Roman"/>
          <w:sz w:val="24"/>
        </w:rPr>
        <w:t>The era of "Internet plus" has also deeply affected the internal environment of the enterprise, constantly changing the thinking and behavior of shareholders and employees, and changing the resources of the enterprise.</w:t>
      </w:r>
    </w:p>
    <w:p>
      <w:pPr>
        <w:spacing w:after="156" w:afterLines="50" w:line="480" w:lineRule="auto"/>
        <w:rPr>
          <w:rFonts w:ascii="Times New Roman" w:hAnsi="Times New Roman" w:cs="Times New Roman"/>
          <w:sz w:val="24"/>
        </w:rPr>
      </w:pPr>
      <w:r>
        <w:rPr>
          <w:rFonts w:ascii="Times New Roman" w:hAnsi="Times New Roman" w:cs="Times New Roman"/>
          <w:sz w:val="24"/>
        </w:rPr>
        <w:t>Enterprise shareholders: The company is a large state-owned enterprise, and its shareholders are superior group companies. The group company's own "Internet plus" pace is accelerating, and CG companies are also required to implement the principle of "Internet plus enterprises".</w:t>
      </w:r>
    </w:p>
    <w:p>
      <w:pPr>
        <w:spacing w:after="156" w:afterLines="50" w:line="480" w:lineRule="auto"/>
        <w:rPr>
          <w:rFonts w:ascii="Times New Roman" w:hAnsi="Times New Roman" w:cs="Times New Roman"/>
          <w:sz w:val="24"/>
        </w:rPr>
      </w:pPr>
      <w:r>
        <w:rPr>
          <w:rFonts w:ascii="Times New Roman" w:hAnsi="Times New Roman" w:cs="Times New Roman"/>
          <w:sz w:val="24"/>
        </w:rPr>
        <w:t>Enterprise employees: There are more than 2000 employees in the enterprise, and 65% of them are young people under 35 years old. Most of them are network youth. They are deeply influenced by the network culture, and are full of the era thought of equality, openness, tolerance, co creation, and sharing. "Internet plus" deeply affects the thinking and behavior of these employees.</w:t>
      </w:r>
    </w:p>
    <w:p>
      <w:pPr>
        <w:spacing w:after="156" w:afterLines="50" w:line="480" w:lineRule="auto"/>
        <w:rPr>
          <w:rFonts w:ascii="Times New Roman" w:hAnsi="Times New Roman" w:cs="Times New Roman"/>
          <w:sz w:val="24"/>
        </w:rPr>
      </w:pPr>
      <w:r>
        <w:rPr>
          <w:rFonts w:ascii="Times New Roman" w:hAnsi="Times New Roman" w:cs="Times New Roman"/>
          <w:sz w:val="24"/>
        </w:rPr>
        <w:t>The company's internal pressure is mainly development pressure. "Internet plus" has brought new development needs, changing the thinking and behavior of superior companies and employees, as well as the behavior of the company. The superior company requires the company to accelerate the pace of "Internet plus enterprise" and step into the high-quality development track as soon as possible. Therefore, the assessment baton has shifted from being large in economic scale to being first in economic quality</w:t>
      </w:r>
    </w:p>
    <w:p>
      <w:pPr>
        <w:spacing w:after="156" w:afterLines="50" w:line="480" w:lineRule="auto"/>
        <w:rPr>
          <w:rFonts w:ascii="Times New Roman" w:hAnsi="Times New Roman" w:cs="Times New Roman"/>
          <w:sz w:val="24"/>
        </w:rPr>
      </w:pPr>
      <w:r>
        <w:rPr>
          <w:rFonts w:ascii="Times New Roman" w:hAnsi="Times New Roman" w:cs="Times New Roman"/>
          <w:sz w:val="24"/>
        </w:rPr>
        <w:t>The pressure from employees directly manifests as a desire for increased income and personnel mobility. The income level of company employees has been declining year after year, from 200% of the average income of local urban employees to 95%. As the opportunities brought by "Internet plus" technology increase, the mobility of employees (especially excellent employees) increases.</w:t>
      </w:r>
    </w:p>
    <w:p>
      <w:pPr>
        <w:spacing w:after="156" w:afterLines="50" w:line="480" w:lineRule="auto"/>
        <w:rPr>
          <w:rFonts w:ascii="Times New Roman" w:hAnsi="Times New Roman" w:cs="Times New Roman"/>
          <w:sz w:val="24"/>
        </w:rPr>
      </w:pPr>
    </w:p>
    <w:p>
      <w:pPr>
        <w:spacing w:after="156" w:afterLines="50" w:line="480" w:lineRule="auto"/>
        <w:rPr>
          <w:rFonts w:ascii="Times New Roman" w:hAnsi="Times New Roman" w:cs="Times New Roman"/>
          <w:sz w:val="24"/>
        </w:rPr>
      </w:pPr>
    </w:p>
    <w:p>
      <w:pPr>
        <w:pStyle w:val="2"/>
      </w:pPr>
      <w:bookmarkStart w:id="4" w:name="_Toc134098445"/>
      <w:r>
        <w:t>3. Force Field Analysis</w:t>
      </w:r>
      <w:bookmarkEnd w:id="4"/>
    </w:p>
    <w:p>
      <w:pPr>
        <w:spacing w:after="156" w:afterLines="50" w:line="480" w:lineRule="auto"/>
        <w:rPr>
          <w:rFonts w:ascii="Times New Roman" w:hAnsi="Times New Roman" w:cs="Times New Roman"/>
          <w:sz w:val="24"/>
        </w:rPr>
      </w:pPr>
      <w:r>
        <w:rPr>
          <w:rFonts w:ascii="Times New Roman" w:hAnsi="Times New Roman" w:cs="Times New Roman"/>
          <w:sz w:val="24"/>
        </w:rPr>
        <w:drawing>
          <wp:inline distT="0" distB="0" distL="0" distR="0">
            <wp:extent cx="5274310" cy="209867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2098675"/>
                    </a:xfrm>
                    <a:prstGeom prst="rect">
                      <a:avLst/>
                    </a:prstGeom>
                  </pic:spPr>
                </pic:pic>
              </a:graphicData>
            </a:graphic>
          </wp:inline>
        </w:drawing>
      </w:r>
    </w:p>
    <w:p>
      <w:pPr>
        <w:pStyle w:val="3"/>
        <w:spacing w:after="156"/>
        <w:rPr>
          <w:rFonts w:cs="Times New Roman"/>
        </w:rPr>
      </w:pPr>
      <w:bookmarkStart w:id="5" w:name="_Toc134098446"/>
      <w:r>
        <w:rPr>
          <w:rFonts w:cs="Times New Roman"/>
        </w:rPr>
        <w:t>3.1 Key drivers</w:t>
      </w:r>
      <w:bookmarkEnd w:id="5"/>
    </w:p>
    <w:p>
      <w:pPr>
        <w:spacing w:after="156" w:afterLines="50" w:line="480" w:lineRule="auto"/>
        <w:rPr>
          <w:rFonts w:ascii="Times New Roman" w:hAnsi="Times New Roman" w:cs="Times New Roman"/>
          <w:sz w:val="24"/>
        </w:rPr>
      </w:pPr>
      <w:r>
        <w:rPr>
          <w:rFonts w:ascii="Times New Roman" w:hAnsi="Times New Roman" w:cs="Times New Roman"/>
          <w:sz w:val="24"/>
        </w:rPr>
        <w:t>Leadership team: The members of the company level leadership team are young and energetic, and the main leaders have not been in office for a long time. The team has a strong desire for development and change, and at the same time, it has a high reputation among employees.</w:t>
      </w:r>
    </w:p>
    <w:p>
      <w:pPr>
        <w:spacing w:after="156" w:afterLines="50" w:line="480" w:lineRule="auto"/>
        <w:rPr>
          <w:rFonts w:ascii="Times New Roman" w:hAnsi="Times New Roman" w:cs="Times New Roman"/>
          <w:sz w:val="24"/>
        </w:rPr>
      </w:pPr>
      <w:r>
        <w:rPr>
          <w:rFonts w:ascii="Times New Roman" w:hAnsi="Times New Roman" w:cs="Times New Roman"/>
          <w:sz w:val="24"/>
        </w:rPr>
        <w:t>Employee team: 65% of the employee team are young people, of which over 90% have received vocational education or above, and are deeply influenced by internet ideology, with a strong ability to accept changes. In addition, employees feel a sense of loss due to their superior per capita income compared to the local society, so their desire for change is also strong.</w:t>
      </w:r>
    </w:p>
    <w:p>
      <w:pPr>
        <w:spacing w:after="156" w:afterLines="50" w:line="480" w:lineRule="auto"/>
        <w:rPr>
          <w:rFonts w:ascii="Times New Roman" w:hAnsi="Times New Roman" w:cs="Times New Roman"/>
          <w:sz w:val="24"/>
        </w:rPr>
      </w:pPr>
      <w:r>
        <w:rPr>
          <w:rFonts w:ascii="Times New Roman" w:hAnsi="Times New Roman" w:cs="Times New Roman"/>
          <w:sz w:val="24"/>
        </w:rPr>
        <w:t>Enterprise resources: The company's asset resources, brand resources, technical resources, management resources, talent resources, policy resources, etc. still have obvious advantages in the same industry, and the government and higher-level companies are promoting its transformation and development.</w:t>
      </w:r>
    </w:p>
    <w:p>
      <w:pPr>
        <w:spacing w:after="156" w:afterLines="50" w:line="480" w:lineRule="auto"/>
        <w:rPr>
          <w:rFonts w:ascii="Times New Roman" w:hAnsi="Times New Roman" w:cs="Times New Roman"/>
          <w:sz w:val="24"/>
        </w:rPr>
      </w:pPr>
      <w:r>
        <w:rPr>
          <w:rFonts w:ascii="Times New Roman" w:hAnsi="Times New Roman" w:cs="Times New Roman"/>
          <w:sz w:val="24"/>
        </w:rPr>
        <w:t>Technical Foundation: The company's information technology work has been going on for nearly 15 years, with a deep accumulation in areas such as infrastructure construction, technology informatization, management informatization, service informatization, and manufacturing informatization.</w:t>
      </w:r>
    </w:p>
    <w:p>
      <w:pPr>
        <w:pStyle w:val="3"/>
        <w:spacing w:after="156"/>
        <w:rPr>
          <w:rFonts w:cs="Times New Roman"/>
        </w:rPr>
      </w:pPr>
      <w:bookmarkStart w:id="6" w:name="_Toc134098447"/>
      <w:r>
        <w:rPr>
          <w:rFonts w:cs="Times New Roman"/>
        </w:rPr>
        <w:t>3.2 Key resistance factors</w:t>
      </w:r>
      <w:bookmarkEnd w:id="6"/>
    </w:p>
    <w:p>
      <w:pPr>
        <w:spacing w:after="156" w:afterLines="50" w:line="480" w:lineRule="auto"/>
        <w:rPr>
          <w:rFonts w:ascii="Times New Roman" w:hAnsi="Times New Roman" w:cs="Times New Roman"/>
          <w:sz w:val="24"/>
        </w:rPr>
      </w:pPr>
      <w:r>
        <w:rPr>
          <w:rFonts w:ascii="Times New Roman" w:hAnsi="Times New Roman" w:cs="Times New Roman"/>
          <w:sz w:val="24"/>
        </w:rPr>
        <w:t>Policy system: The salary management and cadre management systems of state-owned enterprises are difficult to change. If the policy obstacles of the "salary system and cadre system" cannot be overcome, then all changes will be in vain.</w:t>
      </w:r>
    </w:p>
    <w:p>
      <w:pPr>
        <w:spacing w:after="156" w:afterLines="50" w:line="480" w:lineRule="auto"/>
        <w:rPr>
          <w:rFonts w:ascii="Times New Roman" w:hAnsi="Times New Roman" w:cs="Times New Roman"/>
          <w:sz w:val="24"/>
        </w:rPr>
      </w:pPr>
      <w:r>
        <w:rPr>
          <w:rFonts w:ascii="Times New Roman" w:hAnsi="Times New Roman" w:cs="Times New Roman"/>
          <w:sz w:val="24"/>
        </w:rPr>
        <w:t>Cultural resistance: The transformation is likely to abandon the identity of employees in state-owned enterprises, which requires a great spirit of adventure and courage. Adventure spirit is often talked about and rarely done in a company. In addition, whether the negative culture of negative response to change can be controlled within a certain limit is a guarantee of successful change</w:t>
      </w:r>
    </w:p>
    <w:p>
      <w:pPr>
        <w:spacing w:after="156" w:afterLines="50" w:line="480" w:lineRule="auto"/>
        <w:rPr>
          <w:rFonts w:ascii="Times New Roman" w:hAnsi="Times New Roman" w:cs="Times New Roman"/>
          <w:sz w:val="24"/>
        </w:rPr>
      </w:pPr>
      <w:r>
        <w:rPr>
          <w:rFonts w:ascii="Times New Roman" w:hAnsi="Times New Roman" w:cs="Times New Roman"/>
          <w:sz w:val="24"/>
        </w:rPr>
        <w:t>Resistance from vested interests: Change will inevitably bring about adjustment of interests, and many reformers will also face layoffs when the change is completed; Therefore, the biggest resistance to change will come from the company's original "officials". Firstly, they need to delegate power, and secondly, they need to seek their own business path, which is a great challenge for CG companies.</w:t>
      </w:r>
    </w:p>
    <w:p>
      <w:pPr>
        <w:spacing w:after="156" w:afterLines="50" w:line="480" w:lineRule="auto"/>
        <w:rPr>
          <w:rFonts w:ascii="Times New Roman" w:hAnsi="Times New Roman" w:cs="Times New Roman"/>
          <w:sz w:val="24"/>
        </w:rPr>
      </w:pPr>
      <w:r>
        <w:rPr>
          <w:rFonts w:ascii="Times New Roman" w:hAnsi="Times New Roman" w:cs="Times New Roman"/>
          <w:sz w:val="24"/>
        </w:rPr>
        <w:t>Talent risk: There is a relative shortage of talents in the company who understand both business work and information technology, possess platform management capabilities, and are brave and good at entrepreneurship. The talent situation is not sufficient to support organizational change, and the risk of change failure is enormous.</w:t>
      </w:r>
    </w:p>
    <w:p>
      <w:pPr>
        <w:spacing w:after="156" w:afterLines="50" w:line="480" w:lineRule="auto"/>
        <w:rPr>
          <w:rFonts w:ascii="Times New Roman" w:hAnsi="Times New Roman" w:cs="Times New Roman"/>
          <w:sz w:val="24"/>
        </w:rPr>
      </w:pPr>
    </w:p>
    <w:p>
      <w:pPr>
        <w:spacing w:after="156" w:afterLines="50" w:line="480" w:lineRule="auto"/>
        <w:rPr>
          <w:rFonts w:ascii="Times New Roman" w:hAnsi="Times New Roman" w:cs="Times New Roman"/>
          <w:sz w:val="24"/>
        </w:rPr>
      </w:pPr>
    </w:p>
    <w:p>
      <w:pPr>
        <w:pStyle w:val="2"/>
      </w:pPr>
      <w:bookmarkStart w:id="7" w:name="_Toc134098448"/>
      <w:r>
        <w:t>4. Lewin’S Three-Step Model</w:t>
      </w:r>
      <w:bookmarkEnd w:id="7"/>
    </w:p>
    <w:p>
      <w:pPr>
        <w:spacing w:after="156" w:afterLines="50" w:line="480" w:lineRule="auto"/>
        <w:rPr>
          <w:rFonts w:ascii="Times New Roman" w:hAnsi="Times New Roman" w:cs="Times New Roman"/>
          <w:sz w:val="24"/>
        </w:rPr>
      </w:pPr>
      <w:r>
        <w:rPr>
          <w:rFonts w:ascii="Times New Roman" w:hAnsi="Times New Roman" w:cs="Times New Roman"/>
          <w:sz w:val="24"/>
        </w:rPr>
        <w:t>Luin's three-step process sees change as a disruption to organizational balance, known as thawing. Once thawing is completed, it is possible to implement its own changes, but simply introducing changes does not guarantee its sustainability, and the new state needs to be re frozen. Only in this way can it be maintained for a considerable period of time. Therefore, the purpose of thawing again is to stabilize the new state by balancing the driving and restraining forces.</w:t>
      </w:r>
    </w:p>
    <w:p>
      <w:pPr>
        <w:spacing w:after="156" w:afterLines="50" w:line="480" w:lineRule="auto"/>
        <w:rPr>
          <w:rFonts w:ascii="Times New Roman" w:hAnsi="Times New Roman" w:cs="Times New Roman"/>
          <w:sz w:val="24"/>
        </w:rPr>
      </w:pPr>
      <w:r>
        <w:rPr>
          <w:rFonts w:ascii="Times New Roman" w:hAnsi="Times New Roman" w:cs="Times New Roman"/>
          <w:sz w:val="24"/>
        </w:rPr>
        <w:t>The first step is to thaw. The focus of this step is to minimize or eliminate associations with the team's past standards and create motivation for change. CG companies should do everything possible to encourage team members to change their original work status and behavior patterns, and adopt new attitudes and behaviors that adapt to the strategic development of the enterprise organization. In order to achieve this, the primary task for CG companies is to activate the propaganda machine, which can be compared with competitors, comparing the overall situation, production and operation indicators, and performance level of the company with excellent enterprises in the industry, pointing out gaps and the basis for thawing, promoting the majority of employees to "thaw" their existing attitudes and behaviors, urgently seeking change, and enhancing their willingness to accept new work models and standards. At the same time, attention should be paid to creating an open team atmosphere and ensuring the psychological security of enterprise members, reducing psychological barriers to organizational change, and increasing the psychological motivation for successful change.</w:t>
      </w:r>
    </w:p>
    <w:p>
      <w:pPr>
        <w:spacing w:after="156" w:afterLines="50" w:line="480" w:lineRule="auto"/>
        <w:rPr>
          <w:rFonts w:ascii="Times New Roman" w:hAnsi="Times New Roman" w:cs="Times New Roman"/>
          <w:sz w:val="24"/>
        </w:rPr>
      </w:pPr>
      <w:r>
        <w:rPr>
          <w:rFonts w:ascii="Times New Roman" w:hAnsi="Times New Roman" w:cs="Times New Roman"/>
          <w:sz w:val="24"/>
        </w:rPr>
        <w:t>The second step is change, which involves developing or introducing new work standards and models. Change is a learning process that requires providing new perspectives, information, and behavioral patterns to all members of the enterprise organization, clarifying the direction of change, implementing change, and forming new behavioral standards and work attitudes. In this step, CG companies should pay attention to setting an example for new work behaviors and attitudes, using various methods such as role models, mentor guidance, and group training. Lewin believes that change is a cognitive process, with the acquisition of new concepts and information as the standard for completion.</w:t>
      </w:r>
    </w:p>
    <w:p>
      <w:pPr>
        <w:spacing w:after="156" w:afterLines="50" w:line="480" w:lineRule="auto"/>
        <w:rPr>
          <w:rFonts w:ascii="Times New Roman" w:hAnsi="Times New Roman" w:cs="Times New Roman"/>
          <w:sz w:val="24"/>
        </w:rPr>
      </w:pPr>
      <w:r>
        <w:rPr>
          <w:rFonts w:ascii="Times New Roman" w:hAnsi="Times New Roman" w:cs="Times New Roman"/>
          <w:sz w:val="24"/>
        </w:rPr>
        <w:t>The third step is to freeze again, which is a reconstruction based on new standards and patterns. During the re freezing stage, CG companies should use necessary reinforcement measures to fix new behaviors and attitudes, and bring the enterprise organization back into a stable state. In order to ensure that the enterprise organization enters stability again, it is necessary to pay attention to giving all team members the opportunity to try and test new work attitudes and behaviors, and provide timely positive reinforcement; At the same time, strengthen the stability of new group attitudes and behaviors, and promote the formation of stable and sustainable new group attitudes and behavioral norms.</w:t>
      </w:r>
    </w:p>
    <w:p>
      <w:pPr>
        <w:spacing w:after="156" w:afterLines="50" w:line="480" w:lineRule="auto"/>
        <w:rPr>
          <w:rFonts w:ascii="Times New Roman" w:hAnsi="Times New Roman" w:cs="Times New Roman"/>
          <w:sz w:val="24"/>
        </w:rPr>
      </w:pPr>
    </w:p>
    <w:p>
      <w:pPr>
        <w:spacing w:after="156" w:afterLines="50" w:line="480" w:lineRule="auto"/>
        <w:rPr>
          <w:rFonts w:ascii="Times New Roman" w:hAnsi="Times New Roman" w:cs="Times New Roman"/>
          <w:sz w:val="24"/>
        </w:rPr>
      </w:pPr>
    </w:p>
    <w:p>
      <w:pPr>
        <w:pStyle w:val="2"/>
      </w:pPr>
      <w:bookmarkStart w:id="8" w:name="_Toc134098449"/>
      <w:r>
        <w:t>5. Kotter's Eight Step Method</w:t>
      </w:r>
      <w:bookmarkEnd w:id="8"/>
    </w:p>
    <w:p>
      <w:pPr>
        <w:spacing w:after="156" w:afterLines="50" w:line="480" w:lineRule="auto"/>
        <w:rPr>
          <w:rFonts w:ascii="Times New Roman" w:hAnsi="Times New Roman" w:cs="Times New Roman"/>
          <w:b/>
          <w:bCs/>
          <w:sz w:val="24"/>
        </w:rPr>
      </w:pPr>
      <w:r>
        <w:rPr>
          <w:rFonts w:ascii="Times New Roman" w:hAnsi="Times New Roman" w:cs="Times New Roman"/>
          <w:b/>
          <w:bCs/>
          <w:sz w:val="24"/>
        </w:rPr>
        <w:t>01. Establish a sense of urgency</w:t>
      </w:r>
    </w:p>
    <w:p>
      <w:pPr>
        <w:spacing w:after="156" w:afterLines="50" w:line="480" w:lineRule="auto"/>
        <w:rPr>
          <w:rFonts w:ascii="Times New Roman" w:hAnsi="Times New Roman" w:cs="Times New Roman"/>
          <w:sz w:val="24"/>
        </w:rPr>
      </w:pPr>
      <w:r>
        <w:rPr>
          <w:rFonts w:ascii="Times New Roman" w:hAnsi="Times New Roman" w:cs="Times New Roman"/>
          <w:sz w:val="24"/>
        </w:rPr>
        <w:t>In the stage of change planning, CG companies need to effectively promote and reveal the reasons and inevitability of the change, establish a sufficient sense of urgency, and enable employees and managers to understand the necessity and inevitability of the change, in order to enable employees to understand and accept significant adjustments to the current situation.</w:t>
      </w:r>
    </w:p>
    <w:p>
      <w:pPr>
        <w:spacing w:after="156" w:afterLines="50" w:line="480" w:lineRule="auto"/>
        <w:rPr>
          <w:rFonts w:ascii="Times New Roman" w:hAnsi="Times New Roman" w:cs="Times New Roman"/>
          <w:b/>
          <w:bCs/>
          <w:sz w:val="24"/>
        </w:rPr>
      </w:pPr>
      <w:r>
        <w:rPr>
          <w:rFonts w:ascii="Times New Roman" w:hAnsi="Times New Roman" w:cs="Times New Roman"/>
          <w:b/>
          <w:bCs/>
          <w:sz w:val="24"/>
        </w:rPr>
        <w:t>02. Establish a Guidance Alliance</w:t>
      </w:r>
    </w:p>
    <w:p>
      <w:pPr>
        <w:spacing w:after="156" w:afterLines="50" w:line="480" w:lineRule="auto"/>
        <w:rPr>
          <w:rFonts w:ascii="Times New Roman" w:hAnsi="Times New Roman" w:cs="Times New Roman"/>
          <w:sz w:val="24"/>
        </w:rPr>
      </w:pPr>
      <w:r>
        <w:rPr>
          <w:rFonts w:ascii="Times New Roman" w:hAnsi="Times New Roman" w:cs="Times New Roman"/>
          <w:sz w:val="24"/>
        </w:rPr>
        <w:t>In CG companies, managers need to find change leaders and stakeholders in the enterprise who understand and support the vision of change, gain their support, involve many members from various departments and company levels, and maintain team diversity to promote change.</w:t>
      </w:r>
    </w:p>
    <w:p>
      <w:pPr>
        <w:spacing w:after="156" w:afterLines="50" w:line="480" w:lineRule="auto"/>
        <w:rPr>
          <w:rFonts w:ascii="Times New Roman" w:hAnsi="Times New Roman" w:cs="Times New Roman"/>
          <w:b/>
          <w:bCs/>
          <w:sz w:val="24"/>
        </w:rPr>
      </w:pPr>
      <w:r>
        <w:rPr>
          <w:rFonts w:ascii="Times New Roman" w:hAnsi="Times New Roman" w:cs="Times New Roman"/>
          <w:b/>
          <w:bCs/>
          <w:sz w:val="24"/>
        </w:rPr>
        <w:t>03. Develop Vision</w:t>
      </w:r>
    </w:p>
    <w:p>
      <w:pPr>
        <w:spacing w:after="156" w:afterLines="50" w:line="480" w:lineRule="auto"/>
        <w:rPr>
          <w:rFonts w:ascii="Times New Roman" w:hAnsi="Times New Roman" w:cs="Times New Roman"/>
          <w:sz w:val="24"/>
        </w:rPr>
      </w:pPr>
      <w:r>
        <w:rPr>
          <w:rFonts w:ascii="Times New Roman" w:hAnsi="Times New Roman" w:cs="Times New Roman"/>
          <w:sz w:val="24"/>
        </w:rPr>
        <w:t>CG companies need to determine the core values reflected in the change and ensure that the vision is simple and understandable enough to develop a mission statement or express the vision in one to two sentences. Stakeholders are involved in the development of the vision during the process, and then strategies related to the vision are developed.</w:t>
      </w:r>
    </w:p>
    <w:p>
      <w:pPr>
        <w:spacing w:after="156" w:afterLines="50" w:line="480" w:lineRule="auto"/>
        <w:rPr>
          <w:rFonts w:ascii="Times New Roman" w:hAnsi="Times New Roman" w:cs="Times New Roman"/>
          <w:b/>
          <w:bCs/>
          <w:sz w:val="24"/>
        </w:rPr>
      </w:pPr>
      <w:r>
        <w:rPr>
          <w:rFonts w:ascii="Times New Roman" w:hAnsi="Times New Roman" w:cs="Times New Roman"/>
          <w:b/>
          <w:bCs/>
          <w:sz w:val="24"/>
        </w:rPr>
        <w:t>04. Share Vision</w:t>
      </w:r>
    </w:p>
    <w:p>
      <w:pPr>
        <w:spacing w:after="156" w:afterLines="50" w:line="480" w:lineRule="auto"/>
        <w:rPr>
          <w:rFonts w:ascii="Times New Roman" w:hAnsi="Times New Roman" w:cs="Times New Roman"/>
          <w:sz w:val="24"/>
        </w:rPr>
      </w:pPr>
      <w:r>
        <w:rPr>
          <w:rFonts w:ascii="Times New Roman" w:hAnsi="Times New Roman" w:cs="Times New Roman"/>
          <w:sz w:val="24"/>
        </w:rPr>
        <w:t>CG companies need to incorporate their vision into their daily lives and communicate their vision and strategy as frequently and repeatedly as possible; Encourage employees to provide feedback and openly address issues, anxieties, and concerns. It is also possible to clearly demonstrate the differences between current and future states by sharing the visual effects of the vision. We can utilize all communication channels and platforms of the enterprise to promote our vision.</w:t>
      </w:r>
    </w:p>
    <w:p>
      <w:pPr>
        <w:spacing w:after="156" w:afterLines="50" w:line="480" w:lineRule="auto"/>
        <w:rPr>
          <w:rFonts w:ascii="Times New Roman" w:hAnsi="Times New Roman" w:cs="Times New Roman"/>
          <w:b/>
          <w:bCs/>
          <w:sz w:val="24"/>
        </w:rPr>
      </w:pPr>
      <w:r>
        <w:rPr>
          <w:rFonts w:ascii="Times New Roman" w:hAnsi="Times New Roman" w:cs="Times New Roman"/>
          <w:b/>
          <w:bCs/>
          <w:sz w:val="24"/>
        </w:rPr>
        <w:t>05. Clear obstacles</w:t>
      </w:r>
    </w:p>
    <w:p>
      <w:pPr>
        <w:spacing w:after="156" w:afterLines="50" w:line="480" w:lineRule="auto"/>
        <w:rPr>
          <w:rFonts w:ascii="Times New Roman" w:hAnsi="Times New Roman" w:cs="Times New Roman"/>
          <w:sz w:val="24"/>
        </w:rPr>
      </w:pPr>
      <w:r>
        <w:rPr>
          <w:rFonts w:ascii="Times New Roman" w:hAnsi="Times New Roman" w:cs="Times New Roman"/>
          <w:sz w:val="24"/>
        </w:rPr>
        <w:t>In the face of obstacles such as employees' discomfort and resistance to change, CG companies can provide necessary training, guidance, and guidance to employees, so that they can successfully face challenges. At the same time, they can also develop a series of administrative systems and measures, emphasizing the importance of teamwork. At the same time, they should carefully investigate and diagnose, seek truth from facts, and truthfully disclose the problems discovered from an objective perspective.</w:t>
      </w:r>
    </w:p>
    <w:p>
      <w:pPr>
        <w:spacing w:after="156" w:afterLines="50" w:line="480" w:lineRule="auto"/>
        <w:rPr>
          <w:rFonts w:ascii="Times New Roman" w:hAnsi="Times New Roman" w:cs="Times New Roman"/>
          <w:b/>
          <w:bCs/>
          <w:sz w:val="24"/>
        </w:rPr>
      </w:pPr>
      <w:r>
        <w:rPr>
          <w:rFonts w:ascii="Times New Roman" w:hAnsi="Times New Roman" w:cs="Times New Roman"/>
          <w:b/>
          <w:bCs/>
          <w:sz w:val="24"/>
        </w:rPr>
        <w:t>06. Creating Short Term Victory</w:t>
      </w:r>
    </w:p>
    <w:p>
      <w:pPr>
        <w:spacing w:after="156" w:afterLines="50" w:line="480" w:lineRule="auto"/>
        <w:rPr>
          <w:rFonts w:ascii="Times New Roman" w:hAnsi="Times New Roman" w:cs="Times New Roman"/>
          <w:sz w:val="24"/>
        </w:rPr>
      </w:pPr>
      <w:r>
        <w:rPr>
          <w:rFonts w:ascii="Times New Roman" w:hAnsi="Times New Roman" w:cs="Times New Roman"/>
          <w:sz w:val="24"/>
        </w:rPr>
        <w:t>In addition to the ultimate goal of change, CG companies also need to break down their change projects into specific small goals, such as finding short-term projects with low costs. This requires CG companies to carefully select the right projects or goals, and develop plans that help reduce costs, improve processes, and increase profits. Then reward and recognize the members who have made contributions to achieving the goals.</w:t>
      </w:r>
    </w:p>
    <w:p>
      <w:pPr>
        <w:spacing w:after="156" w:afterLines="50" w:line="480" w:lineRule="auto"/>
        <w:rPr>
          <w:rFonts w:ascii="Times New Roman" w:hAnsi="Times New Roman" w:cs="Times New Roman"/>
          <w:b/>
          <w:bCs/>
          <w:sz w:val="24"/>
        </w:rPr>
      </w:pPr>
      <w:r>
        <w:rPr>
          <w:rFonts w:ascii="Times New Roman" w:hAnsi="Times New Roman" w:cs="Times New Roman"/>
          <w:b/>
          <w:bCs/>
          <w:sz w:val="24"/>
        </w:rPr>
        <w:t>07. Consolidate change</w:t>
      </w:r>
    </w:p>
    <w:p>
      <w:pPr>
        <w:spacing w:after="156" w:afterLines="50" w:line="480" w:lineRule="auto"/>
        <w:rPr>
          <w:rFonts w:ascii="Times New Roman" w:hAnsi="Times New Roman" w:cs="Times New Roman"/>
          <w:sz w:val="24"/>
        </w:rPr>
      </w:pPr>
      <w:r>
        <w:rPr>
          <w:rFonts w:ascii="Times New Roman" w:hAnsi="Times New Roman" w:cs="Times New Roman"/>
          <w:sz w:val="24"/>
        </w:rPr>
        <w:t>CG companies can establish effective reward and punishment mechanisms to timely motivate employees and teams who have made outstanding contributions to change, and can greatly reduce resistance to change. In the process of change, simply using propaganda to draw big cakes for employees cannot maintain their combat effectiveness for a long time. So in implementation, in addition to setting objective and visible goals, sufficient incentives should also be given to outstanding talents and teams who can exceed the goals. Adopting incentive methods primarily based on rewards, establishing exemplary employee role models, and promoting more people to support change.</w:t>
      </w:r>
    </w:p>
    <w:p>
      <w:pPr>
        <w:spacing w:after="156" w:afterLines="50" w:line="480" w:lineRule="auto"/>
        <w:rPr>
          <w:rFonts w:ascii="Times New Roman" w:hAnsi="Times New Roman" w:cs="Times New Roman"/>
          <w:b/>
          <w:bCs/>
          <w:sz w:val="24"/>
        </w:rPr>
      </w:pPr>
      <w:r>
        <w:rPr>
          <w:rFonts w:ascii="Times New Roman" w:hAnsi="Times New Roman" w:cs="Times New Roman"/>
          <w:b/>
          <w:bCs/>
          <w:sz w:val="24"/>
        </w:rPr>
        <w:t>08. Anchoring Change</w:t>
      </w:r>
    </w:p>
    <w:p>
      <w:pPr>
        <w:spacing w:after="156" w:afterLines="50" w:line="480" w:lineRule="auto"/>
        <w:rPr>
          <w:rFonts w:ascii="Times New Roman" w:hAnsi="Times New Roman" w:cs="Times New Roman"/>
          <w:sz w:val="24"/>
        </w:rPr>
      </w:pPr>
      <w:r>
        <w:rPr>
          <w:rFonts w:ascii="Times New Roman" w:hAnsi="Times New Roman" w:cs="Times New Roman"/>
          <w:sz w:val="24"/>
        </w:rPr>
        <w:t>CG companies can upgrade and optimize their products and operations by introducing new technological means, which may bring unexpected advantages to their transformation process. The new information technology has strengthened the connection between employees within the enterprise, reduced communication costs, and provided more effective means for change promotion. In addition, CG companies also need to seize every possible opportunity to discuss progress and share success stories in their vision for change. Recognize contributions and transfer individuals who shape new changes, values, and skills to higher positions. Regularly and continuously carry out activities and behaviors that are important to the enterprise. Instil the core values of change into every new employee and onboarding process.</w:t>
      </w:r>
    </w:p>
    <w:p>
      <w:pPr>
        <w:spacing w:after="156" w:afterLines="50" w:line="480" w:lineRule="auto"/>
        <w:rPr>
          <w:rFonts w:ascii="Times New Roman" w:hAnsi="Times New Roman" w:cs="Times New Roman"/>
          <w:sz w:val="24"/>
        </w:rPr>
      </w:pPr>
    </w:p>
    <w:p>
      <w:pPr>
        <w:spacing w:after="156" w:afterLines="50" w:line="480" w:lineRule="auto"/>
        <w:rPr>
          <w:rFonts w:ascii="Times New Roman" w:hAnsi="Times New Roman" w:cs="Times New Roman"/>
          <w:sz w:val="24"/>
        </w:rPr>
      </w:pPr>
    </w:p>
    <w:p>
      <w:pPr>
        <w:pStyle w:val="2"/>
        <w:numPr>
          <w:ilvl w:val="0"/>
          <w:numId w:val="2"/>
        </w:numPr>
      </w:pPr>
      <w:bookmarkStart w:id="9" w:name="_Toc134098450"/>
      <w:r>
        <w:t>Stakeholder analysis</w:t>
      </w:r>
      <w:bookmarkEnd w:id="9"/>
    </w:p>
    <w:p>
      <w:pPr>
        <w:spacing w:after="156" w:afterLines="50" w:line="480" w:lineRule="auto"/>
        <w:rPr>
          <w:rFonts w:ascii="Times New Roman" w:hAnsi="Times New Roman" w:cs="Times New Roman"/>
          <w:sz w:val="24"/>
        </w:rPr>
      </w:pPr>
      <w:r>
        <w:rPr>
          <w:rFonts w:ascii="Times New Roman" w:hAnsi="Times New Roman" w:cs="Times New Roman"/>
          <w:sz w:val="24"/>
        </w:rPr>
        <w:drawing>
          <wp:inline distT="0" distB="0" distL="0" distR="0">
            <wp:extent cx="5274310" cy="255778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557780"/>
                    </a:xfrm>
                    <a:prstGeom prst="rect">
                      <a:avLst/>
                    </a:prstGeom>
                  </pic:spPr>
                </pic:pic>
              </a:graphicData>
            </a:graphic>
          </wp:inline>
        </w:drawing>
      </w:r>
    </w:p>
    <w:p>
      <w:pPr>
        <w:spacing w:after="156" w:afterLines="50" w:line="480" w:lineRule="auto"/>
        <w:rPr>
          <w:rFonts w:ascii="Times New Roman" w:hAnsi="Times New Roman" w:cs="Times New Roman"/>
          <w:sz w:val="24"/>
        </w:rPr>
      </w:pPr>
      <w:r>
        <w:rPr>
          <w:rFonts w:ascii="Times New Roman" w:hAnsi="Times New Roman" w:cs="Times New Roman"/>
          <w:sz w:val="24"/>
        </w:rPr>
        <w:t>Stakeholder analysis is used to analyze all individuals (and organizations) related to customer interests, helping customers distinguish the impact of significant stakeholders on the strategy when formulating it. From the graph, we can see that shareholders, senior management, government departments, and employees who maintain a positive attitude towards the transformation of CG company and have a significant influence should be considered as CG company is a state-owned company, so the influence of government departments is significant. CG company needs to continue to pay attention to these aspects, listen to their opinions on the transformation, and make responses.</w:t>
      </w:r>
    </w:p>
    <w:p>
      <w:pPr>
        <w:spacing w:after="156" w:afterLines="50" w:line="480" w:lineRule="auto"/>
        <w:rPr>
          <w:rFonts w:ascii="Times New Roman" w:hAnsi="Times New Roman" w:cs="Times New Roman"/>
          <w:sz w:val="24"/>
        </w:rPr>
      </w:pPr>
      <w:r>
        <w:rPr>
          <w:rFonts w:ascii="Times New Roman" w:hAnsi="Times New Roman" w:cs="Times New Roman"/>
          <w:sz w:val="24"/>
        </w:rPr>
        <w:t>CG companies need to communicate with middle management who are influential but have negative attitudes, understand their demands, and strive for their support. They can also meet their psychological requirements for interest concerns by maintaining information exchange.</w:t>
      </w:r>
    </w:p>
    <w:p>
      <w:pPr>
        <w:spacing w:after="156" w:afterLines="50" w:line="480" w:lineRule="auto"/>
        <w:rPr>
          <w:rFonts w:ascii="Times New Roman" w:hAnsi="Times New Roman" w:cs="Times New Roman"/>
          <w:sz w:val="24"/>
        </w:rPr>
      </w:pPr>
      <w:r>
        <w:rPr>
          <w:rFonts w:ascii="Times New Roman" w:hAnsi="Times New Roman" w:cs="Times New Roman"/>
          <w:sz w:val="24"/>
        </w:rPr>
        <w:t>For the less influential parts, partners, customers, and suppliers with a positive attitude can maintain their attention, understand their opinions, and make appropriate decisions. For competitors and media with a negative attitude, only simple attention is needed without expending past energy.</w:t>
      </w:r>
    </w:p>
    <w:p>
      <w:pPr>
        <w:spacing w:after="156" w:afterLines="50" w:line="480" w:lineRule="auto"/>
        <w:rPr>
          <w:rFonts w:ascii="Times New Roman" w:hAnsi="Times New Roman" w:cs="Times New Roman"/>
          <w:sz w:val="24"/>
        </w:rPr>
      </w:pPr>
    </w:p>
    <w:p>
      <w:pPr>
        <w:spacing w:after="156" w:afterLines="50" w:line="480" w:lineRule="auto"/>
        <w:rPr>
          <w:rFonts w:ascii="Times New Roman" w:hAnsi="Times New Roman" w:cs="Times New Roman"/>
          <w:sz w:val="24"/>
        </w:rPr>
      </w:pPr>
    </w:p>
    <w:p>
      <w:pPr>
        <w:pStyle w:val="2"/>
        <w:numPr>
          <w:ilvl w:val="0"/>
          <w:numId w:val="2"/>
        </w:numPr>
      </w:pPr>
      <w:bookmarkStart w:id="10" w:name="_Toc134098451"/>
      <w:r>
        <w:t>Evaluation of change plans</w:t>
      </w:r>
      <w:bookmarkEnd w:id="10"/>
    </w:p>
    <w:p>
      <w:pPr>
        <w:spacing w:after="156" w:afterLines="50" w:line="480" w:lineRule="auto"/>
        <w:rPr>
          <w:rFonts w:ascii="Times New Roman" w:hAnsi="Times New Roman" w:cs="Times New Roman"/>
          <w:sz w:val="24"/>
        </w:rPr>
      </w:pPr>
      <w:r>
        <w:rPr>
          <w:rFonts w:ascii="Times New Roman" w:hAnsi="Times New Roman" w:cs="Times New Roman"/>
          <w:sz w:val="24"/>
        </w:rPr>
        <w:t>By analyzing the current situation and problems in the internal and external environment of CG company, it is clarified that the strategic implementation path of CG company is "strategy - internal value chain - business processes - control system - organizational structure". In view of the current situation and problems in the strategic realization path of CG Company, the system theory and the "Internet plus" idea and technology were applied to develop a strategy oriented enterprise organization reform plan under the "Internet plus" background of CG Company, including four aspects, namely "Internet plus value chain", "Internet plus business process", "Internet plus management and control system" and "Internet plus organizational structure".</w:t>
      </w:r>
    </w:p>
    <w:p>
      <w:pPr>
        <w:spacing w:after="156" w:afterLines="50" w:line="480" w:lineRule="auto"/>
        <w:rPr>
          <w:rFonts w:ascii="Times New Roman" w:hAnsi="Times New Roman" w:cs="Times New Roman"/>
          <w:sz w:val="24"/>
        </w:rPr>
      </w:pPr>
      <w:r>
        <w:rPr>
          <w:rFonts w:ascii="Times New Roman" w:hAnsi="Times New Roman" w:cs="Times New Roman"/>
          <w:sz w:val="24"/>
        </w:rPr>
        <w:t>"Internet plus+value chain" includes three aspects: "Internet plus value carrier, Internet plus value chain, and Internet plus+value added link". The ultimate goal of solving the existing problems in the company's internal value chain is to achieve intelligent value creation.</w:t>
      </w:r>
    </w:p>
    <w:p>
      <w:pPr>
        <w:spacing w:after="156" w:afterLines="50" w:line="480" w:lineRule="auto"/>
        <w:rPr>
          <w:rFonts w:ascii="Times New Roman" w:hAnsi="Times New Roman" w:cs="Times New Roman"/>
          <w:sz w:val="24"/>
        </w:rPr>
      </w:pPr>
      <w:r>
        <w:rPr>
          <w:rFonts w:ascii="Times New Roman" w:hAnsi="Times New Roman" w:cs="Times New Roman"/>
          <w:sz w:val="24"/>
        </w:rPr>
        <w:t>"Internet plus Business Process" proposed the application of "Internet plus" technology and ideas to carry out business process reform, to solve the problem that CG companies are now facing with too large fluctuations in process efficiency and low process efficiency, and the ultimate goal is to achieve intelligent business processes.</w:t>
      </w:r>
    </w:p>
    <w:p>
      <w:pPr>
        <w:spacing w:after="156" w:afterLines="50" w:line="480" w:lineRule="auto"/>
        <w:rPr>
          <w:rFonts w:ascii="Times New Roman" w:hAnsi="Times New Roman" w:cs="Times New Roman"/>
          <w:sz w:val="24"/>
        </w:rPr>
      </w:pPr>
      <w:r>
        <w:rPr>
          <w:rFonts w:ascii="Times New Roman" w:hAnsi="Times New Roman" w:cs="Times New Roman"/>
          <w:sz w:val="24"/>
        </w:rPr>
        <w:t>The focus of "Internet plus management and control system" is to improve the technical level of "Internet plus", and more importantly, to apply the "Internet plus" idea to change the company's planning, organization, command, coordination, control and incentive system.</w:t>
      </w:r>
    </w:p>
    <w:p>
      <w:pPr>
        <w:spacing w:after="156" w:afterLines="50" w:line="480" w:lineRule="auto"/>
        <w:rPr>
          <w:rFonts w:ascii="Times New Roman" w:hAnsi="Times New Roman" w:cs="Times New Roman"/>
          <w:sz w:val="24"/>
        </w:rPr>
      </w:pPr>
      <w:r>
        <w:rPr>
          <w:rFonts w:ascii="Times New Roman" w:hAnsi="Times New Roman" w:cs="Times New Roman"/>
          <w:sz w:val="24"/>
        </w:rPr>
        <w:t>The focus of the "Internet plus organizational structure" is to "focus on customers", break down the pyramid structure, divide the organizational structure of the enterprise into three layers: high, medium and basic, and divide it into three categories: responsibility center, profit center, responsibility center+profit center. The responsibility center should be a "pyramid organization"; Directly creating value businesses with profit as the center, so it is better to adopt a "platform based organization"; It is better to have an "administrative platform organization" for units that have both responsibility and profit. The organizational structure should be designed according to "grading, task allocation, personnel, and time".</w:t>
      </w:r>
    </w:p>
    <w:p>
      <w:pPr>
        <w:spacing w:after="156" w:afterLines="50" w:line="480" w:lineRule="auto"/>
        <w:rPr>
          <w:rFonts w:ascii="Times New Roman" w:hAnsi="Times New Roman" w:cs="Times New Roman"/>
          <w:sz w:val="24"/>
        </w:rPr>
      </w:pPr>
    </w:p>
    <w:p>
      <w:pPr>
        <w:spacing w:after="156" w:afterLines="50" w:line="480" w:lineRule="auto"/>
        <w:rPr>
          <w:rFonts w:ascii="Times New Roman" w:hAnsi="Times New Roman" w:cs="Times New Roman"/>
          <w:sz w:val="24"/>
        </w:rPr>
      </w:pPr>
    </w:p>
    <w:p>
      <w:pPr>
        <w:pStyle w:val="2"/>
        <w:numPr>
          <w:ilvl w:val="0"/>
          <w:numId w:val="2"/>
        </w:numPr>
      </w:pPr>
      <w:bookmarkStart w:id="11" w:name="_Toc134098452"/>
      <w:r>
        <w:t>Conclusion</w:t>
      </w:r>
      <w:bookmarkEnd w:id="11"/>
    </w:p>
    <w:p>
      <w:pPr>
        <w:spacing w:after="156" w:afterLines="50" w:line="480" w:lineRule="auto"/>
        <w:rPr>
          <w:rFonts w:ascii="Times New Roman" w:hAnsi="Times New Roman" w:cs="Times New Roman"/>
          <w:sz w:val="24"/>
        </w:rPr>
      </w:pPr>
      <w:r>
        <w:rPr>
          <w:rFonts w:ascii="Times New Roman" w:hAnsi="Times New Roman" w:cs="Times New Roman"/>
          <w:sz w:val="24"/>
        </w:rPr>
        <w:t>After analyzing the internal and external environment and the pressure of change of CG Company, on the basis of summarizing the achievements of predecessors and drawing lessons from successful enterprise plans, this paper puts forward the path of organizational change of state-owned large-scale industrial consumer goods manufacturing enterprises, and determines the organizational change plan of "Internet plus" according to the current situation and problems of CG Company. "Internet plus" can enrich the value carrier of enterprises, rapidly enhance the value-added ability of enterprises, and realize the transformation from informatization of the value chain to intelligence of the value chain based on the informatization and intelligence of products and services; Implement systematization, real-time online visualization, and continuous optimization of business processes. Maximize respect for people's essential needs, stimulate their vitality and creativity. It can build an enterprise organizational structure with strong customer centric resilience and organizational synergy.</w:t>
      </w:r>
    </w:p>
    <w:p>
      <w:pPr>
        <w:pStyle w:val="2"/>
      </w:pPr>
    </w:p>
    <w:p>
      <w:pPr>
        <w:rPr>
          <w:rFonts w:ascii="Times New Roman" w:hAnsi="Times New Roman" w:cs="Times New Roman"/>
        </w:rPr>
      </w:pPr>
    </w:p>
    <w:p>
      <w:pPr>
        <w:pStyle w:val="2"/>
        <w:numPr>
          <w:ilvl w:val="0"/>
          <w:numId w:val="2"/>
        </w:numPr>
      </w:pPr>
      <w:bookmarkStart w:id="12" w:name="_Toc134098453"/>
      <w:r>
        <w:t>Recommendation</w:t>
      </w:r>
      <w:bookmarkEnd w:id="12"/>
    </w:p>
    <w:p>
      <w:pPr>
        <w:spacing w:after="156" w:afterLines="50" w:line="480" w:lineRule="auto"/>
        <w:rPr>
          <w:rFonts w:ascii="Times New Roman" w:hAnsi="Times New Roman" w:cs="Times New Roman"/>
          <w:sz w:val="24"/>
        </w:rPr>
      </w:pPr>
      <w:r>
        <w:rPr>
          <w:rFonts w:ascii="Times New Roman" w:hAnsi="Times New Roman" w:cs="Times New Roman"/>
          <w:sz w:val="24"/>
        </w:rPr>
        <w:t>Faced with the risks brought about by change, CG companies can establish a value exchange based order compensation system, a horse race based promotion system, and a dynamic business and employee selection system. Fully leverage the cultural work advantages of party and mass organizations, cultivate the culture needed for change, and reduce the culture that prevents change. Opening up avenues for vested interests and allowing new stakeholders to occupy the company's resource highlands will have a greater power of change than the power to prevent it. Combining talent cultivation with utilizing intermediary agencies or introducing talents.</w:t>
      </w:r>
    </w:p>
    <w:p>
      <w:pPr>
        <w:spacing w:after="156" w:afterLines="50" w:line="480" w:lineRule="auto"/>
        <w:rPr>
          <w:rFonts w:ascii="Times New Roman" w:hAnsi="Times New Roman" w:cs="Times New Roman"/>
          <w:sz w:val="24"/>
        </w:rPr>
      </w:pPr>
      <w:r>
        <w:rPr>
          <w:rFonts w:ascii="Times New Roman" w:hAnsi="Times New Roman" w:cs="Times New Roman"/>
          <w:sz w:val="24"/>
        </w:rPr>
        <w:t>The company's organizational change needs the support of appropriate "Internet plus" technology. If the technology selection or application is wrong, the risk of failure is extremely high. CG can rely on a team of technical experts to establish a technical review system and a pilot and gradual promotion system for new technologies.</w:t>
      </w:r>
    </w:p>
    <w:p>
      <w:pPr>
        <w:spacing w:after="156" w:afterLines="50" w:line="480" w:lineRule="auto"/>
        <w:rPr>
          <w:rFonts w:ascii="Times New Roman" w:hAnsi="Times New Roman" w:cs="Times New Roman"/>
          <w:sz w:val="24"/>
        </w:rPr>
      </w:pPr>
      <w:r>
        <w:rPr>
          <w:rFonts w:ascii="Times New Roman" w:hAnsi="Times New Roman" w:cs="Times New Roman"/>
          <w:sz w:val="24"/>
        </w:rPr>
        <w:t>The openness of the internet can bring about the risk of intellectual property infringement and infringement by companies, which can sometimes be fatal. CG companies can establish a legal risk audit system to address the risks posed by intellectual property.</w:t>
      </w:r>
    </w:p>
    <w:p>
      <w:pPr>
        <w:spacing w:after="156" w:afterLines="50" w:line="480" w:lineRule="auto"/>
        <w:rPr>
          <w:rFonts w:ascii="Times New Roman" w:hAnsi="Times New Roman" w:cs="Times New Roman"/>
          <w:sz w:val="24"/>
        </w:rPr>
      </w:pPr>
      <w:r>
        <w:rPr>
          <w:rFonts w:ascii="Times New Roman" w:hAnsi="Times New Roman" w:cs="Times New Roman"/>
          <w:sz w:val="24"/>
        </w:rPr>
        <w:t>The sharing of the internet will bring a much greater risk of company leakage than now, but as long as sufficient attention and measures are taken, the probability of leakage is still relatively low. CG companies need to rely on qualified professional forces for management.</w:t>
      </w:r>
    </w:p>
    <w:p>
      <w:pPr>
        <w:widowControl/>
        <w:jc w:val="left"/>
        <w:rPr>
          <w:rFonts w:ascii="Times New Roman" w:hAnsi="Times New Roman" w:cs="Times New Roman"/>
          <w:sz w:val="24"/>
        </w:rPr>
      </w:pPr>
      <w:r>
        <w:rPr>
          <w:rFonts w:ascii="Times New Roman" w:hAnsi="Times New Roman" w:cs="Times New Roman"/>
          <w:sz w:val="24"/>
        </w:rPr>
        <w:br w:type="page"/>
      </w:r>
    </w:p>
    <w:p>
      <w:pPr>
        <w:pStyle w:val="2"/>
      </w:pPr>
      <w:bookmarkStart w:id="13" w:name="_Toc134098454"/>
      <w:r>
        <w:t>Reference</w:t>
      </w:r>
      <w:bookmarkEnd w:id="13"/>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Michael Hammer, James Champy（1993）.  Reengineering the Corpration</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Michael Porter (2014). Competitive Strategy, Beijing: CITIC Publishing House;</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 xml:space="preserve">Gary Hamel（1990）.  The Core Competence of the Corporation. </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Wang Jing, Jia Guozhu, Zhang Renqian (2015) A case study on service-oriented manufacturing industry [M] Beijing: Mechanical Industry Press</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Wang Yurong and Ge Xinhong (2015) Process management [M] Beijing: Peking University Press</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Yang Jiacheng (2016) Management 3.0 Era: Organizational Evolution, Management Transformation, and Strategic Transformation in the Internet Era [M] Beijing: China Railway Publishing House</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Li Geng (2018) Research on organizational structure optimization based on process management [J] Modern commercial industry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Peng Aiwu (2017) Research on Internet plus Manufacturing Business Model Innovation [D] Master's thesis from North China University of Technology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Zhou Zhiping (2017) Research on Organizational Change Model and Decision Rights Allocation of Manufacturing Enterprises in the Internet of Things Environment [D] Doctoral Dissertation of Hefei University of Technology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Jia Wenhe (2016) Business Process Reengineering Based on Value Chain [J] Modern Economic Information</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Wang Jibin, Peng Dun (2015) Internet plus: self-subversion, organizational restructuring, management evolution and Internet transformation of traditional enterprises [M] Beijing: Mechanical Industry Press</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Zhou Hongren (2017) The development trend of integration of Internet plus and manufacturing industry [J] Administrative management reform.</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Jiao Mingyu (2014) Research on the Organizational Structure Change of State-owned Enterprises in China [D] Doctoral Dissertation from Capital University of Economics and Trade</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Zhou Xiang (2013) Research on the Operation Model of Sany Group Enterprises Based on the Internet of Things [D] Master's thesis from Hunan University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Yin Shoujun (2014) Research on Organizational Structure Evolution Based on Complex Adaptive Systems [D] Doctoral Dissertation from University of Electronic Science and Technology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Chen Weiru, Wang Shiyi (2016) Platform Transformation: The Self Revolution of Enterprises in Reaching the Peak [M] Beijing: CITIC Publishing House</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Chen Youyong (2016) Research on Enterprise Organizational Transformation in the Internet Era [D] Doctoral Dissertation of the Central Party School of the Communist Party of China</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Jian Zhaoquan, Liu Xiaoyan, Li Lei (2017) A Case Study on the "Platform+Small and Micro Enterprise" Organizational Structure of Haier Based Service Manufacturing Enterprises [J]. Journal of Management</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Mu Sheng (2018) Unleashing Potential: An Evolutionary Roadmap for Platform Based Organizations [M] Beijing: People's Posts and Telecommunications Publishing House</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Michael Hammer(2001).  The Agenda: What Every Business Must Do to Dominate the Decade[M].</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C.K.Prahalad, Gary Hamel(1995).  Competing for Future[M].</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C.K.Prahalad(2004). The Future of Competition: Co-Creating Unique Value with Customers[M].</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Yi Shengjun, Sun Keqing, Wang Jie (2017) Huawei Organizational Operations Methodology [M] Beijing: Renmin University of China Press</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Guo Chaoxian (2018) "Internet plus Industry": Global Situation and China's Development Path [J] Economic Research Reference</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Li Li (2017) Theoretical Analysis of Problem Forcing and Organizational Change [J] Leadership Science</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Cai Liying (2017) Research on Cost Control of H Boat Co., Ltd. Based on Internal Value Chain [D] Master's Thesis of East China Jiaotong University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Jiang Fangyuan (2018) Research on the Control System of Parent Subsidiary Companies in State owned Enterprise Groups - Taking Z Group as an Example [D] Master's thesis from Yangzhou University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Qi Lin (2017) Research on the Organizational Structure Change of ZF Group Based on Strategic Orientation [D] Master's thesis from Central University for Nationalities</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Qiu Ju, Zhou Fei (2017) Analysis of the Development and Evolution of Organizational Change Research in China Based on Knowledge Graph [J], Journal of Hubei University (Philosophy and Social Sciences Edition)</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Huang Yan, Chen Weizheng (2013) Exploring the System Model of Enterprise Organizational Change [J] Leadership Science</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Ke Jianfeng (2017) Research on Strategic Transformation of Traditional Manufacturing Enterprises Based on Internet Capability [D] Doctoral Dissertation from Wuhan University of Technology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Xiong Geqing (2013) Implementation of Value Chain Based Business Process Reengineering and Simulation for a Certain Enterprise [D] Master's thesis from Northeastern University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Duan Chao (2018) Case Study and Application of Customer Value Based Organizational Structure Change in Enterprises in the Internet Era [D] Master's thesis from Xi'an International Studies University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Zhou Hongren (2017) The development trend of integration of Internet plus and manufacturing industry [J] Administrative management reform</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Li Yahong (2016) Research on the correlation between IT governance and enterprise value and its impact mechanism on performance [D] Doctoral Dissertation from Beijing University of Technology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Chris Anderson (2015). Maker: The New Industrial Revolution [M]. Beijing: CITIC Publishing House</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Yang Jie (2018) The Impact of "Internet plus" on Technological Innovation in Manufacturing Industry [D] Master's thesis of information engineering University</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Hu Wei, Zheng Chao, Han Ru (2018) Huawei Process Transformation: Responsibilities, Rights, and Benefits Sorting and Process System Construction [M] Beijing: Electronic Industry Press</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Liu Ludun (2019) Reflection on the Informationization Practice of Enterprise Control System [J]. Information and Computers</w:t>
      </w:r>
    </w:p>
    <w:p>
      <w:pPr>
        <w:pStyle w:val="21"/>
        <w:numPr>
          <w:ilvl w:val="0"/>
          <w:numId w:val="3"/>
        </w:numPr>
        <w:spacing w:after="156" w:afterLines="50" w:line="276" w:lineRule="auto"/>
        <w:ind w:firstLineChars="0"/>
        <w:rPr>
          <w:rFonts w:ascii="Times New Roman" w:hAnsi="Times New Roman" w:cs="Times New Roman"/>
          <w:sz w:val="22"/>
          <w:szCs w:val="22"/>
        </w:rPr>
      </w:pPr>
      <w:r>
        <w:rPr>
          <w:rFonts w:ascii="Times New Roman" w:hAnsi="Times New Roman" w:cs="Times New Roman"/>
          <w:sz w:val="22"/>
          <w:szCs w:val="22"/>
        </w:rPr>
        <w:t>Li Wenyu (2016) Research on the influencing factors and strategies of organizational structure change in enterprises [D] Master's thesis from Hubei University of Technology</w:t>
      </w:r>
    </w:p>
    <w:sectPr>
      <w:footerReference r:id="rId3" w:type="default"/>
      <w:footerReference r:id="rId4"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Verdana">
    <w:panose1 w:val="020B0604030504040204"/>
    <w:charset w:val="00"/>
    <w:family w:val="swiss"/>
    <w:pitch w:val="default"/>
    <w:sig w:usb0="A00006FF" w:usb1="4000205B" w:usb2="00000010" w:usb3="00000000" w:csb0="2000019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59889364"/>
      <w:docPartObj>
        <w:docPartGallery w:val="AutoText"/>
      </w:docPartObj>
    </w:sdtPr>
    <w:sdtEndPr>
      <w:rPr>
        <w:rStyle w:val="17"/>
      </w:rPr>
    </w:sdtEndPr>
    <w:sdtContent>
      <w:p>
        <w:pPr>
          <w:pStyle w:val="8"/>
          <w:framePr w:wrap="auto" w:vAnchor="text" w:hAnchor="margin" w:xAlign="right" w:y="1"/>
          <w:rPr>
            <w:rStyle w:val="17"/>
          </w:rPr>
        </w:pPr>
        <w:r>
          <w:rPr>
            <w:rStyle w:val="17"/>
          </w:rPr>
          <w:fldChar w:fldCharType="begin"/>
        </w:r>
        <w:r>
          <w:rPr>
            <w:rStyle w:val="17"/>
          </w:rPr>
          <w:instrText xml:space="preserve"> PAGE </w:instrText>
        </w:r>
        <w:r>
          <w:rPr>
            <w:rStyle w:val="17"/>
          </w:rPr>
          <w:fldChar w:fldCharType="separate"/>
        </w:r>
        <w:r>
          <w:rPr>
            <w:rStyle w:val="17"/>
          </w:rPr>
          <w:t>1</w:t>
        </w:r>
        <w:r>
          <w:rPr>
            <w:rStyle w:val="17"/>
          </w:rPr>
          <w:fldChar w:fldCharType="end"/>
        </w:r>
      </w:p>
    </w:sdtContent>
  </w:sdt>
  <w:p>
    <w:pPr>
      <w:pStyle w:val="8"/>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633560588"/>
      <w:docPartObj>
        <w:docPartGallery w:val="AutoText"/>
      </w:docPartObj>
    </w:sdtPr>
    <w:sdtEndPr>
      <w:rPr>
        <w:rStyle w:val="17"/>
      </w:rPr>
    </w:sdtEndPr>
    <w:sdtContent>
      <w:p>
        <w:pPr>
          <w:pStyle w:val="8"/>
          <w:framePr w:wrap="auto" w:vAnchor="text" w:hAnchor="margin" w:xAlign="right" w:y="1"/>
          <w:rPr>
            <w:rStyle w:val="17"/>
          </w:rPr>
        </w:pPr>
        <w:r>
          <w:rPr>
            <w:rStyle w:val="17"/>
          </w:rPr>
          <w:fldChar w:fldCharType="begin"/>
        </w:r>
        <w:r>
          <w:rPr>
            <w:rStyle w:val="17"/>
          </w:rPr>
          <w:instrText xml:space="preserve"> PAGE </w:instrText>
        </w:r>
        <w:r>
          <w:rPr>
            <w:rStyle w:val="17"/>
          </w:rPr>
          <w:fldChar w:fldCharType="end"/>
        </w:r>
      </w:p>
    </w:sdtContent>
  </w:sdt>
  <w:p>
    <w:pPr>
      <w:pStyle w:val="8"/>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2B1528B"/>
    <w:multiLevelType w:val="multilevel"/>
    <w:tmpl w:val="12B1528B"/>
    <w:lvl w:ilvl="0" w:tentative="0">
      <w:start w:val="1"/>
      <w:numFmt w:val="decimal"/>
      <w:lvlText w:val="[%1]. "/>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26275B3F"/>
    <w:multiLevelType w:val="multilevel"/>
    <w:tmpl w:val="26275B3F"/>
    <w:lvl w:ilvl="0" w:tentative="0">
      <w:start w:val="6"/>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2">
    <w:nsid w:val="55806183"/>
    <w:multiLevelType w:val="multilevel"/>
    <w:tmpl w:val="55806183"/>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YzNjBkOTgyNWQ1YTMxYzM3MzMwNWFiODNmOWIzYWMifQ=="/>
  </w:docVars>
  <w:rsids>
    <w:rsidRoot w:val="000C7645"/>
    <w:rsid w:val="000220E0"/>
    <w:rsid w:val="00022BCA"/>
    <w:rsid w:val="000768D5"/>
    <w:rsid w:val="00090555"/>
    <w:rsid w:val="000C7645"/>
    <w:rsid w:val="00186CD5"/>
    <w:rsid w:val="001F777A"/>
    <w:rsid w:val="0023444E"/>
    <w:rsid w:val="00275888"/>
    <w:rsid w:val="00277E96"/>
    <w:rsid w:val="002B54A3"/>
    <w:rsid w:val="002C4B31"/>
    <w:rsid w:val="002C6AF3"/>
    <w:rsid w:val="002D29F5"/>
    <w:rsid w:val="002E3394"/>
    <w:rsid w:val="003C3EB6"/>
    <w:rsid w:val="00447F78"/>
    <w:rsid w:val="00457AAF"/>
    <w:rsid w:val="004641C4"/>
    <w:rsid w:val="00511691"/>
    <w:rsid w:val="00551F4E"/>
    <w:rsid w:val="005B0F6F"/>
    <w:rsid w:val="005C28B6"/>
    <w:rsid w:val="005D19DB"/>
    <w:rsid w:val="005F5405"/>
    <w:rsid w:val="006142E1"/>
    <w:rsid w:val="0068687F"/>
    <w:rsid w:val="006B2B24"/>
    <w:rsid w:val="006C233F"/>
    <w:rsid w:val="00745C08"/>
    <w:rsid w:val="00773F55"/>
    <w:rsid w:val="00777564"/>
    <w:rsid w:val="007C0A24"/>
    <w:rsid w:val="007E4E56"/>
    <w:rsid w:val="007F60BA"/>
    <w:rsid w:val="00834D17"/>
    <w:rsid w:val="0084317D"/>
    <w:rsid w:val="0087470A"/>
    <w:rsid w:val="00886FE7"/>
    <w:rsid w:val="0094443F"/>
    <w:rsid w:val="009F71D7"/>
    <w:rsid w:val="00A173CE"/>
    <w:rsid w:val="00A6093F"/>
    <w:rsid w:val="00AB0A87"/>
    <w:rsid w:val="00AF207D"/>
    <w:rsid w:val="00B1774F"/>
    <w:rsid w:val="00B7181D"/>
    <w:rsid w:val="00BA737B"/>
    <w:rsid w:val="00BC5AAC"/>
    <w:rsid w:val="00BD797A"/>
    <w:rsid w:val="00CA30EC"/>
    <w:rsid w:val="00D40606"/>
    <w:rsid w:val="00DB5CAB"/>
    <w:rsid w:val="00E14425"/>
    <w:rsid w:val="00E30301"/>
    <w:rsid w:val="00E505CD"/>
    <w:rsid w:val="00E533FB"/>
    <w:rsid w:val="00E76620"/>
    <w:rsid w:val="00E90415"/>
    <w:rsid w:val="00EF7211"/>
    <w:rsid w:val="00F61929"/>
    <w:rsid w:val="00F8465B"/>
    <w:rsid w:val="00FB3C93"/>
    <w:rsid w:val="67E611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semiHidden="0" w:name="toc 4"/>
    <w:lsdException w:uiPriority="39" w:semiHidden="0" w:name="toc 5"/>
    <w:lsdException w:uiPriority="39" w:semiHidden="0" w:name="toc 6"/>
    <w:lsdException w:uiPriority="39" w:semiHidden="0" w:name="toc 7"/>
    <w:lsdException w:uiPriority="39" w:semiHidden="0" w:name="toc 8"/>
    <w:lsdException w:uiPriority="39" w:semiHidden="0"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9"/>
    <w:qFormat/>
    <w:uiPriority w:val="9"/>
    <w:pPr>
      <w:keepNext/>
      <w:keepLines/>
      <w:spacing w:after="120" w:line="578" w:lineRule="auto"/>
      <w:ind w:left="360" w:hanging="360"/>
      <w:jc w:val="left"/>
      <w:outlineLvl w:val="0"/>
    </w:pPr>
    <w:rPr>
      <w:rFonts w:ascii="Times New Roman" w:hAnsi="Times New Roman" w:eastAsia="Times New Roman"/>
      <w:b/>
      <w:bCs/>
      <w:kern w:val="44"/>
      <w:sz w:val="28"/>
      <w:szCs w:val="44"/>
    </w:rPr>
  </w:style>
  <w:style w:type="paragraph" w:styleId="3">
    <w:name w:val="heading 2"/>
    <w:basedOn w:val="1"/>
    <w:next w:val="1"/>
    <w:link w:val="20"/>
    <w:qFormat/>
    <w:uiPriority w:val="9"/>
    <w:pPr>
      <w:autoSpaceDE w:val="0"/>
      <w:autoSpaceDN w:val="0"/>
      <w:snapToGrid w:val="0"/>
      <w:spacing w:after="50" w:afterLines="50" w:line="360" w:lineRule="auto"/>
      <w:jc w:val="left"/>
      <w:outlineLvl w:val="1"/>
    </w:pPr>
    <w:rPr>
      <w:rFonts w:ascii="Times New Roman" w:hAnsi="Times New Roman" w:eastAsia="Times New Roman" w:cs="Verdana"/>
      <w:b/>
      <w:bCs/>
      <w:kern w:val="0"/>
      <w:sz w:val="24"/>
      <w:szCs w:val="32"/>
      <w:lang w:val="en" w:eastAsia="en-US"/>
    </w:rPr>
  </w:style>
  <w:style w:type="character" w:default="1" w:styleId="16">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4">
    <w:name w:val="toc 7"/>
    <w:basedOn w:val="1"/>
    <w:next w:val="1"/>
    <w:unhideWhenUsed/>
    <w:uiPriority w:val="39"/>
    <w:pPr>
      <w:ind w:left="1260"/>
      <w:jc w:val="left"/>
    </w:pPr>
    <w:rPr>
      <w:rFonts w:eastAsiaTheme="minorHAnsi"/>
      <w:sz w:val="18"/>
      <w:szCs w:val="18"/>
    </w:rPr>
  </w:style>
  <w:style w:type="paragraph" w:styleId="5">
    <w:name w:val="toc 5"/>
    <w:basedOn w:val="1"/>
    <w:next w:val="1"/>
    <w:unhideWhenUsed/>
    <w:uiPriority w:val="39"/>
    <w:pPr>
      <w:ind w:left="840"/>
      <w:jc w:val="left"/>
    </w:pPr>
    <w:rPr>
      <w:rFonts w:eastAsiaTheme="minorHAnsi"/>
      <w:sz w:val="18"/>
      <w:szCs w:val="18"/>
    </w:rPr>
  </w:style>
  <w:style w:type="paragraph" w:styleId="6">
    <w:name w:val="toc 3"/>
    <w:basedOn w:val="1"/>
    <w:next w:val="1"/>
    <w:unhideWhenUsed/>
    <w:uiPriority w:val="39"/>
    <w:pPr>
      <w:ind w:left="420"/>
      <w:jc w:val="left"/>
    </w:pPr>
    <w:rPr>
      <w:rFonts w:eastAsiaTheme="minorHAnsi"/>
      <w:i/>
      <w:iCs/>
      <w:sz w:val="20"/>
      <w:szCs w:val="20"/>
    </w:rPr>
  </w:style>
  <w:style w:type="paragraph" w:styleId="7">
    <w:name w:val="toc 8"/>
    <w:basedOn w:val="1"/>
    <w:next w:val="1"/>
    <w:unhideWhenUsed/>
    <w:uiPriority w:val="39"/>
    <w:pPr>
      <w:ind w:left="1470"/>
      <w:jc w:val="left"/>
    </w:pPr>
    <w:rPr>
      <w:rFonts w:eastAsiaTheme="minorHAnsi"/>
      <w:sz w:val="18"/>
      <w:szCs w:val="18"/>
    </w:rPr>
  </w:style>
  <w:style w:type="paragraph" w:styleId="8">
    <w:name w:val="footer"/>
    <w:basedOn w:val="1"/>
    <w:link w:val="23"/>
    <w:unhideWhenUsed/>
    <w:uiPriority w:val="99"/>
    <w:pPr>
      <w:tabs>
        <w:tab w:val="center" w:pos="4153"/>
        <w:tab w:val="right" w:pos="8306"/>
      </w:tabs>
      <w:snapToGrid w:val="0"/>
      <w:jc w:val="left"/>
    </w:pPr>
    <w:rPr>
      <w:sz w:val="18"/>
      <w:szCs w:val="18"/>
    </w:rPr>
  </w:style>
  <w:style w:type="paragraph" w:styleId="9">
    <w:name w:val="toc 1"/>
    <w:basedOn w:val="1"/>
    <w:next w:val="1"/>
    <w:unhideWhenUsed/>
    <w:uiPriority w:val="39"/>
    <w:pPr>
      <w:tabs>
        <w:tab w:val="left" w:pos="420"/>
        <w:tab w:val="right" w:leader="dot" w:pos="8296"/>
      </w:tabs>
      <w:spacing w:before="120" w:after="120"/>
      <w:jc w:val="left"/>
    </w:pPr>
    <w:rPr>
      <w:rFonts w:eastAsiaTheme="minorHAnsi"/>
      <w:b/>
      <w:bCs/>
      <w:caps/>
      <w:sz w:val="20"/>
      <w:szCs w:val="20"/>
    </w:rPr>
  </w:style>
  <w:style w:type="paragraph" w:styleId="10">
    <w:name w:val="toc 4"/>
    <w:basedOn w:val="1"/>
    <w:next w:val="1"/>
    <w:unhideWhenUsed/>
    <w:uiPriority w:val="39"/>
    <w:pPr>
      <w:ind w:left="630"/>
      <w:jc w:val="left"/>
    </w:pPr>
    <w:rPr>
      <w:rFonts w:eastAsiaTheme="minorHAnsi"/>
      <w:sz w:val="18"/>
      <w:szCs w:val="18"/>
    </w:rPr>
  </w:style>
  <w:style w:type="paragraph" w:styleId="11">
    <w:name w:val="toc 6"/>
    <w:basedOn w:val="1"/>
    <w:next w:val="1"/>
    <w:unhideWhenUsed/>
    <w:uiPriority w:val="39"/>
    <w:pPr>
      <w:ind w:left="1050"/>
      <w:jc w:val="left"/>
    </w:pPr>
    <w:rPr>
      <w:rFonts w:eastAsiaTheme="minorHAnsi"/>
      <w:sz w:val="18"/>
      <w:szCs w:val="18"/>
    </w:rPr>
  </w:style>
  <w:style w:type="paragraph" w:styleId="12">
    <w:name w:val="toc 2"/>
    <w:basedOn w:val="1"/>
    <w:next w:val="1"/>
    <w:unhideWhenUsed/>
    <w:uiPriority w:val="39"/>
    <w:pPr>
      <w:ind w:left="210"/>
      <w:jc w:val="left"/>
    </w:pPr>
    <w:rPr>
      <w:rFonts w:eastAsiaTheme="minorHAnsi"/>
      <w:smallCaps/>
      <w:sz w:val="20"/>
      <w:szCs w:val="20"/>
    </w:rPr>
  </w:style>
  <w:style w:type="paragraph" w:styleId="13">
    <w:name w:val="toc 9"/>
    <w:basedOn w:val="1"/>
    <w:next w:val="1"/>
    <w:unhideWhenUsed/>
    <w:uiPriority w:val="39"/>
    <w:pPr>
      <w:ind w:left="1680"/>
      <w:jc w:val="left"/>
    </w:pPr>
    <w:rPr>
      <w:rFonts w:eastAsiaTheme="minorHAnsi"/>
      <w:sz w:val="18"/>
      <w:szCs w:val="18"/>
    </w:rPr>
  </w:style>
  <w:style w:type="table" w:styleId="15">
    <w:name w:val="Table Grid"/>
    <w:basedOn w:val="14"/>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page number"/>
    <w:basedOn w:val="16"/>
    <w:semiHidden/>
    <w:unhideWhenUsed/>
    <w:uiPriority w:val="99"/>
  </w:style>
  <w:style w:type="character" w:styleId="18">
    <w:name w:val="Hyperlink"/>
    <w:basedOn w:val="16"/>
    <w:unhideWhenUsed/>
    <w:uiPriority w:val="99"/>
    <w:rPr>
      <w:color w:val="0563C1" w:themeColor="hyperlink"/>
      <w:u w:val="single"/>
      <w14:textFill>
        <w14:solidFill>
          <w14:schemeClr w14:val="hlink"/>
        </w14:solidFill>
      </w14:textFill>
    </w:rPr>
  </w:style>
  <w:style w:type="character" w:customStyle="1" w:styleId="19">
    <w:name w:val="标题 1 字符"/>
    <w:basedOn w:val="16"/>
    <w:link w:val="2"/>
    <w:uiPriority w:val="9"/>
    <w:rPr>
      <w:rFonts w:ascii="Times New Roman" w:hAnsi="Times New Roman" w:eastAsia="Times New Roman"/>
      <w:b/>
      <w:bCs/>
      <w:kern w:val="44"/>
      <w:sz w:val="28"/>
      <w:szCs w:val="44"/>
    </w:rPr>
  </w:style>
  <w:style w:type="character" w:customStyle="1" w:styleId="20">
    <w:name w:val="标题 2 字符"/>
    <w:basedOn w:val="16"/>
    <w:link w:val="3"/>
    <w:qFormat/>
    <w:uiPriority w:val="9"/>
    <w:rPr>
      <w:rFonts w:ascii="Times New Roman" w:hAnsi="Times New Roman" w:eastAsia="Times New Roman" w:cs="Verdana"/>
      <w:b/>
      <w:bCs/>
      <w:kern w:val="0"/>
      <w:sz w:val="24"/>
      <w:szCs w:val="32"/>
      <w:lang w:val="en" w:eastAsia="en-US"/>
    </w:rPr>
  </w:style>
  <w:style w:type="paragraph" w:styleId="21">
    <w:name w:val="List Paragraph"/>
    <w:basedOn w:val="1"/>
    <w:qFormat/>
    <w:uiPriority w:val="34"/>
    <w:pPr>
      <w:ind w:firstLine="420" w:firstLineChars="200"/>
    </w:pPr>
  </w:style>
  <w:style w:type="paragraph" w:customStyle="1" w:styleId="22">
    <w:name w:val="TOC Heading"/>
    <w:basedOn w:val="2"/>
    <w:next w:val="1"/>
    <w:unhideWhenUsed/>
    <w:qFormat/>
    <w:uiPriority w:val="39"/>
    <w:pPr>
      <w:widowControl/>
      <w:spacing w:before="480" w:after="0" w:line="276" w:lineRule="auto"/>
      <w:ind w:left="0" w:firstLine="0"/>
      <w:outlineLvl w:val="9"/>
    </w:pPr>
    <w:rPr>
      <w:rFonts w:asciiTheme="majorHAnsi" w:hAnsiTheme="majorHAnsi" w:eastAsiaTheme="majorEastAsia" w:cstheme="majorBidi"/>
      <w:color w:val="2F5597" w:themeColor="accent1" w:themeShade="BF"/>
      <w:kern w:val="0"/>
      <w:szCs w:val="28"/>
    </w:rPr>
  </w:style>
  <w:style w:type="character" w:customStyle="1" w:styleId="23">
    <w:name w:val="页脚 字符"/>
    <w:basedOn w:val="16"/>
    <w:link w:val="8"/>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EEF62-2874-8943-ADC9-62FE1D2959AE}">
  <ds:schemaRefs/>
</ds:datastoreItem>
</file>

<file path=docProps/app.xml><?xml version="1.0" encoding="utf-8"?>
<Properties xmlns="http://schemas.openxmlformats.org/officeDocument/2006/extended-properties" xmlns:vt="http://schemas.openxmlformats.org/officeDocument/2006/docPropsVTypes">
  <Template>Normal.dotm</Template>
  <Pages>24</Pages>
  <Words>4883</Words>
  <Characters>27839</Characters>
  <Lines>231</Lines>
  <Paragraphs>65</Paragraphs>
  <TotalTime>99</TotalTime>
  <ScaleCrop>false</ScaleCrop>
  <LinksUpToDate>false</LinksUpToDate>
  <CharactersWithSpaces>32657</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2023-02-08T07:29:00Z</dcterms:created>
  <dc:creator>2654002624@qq.com</dc:creator>
  <cp:lastModifiedBy>gzy</cp:lastModifiedBy>
  <dcterms:modified xsi:type="dcterms:W3CDTF">2023-05-04T10:43:52Z</dcterms:modified>
  <cp:revision>29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A63ADEDD94784B6198B059C3B905527E_12</vt:lpwstr>
  </property>
</Properties>
</file>