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12"/>
        <w:tblpPr w:leftFromText="187" w:rightFromText="187" w:horzAnchor="margin" w:tblpXSpec="center" w:tblpY="2881"/>
        <w:tblW w:w="7209" w:type="dxa"/>
        <w:tblInd w:w="0" w:type="dxa"/>
        <w:tblBorders>
          <w:top w:val="none" w:color="auto" w:sz="0" w:space="0"/>
          <w:left w:val="single" w:color="5B9BD5" w:themeColor="accent1" w:sz="12" w:space="0"/>
          <w:bottom w:val="none" w:color="auto" w:sz="0" w:space="0"/>
          <w:right w:val="none" w:color="auto" w:sz="0" w:space="0"/>
          <w:insideH w:val="none" w:color="auto" w:sz="0" w:space="0"/>
          <w:insideV w:val="none" w:color="auto" w:sz="0" w:space="0"/>
        </w:tblBorders>
        <w:tblLayout w:type="fixed"/>
        <w:tblCellMar>
          <w:top w:w="0" w:type="dxa"/>
          <w:left w:w="144" w:type="dxa"/>
          <w:bottom w:w="0" w:type="dxa"/>
          <w:right w:w="115" w:type="dxa"/>
        </w:tblCellMar>
      </w:tblPr>
      <w:tblGrid>
        <w:gridCol w:w="7209"/>
      </w:tblGrid>
      <w:tr>
        <w:tblPrEx>
          <w:tblBorders>
            <w:top w:val="none" w:color="auto" w:sz="0" w:space="0"/>
            <w:left w:val="single" w:color="5B9BD5" w:themeColor="accent1" w:sz="12" w:space="0"/>
            <w:bottom w:val="none" w:color="auto" w:sz="0" w:space="0"/>
            <w:right w:val="none" w:color="auto" w:sz="0" w:space="0"/>
            <w:insideH w:val="none" w:color="auto" w:sz="0" w:space="0"/>
            <w:insideV w:val="none" w:color="auto" w:sz="0" w:space="0"/>
          </w:tblBorders>
          <w:tblLayout w:type="fixed"/>
          <w:tblCellMar>
            <w:top w:w="0" w:type="dxa"/>
            <w:left w:w="144" w:type="dxa"/>
            <w:bottom w:w="0" w:type="dxa"/>
            <w:right w:w="115" w:type="dxa"/>
          </w:tblCellMar>
        </w:tblPrEx>
        <w:sdt>
          <w:sdtPr>
            <w:rPr>
              <w:rFonts w:hint="default" w:ascii="Times New Roman" w:hAnsi="Times New Roman" w:cs="Times New Roman"/>
              <w:color w:val="2E75B6" w:themeColor="accent1" w:themeShade="BF"/>
              <w:sz w:val="24"/>
              <w:szCs w:val="24"/>
            </w:rPr>
            <w:alias w:val="Company"/>
            <w:id w:val="13406915"/>
            <w:placeholder>
              <w:docPart w:val="{bc811fd6-1b43-4d2b-804a-4326206c8bea}"/>
            </w:placeholder>
            <w15:dataBinding w:prefixMappings="xmlns:ns0='http://schemas.openxmlformats.org/officeDocument/2006/extended-properties'" w:xpath="/ns0:Properties[1]/ns0:Company[1]" w:storeItemID="{6668398D-A668-4E3E-A5EB-62B293D839F1}"/>
            <w:text/>
          </w:sdtPr>
          <w:sdtEndPr>
            <w:rPr>
              <w:rFonts w:hint="default" w:ascii="Times New Roman" w:hAnsi="Times New Roman" w:cs="Times New Roman"/>
              <w:color w:val="2E75B6" w:themeColor="accent1" w:themeShade="BF"/>
              <w:sz w:val="24"/>
              <w:szCs w:val="24"/>
            </w:rPr>
          </w:sdtEndPr>
          <w:sdtContent>
            <w:tc>
              <w:tcPr>
                <w:tcW w:w="7209" w:type="dxa"/>
                <w:tcMar>
                  <w:top w:w="216" w:type="dxa"/>
                  <w:left w:w="115" w:type="dxa"/>
                  <w:bottom w:w="216" w:type="dxa"/>
                  <w:right w:w="115" w:type="dxa"/>
                </w:tcMar>
              </w:tcPr>
              <w:p>
                <w:pPr>
                  <w:pStyle w:val="15"/>
                  <w:jc w:val="center"/>
                  <w:rPr>
                    <w:rFonts w:hint="default" w:ascii="Times New Roman" w:hAnsi="Times New Roman" w:cs="Times New Roman"/>
                    <w:color w:val="2E75B6" w:themeColor="accent1" w:themeShade="BF"/>
                    <w:sz w:val="24"/>
                    <w:szCs w:val="24"/>
                  </w:rPr>
                </w:pPr>
                <w:r>
                  <w:rPr>
                    <w:rFonts w:hint="default" w:ascii="Times New Roman" w:hAnsi="Times New Roman" w:cs="Times New Roman"/>
                    <w:color w:val="2E75B6" w:themeColor="accent1" w:themeShade="BF"/>
                    <w:sz w:val="24"/>
                    <w:szCs w:val="24"/>
                    <w:lang w:val="en-GB" w:eastAsia="zh-CN"/>
                  </w:rPr>
                  <w:t>University of Wales Trinity Saint David</w:t>
                </w:r>
              </w:p>
            </w:tc>
          </w:sdtContent>
        </w:sdt>
      </w:tr>
      <w:tr>
        <w:tblPrEx>
          <w:tblBorders>
            <w:top w:val="none" w:color="auto" w:sz="0" w:space="0"/>
            <w:left w:val="single" w:color="5B9BD5" w:themeColor="accent1" w:sz="12" w:space="0"/>
            <w:bottom w:val="none" w:color="auto" w:sz="0" w:space="0"/>
            <w:right w:val="none" w:color="auto" w:sz="0" w:space="0"/>
            <w:insideH w:val="none" w:color="auto" w:sz="0" w:space="0"/>
            <w:insideV w:val="none" w:color="auto" w:sz="0" w:space="0"/>
          </w:tblBorders>
          <w:tblLayout w:type="fixed"/>
          <w:tblCellMar>
            <w:top w:w="0" w:type="dxa"/>
            <w:left w:w="144" w:type="dxa"/>
            <w:bottom w:w="0" w:type="dxa"/>
            <w:right w:w="115" w:type="dxa"/>
          </w:tblCellMar>
        </w:tblPrEx>
        <w:tc>
          <w:tcPr>
            <w:tcW w:w="7209" w:type="dxa"/>
          </w:tcPr>
          <w:sdt>
            <w:sdtPr>
              <w:rPr>
                <w:rFonts w:hint="default" w:ascii="Times New Roman" w:hAnsi="Times New Roman" w:cs="Times New Roman" w:eastAsiaTheme="majorEastAsia"/>
                <w:color w:val="5B9BD5" w:themeColor="accent1"/>
                <w:sz w:val="24"/>
                <w:szCs w:val="24"/>
                <w14:textFill>
                  <w14:solidFill>
                    <w14:schemeClr w14:val="accent1"/>
                  </w14:solidFill>
                </w14:textFill>
              </w:rPr>
              <w:alias w:val="Title"/>
              <w:id w:val="13406919"/>
              <w:placeholder>
                <w:docPart w:val="{44a34585-6e37-42cf-9881-b345fe4ed68a}"/>
              </w:placeholder>
              <w15:dataBinding w:prefixMappings="xmlns:ns0='http://schemas.openxmlformats.org/package/2006/metadata/core-properties' xmlns:ns1='http://purl.org/dc/elements/1.1/'" w:xpath="/ns0:coreProperties[1]/ns1:title[1]" w:storeItemID="{6C3C8BC8-F283-45AE-878A-BAB7291924A1}"/>
              <w:text/>
            </w:sdtPr>
            <w:sdtEndPr>
              <w:rPr>
                <w:rFonts w:hint="default" w:ascii="Times New Roman" w:hAnsi="Times New Roman" w:cs="Times New Roman" w:eastAsiaTheme="majorEastAsia"/>
                <w:color w:val="5B9BD5" w:themeColor="accent1"/>
                <w:sz w:val="24"/>
                <w:szCs w:val="24"/>
                <w:lang w:val="en-US"/>
                <w14:textFill>
                  <w14:solidFill>
                    <w14:schemeClr w14:val="accent1"/>
                  </w14:solidFill>
                </w14:textFill>
              </w:rPr>
            </w:sdtEndPr>
            <w:sdtContent>
              <w:p>
                <w:pPr>
                  <w:pStyle w:val="15"/>
                  <w:spacing w:line="216" w:lineRule="auto"/>
                  <w:jc w:val="center"/>
                  <w:rPr>
                    <w:rFonts w:hint="default" w:ascii="Times New Roman" w:hAnsi="Times New Roman" w:cs="Times New Roman" w:eastAsiaTheme="majorEastAsia"/>
                    <w:color w:val="5B9BD5" w:themeColor="accent1"/>
                    <w:sz w:val="24"/>
                    <w:szCs w:val="24"/>
                    <w:lang w:val="en-US"/>
                    <w14:textFill>
                      <w14:solidFill>
                        <w14:schemeClr w14:val="accent1"/>
                      </w14:solidFill>
                    </w14:textFill>
                  </w:rPr>
                </w:pPr>
                <w:r>
                  <w:rPr>
                    <w:rFonts w:hint="default" w:ascii="Times New Roman" w:hAnsi="Times New Roman" w:cs="Times New Roman" w:eastAsiaTheme="majorEastAsia"/>
                    <w:color w:val="5B9BD5" w:themeColor="accent1"/>
                    <w:sz w:val="24"/>
                    <w:szCs w:val="24"/>
                    <w:lang w:val="en-US" w:eastAsia="zh-CN"/>
                    <w14:textFill>
                      <w14:solidFill>
                        <w14:schemeClr w14:val="accent1"/>
                      </w14:solidFill>
                    </w14:textFill>
                  </w:rPr>
                  <w:t>The Business Of The Water</w:t>
                </w:r>
              </w:p>
            </w:sdtContent>
          </w:sdt>
          <w:p>
            <w:pPr>
              <w:rPr>
                <w:rFonts w:hint="default" w:ascii="Times New Roman" w:hAnsi="Times New Roman" w:cs="Times New Roman"/>
                <w:sz w:val="24"/>
                <w:szCs w:val="24"/>
              </w:rPr>
            </w:pPr>
          </w:p>
        </w:tc>
      </w:tr>
    </w:tbl>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Style w:val="8"/>
        <w:tabs>
          <w:tab w:val="right" w:leader="dot" w:pos="8306"/>
        </w:tabs>
        <w:rPr>
          <w:rFonts w:hint="default" w:ascii="Times New Roman" w:hAnsi="Times New Roman" w:cs="Times New Roman"/>
          <w:sz w:val="24"/>
          <w:szCs w:val="24"/>
        </w:rPr>
        <w:sectPr>
          <w:pgSz w:w="11906" w:h="16838"/>
          <w:pgMar w:top="1440" w:right="1800" w:bottom="1440" w:left="1800" w:header="851" w:footer="992" w:gutter="0"/>
          <w:cols w:space="425" w:num="1"/>
          <w:docGrid w:type="lines" w:linePitch="312" w:charSpace="0"/>
        </w:sectPr>
      </w:pP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_Toc7101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1. 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_Toc7101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_Toc32439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1.1 aim and objective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_Toc32439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_Toc31787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1.2 The background of the American Water Company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_Toc31787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_Toc32408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1. Main Body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_Toc32408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_Toc32041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 The definition of CSR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_Toc32041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_Toc19803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2.2 Stakeholders and shareholders theory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_Toc19803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_Toc8388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 Carroll’s Pyramid of CSR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_Toc8388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_Toc9089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2.3.1 Economic Responsibilities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_Toc9089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_Toc2451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2.3.2 Legal Responsibilities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_Toc2451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_Toc7407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2.3.3 Ethical Responsibilities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_Toc7407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_Toc8399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2.3.4 Philanthropic Responsibilities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_Toc8399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_Toc28483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2.4 Sustainability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_Toc28483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_Toc31198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2.4.1 What is Sustainability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_Toc31198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_Toc11161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2.4.2 Sustainability and Privatised Water Companies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_Toc11161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_Toc18289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2.5 The quality of Water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_Toc18289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_Toc12227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2.6 the advantages and disadvantages of a Privatised Water Industry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_Toc12227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_Toc5739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2.6.1 Advantages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_Toc5739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_Toc18950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2.6.2 Disadvantages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_Toc18950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_Toc25899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2.7 The Future of Water Supply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_Toc25899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_Toc27597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2.8 Corporate Citizenship</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_Toc27597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_Toc8682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2.8.1 Water companies and the extended view of Corporate Citizenship</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_Toc8682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_Toc27383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_Toc27383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_Toc12625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5.References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_Toc12625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end"/>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p>
    <w:p>
      <w:pPr>
        <w:pStyle w:val="2"/>
        <w:pageBreakBefore w:val="0"/>
        <w:widowControl w:val="0"/>
        <w:numPr>
          <w:ilvl w:val="0"/>
          <w:numId w:val="1"/>
        </w:numPr>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bookmarkStart w:id="0" w:name="_Toc7101"/>
      <w:r>
        <w:rPr>
          <w:rFonts w:hint="default" w:ascii="Times New Roman" w:hAnsi="Times New Roman" w:cs="Times New Roman"/>
          <w:sz w:val="24"/>
          <w:szCs w:val="24"/>
          <w:lang w:val="en-US" w:eastAsia="zh-CN"/>
        </w:rPr>
        <w:t>Executive Summary</w:t>
      </w:r>
      <w:bookmarkEnd w:id="0"/>
    </w:p>
    <w:p>
      <w:pPr>
        <w:pStyle w:val="3"/>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bookmarkStart w:id="1" w:name="_Toc32439"/>
      <w:r>
        <w:rPr>
          <w:rFonts w:hint="default" w:ascii="Times New Roman" w:hAnsi="Times New Roman" w:cs="Times New Roman"/>
          <w:sz w:val="24"/>
          <w:szCs w:val="24"/>
          <w:lang w:val="en-US" w:eastAsia="zh-CN"/>
        </w:rPr>
        <w:t>1.1 aim and objective</w:t>
      </w:r>
      <w:bookmarkEnd w:id="1"/>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w:t>
      </w:r>
      <w:r>
        <w:rPr>
          <w:rFonts w:hint="default" w:ascii="Times New Roman" w:hAnsi="Times New Roman" w:cs="Times New Roman"/>
          <w:sz w:val="24"/>
          <w:szCs w:val="24"/>
          <w:lang w:val="en-US" w:eastAsia="zh-CN"/>
        </w:rPr>
        <w:t>e aim and objective of the report are</w:t>
      </w:r>
      <w:r>
        <w:rPr>
          <w:rFonts w:hint="default" w:ascii="Times New Roman" w:hAnsi="Times New Roman" w:cs="Times New Roman"/>
          <w:sz w:val="24"/>
          <w:szCs w:val="24"/>
          <w:lang w:val="en-US" w:eastAsia="zh-CN"/>
        </w:rPr>
        <w:t>:</w:t>
      </w:r>
    </w:p>
    <w:p>
      <w:pPr>
        <w:pageBreakBefore w:val="0"/>
        <w:widowControl w:val="0"/>
        <w:numPr>
          <w:ilvl w:val="0"/>
          <w:numId w:val="2"/>
        </w:numPr>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Discuss and evaluate water companies from the corporate social responsibility pyramid</w:t>
      </w:r>
      <w:r>
        <w:rPr>
          <w:rFonts w:hint="default" w:ascii="Times New Roman" w:hAnsi="Times New Roman" w:cs="Times New Roman"/>
          <w:sz w:val="24"/>
          <w:szCs w:val="24"/>
          <w:lang w:val="en-US" w:eastAsia="zh-CN"/>
        </w:rPr>
        <w:t>.</w:t>
      </w:r>
    </w:p>
    <w:p>
      <w:pPr>
        <w:pageBreakBefore w:val="0"/>
        <w:widowControl w:val="0"/>
        <w:numPr>
          <w:ilvl w:val="0"/>
          <w:numId w:val="2"/>
        </w:numPr>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Examine private water company companies in developing countries.</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This report will criticize global privatization water companies through analysis of U.S. water companies. </w:t>
      </w:r>
      <w:r>
        <w:rPr>
          <w:rFonts w:hint="default" w:ascii="Times New Roman" w:hAnsi="Times New Roman" w:cs="Times New Roman"/>
          <w:sz w:val="24"/>
          <w:szCs w:val="24"/>
          <w:lang w:val="en-US" w:eastAsia="zh-CN"/>
        </w:rPr>
        <w:t>The theoretical model of Carroll</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s pyramid of CSR will be discussed, with examples of the economic, legal, ethical and philanthropic responsibilities being applies to the privatised water companies. In addition to the analysis of the corporate social responsibility pyramid, I will discuss the sustainability of water resources, the benefits and disadvantages of private water companies, and the future of water companies. And look for the risks that private water companies will face, and give some suggestions on the conclusions. </w:t>
      </w:r>
    </w:p>
    <w:p>
      <w:pPr>
        <w:pStyle w:val="3"/>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bookmarkStart w:id="2" w:name="_Toc31787"/>
      <w:r>
        <w:rPr>
          <w:rFonts w:hint="default" w:ascii="Times New Roman" w:hAnsi="Times New Roman" w:cs="Times New Roman"/>
          <w:sz w:val="24"/>
          <w:szCs w:val="24"/>
          <w:lang w:val="en-US" w:eastAsia="zh-CN"/>
        </w:rPr>
        <w:t>1.2 The background of the American Water Company</w:t>
      </w:r>
      <w:bookmarkEnd w:id="2"/>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American </w:t>
      </w:r>
      <w:r>
        <w:rPr>
          <w:rFonts w:hint="default" w:ascii="Times New Roman" w:hAnsi="Times New Roman" w:cs="Times New Roman"/>
          <w:sz w:val="24"/>
          <w:szCs w:val="24"/>
          <w:lang w:val="en-US" w:eastAsia="zh-CN"/>
        </w:rPr>
        <w:t>Water Company was founded in 1886. He is the largest water company in the United States. The company employs more than 6,900 full-time staff and provides standardized and marketable drinking water for 15 million people in 46 states and Canada.</w:t>
      </w:r>
      <w:r>
        <w:rPr>
          <w:rFonts w:hint="default" w:ascii="Times New Roman" w:hAnsi="Times New Roman" w:cs="Times New Roman"/>
          <w:sz w:val="24"/>
          <w:szCs w:val="24"/>
          <w:lang w:val="en-US" w:eastAsia="zh-CN"/>
        </w:rPr>
        <w:t xml:space="preserve"> The company established the U.S. Water Military Service Group in 2003 to provide services to 11 U.S. military bases. In complying with strict federal regulations to provide clean, quality drinking water, U.S. water companies have consistently rated the highest public or private sector among all water companies. In addition, the company is the best water and sewerage utility in the United States. They provide clean, safe, reliable and reasonably priced water and water services.</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Style w:val="2"/>
        <w:pageBreakBefore w:val="0"/>
        <w:widowControl w:val="0"/>
        <w:numPr>
          <w:ilvl w:val="0"/>
          <w:numId w:val="3"/>
        </w:numPr>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bookmarkStart w:id="3" w:name="_Toc32408"/>
      <w:r>
        <w:rPr>
          <w:rFonts w:hint="default" w:ascii="Times New Roman" w:hAnsi="Times New Roman" w:cs="Times New Roman"/>
          <w:sz w:val="24"/>
          <w:szCs w:val="24"/>
          <w:lang w:val="en-US" w:eastAsia="zh-CN"/>
        </w:rPr>
        <w:t>Main Body</w:t>
      </w:r>
      <w:bookmarkEnd w:id="3"/>
    </w:p>
    <w:p>
      <w:pPr>
        <w:pStyle w:val="3"/>
        <w:pageBreakBefore w:val="0"/>
        <w:widowControl w:val="0"/>
        <w:numPr>
          <w:numId w:val="0"/>
        </w:numPr>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bookmarkStart w:id="4" w:name="_Toc32041"/>
      <w:r>
        <w:rPr>
          <w:rFonts w:hint="default" w:ascii="Times New Roman" w:hAnsi="Times New Roman" w:cs="Times New Roman"/>
          <w:sz w:val="24"/>
          <w:szCs w:val="24"/>
          <w:lang w:val="en-US" w:eastAsia="zh-CN"/>
        </w:rPr>
        <w:t>2.1 The definition of CSR</w:t>
      </w:r>
      <w:bookmarkEnd w:id="4"/>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CSR is corporate social responsibility. It means that when companies create profits for shareholders, they must also assume responsibility for workers, consumers, the environment and society etc , For example, no child labor, no forced labor, safe and healthy work environment (Donna, 1991). Social corporate responsibility can be used to help companies self-monitor and ensure that companies comply with the country's legal spirit and ethical standards </w:t>
      </w:r>
      <w:r>
        <w:rPr>
          <w:rFonts w:hint="default" w:ascii="Times New Roman" w:hAnsi="Times New Roman" w:eastAsia="宋体" w:cs="Times New Roman"/>
          <w:i w:val="0"/>
          <w:caps w:val="0"/>
          <w:color w:val="222222"/>
          <w:spacing w:val="0"/>
          <w:sz w:val="24"/>
          <w:szCs w:val="24"/>
          <w:shd w:val="clear" w:fill="FFFFFF"/>
          <w:lang w:val="en-US" w:eastAsia="zh-CN"/>
        </w:rPr>
        <w:t>(</w:t>
      </w:r>
      <w:r>
        <w:rPr>
          <w:rFonts w:hint="default" w:ascii="Times New Roman" w:hAnsi="Times New Roman" w:eastAsia="sans-serif" w:cs="Times New Roman"/>
          <w:i w:val="0"/>
          <w:caps w:val="0"/>
          <w:color w:val="222222"/>
          <w:spacing w:val="0"/>
          <w:sz w:val="24"/>
          <w:szCs w:val="24"/>
          <w:shd w:val="clear" w:fill="FFFFFF"/>
        </w:rPr>
        <w:t xml:space="preserve">Jeremy </w:t>
      </w:r>
      <w:r>
        <w:rPr>
          <w:rFonts w:hint="default" w:ascii="Times New Roman" w:hAnsi="Times New Roman" w:eastAsia="宋体" w:cs="Times New Roman"/>
          <w:i w:val="0"/>
          <w:caps w:val="0"/>
          <w:color w:val="222222"/>
          <w:spacing w:val="0"/>
          <w:sz w:val="24"/>
          <w:szCs w:val="24"/>
          <w:shd w:val="clear" w:fill="FFFFFF"/>
          <w:lang w:val="en-US" w:eastAsia="zh-CN"/>
        </w:rPr>
        <w:t xml:space="preserve">, </w:t>
      </w:r>
      <w:r>
        <w:rPr>
          <w:rFonts w:hint="default" w:ascii="Times New Roman" w:hAnsi="Times New Roman" w:eastAsia="sans-serif" w:cs="Times New Roman"/>
          <w:i w:val="0"/>
          <w:caps w:val="0"/>
          <w:color w:val="222222"/>
          <w:spacing w:val="0"/>
          <w:sz w:val="24"/>
          <w:szCs w:val="24"/>
          <w:shd w:val="clear" w:fill="FFFFFF"/>
        </w:rPr>
        <w:t>2017)</w:t>
      </w:r>
      <w:r>
        <w:rPr>
          <w:rFonts w:hint="default" w:ascii="Times New Roman" w:hAnsi="Times New Roman" w:eastAsia="宋体" w:cs="Times New Roman"/>
          <w:i w:val="0"/>
          <w:caps w:val="0"/>
          <w:color w:val="222222"/>
          <w:spacing w:val="0"/>
          <w:sz w:val="24"/>
          <w:szCs w:val="24"/>
          <w:shd w:val="clear" w:fill="FFFFFF"/>
          <w:lang w:val="en-US" w:eastAsia="zh-CN"/>
        </w:rPr>
        <w:t>.</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Style w:val="3"/>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rPr>
      </w:pPr>
      <w:bookmarkStart w:id="5" w:name="_Toc19803"/>
      <w:r>
        <w:rPr>
          <w:rFonts w:hint="default" w:ascii="Times New Roman" w:hAnsi="Times New Roman" w:cs="Times New Roman"/>
          <w:sz w:val="24"/>
          <w:szCs w:val="24"/>
          <w:lang w:val="en-US" w:eastAsia="zh-CN"/>
        </w:rPr>
        <w:t>2.2 Stakeholders and shareholders theory</w:t>
      </w:r>
      <w:bookmarkEnd w:id="5"/>
      <w:r>
        <w:rPr>
          <w:rFonts w:hint="default" w:ascii="Times New Roman" w:hAnsi="Times New Roman" w:cs="Times New Roman"/>
          <w:sz w:val="24"/>
          <w:szCs w:val="24"/>
        </w:rPr>
        <w:t xml:space="preserve"> </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Stakeholders are person, group or organization that has interest or concern in an organization. The actions and goals of a company, as well as the implementation of this side of the company will be affected by stakeholders. Common stakeholders include shareholders, directors, government, employees, customers, and suppliers (Freeman,2008). Stakeholder theory is a theory of organizational management and business ethics. This theory is used to solve the ethics and values in organizational management.Freeman pushed a book in 1983. This book identifies and simulates group companies that are stakeholders of a, and both describe and recommend ways in which management can properly consider the interests of these groups.</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But compared to Freeman, Friedman believes that shareholders are the company's most important focus, and he thinks that when the company pays attention to the community instead of paying attention to profits, it will lead to totalitarianism. (Friedman. 1970).</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Style w:val="3"/>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bookmarkStart w:id="6" w:name="_Toc8388"/>
      <w:r>
        <w:rPr>
          <w:rFonts w:hint="default" w:ascii="Times New Roman" w:hAnsi="Times New Roman" w:cs="Times New Roman"/>
          <w:sz w:val="24"/>
          <w:szCs w:val="24"/>
          <w:lang w:val="en-US" w:eastAsia="zh-CN"/>
        </w:rPr>
        <w:t>2.3 Carroll</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s Pyramid of CSR</w:t>
      </w:r>
      <w:bookmarkEnd w:id="6"/>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Corporate Social Responsibility Pyramid was proposed by Carroll in 1983. He divided corporate social responsibility into four parts: economic responsibility, legal responsibility, ethical responsibility and </w:t>
      </w:r>
      <w:r>
        <w:rPr>
          <w:rFonts w:hint="default" w:ascii="Times New Roman" w:hAnsi="Times New Roman" w:cs="Times New Roman"/>
          <w:sz w:val="24"/>
          <w:szCs w:val="24"/>
          <w:lang w:val="en-US" w:eastAsia="zh-CN"/>
        </w:rPr>
        <w:t>philanthropic</w:t>
      </w:r>
      <w:r>
        <w:rPr>
          <w:rFonts w:hint="default" w:ascii="Times New Roman" w:hAnsi="Times New Roman" w:cs="Times New Roman"/>
          <w:sz w:val="24"/>
          <w:szCs w:val="24"/>
          <w:lang w:val="en-US" w:eastAsia="zh-CN"/>
        </w:rPr>
        <w:t xml:space="preserve"> responsibility.</w:t>
      </w:r>
      <w:r>
        <w:rPr>
          <w:rFonts w:hint="default" w:ascii="Times New Roman" w:hAnsi="Times New Roman" w:cs="Times New Roman"/>
          <w:sz w:val="24"/>
          <w:szCs w:val="24"/>
          <w:lang w:val="en-US" w:eastAsia="zh-CN"/>
        </w:rPr>
        <w:t xml:space="preserve"> The following is a figure of the Carroll</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s pyramid of CSR:</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68595" cy="3685540"/>
            <wp:effectExtent l="0" t="0" r="4445" b="2540"/>
            <wp:docPr id="1" name="图片 1" descr="d87a6ae21a9afddc3379bc9dc8fa9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d87a6ae21a9afddc3379bc9dc8fa948"/>
                    <pic:cNvPicPr>
                      <a:picLocks noChangeAspect="1"/>
                    </pic:cNvPicPr>
                  </pic:nvPicPr>
                  <pic:blipFill>
                    <a:blip r:embed="rId5"/>
                    <a:stretch>
                      <a:fillRect/>
                    </a:stretch>
                  </pic:blipFill>
                  <pic:spPr>
                    <a:xfrm>
                      <a:off x="0" y="0"/>
                      <a:ext cx="5268595" cy="3685540"/>
                    </a:xfrm>
                    <a:prstGeom prst="rect">
                      <a:avLst/>
                    </a:prstGeom>
                  </pic:spPr>
                </pic:pic>
              </a:graphicData>
            </a:graphic>
          </wp:inline>
        </w:drawing>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jc w:val="center"/>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w:t>
      </w:r>
      <w:r>
        <w:rPr>
          <w:rFonts w:hint="default" w:ascii="Times New Roman" w:hAnsi="Times New Roman" w:cs="Times New Roman"/>
          <w:sz w:val="24"/>
          <w:szCs w:val="24"/>
          <w:lang w:val="en-US" w:eastAsia="zh-CN"/>
        </w:rPr>
        <w:t xml:space="preserve"> 1:</w:t>
      </w:r>
      <w:r>
        <w:rPr>
          <w:rFonts w:hint="default" w:ascii="Times New Roman" w:hAnsi="Times New Roman" w:cs="Times New Roman"/>
          <w:sz w:val="24"/>
          <w:szCs w:val="24"/>
          <w:lang w:val="en-US" w:eastAsia="zh-CN"/>
        </w:rPr>
        <w:t xml:space="preserve"> of </w:t>
      </w:r>
      <w:r>
        <w:rPr>
          <w:rFonts w:hint="default" w:ascii="Times New Roman" w:hAnsi="Times New Roman" w:eastAsia="ClearSans" w:cs="Times New Roman"/>
          <w:i w:val="0"/>
          <w:caps w:val="0"/>
          <w:color w:val="202020"/>
          <w:spacing w:val="0"/>
          <w:sz w:val="24"/>
          <w:szCs w:val="24"/>
          <w:shd w:val="clear" w:fill="FFFFFF"/>
        </w:rPr>
        <w:t>Carroll's CSR</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Style w:val="4"/>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bookmarkStart w:id="7" w:name="_Toc9089"/>
      <w:r>
        <w:rPr>
          <w:rFonts w:hint="default" w:ascii="Times New Roman" w:hAnsi="Times New Roman" w:cs="Times New Roman"/>
          <w:sz w:val="24"/>
          <w:szCs w:val="24"/>
          <w:lang w:val="en-US" w:eastAsia="zh-CN"/>
        </w:rPr>
        <w:t>2.3.1 Economic Responsibilities</w:t>
      </w:r>
      <w:bookmarkEnd w:id="7"/>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Economic responsibility should be the most basic responsibility. Business should pay attention to profit first, because if a company has no profit, it will not be able to operate. Then the company does not need to consider social responsibility</w:t>
      </w:r>
      <w:r>
        <w:rPr>
          <w:rFonts w:hint="default" w:ascii="Times New Roman" w:hAnsi="Times New Roman" w:cs="Times New Roman"/>
          <w:sz w:val="24"/>
          <w:szCs w:val="24"/>
          <w:lang w:val="en-US" w:eastAsia="zh-CN"/>
        </w:rPr>
        <w:t>(Scilly, 2008).</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Wahaha Group company</w:t>
      </w:r>
      <w:r>
        <w:rPr>
          <w:rFonts w:hint="default" w:ascii="Times New Roman" w:hAnsi="Times New Roman" w:cs="Times New Roman"/>
          <w:sz w:val="24"/>
          <w:szCs w:val="24"/>
          <w:lang w:val="en-US" w:eastAsia="zh-CN"/>
        </w:rPr>
        <w:t xml:space="preserve"> was founded in 1886, American ti is the largest private water company in the United States. It serves 15 million people in 47 states (American water, 2016). From 2012 to 2017, the U.S. water company’s EPS growth rate was 7% to 10% (American water, 2017). And the company will increase its investment by 7.2 billion . dollars in infrastructure to ensure that its customers enjoy better services. Therefore, according to the annual report of American Water Corporation,the company is fully committed to increasing profits and providing more returns for shareholders.</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Style w:val="4"/>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bookmarkStart w:id="8" w:name="_Toc2451"/>
      <w:r>
        <w:rPr>
          <w:rFonts w:hint="default" w:ascii="Times New Roman" w:hAnsi="Times New Roman" w:cs="Times New Roman"/>
          <w:sz w:val="24"/>
          <w:szCs w:val="24"/>
          <w:lang w:val="en-US" w:eastAsia="zh-CN"/>
        </w:rPr>
        <w:t>2.3.2 Legal Responsibilities</w:t>
      </w:r>
      <w:bookmarkEnd w:id="8"/>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second level is legal responsibility. The legal responsibility of the company is the requirement of the law. Apart from ensuring that the company is profitable, compliance with the law is the most important.</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American water companies comply with environmental and health and safety regulations established by local authorities and federal standards.</w:t>
      </w:r>
      <w:r>
        <w:rPr>
          <w:rFonts w:hint="default" w:ascii="Times New Roman" w:hAnsi="Times New Roman" w:cs="Times New Roman"/>
          <w:sz w:val="24"/>
          <w:szCs w:val="24"/>
          <w:lang w:val="en-US" w:eastAsia="zh-CN"/>
        </w:rPr>
        <w:t xml:space="preserve"> and their subsidiaries are subject to the PUC's economic regulation, which means that in every state they operate, the quality of the water they provide and their service levels are up to the government's standards and do not seriously disrupt the natural environment.</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Style w:val="4"/>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bookmarkStart w:id="9" w:name="_Toc7407"/>
      <w:r>
        <w:rPr>
          <w:rFonts w:hint="default" w:ascii="Times New Roman" w:hAnsi="Times New Roman" w:cs="Times New Roman"/>
          <w:sz w:val="24"/>
          <w:szCs w:val="24"/>
          <w:lang w:val="en-US" w:eastAsia="zh-CN"/>
        </w:rPr>
        <w:t>2.3.3 Ethical Responsibilities</w:t>
      </w:r>
      <w:bookmarkEnd w:id="9"/>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Economic and legal liability are two major obligations of the company. After the company meets these basic requirements, the company can focus on its own moral responsibility.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ethical responsibility lies on the third floor. A qualified company must have ethical responsibilities for its employees, customers, and society. It must be honest with its employees, respect its customers, and provide appropriate benefits to the society. This will help the development of the company.</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addition to complying with all applicable laws, regulations, and American water policy and practice, </w:t>
      </w:r>
      <w:r>
        <w:rPr>
          <w:rFonts w:hint="default" w:ascii="Times New Roman" w:hAnsi="Times New Roman" w:cs="Times New Roman"/>
          <w:sz w:val="24"/>
          <w:szCs w:val="24"/>
          <w:lang w:val="en-US" w:eastAsia="zh-CN"/>
        </w:rPr>
        <w:t>American</w:t>
      </w:r>
      <w:r>
        <w:rPr>
          <w:rFonts w:hint="default" w:ascii="Times New Roman" w:hAnsi="Times New Roman" w:cs="Times New Roman"/>
          <w:sz w:val="24"/>
          <w:szCs w:val="24"/>
          <w:lang w:val="en-US" w:eastAsia="zh-CN"/>
        </w:rPr>
        <w:t xml:space="preserve"> water companies adhere to their own ethical standards, such as fair trade and the protection of financial information and controls.</w:t>
      </w:r>
      <w:r>
        <w:rPr>
          <w:rFonts w:hint="default" w:ascii="Times New Roman" w:hAnsi="Times New Roman" w:cs="Times New Roman"/>
          <w:sz w:val="24"/>
          <w:szCs w:val="24"/>
          <w:lang w:val="en-US" w:eastAsia="zh-CN"/>
        </w:rPr>
        <w:t xml:space="preserve"> It also provides employees with annual training on the Code of Ethics, and will discipline those employees for disciplinary actions.</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Style w:val="4"/>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bookmarkStart w:id="10" w:name="_Toc8399"/>
      <w:r>
        <w:rPr>
          <w:rFonts w:hint="default" w:ascii="Times New Roman" w:hAnsi="Times New Roman" w:cs="Times New Roman"/>
          <w:sz w:val="24"/>
          <w:szCs w:val="24"/>
          <w:lang w:val="en-US" w:eastAsia="zh-CN"/>
        </w:rPr>
        <w:t>2.3.4 Philanthropic Responsibilities</w:t>
      </w:r>
      <w:bookmarkEnd w:id="10"/>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Philanthropy responsibility refers to the benefit of the society. This is determined by the company itself, such as making donations to the disaster area and helping protect the environment.</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2005, </w:t>
      </w:r>
      <w:r>
        <w:rPr>
          <w:rFonts w:hint="default" w:ascii="Times New Roman" w:hAnsi="Times New Roman" w:cs="Times New Roman"/>
          <w:sz w:val="24"/>
          <w:szCs w:val="24"/>
          <w:lang w:val="en-US" w:eastAsia="zh-CN"/>
        </w:rPr>
        <w:t xml:space="preserve">American </w:t>
      </w:r>
      <w:r>
        <w:rPr>
          <w:rFonts w:hint="default" w:ascii="Times New Roman" w:hAnsi="Times New Roman" w:cs="Times New Roman"/>
          <w:sz w:val="24"/>
          <w:szCs w:val="24"/>
          <w:lang w:val="en-US" w:eastAsia="zh-CN"/>
        </w:rPr>
        <w:t>Water Co</w:t>
      </w:r>
      <w:r>
        <w:rPr>
          <w:rFonts w:hint="default" w:ascii="Times New Roman" w:hAnsi="Times New Roman" w:cs="Times New Roman"/>
          <w:sz w:val="24"/>
          <w:szCs w:val="24"/>
          <w:lang w:val="en-US" w:eastAsia="zh-CN"/>
        </w:rPr>
        <w:t>mpany</w:t>
      </w:r>
      <w:r>
        <w:rPr>
          <w:rFonts w:hint="default" w:ascii="Times New Roman" w:hAnsi="Times New Roman" w:cs="Times New Roman"/>
          <w:sz w:val="24"/>
          <w:szCs w:val="24"/>
          <w:lang w:val="en-US" w:eastAsia="zh-CN"/>
        </w:rPr>
        <w:t xml:space="preserve"> established an environmental grant program that provides funding for innovative community environment projects that can be used to improve, restore, and protect local water resources.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During the last ten years, American Water has donated $5 million to United Way efforts across the country.</w:t>
      </w:r>
      <w:r>
        <w:rPr>
          <w:rFonts w:hint="default" w:ascii="Times New Roman" w:hAnsi="Times New Roman" w:cs="Times New Roman"/>
          <w:sz w:val="24"/>
          <w:szCs w:val="24"/>
          <w:lang w:val="en-US" w:eastAsia="zh-CN"/>
        </w:rPr>
        <w:t xml:space="preserve"> In 2012, American Water Company established the Water Charity Foundation. This foundation is mainly engaged in charity work to provide support for relief work. </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Style w:val="3"/>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bookmarkStart w:id="11" w:name="_Toc28483"/>
      <w:r>
        <w:rPr>
          <w:rFonts w:hint="default" w:ascii="Times New Roman" w:hAnsi="Times New Roman" w:cs="Times New Roman"/>
          <w:sz w:val="24"/>
          <w:szCs w:val="24"/>
          <w:lang w:val="en-US" w:eastAsia="zh-CN"/>
        </w:rPr>
        <w:t>2.4 Sustainability</w:t>
      </w:r>
      <w:bookmarkEnd w:id="11"/>
    </w:p>
    <w:p>
      <w:pPr>
        <w:pStyle w:val="4"/>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bookmarkStart w:id="12" w:name="_Toc31198"/>
      <w:r>
        <w:rPr>
          <w:rFonts w:hint="default" w:ascii="Times New Roman" w:hAnsi="Times New Roman" w:cs="Times New Roman"/>
          <w:sz w:val="24"/>
          <w:szCs w:val="24"/>
          <w:lang w:val="en-US" w:eastAsia="zh-CN"/>
        </w:rPr>
        <w:t>2.4.1 What is Sustainability</w:t>
      </w:r>
      <w:bookmarkEnd w:id="12"/>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Sustainable refers to environmental protection while economic and technological development. In 1981, Brown proposed to achieve sustainable development by controlling population growth, protecting the resource base, and developing renewable resources.</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Style w:val="4"/>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bookmarkStart w:id="13" w:name="_Toc11161"/>
      <w:r>
        <w:rPr>
          <w:rFonts w:hint="default" w:ascii="Times New Roman" w:hAnsi="Times New Roman" w:cs="Times New Roman"/>
          <w:sz w:val="24"/>
          <w:szCs w:val="24"/>
          <w:lang w:val="en-US" w:eastAsia="zh-CN"/>
        </w:rPr>
        <w:t>2.4.2 Sustainability and Privatised Water Companies</w:t>
      </w:r>
      <w:bookmarkEnd w:id="13"/>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Regarding the sustainable development of water companies, various water companies have proposed long-term plans to maintain the supply of fresh water on the premise of improving and protecting the environment.</w:t>
      </w:r>
      <w:r>
        <w:rPr>
          <w:rFonts w:hint="default" w:ascii="Times New Roman" w:hAnsi="Times New Roman" w:cs="Times New Roman"/>
          <w:sz w:val="24"/>
          <w:szCs w:val="24"/>
          <w:lang w:val="en-US" w:eastAsia="zh-CN"/>
        </w:rPr>
        <w:t xml:space="preserve"> For example, American Water Corporation issued a biennial corporate responsibility report for sustainable development. The report includes:</w:t>
      </w:r>
    </w:p>
    <w:p>
      <w:pPr>
        <w:pageBreakBefore w:val="0"/>
        <w:widowControl w:val="0"/>
        <w:numPr>
          <w:ilvl w:val="0"/>
          <w:numId w:val="4"/>
        </w:numPr>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From 2015 to 2016, American Water has invested $2 billion to invest in infrastructure.</w:t>
      </w:r>
    </w:p>
    <w:p>
      <w:pPr>
        <w:pageBreakBefore w:val="0"/>
        <w:widowControl w:val="0"/>
        <w:numPr>
          <w:ilvl w:val="0"/>
          <w:numId w:val="4"/>
        </w:numPr>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American Water has partnered with local environmental organizations in 89 management projects in 11 states. These projects have secured funding related to clean water, conservation, education and community sustainability.</w:t>
      </w:r>
    </w:p>
    <w:p>
      <w:pPr>
        <w:pageBreakBefore w:val="0"/>
        <w:widowControl w:val="0"/>
        <w:numPr>
          <w:ilvl w:val="0"/>
          <w:numId w:val="4"/>
        </w:numPr>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Guarantee the quality of water</w:t>
      </w:r>
      <w:r>
        <w:rPr>
          <w:rFonts w:hint="default" w:ascii="Times New Roman" w:hAnsi="Times New Roman" w:cs="Times New Roman"/>
          <w:sz w:val="24"/>
          <w:szCs w:val="24"/>
          <w:lang w:val="en-US" w:eastAsia="zh-CN"/>
        </w:rPr>
        <w:t xml:space="preserve"> and safe of customers.</w:t>
      </w:r>
    </w:p>
    <w:p>
      <w:pPr>
        <w:pageBreakBefore w:val="0"/>
        <w:widowControl w:val="0"/>
        <w:numPr>
          <w:ilvl w:val="0"/>
          <w:numId w:val="4"/>
        </w:numPr>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Promote community service among employees and encourage him to volunteer in the community.</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Style w:val="3"/>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bookmarkStart w:id="14" w:name="_Toc18289"/>
      <w:r>
        <w:rPr>
          <w:rFonts w:hint="default" w:ascii="Times New Roman" w:hAnsi="Times New Roman" w:cs="Times New Roman"/>
          <w:sz w:val="24"/>
          <w:szCs w:val="24"/>
          <w:lang w:val="en-US" w:eastAsia="zh-CN"/>
        </w:rPr>
        <w:t>2.5 The quality of Water</w:t>
      </w:r>
      <w:bookmarkEnd w:id="14"/>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Water quality is one of the most important aspects of water companies because it is related to the health of consumers. In the United States, water companies comply with strict federal regulations to provide safe and quality drinking water.</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Compared with private enterprises, state-owned enterprises can guarantee the quality of water because state-owned enterprises are directly governed by the government, and the state will put water quality first.</w:t>
      </w:r>
      <w:r>
        <w:rPr>
          <w:rFonts w:hint="default" w:ascii="Times New Roman" w:hAnsi="Times New Roman" w:cs="Times New Roman"/>
          <w:sz w:val="24"/>
          <w:szCs w:val="24"/>
          <w:lang w:val="en-US" w:eastAsia="zh-CN"/>
        </w:rPr>
        <w:t xml:space="preserve"> But private companies are different. They will give top priority to how to create profits for companies. For some water companies, they will cut corners in processing in order to reduce costs. This will directly lead to a decline in the quality of the water. Although the water company is under the supervision of the government, it still cannot be compared with the direct management of the country.</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Style w:val="3"/>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bookmarkStart w:id="15" w:name="_Toc12227"/>
      <w:r>
        <w:rPr>
          <w:rFonts w:hint="default" w:ascii="Times New Roman" w:hAnsi="Times New Roman" w:cs="Times New Roman"/>
          <w:sz w:val="24"/>
          <w:szCs w:val="24"/>
          <w:lang w:val="en-US" w:eastAsia="zh-CN"/>
        </w:rPr>
        <w:t xml:space="preserve">2.6 </w:t>
      </w:r>
      <w:r>
        <w:rPr>
          <w:rFonts w:hint="default" w:ascii="Times New Roman" w:hAnsi="Times New Roman" w:cs="Times New Roman"/>
          <w:sz w:val="24"/>
          <w:szCs w:val="24"/>
          <w:lang w:val="en-US" w:eastAsia="zh-CN"/>
        </w:rPr>
        <w:t>the advantages and disadvantages of a Privatised Water Industry</w:t>
      </w:r>
      <w:bookmarkEnd w:id="15"/>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eastAsiaTheme="minorEastAsia"/>
          <w:sz w:val="24"/>
          <w:szCs w:val="24"/>
          <w:lang w:val="en-US" w:eastAsia="zh-CN"/>
        </w:rPr>
      </w:pPr>
      <w:bookmarkStart w:id="16" w:name="_Toc5739"/>
      <w:r>
        <w:rPr>
          <w:rStyle w:val="14"/>
          <w:rFonts w:hint="default" w:ascii="Times New Roman" w:hAnsi="Times New Roman" w:cs="Times New Roman"/>
          <w:sz w:val="24"/>
          <w:szCs w:val="24"/>
          <w:lang w:val="en-US" w:eastAsia="zh-CN"/>
        </w:rPr>
        <w:t>2.6.1 Advantages</w:t>
      </w:r>
      <w:bookmarkEnd w:id="16"/>
      <w:r>
        <w:rPr>
          <w:rFonts w:hint="default"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Privatization of the water industry can bring many benefits, such as the privatization of the industry will break the monopoly, which can adjust the price of available water. In addition, the privatization of the industry can attract more competitors, because this is a very The prospect of the industry, after all, water is indispensable. Competitors' competition will lead to a rise in the quality of water produced by the company.</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Style w:val="4"/>
        <w:rPr>
          <w:rFonts w:hint="default" w:ascii="Times New Roman" w:hAnsi="Times New Roman" w:cs="Times New Roman"/>
          <w:sz w:val="24"/>
          <w:szCs w:val="24"/>
          <w:lang w:val="en-US" w:eastAsia="zh-CN"/>
        </w:rPr>
      </w:pPr>
      <w:bookmarkStart w:id="17" w:name="_Toc18950"/>
      <w:r>
        <w:rPr>
          <w:rFonts w:hint="default" w:ascii="Times New Roman" w:hAnsi="Times New Roman" w:cs="Times New Roman"/>
          <w:sz w:val="24"/>
          <w:szCs w:val="24"/>
          <w:lang w:val="en-US" w:eastAsia="zh-CN"/>
        </w:rPr>
        <w:t>2.6.2 Disadvantages</w:t>
      </w:r>
      <w:bookmarkEnd w:id="17"/>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privatization of the water industry will result in the inability of the water quality to be guaranteed because the first goal of private water companies is to make profits. Therefore, they will not spend too much money to monitor and improve water quality.</w:t>
      </w:r>
      <w:r>
        <w:rPr>
          <w:rFonts w:hint="default"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addition, the privatization of the water industry will also cause some people to become unemployed, because when water companies aim for profit, they will dismiss some employees in order to reduce costs.</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Style w:val="3"/>
        <w:rPr>
          <w:rFonts w:hint="default" w:ascii="Times New Roman" w:hAnsi="Times New Roman" w:cs="Times New Roman"/>
          <w:sz w:val="24"/>
          <w:szCs w:val="24"/>
          <w:lang w:val="en-US" w:eastAsia="zh-CN"/>
        </w:rPr>
      </w:pPr>
      <w:bookmarkStart w:id="18" w:name="_Toc25899"/>
      <w:r>
        <w:rPr>
          <w:rFonts w:hint="default" w:ascii="Times New Roman" w:hAnsi="Times New Roman" w:cs="Times New Roman"/>
          <w:sz w:val="24"/>
          <w:szCs w:val="24"/>
          <w:lang w:val="en-US" w:eastAsia="zh-CN"/>
        </w:rPr>
        <w:t>2.7 The Future of Water Supply</w:t>
      </w:r>
      <w:bookmarkEnd w:id="18"/>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the world’s population continues to grow, so does the demand for water, which means that the water supply is facing the problem of scarcity of water resources.</w:t>
      </w:r>
      <w:r>
        <w:rPr>
          <w:rFonts w:hint="default" w:ascii="Times New Roman" w:hAnsi="Times New Roman" w:cs="Times New Roman"/>
          <w:sz w:val="24"/>
          <w:szCs w:val="24"/>
          <w:lang w:val="en-US" w:eastAsia="zh-CN"/>
        </w:rPr>
        <w:t xml:space="preserve"> Therefore, water suppliers need to make some preparations to ensure the future water supply.</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general, the most promising approach is to develop certain non-water use, such as desalination and groundwater mining, as well as glacial water. Therefore, the water company must devote itself to improving technology to turn those waterless waters into usable water, for example,Deepika Kurup invented a method of using zinc oxide and titanium dioxide in a container, exposing it to ultraviolet rays and washing the water to make it suitable for drinking. (Wikstrom .2015). Secondly, people can reuse water and minimize water pollution because pollution is also an important cause of water shortages.</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Style w:val="3"/>
        <w:rPr>
          <w:rFonts w:hint="default" w:ascii="Times New Roman" w:hAnsi="Times New Roman" w:cs="Times New Roman"/>
          <w:sz w:val="24"/>
          <w:szCs w:val="24"/>
          <w:lang w:val="en-US" w:eastAsia="zh-CN"/>
        </w:rPr>
      </w:pPr>
      <w:bookmarkStart w:id="19" w:name="_Toc27597"/>
      <w:r>
        <w:rPr>
          <w:rFonts w:hint="default" w:ascii="Times New Roman" w:hAnsi="Times New Roman" w:cs="Times New Roman"/>
          <w:sz w:val="24"/>
          <w:szCs w:val="24"/>
          <w:lang w:val="en-US" w:eastAsia="zh-CN"/>
        </w:rPr>
        <w:t>2.8 Corporate Citizenship</w:t>
      </w:r>
      <w:bookmarkEnd w:id="19"/>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Corporate citizen refers to the image of the enterprise in the society, and it is the behavior mode that the enterprise integrates the basic social value with the daily business practices, operations and policies. It reflects the contribution of the enterprise to the society and the benefits provided to the society.</w:t>
      </w:r>
      <w:r>
        <w:rPr>
          <w:rFonts w:hint="default" w:ascii="Times New Roman" w:hAnsi="Times New Roman" w:cs="Times New Roman"/>
          <w:sz w:val="24"/>
          <w:szCs w:val="24"/>
          <w:lang w:val="en-US" w:eastAsia="zh-CN"/>
        </w:rPr>
        <w:t xml:space="preserve"> Corporate citizens will fully consider the company’s impact on all stakeholders, including employees, customers, communities, suppliers, and the natural environment.</w:t>
      </w:r>
    </w:p>
    <w:p>
      <w:pPr>
        <w:pStyle w:val="4"/>
        <w:rPr>
          <w:rFonts w:hint="default" w:ascii="Times New Roman" w:hAnsi="Times New Roman" w:cs="Times New Roman"/>
          <w:sz w:val="24"/>
          <w:szCs w:val="24"/>
          <w:lang w:val="en-US" w:eastAsia="zh-CN"/>
        </w:rPr>
      </w:pPr>
      <w:bookmarkStart w:id="20" w:name="_Toc8682"/>
      <w:r>
        <w:rPr>
          <w:rFonts w:hint="default" w:ascii="Times New Roman" w:hAnsi="Times New Roman" w:cs="Times New Roman"/>
          <w:sz w:val="24"/>
          <w:szCs w:val="24"/>
          <w:lang w:val="en-US" w:eastAsia="zh-CN"/>
        </w:rPr>
        <w:t>2.8.1 Water companies and the extended view of Corporate Citizenship</w:t>
      </w:r>
      <w:bookmarkEnd w:id="20"/>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Corporate citizenship is important for large water companies, such as American Water Company.</w:t>
      </w:r>
      <w:r>
        <w:rPr>
          <w:rFonts w:hint="default" w:ascii="Times New Roman" w:hAnsi="Times New Roman" w:cs="Times New Roman"/>
          <w:sz w:val="24"/>
          <w:szCs w:val="24"/>
          <w:lang w:val="en-US" w:eastAsia="zh-CN"/>
        </w:rPr>
        <w:t xml:space="preserve"> For example, American Water Corporation will organize employees to conduct charitable activities. They have provided benefits to 116 community organizations in total and raised US$500,000 ，and cooperate with Water For People to help developing countries provide safe drinking water and sanitation. In addition, American Water Affairs established the Water Resources Charitable Foundation in 2012. The foundation focuses on philanthropy and supports some disaster relief efforts and makes donations to the affected areas.</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bookmarkStart w:id="21" w:name="_Toc27383"/>
      <w:r>
        <w:rPr>
          <w:rFonts w:hint="default" w:ascii="Times New Roman" w:hAnsi="Times New Roman" w:cs="Times New Roman"/>
          <w:sz w:val="24"/>
          <w:szCs w:val="24"/>
          <w:lang w:val="en-US" w:eastAsia="zh-CN"/>
        </w:rPr>
        <w:t>3.Conclusion</w:t>
      </w:r>
      <w:bookmarkEnd w:id="21"/>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conclusion, p</w:t>
      </w:r>
      <w:r>
        <w:rPr>
          <w:rFonts w:hint="default" w:ascii="Times New Roman" w:hAnsi="Times New Roman" w:cs="Times New Roman"/>
          <w:sz w:val="24"/>
          <w:szCs w:val="24"/>
          <w:lang w:val="en-US" w:eastAsia="zh-CN"/>
        </w:rPr>
        <w:t>rivate water companies can use four responsibilit</w:t>
      </w:r>
      <w:r>
        <w:rPr>
          <w:rFonts w:hint="eastAsia" w:ascii="Times New Roman" w:hAnsi="Times New Roman" w:cs="Times New Roman"/>
          <w:sz w:val="24"/>
          <w:szCs w:val="24"/>
          <w:lang w:val="en-US" w:eastAsia="zh-CN"/>
        </w:rPr>
        <w:t>ies</w:t>
      </w:r>
      <w:r>
        <w:rPr>
          <w:rFonts w:hint="default" w:ascii="Times New Roman" w:hAnsi="Times New Roman" w:cs="Times New Roman"/>
          <w:sz w:val="24"/>
          <w:szCs w:val="24"/>
          <w:lang w:val="en-US" w:eastAsia="zh-CN"/>
        </w:rPr>
        <w:t xml:space="preserve"> for analysis in the corporate responsibility pyramid</w:t>
      </w:r>
      <w:r>
        <w:rPr>
          <w:rFonts w:hint="eastAsia" w:ascii="Times New Roman" w:hAnsi="Times New Roman" w:cs="Times New Roman"/>
          <w:sz w:val="24"/>
          <w:szCs w:val="24"/>
          <w:lang w:val="en-US" w:eastAsia="zh-CN"/>
        </w:rPr>
        <w:t xml:space="preserve">. From a security perspective, the privatization of water companies will reduce the safety of available water, but from the economic point of view, privatization can promote economic development.  </w:t>
      </w:r>
      <w:r>
        <w:rPr>
          <w:rFonts w:hint="default" w:ascii="Times New Roman" w:hAnsi="Times New Roman" w:cs="Times New Roman"/>
          <w:sz w:val="24"/>
          <w:szCs w:val="24"/>
          <w:lang w:val="en-US" w:eastAsia="zh-CN"/>
        </w:rPr>
        <w:t>In addition</w:t>
      </w:r>
      <w:r>
        <w:rPr>
          <w:rFonts w:hint="eastAsia" w:ascii="Times New Roman" w:hAnsi="Times New Roman" w:cs="Times New Roman"/>
          <w:sz w:val="24"/>
          <w:szCs w:val="24"/>
          <w:lang w:val="en-US" w:eastAsia="zh-CN"/>
        </w:rPr>
        <w:t>, this report will explain sustainability and analyze the water industry from sustainability. This report also evaluates the water and the possibility of predicting future water supplies.</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Finally, this report analyzes the advantages and disadvantages of the privatization of the water industry, and explains what corporate citizens and corporate citizens bring to the company and helps the company establish a good social image.</w:t>
      </w:r>
      <w:bookmarkStart w:id="23" w:name="_GoBack"/>
      <w:bookmarkEnd w:id="23"/>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bookmarkStart w:id="22" w:name="_Toc12625"/>
      <w:r>
        <w:rPr>
          <w:rFonts w:hint="default" w:ascii="Times New Roman" w:hAnsi="Times New Roman" w:cs="Times New Roman"/>
          <w:sz w:val="24"/>
          <w:szCs w:val="24"/>
          <w:lang w:val="en-US" w:eastAsia="zh-CN"/>
        </w:rPr>
        <w:t>5.References</w:t>
      </w:r>
      <w:bookmarkEnd w:id="22"/>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Amwater.com. (2018). American Water &gt; About Us &gt; Regulated State Operations. [online] Available at: https://amwater.com/corp/about-us/regulated-state-operations [Accessed 29 Mar. 2018].</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eastAsia="宋体" w:cs="Times New Roman"/>
          <w:i w:val="0"/>
          <w:caps w:val="0"/>
          <w:color w:val="555555"/>
          <w:spacing w:val="0"/>
          <w:sz w:val="24"/>
          <w:szCs w:val="24"/>
          <w:shd w:val="clear" w:fill="FFFFFF"/>
        </w:rPr>
        <w:t>ASHTON, J.K., 2000. Total factor productivity growth and technical change in the water and sewerage industry.</w:t>
      </w:r>
      <w:r>
        <w:rPr>
          <w:rFonts w:hint="default" w:ascii="Times New Roman" w:hAnsi="Times New Roman" w:eastAsia="宋体" w:cs="Times New Roman"/>
          <w:i w:val="0"/>
          <w:caps w:val="0"/>
          <w:color w:val="555555"/>
          <w:spacing w:val="0"/>
          <w:sz w:val="24"/>
          <w:szCs w:val="24"/>
          <w:shd w:val="clear" w:fill="FFFFFF"/>
        </w:rPr>
        <w:t> </w:t>
      </w:r>
      <w:r>
        <w:rPr>
          <w:rFonts w:hint="default" w:ascii="Times New Roman" w:hAnsi="Times New Roman" w:eastAsia="宋体" w:cs="Times New Roman"/>
          <w:i/>
          <w:caps w:val="0"/>
          <w:color w:val="555555"/>
          <w:spacing w:val="0"/>
          <w:sz w:val="24"/>
          <w:szCs w:val="24"/>
          <w:shd w:val="clear" w:fill="FFFFFF"/>
        </w:rPr>
        <w:t>The Service Industries Journal, </w:t>
      </w:r>
      <w:r>
        <w:rPr>
          <w:rFonts w:hint="default" w:ascii="Times New Roman" w:hAnsi="Times New Roman" w:eastAsia="宋体" w:cs="Times New Roman"/>
          <w:b/>
          <w:i w:val="0"/>
          <w:caps w:val="0"/>
          <w:color w:val="555555"/>
          <w:spacing w:val="0"/>
          <w:sz w:val="24"/>
          <w:szCs w:val="24"/>
          <w:shd w:val="clear" w:fill="FFFFFF"/>
        </w:rPr>
        <w:t>20</w:t>
      </w:r>
      <w:r>
        <w:rPr>
          <w:rFonts w:hint="default" w:ascii="Times New Roman" w:hAnsi="Times New Roman" w:eastAsia="宋体" w:cs="Times New Roman"/>
          <w:i w:val="0"/>
          <w:caps w:val="0"/>
          <w:color w:val="555555"/>
          <w:spacing w:val="0"/>
          <w:sz w:val="24"/>
          <w:szCs w:val="24"/>
          <w:shd w:val="clear" w:fill="FFFFFF"/>
        </w:rPr>
        <w:t>(4), pp. 121-130.</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CLAYDON, J., 2011. A new direction for CSR: the shortcomings of previous CSR models and the rationale for a new model. Social Responsibility Journal, 7(3), pp. 405-420.</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eastAsia="sans-serif" w:cs="Times New Roman"/>
          <w:i w:val="0"/>
          <w:caps w:val="0"/>
          <w:color w:val="222222"/>
          <w:spacing w:val="0"/>
          <w:sz w:val="24"/>
          <w:szCs w:val="24"/>
          <w:shd w:val="clear" w:fill="FFFFFF"/>
        </w:rPr>
      </w:pPr>
      <w:r>
        <w:rPr>
          <w:rFonts w:hint="default" w:ascii="Times New Roman" w:hAnsi="Times New Roman" w:eastAsia="宋体" w:cs="Times New Roman"/>
          <w:i w:val="0"/>
          <w:caps w:val="0"/>
          <w:color w:val="555555"/>
          <w:spacing w:val="0"/>
          <w:sz w:val="24"/>
          <w:szCs w:val="24"/>
          <w:shd w:val="clear" w:fill="FFFFFF"/>
        </w:rPr>
        <w:t>EHIE, I.C., 2016. Examining the corporate social responsibility orientation in developing countries: an empirical investigation of the Carroll's CSR pyramid.</w:t>
      </w:r>
      <w:r>
        <w:rPr>
          <w:rFonts w:hint="default" w:ascii="Times New Roman" w:hAnsi="Times New Roman" w:eastAsia="宋体" w:cs="Times New Roman"/>
          <w:i w:val="0"/>
          <w:caps w:val="0"/>
          <w:color w:val="555555"/>
          <w:spacing w:val="0"/>
          <w:sz w:val="24"/>
          <w:szCs w:val="24"/>
          <w:shd w:val="clear" w:fill="FFFFFF"/>
        </w:rPr>
        <w:t> </w:t>
      </w:r>
      <w:r>
        <w:rPr>
          <w:rFonts w:hint="default" w:ascii="Times New Roman" w:hAnsi="Times New Roman" w:eastAsia="宋体" w:cs="Times New Roman"/>
          <w:i/>
          <w:caps w:val="0"/>
          <w:color w:val="555555"/>
          <w:spacing w:val="0"/>
          <w:sz w:val="24"/>
          <w:szCs w:val="24"/>
          <w:shd w:val="clear" w:fill="FFFFFF"/>
        </w:rPr>
        <w:t>International Journal of Business Governance and Ethics, </w:t>
      </w:r>
      <w:r>
        <w:rPr>
          <w:rFonts w:hint="default" w:ascii="Times New Roman" w:hAnsi="Times New Roman" w:eastAsia="宋体" w:cs="Times New Roman"/>
          <w:b/>
          <w:i w:val="0"/>
          <w:caps w:val="0"/>
          <w:color w:val="555555"/>
          <w:spacing w:val="0"/>
          <w:sz w:val="24"/>
          <w:szCs w:val="24"/>
          <w:shd w:val="clear" w:fill="FFFFFF"/>
        </w:rPr>
        <w:t>11</w:t>
      </w:r>
      <w:r>
        <w:rPr>
          <w:rFonts w:hint="default" w:ascii="Times New Roman" w:hAnsi="Times New Roman" w:eastAsia="宋体" w:cs="Times New Roman"/>
          <w:i w:val="0"/>
          <w:caps w:val="0"/>
          <w:color w:val="555555"/>
          <w:spacing w:val="0"/>
          <w:sz w:val="24"/>
          <w:szCs w:val="24"/>
          <w:shd w:val="clear" w:fill="FFFFFF"/>
        </w:rPr>
        <w:t>(1), pp. 1.</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eastAsia="sans-serif" w:cs="Times New Roman"/>
          <w:i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eastAsia="sans-serif" w:cs="Times New Roman"/>
          <w:i w:val="0"/>
          <w:caps w:val="0"/>
          <w:color w:val="222222"/>
          <w:spacing w:val="0"/>
          <w:sz w:val="24"/>
          <w:szCs w:val="24"/>
          <w:shd w:val="clear" w:fill="FFFFFF"/>
        </w:rPr>
        <w:t>Friedman, Fulton (13 September 1970). </w:t>
      </w:r>
      <w:r>
        <w:rPr>
          <w:rFonts w:hint="default" w:ascii="Times New Roman" w:hAnsi="Times New Roman" w:eastAsia="sans-serif" w:cs="Times New Roman"/>
          <w:i w:val="0"/>
          <w:caps w:val="0"/>
          <w:color w:val="663366"/>
          <w:spacing w:val="0"/>
          <w:sz w:val="24"/>
          <w:szCs w:val="24"/>
          <w:u w:val="none"/>
        </w:rPr>
        <w:fldChar w:fldCharType="begin"/>
      </w:r>
      <w:r>
        <w:rPr>
          <w:rFonts w:hint="default" w:ascii="Times New Roman" w:hAnsi="Times New Roman" w:eastAsia="sans-serif" w:cs="Times New Roman"/>
          <w:i w:val="0"/>
          <w:caps w:val="0"/>
          <w:color w:val="663366"/>
          <w:spacing w:val="0"/>
          <w:sz w:val="24"/>
          <w:szCs w:val="24"/>
          <w:u w:val="none"/>
        </w:rPr>
        <w:instrText xml:space="preserve"> HYPERLINK "https://select.nytimes.com/gst/abstract.html?res=F10F11FB3E5810718EDDAA0994D1405B808BF1D3" </w:instrText>
      </w:r>
      <w:r>
        <w:rPr>
          <w:rFonts w:hint="default" w:ascii="Times New Roman" w:hAnsi="Times New Roman" w:eastAsia="sans-serif" w:cs="Times New Roman"/>
          <w:i w:val="0"/>
          <w:caps w:val="0"/>
          <w:color w:val="663366"/>
          <w:spacing w:val="0"/>
          <w:sz w:val="24"/>
          <w:szCs w:val="24"/>
          <w:u w:val="none"/>
        </w:rPr>
        <w:fldChar w:fldCharType="separate"/>
      </w:r>
      <w:r>
        <w:rPr>
          <w:rStyle w:val="11"/>
          <w:rFonts w:hint="default" w:ascii="Times New Roman" w:hAnsi="Times New Roman" w:eastAsia="sans-serif" w:cs="Times New Roman"/>
          <w:i w:val="0"/>
          <w:caps w:val="0"/>
          <w:color w:val="663366"/>
          <w:spacing w:val="0"/>
          <w:sz w:val="24"/>
          <w:szCs w:val="24"/>
          <w:u w:val="none"/>
        </w:rPr>
        <w:t>"A Friednzan doctrine‐"</w:t>
      </w:r>
      <w:r>
        <w:rPr>
          <w:rFonts w:hint="default" w:ascii="Times New Roman" w:hAnsi="Times New Roman" w:eastAsia="sans-serif" w:cs="Times New Roman"/>
          <w:i w:val="0"/>
          <w:caps w:val="0"/>
          <w:color w:val="663366"/>
          <w:spacing w:val="0"/>
          <w:sz w:val="24"/>
          <w:szCs w:val="24"/>
          <w:u w:val="none"/>
        </w:rPr>
        <w:fldChar w:fldCharType="end"/>
      </w:r>
      <w:r>
        <w:rPr>
          <w:rFonts w:hint="default" w:ascii="Times New Roman" w:hAnsi="Times New Roman" w:eastAsia="sans-serif" w:cs="Times New Roman"/>
          <w:i w:val="0"/>
          <w:caps w:val="0"/>
          <w:color w:val="222222"/>
          <w:spacing w:val="0"/>
          <w:sz w:val="24"/>
          <w:szCs w:val="24"/>
          <w:shd w:val="clear" w:fill="FFFFFF"/>
        </w:rPr>
        <w:t>. </w:t>
      </w:r>
      <w:r>
        <w:rPr>
          <w:rFonts w:hint="default" w:ascii="Times New Roman" w:hAnsi="Times New Roman" w:eastAsia="sans-serif" w:cs="Times New Roman"/>
          <w:i/>
          <w:caps w:val="0"/>
          <w:color w:val="222222"/>
          <w:spacing w:val="0"/>
          <w:sz w:val="24"/>
          <w:szCs w:val="24"/>
          <w:shd w:val="clear" w:fill="FFFFFF"/>
        </w:rPr>
        <w:t>Select.nytimes.com</w:t>
      </w:r>
      <w:r>
        <w:rPr>
          <w:rFonts w:hint="default" w:ascii="Times New Roman" w:hAnsi="Times New Roman" w:eastAsia="sans-serif" w:cs="Times New Roman"/>
          <w:i w:val="0"/>
          <w:caps w:val="0"/>
          <w:color w:val="222222"/>
          <w:spacing w:val="0"/>
          <w:sz w:val="24"/>
          <w:szCs w:val="24"/>
          <w:shd w:val="clear" w:fill="FFFFFF"/>
        </w:rPr>
        <w:t>. Retrieved 3 September 2017 – via NYTimes.com.</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eastAsia="宋体" w:cs="Times New Roman"/>
          <w:i w:val="0"/>
          <w:caps w:val="0"/>
          <w:color w:val="555555"/>
          <w:spacing w:val="0"/>
          <w:sz w:val="24"/>
          <w:szCs w:val="24"/>
          <w:shd w:val="clear" w:fill="FFFFFF"/>
        </w:rPr>
        <w:t>HERBST, D., 1995. The pros and cons of buying and selling wastewater plants.</w:t>
      </w:r>
      <w:r>
        <w:rPr>
          <w:rFonts w:hint="default" w:ascii="Times New Roman" w:hAnsi="Times New Roman" w:eastAsia="宋体" w:cs="Times New Roman"/>
          <w:i w:val="0"/>
          <w:caps w:val="0"/>
          <w:color w:val="555555"/>
          <w:spacing w:val="0"/>
          <w:sz w:val="24"/>
          <w:szCs w:val="24"/>
          <w:shd w:val="clear" w:fill="FFFFFF"/>
        </w:rPr>
        <w:t> </w:t>
      </w:r>
      <w:r>
        <w:rPr>
          <w:rFonts w:hint="default" w:ascii="Times New Roman" w:hAnsi="Times New Roman" w:eastAsia="宋体" w:cs="Times New Roman"/>
          <w:i/>
          <w:caps w:val="0"/>
          <w:color w:val="555555"/>
          <w:spacing w:val="0"/>
          <w:sz w:val="24"/>
          <w:szCs w:val="24"/>
          <w:shd w:val="clear" w:fill="FFFFFF"/>
        </w:rPr>
        <w:t>The American City &amp; County, </w:t>
      </w:r>
      <w:r>
        <w:rPr>
          <w:rFonts w:hint="default" w:ascii="Times New Roman" w:hAnsi="Times New Roman" w:eastAsia="宋体" w:cs="Times New Roman"/>
          <w:b/>
          <w:i w:val="0"/>
          <w:caps w:val="0"/>
          <w:color w:val="555555"/>
          <w:spacing w:val="0"/>
          <w:sz w:val="24"/>
          <w:szCs w:val="24"/>
          <w:shd w:val="clear" w:fill="FFFFFF"/>
        </w:rPr>
        <w:t>110</w:t>
      </w:r>
      <w:r>
        <w:rPr>
          <w:rFonts w:hint="default" w:ascii="Times New Roman" w:hAnsi="Times New Roman" w:eastAsia="宋体" w:cs="Times New Roman"/>
          <w:i w:val="0"/>
          <w:caps w:val="0"/>
          <w:color w:val="555555"/>
          <w:spacing w:val="0"/>
          <w:sz w:val="24"/>
          <w:szCs w:val="24"/>
          <w:shd w:val="clear" w:fill="FFFFFF"/>
        </w:rPr>
        <w:t>(8), pp. 50.</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eastAsia="宋体" w:cs="Times New Roman"/>
          <w:i w:val="0"/>
          <w:caps w:val="0"/>
          <w:color w:val="555555"/>
          <w:spacing w:val="0"/>
          <w:sz w:val="24"/>
          <w:szCs w:val="24"/>
          <w:shd w:val="clear" w:fill="FFFFFF"/>
        </w:rPr>
        <w:t>KEARNEY, C. and FAVOTTO, I., 1994. Regulating Natural Monopoly: Are Price Caps an Alternative to Rate of Return Targets?</w:t>
      </w:r>
      <w:r>
        <w:rPr>
          <w:rFonts w:hint="default" w:ascii="Times New Roman" w:hAnsi="Times New Roman" w:eastAsia="宋体" w:cs="Times New Roman"/>
          <w:i w:val="0"/>
          <w:caps w:val="0"/>
          <w:color w:val="555555"/>
          <w:spacing w:val="0"/>
          <w:sz w:val="24"/>
          <w:szCs w:val="24"/>
          <w:shd w:val="clear" w:fill="FFFFFF"/>
        </w:rPr>
        <w:t> </w:t>
      </w:r>
      <w:r>
        <w:rPr>
          <w:rFonts w:hint="default" w:ascii="Times New Roman" w:hAnsi="Times New Roman" w:eastAsia="宋体" w:cs="Times New Roman"/>
          <w:i/>
          <w:caps w:val="0"/>
          <w:color w:val="555555"/>
          <w:spacing w:val="0"/>
          <w:sz w:val="24"/>
          <w:szCs w:val="24"/>
          <w:shd w:val="clear" w:fill="FFFFFF"/>
        </w:rPr>
        <w:t>The Economic and Labour Relations Review : ELRR, </w:t>
      </w:r>
      <w:r>
        <w:rPr>
          <w:rFonts w:hint="default" w:ascii="Times New Roman" w:hAnsi="Times New Roman" w:eastAsia="宋体" w:cs="Times New Roman"/>
          <w:b/>
          <w:i w:val="0"/>
          <w:caps w:val="0"/>
          <w:color w:val="555555"/>
          <w:spacing w:val="0"/>
          <w:sz w:val="24"/>
          <w:szCs w:val="24"/>
          <w:shd w:val="clear" w:fill="FFFFFF"/>
        </w:rPr>
        <w:t>5</w:t>
      </w:r>
      <w:r>
        <w:rPr>
          <w:rFonts w:hint="default" w:ascii="Times New Roman" w:hAnsi="Times New Roman" w:eastAsia="宋体" w:cs="Times New Roman"/>
          <w:i w:val="0"/>
          <w:caps w:val="0"/>
          <w:color w:val="555555"/>
          <w:spacing w:val="0"/>
          <w:sz w:val="24"/>
          <w:szCs w:val="24"/>
          <w:shd w:val="clear" w:fill="FFFFFF"/>
        </w:rPr>
        <w:t>(2), pp. 102-120.</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eastAsia="宋体" w:cs="Times New Roman"/>
          <w:i w:val="0"/>
          <w:caps w:val="0"/>
          <w:color w:val="555555"/>
          <w:spacing w:val="0"/>
          <w:sz w:val="24"/>
          <w:szCs w:val="24"/>
          <w:shd w:val="clear" w:fill="FFFFFF"/>
        </w:rPr>
      </w:pPr>
      <w:r>
        <w:rPr>
          <w:rFonts w:hint="default" w:ascii="Times New Roman" w:hAnsi="Times New Roman" w:eastAsia="宋体" w:cs="Times New Roman"/>
          <w:i w:val="0"/>
          <w:caps w:val="0"/>
          <w:color w:val="555555"/>
          <w:spacing w:val="0"/>
          <w:sz w:val="24"/>
          <w:szCs w:val="24"/>
          <w:shd w:val="clear" w:fill="FFFFFF"/>
        </w:rPr>
        <w:t>KIM, J.B., KWAK, G. and KOO, Y.R., 2010. A note on corporate social responsibility (CSR) in city branding and design.</w:t>
      </w:r>
      <w:r>
        <w:rPr>
          <w:rFonts w:hint="default" w:ascii="Times New Roman" w:hAnsi="Times New Roman" w:eastAsia="宋体" w:cs="Times New Roman"/>
          <w:i w:val="0"/>
          <w:caps w:val="0"/>
          <w:color w:val="555555"/>
          <w:spacing w:val="0"/>
          <w:sz w:val="24"/>
          <w:szCs w:val="24"/>
          <w:shd w:val="clear" w:fill="FFFFFF"/>
        </w:rPr>
        <w:t> </w:t>
      </w:r>
      <w:r>
        <w:rPr>
          <w:rFonts w:hint="default" w:ascii="Times New Roman" w:hAnsi="Times New Roman" w:eastAsia="宋体" w:cs="Times New Roman"/>
          <w:i/>
          <w:caps w:val="0"/>
          <w:color w:val="555555"/>
          <w:spacing w:val="0"/>
          <w:sz w:val="24"/>
          <w:szCs w:val="24"/>
          <w:shd w:val="clear" w:fill="FFFFFF"/>
        </w:rPr>
        <w:t>Asian Journal on Quality, </w:t>
      </w:r>
      <w:r>
        <w:rPr>
          <w:rFonts w:hint="default" w:ascii="Times New Roman" w:hAnsi="Times New Roman" w:eastAsia="宋体" w:cs="Times New Roman"/>
          <w:b/>
          <w:i w:val="0"/>
          <w:caps w:val="0"/>
          <w:color w:val="555555"/>
          <w:spacing w:val="0"/>
          <w:sz w:val="24"/>
          <w:szCs w:val="24"/>
          <w:shd w:val="clear" w:fill="FFFFFF"/>
        </w:rPr>
        <w:t>11</w:t>
      </w:r>
      <w:r>
        <w:rPr>
          <w:rFonts w:hint="default" w:ascii="Times New Roman" w:hAnsi="Times New Roman" w:eastAsia="宋体" w:cs="Times New Roman"/>
          <w:i w:val="0"/>
          <w:caps w:val="0"/>
          <w:color w:val="555555"/>
          <w:spacing w:val="0"/>
          <w:sz w:val="24"/>
          <w:szCs w:val="24"/>
          <w:shd w:val="clear" w:fill="FFFFFF"/>
        </w:rPr>
        <w:t>(3), pp. 251-265.</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eastAsia="宋体" w:cs="Times New Roman"/>
          <w:i w:val="0"/>
          <w:caps w:val="0"/>
          <w:color w:val="555555"/>
          <w:spacing w:val="0"/>
          <w:sz w:val="24"/>
          <w:szCs w:val="24"/>
          <w:shd w:val="clear" w:fill="FFFFFF"/>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eastAsia="宋体" w:cs="Times New Roman"/>
          <w:i w:val="0"/>
          <w:caps w:val="0"/>
          <w:color w:val="555555"/>
          <w:spacing w:val="0"/>
          <w:sz w:val="24"/>
          <w:szCs w:val="24"/>
          <w:shd w:val="clear" w:fill="FFFFFF"/>
        </w:rPr>
      </w:pPr>
      <w:r>
        <w:rPr>
          <w:rFonts w:hint="default" w:ascii="Times New Roman" w:hAnsi="Times New Roman" w:eastAsia="宋体" w:cs="Times New Roman"/>
          <w:i w:val="0"/>
          <w:caps w:val="0"/>
          <w:color w:val="555555"/>
          <w:spacing w:val="0"/>
          <w:sz w:val="24"/>
          <w:szCs w:val="24"/>
          <w:shd w:val="clear" w:fill="FFFFFF"/>
        </w:rPr>
        <w:t>LAUESEN, L.M., 2014. How well are water companies engaged in CSR? A critical cross-geographical discourse analysis.</w:t>
      </w:r>
      <w:r>
        <w:rPr>
          <w:rFonts w:hint="default" w:ascii="Times New Roman" w:hAnsi="Times New Roman" w:eastAsia="宋体" w:cs="Times New Roman"/>
          <w:i w:val="0"/>
          <w:caps w:val="0"/>
          <w:color w:val="555555"/>
          <w:spacing w:val="0"/>
          <w:sz w:val="24"/>
          <w:szCs w:val="24"/>
          <w:shd w:val="clear" w:fill="FFFFFF"/>
        </w:rPr>
        <w:t> </w:t>
      </w:r>
      <w:r>
        <w:rPr>
          <w:rFonts w:hint="default" w:ascii="Times New Roman" w:hAnsi="Times New Roman" w:eastAsia="宋体" w:cs="Times New Roman"/>
          <w:i/>
          <w:caps w:val="0"/>
          <w:color w:val="555555"/>
          <w:spacing w:val="0"/>
          <w:sz w:val="24"/>
          <w:szCs w:val="24"/>
          <w:shd w:val="clear" w:fill="FFFFFF"/>
        </w:rPr>
        <w:t>Social Responsibility Journal, </w:t>
      </w:r>
      <w:r>
        <w:rPr>
          <w:rFonts w:hint="default" w:ascii="Times New Roman" w:hAnsi="Times New Roman" w:eastAsia="宋体" w:cs="Times New Roman"/>
          <w:b/>
          <w:i w:val="0"/>
          <w:caps w:val="0"/>
          <w:color w:val="555555"/>
          <w:spacing w:val="0"/>
          <w:sz w:val="24"/>
          <w:szCs w:val="24"/>
          <w:shd w:val="clear" w:fill="FFFFFF"/>
        </w:rPr>
        <w:t>10</w:t>
      </w:r>
      <w:r>
        <w:rPr>
          <w:rFonts w:hint="default" w:ascii="Times New Roman" w:hAnsi="Times New Roman" w:eastAsia="宋体" w:cs="Times New Roman"/>
          <w:i w:val="0"/>
          <w:caps w:val="0"/>
          <w:color w:val="555555"/>
          <w:spacing w:val="0"/>
          <w:sz w:val="24"/>
          <w:szCs w:val="24"/>
          <w:shd w:val="clear" w:fill="FFFFFF"/>
        </w:rPr>
        <w:t>(1), pp. 115-136.</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eastAsia="宋体" w:cs="Times New Roman"/>
          <w:i w:val="0"/>
          <w:caps w:val="0"/>
          <w:color w:val="555555"/>
          <w:spacing w:val="0"/>
          <w:sz w:val="24"/>
          <w:szCs w:val="24"/>
          <w:shd w:val="clear" w:fill="FFFFFF"/>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eastAsia="宋体" w:cs="Times New Roman"/>
          <w:i w:val="0"/>
          <w:caps w:val="0"/>
          <w:color w:val="555555"/>
          <w:spacing w:val="0"/>
          <w:sz w:val="24"/>
          <w:szCs w:val="24"/>
          <w:shd w:val="clear" w:fill="FFFFFF"/>
        </w:rPr>
      </w:pPr>
      <w:r>
        <w:rPr>
          <w:rFonts w:hint="default" w:ascii="Times New Roman" w:hAnsi="Times New Roman" w:eastAsia="宋体" w:cs="Times New Roman"/>
          <w:i w:val="0"/>
          <w:caps w:val="0"/>
          <w:color w:val="555555"/>
          <w:spacing w:val="0"/>
          <w:sz w:val="24"/>
          <w:szCs w:val="24"/>
          <w:shd w:val="clear" w:fill="FFFFFF"/>
        </w:rPr>
        <w:t>LEGGE, D., 2000. The sustainability of the water industry in a regulated environment.</w:t>
      </w:r>
      <w:r>
        <w:rPr>
          <w:rFonts w:hint="default" w:ascii="Times New Roman" w:hAnsi="Times New Roman" w:eastAsia="宋体" w:cs="Times New Roman"/>
          <w:i w:val="0"/>
          <w:caps w:val="0"/>
          <w:color w:val="555555"/>
          <w:spacing w:val="0"/>
          <w:sz w:val="24"/>
          <w:szCs w:val="24"/>
          <w:shd w:val="clear" w:fill="FFFFFF"/>
        </w:rPr>
        <w:t> </w:t>
      </w:r>
      <w:r>
        <w:rPr>
          <w:rFonts w:hint="default" w:ascii="Times New Roman" w:hAnsi="Times New Roman" w:eastAsia="宋体" w:cs="Times New Roman"/>
          <w:i/>
          <w:caps w:val="0"/>
          <w:color w:val="555555"/>
          <w:spacing w:val="0"/>
          <w:sz w:val="24"/>
          <w:szCs w:val="24"/>
          <w:shd w:val="clear" w:fill="FFFFFF"/>
        </w:rPr>
        <w:t>Journal of Environmental Law, </w:t>
      </w:r>
      <w:r>
        <w:rPr>
          <w:rFonts w:hint="default" w:ascii="Times New Roman" w:hAnsi="Times New Roman" w:eastAsia="宋体" w:cs="Times New Roman"/>
          <w:b/>
          <w:i w:val="0"/>
          <w:caps w:val="0"/>
          <w:color w:val="555555"/>
          <w:spacing w:val="0"/>
          <w:sz w:val="24"/>
          <w:szCs w:val="24"/>
          <w:shd w:val="clear" w:fill="FFFFFF"/>
        </w:rPr>
        <w:t>12</w:t>
      </w:r>
      <w:r>
        <w:rPr>
          <w:rFonts w:hint="default" w:ascii="Times New Roman" w:hAnsi="Times New Roman" w:eastAsia="宋体" w:cs="Times New Roman"/>
          <w:i w:val="0"/>
          <w:caps w:val="0"/>
          <w:color w:val="555555"/>
          <w:spacing w:val="0"/>
          <w:sz w:val="24"/>
          <w:szCs w:val="24"/>
          <w:shd w:val="clear" w:fill="FFFFFF"/>
        </w:rPr>
        <w:t>(1), pp. 3.</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eastAsia="宋体" w:cs="Times New Roman"/>
          <w:i w:val="0"/>
          <w:caps w:val="0"/>
          <w:color w:val="555555"/>
          <w:spacing w:val="0"/>
          <w:sz w:val="24"/>
          <w:szCs w:val="24"/>
          <w:shd w:val="clear" w:fill="FFFFFF"/>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eastAsia="宋体" w:cs="Times New Roman"/>
          <w:i w:val="0"/>
          <w:caps w:val="0"/>
          <w:color w:val="555555"/>
          <w:spacing w:val="0"/>
          <w:sz w:val="24"/>
          <w:szCs w:val="24"/>
          <w:shd w:val="clear" w:fill="FFFFFF"/>
        </w:rPr>
        <w:t>MEYERS, G.R., 2013.</w:t>
      </w:r>
      <w:r>
        <w:rPr>
          <w:rFonts w:hint="default" w:ascii="Times New Roman" w:hAnsi="Times New Roman" w:eastAsia="宋体" w:cs="Times New Roman"/>
          <w:i w:val="0"/>
          <w:caps w:val="0"/>
          <w:color w:val="555555"/>
          <w:spacing w:val="0"/>
          <w:sz w:val="24"/>
          <w:szCs w:val="24"/>
          <w:shd w:val="clear" w:fill="FFFFFF"/>
        </w:rPr>
        <w:t> </w:t>
      </w:r>
      <w:r>
        <w:rPr>
          <w:rFonts w:hint="default" w:ascii="Times New Roman" w:hAnsi="Times New Roman" w:eastAsia="宋体" w:cs="Times New Roman"/>
          <w:i/>
          <w:caps w:val="0"/>
          <w:color w:val="555555"/>
          <w:spacing w:val="0"/>
          <w:sz w:val="24"/>
          <w:szCs w:val="24"/>
          <w:shd w:val="clear" w:fill="FFFFFF"/>
        </w:rPr>
        <w:t>Investigating New Tools, Technologies for the Permian Basin. </w:t>
      </w:r>
      <w:r>
        <w:rPr>
          <w:rFonts w:hint="default" w:ascii="Times New Roman" w:hAnsi="Times New Roman" w:eastAsia="宋体" w:cs="Times New Roman"/>
          <w:i w:val="0"/>
          <w:caps w:val="0"/>
          <w:color w:val="555555"/>
          <w:spacing w:val="0"/>
          <w:sz w:val="24"/>
          <w:szCs w:val="24"/>
          <w:shd w:val="clear" w:fill="FFFFFF"/>
        </w:rPr>
        <w:t>Houston: Hart Energy.</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eastAsia="sans-serif" w:cs="Times New Roman"/>
          <w:i w:val="0"/>
          <w:caps w:val="0"/>
          <w:color w:val="222222"/>
          <w:spacing w:val="0"/>
          <w:sz w:val="24"/>
          <w:szCs w:val="24"/>
          <w:shd w:val="clear" w:fill="FFFFFF"/>
        </w:rPr>
        <w:t>Rasche, Andreas; Morsing, Mette; Moon, Jeremy (2017). </w:t>
      </w:r>
      <w:r>
        <w:rPr>
          <w:rFonts w:hint="default" w:ascii="Times New Roman" w:hAnsi="Times New Roman" w:eastAsia="sans-serif" w:cs="Times New Roman"/>
          <w:i w:val="0"/>
          <w:caps w:val="0"/>
          <w:color w:val="663366"/>
          <w:spacing w:val="0"/>
          <w:sz w:val="24"/>
          <w:szCs w:val="24"/>
          <w:u w:val="none"/>
        </w:rPr>
        <w:fldChar w:fldCharType="begin"/>
      </w:r>
      <w:r>
        <w:rPr>
          <w:rFonts w:hint="default" w:ascii="Times New Roman" w:hAnsi="Times New Roman" w:eastAsia="sans-serif" w:cs="Times New Roman"/>
          <w:i w:val="0"/>
          <w:caps w:val="0"/>
          <w:color w:val="663366"/>
          <w:spacing w:val="0"/>
          <w:sz w:val="24"/>
          <w:szCs w:val="24"/>
          <w:u w:val="none"/>
        </w:rPr>
        <w:instrText xml:space="preserve"> HYPERLINK "http://www.cambridge.org/dk/academic/subjects/management/business-ethics/corporate-social-responsibility-strategy-communication-governance?format=PB" \l "resources" </w:instrText>
      </w:r>
      <w:r>
        <w:rPr>
          <w:rFonts w:hint="default" w:ascii="Times New Roman" w:hAnsi="Times New Roman" w:eastAsia="sans-serif" w:cs="Times New Roman"/>
          <w:i w:val="0"/>
          <w:caps w:val="0"/>
          <w:color w:val="663366"/>
          <w:spacing w:val="0"/>
          <w:sz w:val="24"/>
          <w:szCs w:val="24"/>
          <w:u w:val="none"/>
        </w:rPr>
        <w:fldChar w:fldCharType="separate"/>
      </w:r>
      <w:r>
        <w:rPr>
          <w:rStyle w:val="11"/>
          <w:rFonts w:hint="default" w:ascii="Times New Roman" w:hAnsi="Times New Roman" w:eastAsia="sans-serif" w:cs="Times New Roman"/>
          <w:i/>
          <w:caps w:val="0"/>
          <w:color w:val="663366"/>
          <w:spacing w:val="0"/>
          <w:sz w:val="24"/>
          <w:szCs w:val="24"/>
          <w:u w:val="none"/>
        </w:rPr>
        <w:t>Corporate Social Responsibility: Strategy, Communication, Governance</w:t>
      </w:r>
      <w:r>
        <w:rPr>
          <w:rFonts w:hint="default" w:ascii="Times New Roman" w:hAnsi="Times New Roman" w:eastAsia="sans-serif" w:cs="Times New Roman"/>
          <w:i w:val="0"/>
          <w:caps w:val="0"/>
          <w:color w:val="663366"/>
          <w:spacing w:val="0"/>
          <w:sz w:val="24"/>
          <w:szCs w:val="24"/>
          <w:u w:val="none"/>
        </w:rPr>
        <w:fldChar w:fldCharType="end"/>
      </w:r>
      <w:r>
        <w:rPr>
          <w:rFonts w:hint="default" w:ascii="Times New Roman" w:hAnsi="Times New Roman" w:eastAsia="sans-serif" w:cs="Times New Roman"/>
          <w:i w:val="0"/>
          <w:caps w:val="0"/>
          <w:color w:val="222222"/>
          <w:spacing w:val="0"/>
          <w:sz w:val="24"/>
          <w:szCs w:val="24"/>
          <w:shd w:val="clear" w:fill="FFFFFF"/>
        </w:rPr>
        <w:t>. Camebridge University Press. p. 6f. </w:t>
      </w:r>
      <w:r>
        <w:rPr>
          <w:rFonts w:hint="default" w:ascii="Times New Roman" w:hAnsi="Times New Roman" w:eastAsia="sans-serif" w:cs="Times New Roman"/>
          <w:i w:val="0"/>
          <w:caps w:val="0"/>
          <w:color w:val="0B0080"/>
          <w:spacing w:val="0"/>
          <w:sz w:val="24"/>
          <w:szCs w:val="24"/>
          <w:u w:val="none"/>
          <w:shd w:val="clear" w:fill="FFFFFF"/>
        </w:rPr>
        <w:fldChar w:fldCharType="begin"/>
      </w:r>
      <w:r>
        <w:rPr>
          <w:rFonts w:hint="default" w:ascii="Times New Roman" w:hAnsi="Times New Roman" w:eastAsia="sans-serif" w:cs="Times New Roman"/>
          <w:i w:val="0"/>
          <w:caps w:val="0"/>
          <w:color w:val="0B0080"/>
          <w:spacing w:val="0"/>
          <w:sz w:val="24"/>
          <w:szCs w:val="24"/>
          <w:u w:val="none"/>
          <w:shd w:val="clear" w:fill="FFFFFF"/>
        </w:rPr>
        <w:instrText xml:space="preserve"> HYPERLINK "https://en.wikipedia.org/wiki/International_Standard_Book_Number" \o "International Standard Book Number" </w:instrText>
      </w:r>
      <w:r>
        <w:rPr>
          <w:rFonts w:hint="default" w:ascii="Times New Roman" w:hAnsi="Times New Roman" w:eastAsia="sans-serif" w:cs="Times New Roman"/>
          <w:i w:val="0"/>
          <w:caps w:val="0"/>
          <w:color w:val="0B0080"/>
          <w:spacing w:val="0"/>
          <w:sz w:val="24"/>
          <w:szCs w:val="24"/>
          <w:u w:val="none"/>
          <w:shd w:val="clear" w:fill="FFFFFF"/>
        </w:rPr>
        <w:fldChar w:fldCharType="separate"/>
      </w:r>
      <w:r>
        <w:rPr>
          <w:rStyle w:val="11"/>
          <w:rFonts w:hint="default" w:ascii="Times New Roman" w:hAnsi="Times New Roman" w:eastAsia="sans-serif" w:cs="Times New Roman"/>
          <w:i w:val="0"/>
          <w:caps w:val="0"/>
          <w:color w:val="0B0080"/>
          <w:spacing w:val="0"/>
          <w:sz w:val="24"/>
          <w:szCs w:val="24"/>
          <w:u w:val="none"/>
          <w:shd w:val="clear" w:fill="FFFFFF"/>
        </w:rPr>
        <w:t>ISBN</w:t>
      </w:r>
      <w:r>
        <w:rPr>
          <w:rFonts w:hint="default" w:ascii="Times New Roman" w:hAnsi="Times New Roman" w:eastAsia="sans-serif" w:cs="Times New Roman"/>
          <w:i w:val="0"/>
          <w:caps w:val="0"/>
          <w:color w:val="0B0080"/>
          <w:spacing w:val="0"/>
          <w:sz w:val="24"/>
          <w:szCs w:val="24"/>
          <w:u w:val="none"/>
          <w:shd w:val="clear" w:fill="FFFFFF"/>
        </w:rPr>
        <w:fldChar w:fldCharType="end"/>
      </w:r>
      <w:r>
        <w:rPr>
          <w:rFonts w:hint="default" w:ascii="Times New Roman" w:hAnsi="Times New Roman" w:eastAsia="sans-serif" w:cs="Times New Roman"/>
          <w:i w:val="0"/>
          <w:caps w:val="0"/>
          <w:color w:val="222222"/>
          <w:spacing w:val="0"/>
          <w:sz w:val="24"/>
          <w:szCs w:val="24"/>
          <w:shd w:val="clear" w:fill="FFFFFF"/>
        </w:rPr>
        <w:t> </w:t>
      </w:r>
      <w:r>
        <w:rPr>
          <w:rFonts w:hint="default" w:ascii="Times New Roman" w:hAnsi="Times New Roman" w:eastAsia="sans-serif" w:cs="Times New Roman"/>
          <w:i w:val="0"/>
          <w:caps w:val="0"/>
          <w:color w:val="0B0080"/>
          <w:spacing w:val="0"/>
          <w:sz w:val="24"/>
          <w:szCs w:val="24"/>
          <w:u w:val="none"/>
          <w:shd w:val="clear" w:fill="FFFFFF"/>
        </w:rPr>
        <w:fldChar w:fldCharType="begin"/>
      </w:r>
      <w:r>
        <w:rPr>
          <w:rFonts w:hint="default" w:ascii="Times New Roman" w:hAnsi="Times New Roman" w:eastAsia="sans-serif" w:cs="Times New Roman"/>
          <w:i w:val="0"/>
          <w:caps w:val="0"/>
          <w:color w:val="0B0080"/>
          <w:spacing w:val="0"/>
          <w:sz w:val="24"/>
          <w:szCs w:val="24"/>
          <w:u w:val="none"/>
          <w:shd w:val="clear" w:fill="FFFFFF"/>
        </w:rPr>
        <w:instrText xml:space="preserve"> HYPERLINK "https://en.wikipedia.org/wiki/Special:BookSources/978-1107114876" \o "Special:BookSources/978-1107114876" </w:instrText>
      </w:r>
      <w:r>
        <w:rPr>
          <w:rFonts w:hint="default" w:ascii="Times New Roman" w:hAnsi="Times New Roman" w:eastAsia="sans-serif" w:cs="Times New Roman"/>
          <w:i w:val="0"/>
          <w:caps w:val="0"/>
          <w:color w:val="0B0080"/>
          <w:spacing w:val="0"/>
          <w:sz w:val="24"/>
          <w:szCs w:val="24"/>
          <w:u w:val="none"/>
          <w:shd w:val="clear" w:fill="FFFFFF"/>
        </w:rPr>
        <w:fldChar w:fldCharType="separate"/>
      </w:r>
      <w:r>
        <w:rPr>
          <w:rStyle w:val="11"/>
          <w:rFonts w:hint="default" w:ascii="Times New Roman" w:hAnsi="Times New Roman" w:eastAsia="sans-serif" w:cs="Times New Roman"/>
          <w:i w:val="0"/>
          <w:caps w:val="0"/>
          <w:color w:val="0B0080"/>
          <w:spacing w:val="0"/>
          <w:sz w:val="24"/>
          <w:szCs w:val="24"/>
          <w:u w:val="none"/>
          <w:shd w:val="clear" w:fill="FFFFFF"/>
        </w:rPr>
        <w:t>978-1107114876</w:t>
      </w:r>
      <w:r>
        <w:rPr>
          <w:rFonts w:hint="default" w:ascii="Times New Roman" w:hAnsi="Times New Roman" w:eastAsia="sans-serif" w:cs="Times New Roman"/>
          <w:i w:val="0"/>
          <w:caps w:val="0"/>
          <w:color w:val="0B0080"/>
          <w:spacing w:val="0"/>
          <w:sz w:val="24"/>
          <w:szCs w:val="24"/>
          <w:u w:val="none"/>
          <w:shd w:val="clear" w:fill="FFFFFF"/>
        </w:rPr>
        <w:fldChar w:fldCharType="end"/>
      </w:r>
      <w:r>
        <w:rPr>
          <w:rFonts w:hint="default" w:ascii="Times New Roman" w:hAnsi="Times New Roman" w:eastAsia="sans-serif" w:cs="Times New Roman"/>
          <w:i w:val="0"/>
          <w:caps w:val="0"/>
          <w:color w:val="222222"/>
          <w:spacing w:val="0"/>
          <w:sz w:val="24"/>
          <w:szCs w:val="24"/>
          <w:shd w:val="clear" w:fill="FFFFFF"/>
        </w:rPr>
        <w:t>.</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eastAsia="宋体" w:cs="Times New Roman"/>
          <w:i w:val="0"/>
          <w:caps w:val="0"/>
          <w:color w:val="555555"/>
          <w:spacing w:val="0"/>
          <w:sz w:val="24"/>
          <w:szCs w:val="24"/>
          <w:shd w:val="clear" w:fill="FFFFFF"/>
        </w:rPr>
        <w:t>TAYLOR, A., 1999, Jul 08. Drinking water quality 'among highest in world'</w:t>
      </w:r>
      <w:r>
        <w:rPr>
          <w:rFonts w:hint="default" w:ascii="Times New Roman" w:hAnsi="Times New Roman" w:eastAsia="宋体" w:cs="Times New Roman"/>
          <w:i/>
          <w:caps w:val="0"/>
          <w:color w:val="555555"/>
          <w:spacing w:val="0"/>
          <w:sz w:val="24"/>
          <w:szCs w:val="24"/>
          <w:shd w:val="clear" w:fill="FFFFFF"/>
        </w:rPr>
        <w:t>. Financial Times</w:t>
      </w:r>
      <w:r>
        <w:rPr>
          <w:rFonts w:hint="default" w:ascii="Times New Roman" w:hAnsi="Times New Roman" w:eastAsia="宋体" w:cs="Times New Roman"/>
          <w:i w:val="0"/>
          <w:caps w:val="0"/>
          <w:color w:val="555555"/>
          <w:spacing w:val="0"/>
          <w:sz w:val="24"/>
          <w:szCs w:val="24"/>
          <w:shd w:val="clear" w:fill="FFFFFF"/>
        </w:rPr>
        <w:t>, 09. ISSN 03071766.</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eastAsia="宋体" w:cs="Times New Roman"/>
          <w:i w:val="0"/>
          <w:caps w:val="0"/>
          <w:color w:val="555555"/>
          <w:spacing w:val="0"/>
          <w:sz w:val="24"/>
          <w:szCs w:val="24"/>
          <w:shd w:val="clear" w:fill="FFFFFF"/>
        </w:rPr>
        <w:t>ROVIZZI, L. and THOMPSON, D., 1992. The Regulation of Product Quality in the Public Utilities and the Citizen's Charter.</w:t>
      </w:r>
      <w:r>
        <w:rPr>
          <w:rFonts w:hint="default" w:ascii="Times New Roman" w:hAnsi="Times New Roman" w:eastAsia="宋体" w:cs="Times New Roman"/>
          <w:i w:val="0"/>
          <w:caps w:val="0"/>
          <w:color w:val="555555"/>
          <w:spacing w:val="0"/>
          <w:sz w:val="24"/>
          <w:szCs w:val="24"/>
          <w:shd w:val="clear" w:fill="FFFFFF"/>
        </w:rPr>
        <w:t> </w:t>
      </w:r>
      <w:r>
        <w:rPr>
          <w:rFonts w:hint="default" w:ascii="Times New Roman" w:hAnsi="Times New Roman" w:eastAsia="宋体" w:cs="Times New Roman"/>
          <w:i/>
          <w:caps w:val="0"/>
          <w:color w:val="555555"/>
          <w:spacing w:val="0"/>
          <w:sz w:val="24"/>
          <w:szCs w:val="24"/>
          <w:shd w:val="clear" w:fill="FFFFFF"/>
        </w:rPr>
        <w:t>Fiscal Studies, </w:t>
      </w:r>
      <w:r>
        <w:rPr>
          <w:rFonts w:hint="default" w:ascii="Times New Roman" w:hAnsi="Times New Roman" w:eastAsia="宋体" w:cs="Times New Roman"/>
          <w:b/>
          <w:i w:val="0"/>
          <w:caps w:val="0"/>
          <w:color w:val="555555"/>
          <w:spacing w:val="0"/>
          <w:sz w:val="24"/>
          <w:szCs w:val="24"/>
          <w:shd w:val="clear" w:fill="FFFFFF"/>
        </w:rPr>
        <w:t>13</w:t>
      </w:r>
      <w:r>
        <w:rPr>
          <w:rFonts w:hint="default" w:ascii="Times New Roman" w:hAnsi="Times New Roman" w:eastAsia="宋体" w:cs="Times New Roman"/>
          <w:i w:val="0"/>
          <w:caps w:val="0"/>
          <w:color w:val="555555"/>
          <w:spacing w:val="0"/>
          <w:sz w:val="24"/>
          <w:szCs w:val="24"/>
          <w:shd w:val="clear" w:fill="FFFFFF"/>
        </w:rPr>
        <w:t>(3), pp. 74.</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eastAsia="宋体" w:cs="Times New Roman"/>
          <w:i w:val="0"/>
          <w:caps w:val="0"/>
          <w:color w:val="555555"/>
          <w:spacing w:val="0"/>
          <w:sz w:val="24"/>
          <w:szCs w:val="24"/>
          <w:shd w:val="clear" w:fill="FFFFFF"/>
        </w:rPr>
        <w:t>SHEATE, W.R., BYRON, H.J. and SMITH, S.P., 2004. IMPLEMENTING THE SEA DIRECTIVE: SECTORAL CHALLENGES AND OPPORTUNITIES FOR THE UK AND EU.</w:t>
      </w:r>
      <w:r>
        <w:rPr>
          <w:rFonts w:hint="default" w:ascii="Times New Roman" w:hAnsi="Times New Roman" w:eastAsia="宋体" w:cs="Times New Roman"/>
          <w:i w:val="0"/>
          <w:caps w:val="0"/>
          <w:color w:val="555555"/>
          <w:spacing w:val="0"/>
          <w:sz w:val="24"/>
          <w:szCs w:val="24"/>
          <w:shd w:val="clear" w:fill="FFFFFF"/>
        </w:rPr>
        <w:t> </w:t>
      </w:r>
      <w:r>
        <w:rPr>
          <w:rFonts w:hint="default" w:ascii="Times New Roman" w:hAnsi="Times New Roman" w:eastAsia="宋体" w:cs="Times New Roman"/>
          <w:i/>
          <w:caps w:val="0"/>
          <w:color w:val="555555"/>
          <w:spacing w:val="0"/>
          <w:sz w:val="24"/>
          <w:szCs w:val="24"/>
          <w:shd w:val="clear" w:fill="FFFFFF"/>
        </w:rPr>
        <w:t>European Environment, </w:t>
      </w:r>
      <w:r>
        <w:rPr>
          <w:rFonts w:hint="default" w:ascii="Times New Roman" w:hAnsi="Times New Roman" w:eastAsia="宋体" w:cs="Times New Roman"/>
          <w:b/>
          <w:i w:val="0"/>
          <w:caps w:val="0"/>
          <w:color w:val="555555"/>
          <w:spacing w:val="0"/>
          <w:sz w:val="24"/>
          <w:szCs w:val="24"/>
          <w:shd w:val="clear" w:fill="FFFFFF"/>
        </w:rPr>
        <w:t>14</w:t>
      </w:r>
      <w:r>
        <w:rPr>
          <w:rFonts w:hint="default" w:ascii="Times New Roman" w:hAnsi="Times New Roman" w:eastAsia="宋体" w:cs="Times New Roman"/>
          <w:i w:val="0"/>
          <w:caps w:val="0"/>
          <w:color w:val="555555"/>
          <w:spacing w:val="0"/>
          <w:sz w:val="24"/>
          <w:szCs w:val="24"/>
          <w:shd w:val="clear" w:fill="FFFFFF"/>
        </w:rPr>
        <w:t>(2), pp. 73-93.</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eastAsia="宋体" w:cs="Times New Roman"/>
          <w:i w:val="0"/>
          <w:caps w:val="0"/>
          <w:color w:val="555555"/>
          <w:spacing w:val="0"/>
          <w:sz w:val="24"/>
          <w:szCs w:val="24"/>
          <w:shd w:val="clear" w:fill="FFFFFF"/>
        </w:rPr>
        <w:t>SMIRNOVA, Y., 2012. Perceptions of corporate social responsibility in Kazakhstan.</w:t>
      </w:r>
      <w:r>
        <w:rPr>
          <w:rFonts w:hint="default" w:ascii="Times New Roman" w:hAnsi="Times New Roman" w:eastAsia="宋体" w:cs="Times New Roman"/>
          <w:i w:val="0"/>
          <w:caps w:val="0"/>
          <w:color w:val="555555"/>
          <w:spacing w:val="0"/>
          <w:sz w:val="24"/>
          <w:szCs w:val="24"/>
          <w:shd w:val="clear" w:fill="FFFFFF"/>
        </w:rPr>
        <w:t> </w:t>
      </w:r>
      <w:r>
        <w:rPr>
          <w:rFonts w:hint="default" w:ascii="Times New Roman" w:hAnsi="Times New Roman" w:eastAsia="宋体" w:cs="Times New Roman"/>
          <w:i/>
          <w:caps w:val="0"/>
          <w:color w:val="555555"/>
          <w:spacing w:val="0"/>
          <w:sz w:val="24"/>
          <w:szCs w:val="24"/>
          <w:shd w:val="clear" w:fill="FFFFFF"/>
        </w:rPr>
        <w:t>Social Responsibility Journal, </w:t>
      </w:r>
      <w:r>
        <w:rPr>
          <w:rFonts w:hint="default" w:ascii="Times New Roman" w:hAnsi="Times New Roman" w:eastAsia="宋体" w:cs="Times New Roman"/>
          <w:b/>
          <w:i w:val="0"/>
          <w:caps w:val="0"/>
          <w:color w:val="555555"/>
          <w:spacing w:val="0"/>
          <w:sz w:val="24"/>
          <w:szCs w:val="24"/>
          <w:shd w:val="clear" w:fill="FFFFFF"/>
        </w:rPr>
        <w:t>8</w:t>
      </w:r>
      <w:r>
        <w:rPr>
          <w:rFonts w:hint="default" w:ascii="Times New Roman" w:hAnsi="Times New Roman" w:eastAsia="宋体" w:cs="Times New Roman"/>
          <w:i w:val="0"/>
          <w:caps w:val="0"/>
          <w:color w:val="555555"/>
          <w:spacing w:val="0"/>
          <w:sz w:val="24"/>
          <w:szCs w:val="24"/>
          <w:shd w:val="clear" w:fill="FFFFFF"/>
        </w:rPr>
        <w:t>(3), pp. 404-417.</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eastAsia="宋体" w:cs="Times New Roman"/>
          <w:i w:val="0"/>
          <w:caps w:val="0"/>
          <w:color w:val="555555"/>
          <w:spacing w:val="0"/>
          <w:sz w:val="24"/>
          <w:szCs w:val="24"/>
          <w:shd w:val="clear" w:fill="FFFFFF"/>
        </w:rPr>
        <w:t>STOIAN, C., 2013. HOW TO DEAL WITH CORPORATE SOCIAL RESPONSIBILITY IN FINANCIAL CRISIS.</w:t>
      </w:r>
      <w:r>
        <w:rPr>
          <w:rFonts w:hint="default" w:ascii="Times New Roman" w:hAnsi="Times New Roman" w:eastAsia="宋体" w:cs="Times New Roman"/>
          <w:i w:val="0"/>
          <w:caps w:val="0"/>
          <w:color w:val="555555"/>
          <w:spacing w:val="0"/>
          <w:sz w:val="24"/>
          <w:szCs w:val="24"/>
          <w:shd w:val="clear" w:fill="FFFFFF"/>
        </w:rPr>
        <w:t> </w:t>
      </w:r>
      <w:r>
        <w:rPr>
          <w:rFonts w:hint="default" w:ascii="Times New Roman" w:hAnsi="Times New Roman" w:eastAsia="宋体" w:cs="Times New Roman"/>
          <w:i/>
          <w:caps w:val="0"/>
          <w:color w:val="555555"/>
          <w:spacing w:val="0"/>
          <w:sz w:val="24"/>
          <w:szCs w:val="24"/>
          <w:shd w:val="clear" w:fill="FFFFFF"/>
        </w:rPr>
        <w:t>Annales Universitatis Apulensis : Series Oeconomica, </w:t>
      </w:r>
      <w:r>
        <w:rPr>
          <w:rFonts w:hint="default" w:ascii="Times New Roman" w:hAnsi="Times New Roman" w:eastAsia="宋体" w:cs="Times New Roman"/>
          <w:b/>
          <w:i w:val="0"/>
          <w:caps w:val="0"/>
          <w:color w:val="555555"/>
          <w:spacing w:val="0"/>
          <w:sz w:val="24"/>
          <w:szCs w:val="24"/>
          <w:shd w:val="clear" w:fill="FFFFFF"/>
        </w:rPr>
        <w:t>15</w:t>
      </w:r>
      <w:r>
        <w:rPr>
          <w:rFonts w:hint="default" w:ascii="Times New Roman" w:hAnsi="Times New Roman" w:eastAsia="宋体" w:cs="Times New Roman"/>
          <w:i w:val="0"/>
          <w:caps w:val="0"/>
          <w:color w:val="555555"/>
          <w:spacing w:val="0"/>
          <w:sz w:val="24"/>
          <w:szCs w:val="24"/>
          <w:shd w:val="clear" w:fill="FFFFFF"/>
        </w:rPr>
        <w:t>(1), pp. 333-338.</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tutor2u. (2018). Carroll's CSR Pyramid | tutor2u Business. [online] Available at: https://www.tutor2u.net/business/reference/carrolls-csr-pyramid [Accessed 28 Mar. 2018].</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WIRE, B. (2018). American Water Named One of the 100 Most Sustainable Companies. [online] Businesswire.com. Available at: https://www.businesswire.com/news/home/20180207006080/en/American-Water-Named-100-Sustainable-Companies [Accessed 29 Mar. 2018].</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eastAsia="sans-serif" w:cs="Times New Roman"/>
          <w:i w:val="0"/>
          <w:caps w:val="0"/>
          <w:color w:val="222222"/>
          <w:spacing w:val="0"/>
          <w:sz w:val="24"/>
          <w:szCs w:val="24"/>
          <w:shd w:val="clear" w:fill="FFFFFF"/>
        </w:rPr>
        <w:t>Wood, Donna J. (1991). "Corporate Social Performance Revisited". </w:t>
      </w:r>
      <w:r>
        <w:rPr>
          <w:rFonts w:hint="default" w:ascii="Times New Roman" w:hAnsi="Times New Roman" w:eastAsia="sans-serif" w:cs="Times New Roman"/>
          <w:i/>
          <w:caps w:val="0"/>
          <w:color w:val="222222"/>
          <w:spacing w:val="0"/>
          <w:sz w:val="24"/>
          <w:szCs w:val="24"/>
          <w:shd w:val="clear" w:fill="FFFFFF"/>
        </w:rPr>
        <w:t>The Academy of Management Review</w:t>
      </w:r>
      <w:r>
        <w:rPr>
          <w:rFonts w:hint="default" w:ascii="Times New Roman" w:hAnsi="Times New Roman" w:eastAsia="sans-serif" w:cs="Times New Roman"/>
          <w:i w:val="0"/>
          <w:caps w:val="0"/>
          <w:color w:val="222222"/>
          <w:spacing w:val="0"/>
          <w:sz w:val="24"/>
          <w:szCs w:val="24"/>
          <w:shd w:val="clear" w:fill="FFFFFF"/>
        </w:rPr>
        <w:t>. </w:t>
      </w:r>
      <w:r>
        <w:rPr>
          <w:rFonts w:hint="default" w:ascii="Times New Roman" w:hAnsi="Times New Roman" w:eastAsia="sans-serif" w:cs="Times New Roman"/>
          <w:b/>
          <w:i w:val="0"/>
          <w:caps w:val="0"/>
          <w:color w:val="222222"/>
          <w:spacing w:val="0"/>
          <w:sz w:val="24"/>
          <w:szCs w:val="24"/>
          <w:shd w:val="clear" w:fill="FFFFFF"/>
        </w:rPr>
        <w:t>16</w:t>
      </w:r>
      <w:r>
        <w:rPr>
          <w:rFonts w:hint="default" w:ascii="Times New Roman" w:hAnsi="Times New Roman" w:eastAsia="sans-serif" w:cs="Times New Roman"/>
          <w:i w:val="0"/>
          <w:caps w:val="0"/>
          <w:color w:val="222222"/>
          <w:spacing w:val="0"/>
          <w:sz w:val="24"/>
          <w:szCs w:val="24"/>
          <w:shd w:val="clear" w:fill="FFFFFF"/>
        </w:rPr>
        <w:t> (4): 691–718. </w:t>
      </w:r>
      <w:r>
        <w:rPr>
          <w:rFonts w:hint="default" w:ascii="Times New Roman" w:hAnsi="Times New Roman" w:eastAsia="sans-serif" w:cs="Times New Roman"/>
          <w:i w:val="0"/>
          <w:caps w:val="0"/>
          <w:color w:val="0B0080"/>
          <w:spacing w:val="0"/>
          <w:sz w:val="24"/>
          <w:szCs w:val="24"/>
          <w:u w:val="none"/>
          <w:shd w:val="clear" w:fill="FFFFFF"/>
        </w:rPr>
        <w:fldChar w:fldCharType="begin"/>
      </w:r>
      <w:r>
        <w:rPr>
          <w:rFonts w:hint="default" w:ascii="Times New Roman" w:hAnsi="Times New Roman" w:eastAsia="sans-serif" w:cs="Times New Roman"/>
          <w:i w:val="0"/>
          <w:caps w:val="0"/>
          <w:color w:val="0B0080"/>
          <w:spacing w:val="0"/>
          <w:sz w:val="24"/>
          <w:szCs w:val="24"/>
          <w:u w:val="none"/>
          <w:shd w:val="clear" w:fill="FFFFFF"/>
        </w:rPr>
        <w:instrText xml:space="preserve"> HYPERLINK "https://en.wikipedia.org/wiki/Digital_object_identifier" \o "Digital object identifier" </w:instrText>
      </w:r>
      <w:r>
        <w:rPr>
          <w:rFonts w:hint="default" w:ascii="Times New Roman" w:hAnsi="Times New Roman" w:eastAsia="sans-serif" w:cs="Times New Roman"/>
          <w:i w:val="0"/>
          <w:caps w:val="0"/>
          <w:color w:val="0B0080"/>
          <w:spacing w:val="0"/>
          <w:sz w:val="24"/>
          <w:szCs w:val="24"/>
          <w:u w:val="none"/>
          <w:shd w:val="clear" w:fill="FFFFFF"/>
        </w:rPr>
        <w:fldChar w:fldCharType="separate"/>
      </w:r>
      <w:r>
        <w:rPr>
          <w:rStyle w:val="11"/>
          <w:rFonts w:hint="default" w:ascii="Times New Roman" w:hAnsi="Times New Roman" w:eastAsia="sans-serif" w:cs="Times New Roman"/>
          <w:i w:val="0"/>
          <w:caps w:val="0"/>
          <w:color w:val="0B0080"/>
          <w:spacing w:val="0"/>
          <w:sz w:val="24"/>
          <w:szCs w:val="24"/>
          <w:u w:val="none"/>
          <w:shd w:val="clear" w:fill="FFFFFF"/>
        </w:rPr>
        <w:t>doi</w:t>
      </w:r>
      <w:r>
        <w:rPr>
          <w:rFonts w:hint="default" w:ascii="Times New Roman" w:hAnsi="Times New Roman" w:eastAsia="sans-serif" w:cs="Times New Roman"/>
          <w:i w:val="0"/>
          <w:caps w:val="0"/>
          <w:color w:val="0B0080"/>
          <w:spacing w:val="0"/>
          <w:sz w:val="24"/>
          <w:szCs w:val="24"/>
          <w:u w:val="none"/>
          <w:shd w:val="clear" w:fill="FFFFFF"/>
        </w:rPr>
        <w:fldChar w:fldCharType="end"/>
      </w:r>
      <w:r>
        <w:rPr>
          <w:rFonts w:hint="default" w:ascii="Times New Roman" w:hAnsi="Times New Roman" w:eastAsia="sans-serif" w:cs="Times New Roman"/>
          <w:i w:val="0"/>
          <w:caps w:val="0"/>
          <w:color w:val="222222"/>
          <w:spacing w:val="0"/>
          <w:sz w:val="24"/>
          <w:szCs w:val="24"/>
          <w:shd w:val="clear" w:fill="FFFFFF"/>
        </w:rPr>
        <w:t>:</w:t>
      </w:r>
      <w:r>
        <w:rPr>
          <w:rFonts w:hint="default" w:ascii="Times New Roman" w:hAnsi="Times New Roman" w:eastAsia="sans-serif" w:cs="Times New Roman"/>
          <w:i w:val="0"/>
          <w:caps w:val="0"/>
          <w:color w:val="663366"/>
          <w:spacing w:val="0"/>
          <w:sz w:val="24"/>
          <w:szCs w:val="24"/>
          <w:u w:val="none"/>
        </w:rPr>
        <w:fldChar w:fldCharType="begin"/>
      </w:r>
      <w:r>
        <w:rPr>
          <w:rFonts w:hint="default" w:ascii="Times New Roman" w:hAnsi="Times New Roman" w:eastAsia="sans-serif" w:cs="Times New Roman"/>
          <w:i w:val="0"/>
          <w:caps w:val="0"/>
          <w:color w:val="663366"/>
          <w:spacing w:val="0"/>
          <w:sz w:val="24"/>
          <w:szCs w:val="24"/>
          <w:u w:val="none"/>
        </w:rPr>
        <w:instrText xml:space="preserve"> HYPERLINK "https://doi.org/10.2307/258977" </w:instrText>
      </w:r>
      <w:r>
        <w:rPr>
          <w:rFonts w:hint="default" w:ascii="Times New Roman" w:hAnsi="Times New Roman" w:eastAsia="sans-serif" w:cs="Times New Roman"/>
          <w:i w:val="0"/>
          <w:caps w:val="0"/>
          <w:color w:val="663366"/>
          <w:spacing w:val="0"/>
          <w:sz w:val="24"/>
          <w:szCs w:val="24"/>
          <w:u w:val="none"/>
        </w:rPr>
        <w:fldChar w:fldCharType="separate"/>
      </w:r>
      <w:r>
        <w:rPr>
          <w:rStyle w:val="11"/>
          <w:rFonts w:hint="default" w:ascii="Times New Roman" w:hAnsi="Times New Roman" w:eastAsia="sans-serif" w:cs="Times New Roman"/>
          <w:i w:val="0"/>
          <w:caps w:val="0"/>
          <w:color w:val="663366"/>
          <w:spacing w:val="0"/>
          <w:sz w:val="24"/>
          <w:szCs w:val="24"/>
          <w:u w:val="none"/>
        </w:rPr>
        <w:t>10.2307/258977</w:t>
      </w:r>
      <w:r>
        <w:rPr>
          <w:rFonts w:hint="default" w:ascii="Times New Roman" w:hAnsi="Times New Roman" w:eastAsia="sans-serif" w:cs="Times New Roman"/>
          <w:i w:val="0"/>
          <w:caps w:val="0"/>
          <w:color w:val="663366"/>
          <w:spacing w:val="0"/>
          <w:sz w:val="24"/>
          <w:szCs w:val="24"/>
          <w:u w:val="none"/>
        </w:rPr>
        <w:fldChar w:fldCharType="end"/>
      </w:r>
      <w:r>
        <w:rPr>
          <w:rFonts w:hint="default" w:ascii="Times New Roman" w:hAnsi="Times New Roman" w:eastAsia="sans-serif" w:cs="Times New Roman"/>
          <w:i w:val="0"/>
          <w:caps w:val="0"/>
          <w:color w:val="222222"/>
          <w:spacing w:val="0"/>
          <w:sz w:val="24"/>
          <w:szCs w:val="24"/>
          <w:shd w:val="clear" w:fill="FFFFFF"/>
        </w:rPr>
        <w:t>. </w:t>
      </w:r>
      <w:r>
        <w:rPr>
          <w:rFonts w:hint="default" w:ascii="Times New Roman" w:hAnsi="Times New Roman" w:eastAsia="sans-serif" w:cs="Times New Roman"/>
          <w:i w:val="0"/>
          <w:caps w:val="0"/>
          <w:color w:val="0B0080"/>
          <w:spacing w:val="0"/>
          <w:sz w:val="24"/>
          <w:szCs w:val="24"/>
          <w:u w:val="none"/>
          <w:shd w:val="clear" w:fill="FFFFFF"/>
        </w:rPr>
        <w:fldChar w:fldCharType="begin"/>
      </w:r>
      <w:r>
        <w:rPr>
          <w:rFonts w:hint="default" w:ascii="Times New Roman" w:hAnsi="Times New Roman" w:eastAsia="sans-serif" w:cs="Times New Roman"/>
          <w:i w:val="0"/>
          <w:caps w:val="0"/>
          <w:color w:val="0B0080"/>
          <w:spacing w:val="0"/>
          <w:sz w:val="24"/>
          <w:szCs w:val="24"/>
          <w:u w:val="none"/>
          <w:shd w:val="clear" w:fill="FFFFFF"/>
        </w:rPr>
        <w:instrText xml:space="preserve"> HYPERLINK "https://en.wikipedia.org/wiki/JSTOR" \o "JSTOR" </w:instrText>
      </w:r>
      <w:r>
        <w:rPr>
          <w:rFonts w:hint="default" w:ascii="Times New Roman" w:hAnsi="Times New Roman" w:eastAsia="sans-serif" w:cs="Times New Roman"/>
          <w:i w:val="0"/>
          <w:caps w:val="0"/>
          <w:color w:val="0B0080"/>
          <w:spacing w:val="0"/>
          <w:sz w:val="24"/>
          <w:szCs w:val="24"/>
          <w:u w:val="none"/>
          <w:shd w:val="clear" w:fill="FFFFFF"/>
        </w:rPr>
        <w:fldChar w:fldCharType="separate"/>
      </w:r>
      <w:r>
        <w:rPr>
          <w:rStyle w:val="11"/>
          <w:rFonts w:hint="default" w:ascii="Times New Roman" w:hAnsi="Times New Roman" w:eastAsia="sans-serif" w:cs="Times New Roman"/>
          <w:i w:val="0"/>
          <w:caps w:val="0"/>
          <w:color w:val="0B0080"/>
          <w:spacing w:val="0"/>
          <w:sz w:val="24"/>
          <w:szCs w:val="24"/>
          <w:u w:val="none"/>
          <w:shd w:val="clear" w:fill="FFFFFF"/>
        </w:rPr>
        <w:t>JSTOR</w:t>
      </w:r>
      <w:r>
        <w:rPr>
          <w:rFonts w:hint="default" w:ascii="Times New Roman" w:hAnsi="Times New Roman" w:eastAsia="sans-serif" w:cs="Times New Roman"/>
          <w:i w:val="0"/>
          <w:caps w:val="0"/>
          <w:color w:val="0B0080"/>
          <w:spacing w:val="0"/>
          <w:sz w:val="24"/>
          <w:szCs w:val="24"/>
          <w:u w:val="none"/>
          <w:shd w:val="clear" w:fill="FFFFFF"/>
        </w:rPr>
        <w:fldChar w:fldCharType="end"/>
      </w:r>
      <w:r>
        <w:rPr>
          <w:rFonts w:hint="default" w:ascii="Times New Roman" w:hAnsi="Times New Roman" w:eastAsia="sans-serif" w:cs="Times New Roman"/>
          <w:i w:val="0"/>
          <w:caps w:val="0"/>
          <w:color w:val="222222"/>
          <w:spacing w:val="0"/>
          <w:sz w:val="24"/>
          <w:szCs w:val="24"/>
          <w:shd w:val="clear" w:fill="FFFFFF"/>
        </w:rPr>
        <w:t> </w:t>
      </w:r>
      <w:r>
        <w:rPr>
          <w:rFonts w:hint="default" w:ascii="Times New Roman" w:hAnsi="Times New Roman" w:eastAsia="sans-serif" w:cs="Times New Roman"/>
          <w:i w:val="0"/>
          <w:caps w:val="0"/>
          <w:color w:val="663366"/>
          <w:spacing w:val="0"/>
          <w:sz w:val="24"/>
          <w:szCs w:val="24"/>
          <w:u w:val="none"/>
        </w:rPr>
        <w:fldChar w:fldCharType="begin"/>
      </w:r>
      <w:r>
        <w:rPr>
          <w:rFonts w:hint="default" w:ascii="Times New Roman" w:hAnsi="Times New Roman" w:eastAsia="sans-serif" w:cs="Times New Roman"/>
          <w:i w:val="0"/>
          <w:caps w:val="0"/>
          <w:color w:val="663366"/>
          <w:spacing w:val="0"/>
          <w:sz w:val="24"/>
          <w:szCs w:val="24"/>
          <w:u w:val="none"/>
        </w:rPr>
        <w:instrText xml:space="preserve"> HYPERLINK "https://www.jstor.org/stable/258977" </w:instrText>
      </w:r>
      <w:r>
        <w:rPr>
          <w:rFonts w:hint="default" w:ascii="Times New Roman" w:hAnsi="Times New Roman" w:eastAsia="sans-serif" w:cs="Times New Roman"/>
          <w:i w:val="0"/>
          <w:caps w:val="0"/>
          <w:color w:val="663366"/>
          <w:spacing w:val="0"/>
          <w:sz w:val="24"/>
          <w:szCs w:val="24"/>
          <w:u w:val="none"/>
        </w:rPr>
        <w:fldChar w:fldCharType="separate"/>
      </w:r>
      <w:r>
        <w:rPr>
          <w:rStyle w:val="11"/>
          <w:rFonts w:hint="default" w:ascii="Times New Roman" w:hAnsi="Times New Roman" w:eastAsia="sans-serif" w:cs="Times New Roman"/>
          <w:i w:val="0"/>
          <w:caps w:val="0"/>
          <w:color w:val="663366"/>
          <w:spacing w:val="0"/>
          <w:sz w:val="24"/>
          <w:szCs w:val="24"/>
          <w:u w:val="none"/>
        </w:rPr>
        <w:t>258977</w:t>
      </w:r>
      <w:r>
        <w:rPr>
          <w:rFonts w:hint="default" w:ascii="Times New Roman" w:hAnsi="Times New Roman" w:eastAsia="sans-serif" w:cs="Times New Roman"/>
          <w:i w:val="0"/>
          <w:caps w:val="0"/>
          <w:color w:val="663366"/>
          <w:spacing w:val="0"/>
          <w:sz w:val="24"/>
          <w:szCs w:val="24"/>
          <w:u w:val="none"/>
        </w:rPr>
        <w:fldChar w:fldCharType="end"/>
      </w:r>
      <w:r>
        <w:rPr>
          <w:rFonts w:hint="default" w:ascii="Times New Roman" w:hAnsi="Times New Roman" w:eastAsia="sans-serif" w:cs="Times New Roman"/>
          <w:i w:val="0"/>
          <w:caps w:val="0"/>
          <w:color w:val="222222"/>
          <w:spacing w:val="0"/>
          <w:sz w:val="24"/>
          <w:szCs w:val="24"/>
          <w:shd w:val="clear" w:fill="FFFFFF"/>
        </w:rPr>
        <w:t>.</w:t>
      </w: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ind w:left="0" w:leftChars="0" w:right="0" w:rightChars="0" w:firstLine="0" w:firstLineChars="0"/>
        <w:textAlignment w:val="auto"/>
        <w:rPr>
          <w:rFonts w:hint="default" w:ascii="Times New Roman" w:hAnsi="Times New Roman" w:cs="Times New Roman"/>
          <w:sz w:val="24"/>
          <w:szCs w:val="24"/>
          <w:lang w:val="en-US" w:eastAsia="zh-CN"/>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sans-serif">
    <w:altName w:val="HelveticaNeue LT 43 LightEx"/>
    <w:panose1 w:val="00000000000000000000"/>
    <w:charset w:val="00"/>
    <w:family w:val="auto"/>
    <w:pitch w:val="default"/>
    <w:sig w:usb0="00000000" w:usb1="00000000" w:usb2="00000000" w:usb3="00000000" w:csb0="00000000" w:csb1="00000000"/>
  </w:font>
  <w:font w:name="HelveticaNeue LT 43 LightEx">
    <w:panose1 w:val="02000400000000000000"/>
    <w:charset w:val="00"/>
    <w:family w:val="auto"/>
    <w:pitch w:val="default"/>
    <w:sig w:usb0="00000003" w:usb1="00000000" w:usb2="00000000" w:usb3="00000000" w:csb0="00000001" w:csb1="00000000"/>
  </w:font>
  <w:font w:name="ClearSans">
    <w:altName w:val="HelveticaNeue LT 43 LightEx"/>
    <w:panose1 w:val="00000000000000000000"/>
    <w:charset w:val="00"/>
    <w:family w:val="auto"/>
    <w:pitch w:val="default"/>
    <w:sig w:usb0="00000000" w:usb1="00000000" w:usb2="00000000" w:usb3="00000000" w:csb0="00000000" w:csb1="00000000"/>
  </w:font>
  <w:font w:name="Source Sans Pro">
    <w:altName w:val="HelveticaNeue LT 43 LightEx"/>
    <w:panose1 w:val="00000000000000000000"/>
    <w:charset w:val="00"/>
    <w:family w:val="auto"/>
    <w:pitch w:val="default"/>
    <w:sig w:usb0="00000000" w:usb1="00000000" w:usb2="00000000" w:usb3="00000000" w:csb0="00000000" w:csb1="00000000"/>
  </w:font>
  <w:font w:name="Open Sans">
    <w:altName w:val="HelveticaNeue LT 43 LightEx"/>
    <w:panose1 w:val="00000000000000000000"/>
    <w:charset w:val="00"/>
    <w:family w:val="auto"/>
    <w:pitch w:val="default"/>
    <w:sig w:usb0="00000000" w:usb1="00000000" w:usb2="00000000" w:usb3="00000000" w:csb0="00000000" w:csb1="00000000"/>
  </w:font>
  <w:font w:name="Verdana">
    <w:panose1 w:val="020B0604030504040204"/>
    <w:charset w:val="00"/>
    <w:family w:val="auto"/>
    <w:pitch w:val="default"/>
    <w:sig w:usb0="A10006FF" w:usb1="4000205B" w:usb2="00000010" w:usb3="00000000" w:csb0="2000019F" w:csb1="00000000"/>
  </w:font>
  <w:font w:name="Arial">
    <w:panose1 w:val="020B0604020202020204"/>
    <w:charset w:val="00"/>
    <w:family w:val="auto"/>
    <w:pitch w:val="default"/>
    <w:sig w:usb0="E0002EFF" w:usb1="C0007843" w:usb2="00000009" w:usb3="00000000" w:csb0="400001FF" w:csb1="FFFF0000"/>
  </w:font>
  <w:font w:name="ff-tisa-sans-web-pro">
    <w:altName w:val="HelveticaNeue LT 43 LightEx"/>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2</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ufGT8ICAADWBQAADgAAAAAA&#10;AAABACAAAAAfAQAAZHJzL2Uyb0RvYy54bWxQSwUGAAAAAAYABgBZAQAAUwYAAAAA&#10;">
              <v:fill on="f" focussize="0,0"/>
              <v:stroke on="f" weight="0.5pt"/>
              <v:imagedata o:title=""/>
              <o:lock v:ext="edit" aspectratio="f"/>
              <v:textbox inset="0mm,0mm,0mm,0mm" style="mso-fit-shape-to-text:t;">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2</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ED1BB1B4"/>
    <w:multiLevelType w:val="singleLevel"/>
    <w:tmpl w:val="ED1BB1B4"/>
    <w:lvl w:ilvl="0" w:tentative="0">
      <w:start w:val="1"/>
      <w:numFmt w:val="decimal"/>
      <w:suff w:val="space"/>
      <w:lvlText w:val="%1."/>
      <w:lvlJc w:val="left"/>
    </w:lvl>
  </w:abstractNum>
  <w:abstractNum w:abstractNumId="1">
    <w:nsid w:val="F132378D"/>
    <w:multiLevelType w:val="singleLevel"/>
    <w:tmpl w:val="F132378D"/>
    <w:lvl w:ilvl="0" w:tentative="0">
      <w:start w:val="1"/>
      <w:numFmt w:val="decimal"/>
      <w:suff w:val="space"/>
      <w:lvlText w:val="%1."/>
      <w:lvlJc w:val="left"/>
    </w:lvl>
  </w:abstractNum>
  <w:abstractNum w:abstractNumId="2">
    <w:nsid w:val="F26DE95D"/>
    <w:multiLevelType w:val="singleLevel"/>
    <w:tmpl w:val="F26DE95D"/>
    <w:lvl w:ilvl="0" w:tentative="0">
      <w:start w:val="1"/>
      <w:numFmt w:val="decimal"/>
      <w:suff w:val="space"/>
      <w:lvlText w:val="%1."/>
      <w:lvlJc w:val="left"/>
    </w:lvl>
  </w:abstractNum>
  <w:abstractNum w:abstractNumId="3">
    <w:nsid w:val="74372FE8"/>
    <w:multiLevelType w:val="singleLevel"/>
    <w:tmpl w:val="74372FE8"/>
    <w:lvl w:ilvl="0" w:tentative="0">
      <w:start w:val="1"/>
      <w:numFmt w:val="decimal"/>
      <w:suff w:val="space"/>
      <w:lvlText w:val="%1."/>
      <w:lvlJc w:val="left"/>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CDB72C1"/>
    <w:rsid w:val="10C226A7"/>
    <w:rsid w:val="13D545DA"/>
    <w:rsid w:val="14FB06F0"/>
    <w:rsid w:val="24075345"/>
    <w:rsid w:val="2E2A2120"/>
    <w:rsid w:val="326D6361"/>
    <w:rsid w:val="355F781A"/>
    <w:rsid w:val="41577361"/>
    <w:rsid w:val="55136500"/>
    <w:rsid w:val="567A50FD"/>
    <w:rsid w:val="58000FA2"/>
    <w:rsid w:val="5B3162B1"/>
    <w:rsid w:val="6B4C3BA6"/>
    <w:rsid w:val="784756CB"/>
    <w:rsid w:val="78A13C12"/>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link w:val="14"/>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0">
    <w:name w:val="Default Paragraph Font"/>
    <w:semiHidden/>
    <w:uiPriority w:val="0"/>
  </w:style>
  <w:style w:type="table" w:default="1" w:styleId="12">
    <w:name w:val="Normal Table"/>
    <w:semiHidden/>
    <w:uiPriority w:val="0"/>
    <w:tblPr>
      <w:tblLayout w:type="fixed"/>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footer"/>
    <w:basedOn w:val="1"/>
    <w:uiPriority w:val="0"/>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iPriority w:val="0"/>
  </w:style>
  <w:style w:type="paragraph" w:styleId="9">
    <w:name w:val="toc 2"/>
    <w:basedOn w:val="1"/>
    <w:next w:val="1"/>
    <w:uiPriority w:val="0"/>
    <w:pPr>
      <w:ind w:left="420" w:leftChars="200"/>
    </w:pPr>
  </w:style>
  <w:style w:type="character" w:styleId="11">
    <w:name w:val="Hyperlink"/>
    <w:basedOn w:val="10"/>
    <w:uiPriority w:val="0"/>
    <w:rPr>
      <w:color w:val="0000FF"/>
      <w:u w:val="single"/>
    </w:rPr>
  </w:style>
  <w:style w:type="paragraph" w:styleId="13">
    <w:name w:val="List Paragraph"/>
    <w:basedOn w:val="1"/>
    <w:qFormat/>
    <w:uiPriority w:val="34"/>
    <w:pPr>
      <w:ind w:left="720"/>
      <w:contextualSpacing/>
    </w:pPr>
  </w:style>
  <w:style w:type="character" w:customStyle="1" w:styleId="14">
    <w:name w:val="标题 3 Char"/>
    <w:link w:val="4"/>
    <w:uiPriority w:val="0"/>
    <w:rPr>
      <w:b/>
      <w:sz w:val="32"/>
    </w:rPr>
  </w:style>
  <w:style w:type="paragraph" w:styleId="15">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s>
</file>

<file path=word/_rels/document.xml.rels><?xml version="1.0" encoding="UTF-8" standalone="yes"?>
<Relationships xmlns="http://schemas.openxmlformats.org/package/2006/relationships"><Relationship Id="rId9" Type="http://schemas.openxmlformats.org/officeDocument/2006/relationships/glossaryDocument" Target="glossary/document.xml"/><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bc811fd6-1b43-4d2b-804a-4326206c8bea}"/>
        <w:style w:val=""/>
        <w:category>
          <w:name w:val="General"/>
          <w:gallery w:val="placeholder"/>
        </w:category>
        <w:types>
          <w:type w:val="bbPlcHdr"/>
        </w:types>
        <w:behaviors>
          <w:behavior w:val="content"/>
        </w:behaviors>
        <w:description w:val=""/>
        <w:guid w:val="{bc811fd6-1b43-4d2b-804a-4326206c8bea}"/>
      </w:docPartPr>
      <w:docPartBody>
        <w:p>
          <w:pPr>
            <w:pStyle w:val="1"/>
          </w:pPr>
          <w:r>
            <w:rPr>
              <w:color w:val="2E75B6" w:themeColor="accent1" w:themeShade="BF"/>
              <w:sz w:val="24"/>
              <w:szCs w:val="24"/>
            </w:rPr>
            <w:t>[Company name]</w:t>
          </w:r>
        </w:p>
      </w:docPartBody>
    </w:docPart>
    <w:docPart>
      <w:docPartPr>
        <w:name w:val="{44a34585-6e37-42cf-9881-b345fe4ed68a}"/>
        <w:style w:val=""/>
        <w:category>
          <w:name w:val="General"/>
          <w:gallery w:val="placeholder"/>
        </w:category>
        <w:types>
          <w:type w:val="bbPlcHdr"/>
        </w:types>
        <w:behaviors>
          <w:behavior w:val="content"/>
        </w:behaviors>
        <w:description w:val=""/>
        <w:guid w:val="{44a34585-6e37-42cf-9881-b345fe4ed68a}"/>
      </w:docPartPr>
      <w:docPartBody>
        <w:p>
          <w:pPr>
            <w:pStyle w:val="2"/>
          </w:pPr>
          <w:r>
            <w:rPr>
              <w:rFonts w:asciiTheme="majorHAnsi" w:hAnsiTheme="majorHAnsi" w:eastAsiaTheme="majorEastAsia" w:cstheme="majorBidi"/>
              <w:color w:val="5B9BD5" w:themeColor="accent1"/>
              <w:sz w:val="88"/>
              <w:szCs w:val="88"/>
              <w14:textFill>
                <w14:solidFill>
                  <w14:schemeClr w14:val="accent1"/>
                </w14:solidFill>
              </w14:textFill>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 w:type="paragraph" w:customStyle="1" w:styleId="1">
    <w:name w:val="99AFC16BEBDE4C519CAE199F6687FE08"/>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2">
    <w:name w:val="F01BB33F4D2B4A098591D844E045358A"/>
    <w:qFormat/>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Company>University of Wales Trinity Saint David</Company>
  <Pages>1</Pages>
  <Words>0</Words>
  <Characters>0</Characters>
  <Lines>0</Lines>
  <Paragraphs>0</Paragraphs>
  <ScaleCrop>false</ScaleCrop>
  <LinksUpToDate>false</LinksUpToDate>
  <CharactersWithSpaces>0</CharactersWithSpaces>
  <Application>WPS Office_10.1.0.7224_F1E327BC-269C-435d-A152-05C5408002CA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林高宇</dc:creator>
  <cp:lastModifiedBy>开心</cp:lastModifiedBy>
  <dcterms:modified xsi:type="dcterms:W3CDTF">2018-03-29T14:32:41Z</dcterms:modified>
  <dc:title>The Business Of The Water</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2052-10.1.0.7224</vt:lpwstr>
  </property>
</Properties>
</file>