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C2DE4" w14:textId="33E9F157" w:rsidR="002C62EC" w:rsidRPr="00720E71" w:rsidRDefault="00AD059B" w:rsidP="00AD059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20E71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6A21C4A1" w14:textId="77777777" w:rsidR="002C62EC" w:rsidRPr="00720E71" w:rsidRDefault="002C62EC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0A7532" w14:textId="5A210184" w:rsidR="0062277F" w:rsidRPr="00720E71" w:rsidRDefault="0099146D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0E71">
        <w:rPr>
          <w:rFonts w:ascii="Times New Roman" w:hAnsi="Times New Roman" w:cs="Times New Roman"/>
          <w:sz w:val="24"/>
          <w:szCs w:val="24"/>
        </w:rPr>
        <w:t>L</w:t>
      </w:r>
      <w:r w:rsidR="00E527EF" w:rsidRPr="00720E71">
        <w:rPr>
          <w:rFonts w:ascii="Times New Roman" w:hAnsi="Times New Roman" w:cs="Times New Roman"/>
          <w:sz w:val="24"/>
          <w:szCs w:val="24"/>
        </w:rPr>
        <w:t>ee</w:t>
      </w:r>
      <w:r w:rsidRPr="00720E71">
        <w:rPr>
          <w:rFonts w:ascii="Times New Roman" w:hAnsi="Times New Roman" w:cs="Times New Roman"/>
          <w:sz w:val="24"/>
          <w:szCs w:val="24"/>
        </w:rPr>
        <w:t>, J.J., P</w:t>
      </w:r>
      <w:r w:rsidR="00E527EF" w:rsidRPr="00720E71">
        <w:rPr>
          <w:rFonts w:ascii="Times New Roman" w:hAnsi="Times New Roman" w:cs="Times New Roman"/>
          <w:sz w:val="24"/>
          <w:szCs w:val="24"/>
        </w:rPr>
        <w:t>atel</w:t>
      </w:r>
      <w:r w:rsidRPr="00720E71">
        <w:rPr>
          <w:rFonts w:ascii="Times New Roman" w:hAnsi="Times New Roman" w:cs="Times New Roman"/>
          <w:sz w:val="24"/>
          <w:szCs w:val="24"/>
        </w:rPr>
        <w:t>, D., G</w:t>
      </w:r>
      <w:r w:rsidR="00E527EF" w:rsidRPr="00720E71">
        <w:rPr>
          <w:rFonts w:ascii="Times New Roman" w:hAnsi="Times New Roman" w:cs="Times New Roman"/>
          <w:sz w:val="24"/>
          <w:szCs w:val="24"/>
        </w:rPr>
        <w:t>adgil</w:t>
      </w:r>
      <w:r w:rsidRPr="00720E71">
        <w:rPr>
          <w:rFonts w:ascii="Times New Roman" w:hAnsi="Times New Roman" w:cs="Times New Roman"/>
          <w:sz w:val="24"/>
          <w:szCs w:val="24"/>
        </w:rPr>
        <w:t>, M., L</w:t>
      </w:r>
      <w:r w:rsidR="00E527EF" w:rsidRPr="00720E71">
        <w:rPr>
          <w:rFonts w:ascii="Times New Roman" w:hAnsi="Times New Roman" w:cs="Times New Roman"/>
          <w:sz w:val="24"/>
          <w:szCs w:val="24"/>
        </w:rPr>
        <w:t>angness</w:t>
      </w:r>
      <w:r w:rsidRPr="00720E71">
        <w:rPr>
          <w:rFonts w:ascii="Times New Roman" w:hAnsi="Times New Roman" w:cs="Times New Roman"/>
          <w:sz w:val="24"/>
          <w:szCs w:val="24"/>
        </w:rPr>
        <w:t>, S., C</w:t>
      </w:r>
      <w:r w:rsidR="00E527EF" w:rsidRPr="00720E71">
        <w:rPr>
          <w:rFonts w:ascii="Times New Roman" w:hAnsi="Times New Roman" w:cs="Times New Roman"/>
          <w:sz w:val="24"/>
          <w:szCs w:val="24"/>
        </w:rPr>
        <w:t>hristiana Dagmar</w:t>
      </w:r>
      <w:r w:rsidRPr="00720E71">
        <w:rPr>
          <w:rFonts w:ascii="Times New Roman" w:hAnsi="Times New Roman" w:cs="Times New Roman"/>
          <w:sz w:val="24"/>
          <w:szCs w:val="24"/>
        </w:rPr>
        <w:t>, V.H. and S</w:t>
      </w:r>
      <w:r w:rsidR="00E527EF" w:rsidRPr="00720E71">
        <w:rPr>
          <w:rFonts w:ascii="Times New Roman" w:hAnsi="Times New Roman" w:cs="Times New Roman"/>
          <w:sz w:val="24"/>
          <w:szCs w:val="24"/>
        </w:rPr>
        <w:t>ammann</w:t>
      </w:r>
      <w:r w:rsidRPr="00720E71">
        <w:rPr>
          <w:rFonts w:ascii="Times New Roman" w:hAnsi="Times New Roman" w:cs="Times New Roman"/>
          <w:sz w:val="24"/>
          <w:szCs w:val="24"/>
        </w:rPr>
        <w:t xml:space="preserve">, A., 2025. 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Understanding Barriers to Home Safety Assessment Adoption in Older Adults: Qualitative Human-Centered Design Study</w:t>
      </w:r>
      <w:r w:rsidRPr="00720E71">
        <w:rPr>
          <w:rFonts w:ascii="Times New Roman" w:hAnsi="Times New Roman" w:cs="Times New Roman"/>
          <w:sz w:val="24"/>
          <w:szCs w:val="24"/>
        </w:rPr>
        <w:t>. 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JMIR Human Factors, </w:t>
      </w:r>
      <w:r w:rsidRPr="00720E71">
        <w:rPr>
          <w:rFonts w:ascii="Times New Roman" w:hAnsi="Times New Roman" w:cs="Times New Roman"/>
          <w:sz w:val="24"/>
          <w:szCs w:val="24"/>
        </w:rPr>
        <w:t>12, pp. 11.</w:t>
      </w:r>
    </w:p>
    <w:p w14:paraId="770295B9" w14:textId="07E6B23D" w:rsidR="00CF5FBB" w:rsidRPr="00720E71" w:rsidRDefault="009A534A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0E71">
        <w:rPr>
          <w:rFonts w:ascii="Times New Roman" w:hAnsi="Times New Roman" w:cs="Times New Roman"/>
          <w:sz w:val="24"/>
          <w:szCs w:val="24"/>
        </w:rPr>
        <w:t>Nurseline community settings (</w:t>
      </w:r>
      <w:r w:rsidR="00BC2C86" w:rsidRPr="00720E71">
        <w:rPr>
          <w:rFonts w:ascii="Times New Roman" w:hAnsi="Times New Roman" w:cs="Times New Roman"/>
          <w:sz w:val="24"/>
          <w:szCs w:val="24"/>
        </w:rPr>
        <w:t xml:space="preserve">2025) </w:t>
      </w:r>
      <w:r w:rsidR="00BC2C86" w:rsidRPr="00720E71">
        <w:rPr>
          <w:rFonts w:ascii="Times New Roman" w:hAnsi="Times New Roman" w:cs="Times New Roman"/>
          <w:i/>
          <w:iCs/>
          <w:sz w:val="24"/>
          <w:szCs w:val="24"/>
        </w:rPr>
        <w:t>Health risks</w:t>
      </w:r>
      <w:r w:rsidR="00D046CA" w:rsidRPr="00720E71">
        <w:rPr>
          <w:rFonts w:ascii="Times New Roman" w:hAnsi="Times New Roman" w:cs="Times New Roman"/>
          <w:i/>
          <w:iCs/>
          <w:sz w:val="24"/>
          <w:szCs w:val="24"/>
        </w:rPr>
        <w:t xml:space="preserve"> associated with </w:t>
      </w:r>
      <w:r w:rsidR="00AD059B" w:rsidRPr="00720E71">
        <w:rPr>
          <w:rFonts w:ascii="Times New Roman" w:hAnsi="Times New Roman" w:cs="Times New Roman"/>
          <w:i/>
          <w:iCs/>
          <w:sz w:val="24"/>
          <w:szCs w:val="24"/>
        </w:rPr>
        <w:t>prolonged</w:t>
      </w:r>
      <w:r w:rsidR="00D046CA" w:rsidRPr="00720E71">
        <w:rPr>
          <w:rFonts w:ascii="Times New Roman" w:hAnsi="Times New Roman" w:cs="Times New Roman"/>
          <w:i/>
          <w:iCs/>
          <w:sz w:val="24"/>
          <w:szCs w:val="24"/>
        </w:rPr>
        <w:t xml:space="preserve"> hospital stays. </w:t>
      </w:r>
      <w:r w:rsidR="00D046CA" w:rsidRPr="00720E71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294797" w:rsidRPr="00720E71">
        <w:rPr>
          <w:rFonts w:ascii="Times New Roman" w:hAnsi="Times New Roman" w:cs="Times New Roman"/>
          <w:sz w:val="24"/>
          <w:szCs w:val="24"/>
        </w:rPr>
        <w:t>https://nurselinecs.co.uk/blog/health-risks-associated-with-prolonged-hospital-stays/</w:t>
      </w:r>
      <w:r w:rsidR="00294797" w:rsidRPr="00720E71">
        <w:rPr>
          <w:rFonts w:ascii="Times New Roman" w:hAnsi="Times New Roman" w:cs="Times New Roman"/>
          <w:sz w:val="24"/>
          <w:szCs w:val="24"/>
        </w:rPr>
        <w:t xml:space="preserve"> (Accessed 3</w:t>
      </w:r>
      <w:r w:rsidR="00294797" w:rsidRPr="00720E7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294797" w:rsidRPr="00720E71">
        <w:rPr>
          <w:rFonts w:ascii="Times New Roman" w:hAnsi="Times New Roman" w:cs="Times New Roman"/>
          <w:sz w:val="24"/>
          <w:szCs w:val="24"/>
        </w:rPr>
        <w:t xml:space="preserve"> November 2025)</w:t>
      </w:r>
    </w:p>
    <w:p w14:paraId="70B29165" w14:textId="3936DB9C" w:rsidR="004D04C5" w:rsidRPr="00720E71" w:rsidRDefault="004D04C5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0E71">
        <w:rPr>
          <w:rFonts w:ascii="Times New Roman" w:hAnsi="Times New Roman" w:cs="Times New Roman"/>
          <w:sz w:val="24"/>
          <w:szCs w:val="24"/>
        </w:rPr>
        <w:t>O</w:t>
      </w:r>
      <w:r w:rsidR="00303F10" w:rsidRPr="00720E71">
        <w:rPr>
          <w:rFonts w:ascii="Times New Roman" w:hAnsi="Times New Roman" w:cs="Times New Roman"/>
          <w:sz w:val="24"/>
          <w:szCs w:val="24"/>
        </w:rPr>
        <w:t>livia</w:t>
      </w:r>
      <w:r w:rsidRPr="00720E71">
        <w:rPr>
          <w:rFonts w:ascii="Times New Roman" w:hAnsi="Times New Roman" w:cs="Times New Roman"/>
          <w:sz w:val="24"/>
          <w:szCs w:val="24"/>
        </w:rPr>
        <w:t>, N., V</w:t>
      </w:r>
      <w:r w:rsidR="00303F10" w:rsidRPr="00720E71">
        <w:rPr>
          <w:rFonts w:ascii="Times New Roman" w:hAnsi="Times New Roman" w:cs="Times New Roman"/>
          <w:sz w:val="24"/>
          <w:szCs w:val="24"/>
        </w:rPr>
        <w:t>elez</w:t>
      </w:r>
      <w:r w:rsidRPr="00720E71">
        <w:rPr>
          <w:rFonts w:ascii="Times New Roman" w:hAnsi="Times New Roman" w:cs="Times New Roman"/>
          <w:sz w:val="24"/>
          <w:szCs w:val="24"/>
        </w:rPr>
        <w:t>, S., A</w:t>
      </w:r>
      <w:r w:rsidR="00303F10" w:rsidRPr="00720E71">
        <w:rPr>
          <w:rFonts w:ascii="Times New Roman" w:hAnsi="Times New Roman" w:cs="Times New Roman"/>
          <w:sz w:val="24"/>
          <w:szCs w:val="24"/>
        </w:rPr>
        <w:t>rbonor</w:t>
      </w:r>
      <w:r w:rsidRPr="00720E71">
        <w:rPr>
          <w:rFonts w:ascii="Times New Roman" w:hAnsi="Times New Roman" w:cs="Times New Roman"/>
          <w:sz w:val="24"/>
          <w:szCs w:val="24"/>
        </w:rPr>
        <w:t>, L., L</w:t>
      </w:r>
      <w:r w:rsidR="00303F10" w:rsidRPr="00720E71">
        <w:rPr>
          <w:rFonts w:ascii="Times New Roman" w:hAnsi="Times New Roman" w:cs="Times New Roman"/>
          <w:sz w:val="24"/>
          <w:szCs w:val="24"/>
        </w:rPr>
        <w:t>am</w:t>
      </w:r>
      <w:r w:rsidRPr="00720E71">
        <w:rPr>
          <w:rFonts w:ascii="Times New Roman" w:hAnsi="Times New Roman" w:cs="Times New Roman"/>
          <w:sz w:val="24"/>
          <w:szCs w:val="24"/>
        </w:rPr>
        <w:t>, G., M</w:t>
      </w:r>
      <w:r w:rsidR="00303F10" w:rsidRPr="00720E71">
        <w:rPr>
          <w:rFonts w:ascii="Times New Roman" w:hAnsi="Times New Roman" w:cs="Times New Roman"/>
          <w:sz w:val="24"/>
          <w:szCs w:val="24"/>
        </w:rPr>
        <w:t>orales</w:t>
      </w:r>
      <w:r w:rsidRPr="00720E71">
        <w:rPr>
          <w:rFonts w:ascii="Times New Roman" w:hAnsi="Times New Roman" w:cs="Times New Roman"/>
          <w:sz w:val="24"/>
          <w:szCs w:val="24"/>
        </w:rPr>
        <w:t>, M., G</w:t>
      </w:r>
      <w:r w:rsidR="00303F10" w:rsidRPr="00720E71">
        <w:rPr>
          <w:rFonts w:ascii="Times New Roman" w:hAnsi="Times New Roman" w:cs="Times New Roman"/>
          <w:sz w:val="24"/>
          <w:szCs w:val="24"/>
        </w:rPr>
        <w:t>lory</w:t>
      </w:r>
      <w:r w:rsidRPr="00720E71">
        <w:rPr>
          <w:rFonts w:ascii="Times New Roman" w:hAnsi="Times New Roman" w:cs="Times New Roman"/>
          <w:sz w:val="24"/>
          <w:szCs w:val="24"/>
        </w:rPr>
        <w:t>, U., E</w:t>
      </w:r>
      <w:r w:rsidR="00303F10" w:rsidRPr="00720E71">
        <w:rPr>
          <w:rFonts w:ascii="Times New Roman" w:hAnsi="Times New Roman" w:cs="Times New Roman"/>
          <w:sz w:val="24"/>
          <w:szCs w:val="24"/>
        </w:rPr>
        <w:t>dwin</w:t>
      </w:r>
      <w:r w:rsidRPr="00720E71">
        <w:rPr>
          <w:rFonts w:ascii="Times New Roman" w:hAnsi="Times New Roman" w:cs="Times New Roman"/>
          <w:sz w:val="24"/>
          <w:szCs w:val="24"/>
        </w:rPr>
        <w:t>, C. and J</w:t>
      </w:r>
      <w:r w:rsidR="00303F10" w:rsidRPr="00720E71">
        <w:rPr>
          <w:rFonts w:ascii="Times New Roman" w:hAnsi="Times New Roman" w:cs="Times New Roman"/>
          <w:sz w:val="24"/>
          <w:szCs w:val="24"/>
        </w:rPr>
        <w:t>ean</w:t>
      </w:r>
      <w:r w:rsidRPr="00720E71">
        <w:rPr>
          <w:rFonts w:ascii="Times New Roman" w:hAnsi="Times New Roman" w:cs="Times New Roman"/>
          <w:sz w:val="24"/>
          <w:szCs w:val="24"/>
        </w:rPr>
        <w:t>-P</w:t>
      </w:r>
      <w:r w:rsidR="00303F10" w:rsidRPr="00720E71">
        <w:rPr>
          <w:rFonts w:ascii="Times New Roman" w:hAnsi="Times New Roman" w:cs="Times New Roman"/>
          <w:sz w:val="24"/>
          <w:szCs w:val="24"/>
        </w:rPr>
        <w:t>hilippe</w:t>
      </w:r>
      <w:r w:rsidRPr="00720E71">
        <w:rPr>
          <w:rFonts w:ascii="Times New Roman" w:hAnsi="Times New Roman" w:cs="Times New Roman"/>
          <w:sz w:val="24"/>
          <w:szCs w:val="24"/>
        </w:rPr>
        <w:t xml:space="preserve">, B., 2025. 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Elderly Hip Osteoarthritis: A Review of Short-Term Pain Relief Through Non-Weight-Bearing Therapies.</w:t>
      </w:r>
      <w:r w:rsidRPr="00720E71">
        <w:rPr>
          <w:rFonts w:ascii="Times New Roman" w:hAnsi="Times New Roman" w:cs="Times New Roman"/>
          <w:sz w:val="24"/>
          <w:szCs w:val="24"/>
        </w:rPr>
        <w:t> 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Journal of Functional Morphology and Kinesiology, </w:t>
      </w:r>
      <w:r w:rsidRPr="00720E71">
        <w:rPr>
          <w:rFonts w:ascii="Times New Roman" w:hAnsi="Times New Roman" w:cs="Times New Roman"/>
          <w:sz w:val="24"/>
          <w:szCs w:val="24"/>
        </w:rPr>
        <w:t>10(2), pp. 124.</w:t>
      </w:r>
      <w:r w:rsidR="00CF5FBB" w:rsidRPr="00720E7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7935BC" w14:textId="771F5FFF" w:rsidR="009D6D88" w:rsidRPr="00720E71" w:rsidRDefault="009D6D88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0E71">
        <w:rPr>
          <w:rFonts w:ascii="Times New Roman" w:hAnsi="Times New Roman" w:cs="Times New Roman"/>
          <w:sz w:val="24"/>
          <w:szCs w:val="24"/>
        </w:rPr>
        <w:t xml:space="preserve">Physiopedia (2025) 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 xml:space="preserve">Timed up and go test. </w:t>
      </w:r>
      <w:r w:rsidRPr="00720E71">
        <w:rPr>
          <w:rFonts w:ascii="Times New Roman" w:hAnsi="Times New Roman" w:cs="Times New Roman"/>
          <w:sz w:val="24"/>
          <w:szCs w:val="24"/>
        </w:rPr>
        <w:t>Available at: https://www.physio-pedia.com/Timed_Up_and_Go_Test_(TUG) (Accessed 3</w:t>
      </w:r>
      <w:r w:rsidRPr="00720E7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20E71">
        <w:rPr>
          <w:rFonts w:ascii="Times New Roman" w:hAnsi="Times New Roman" w:cs="Times New Roman"/>
          <w:sz w:val="24"/>
          <w:szCs w:val="24"/>
        </w:rPr>
        <w:t xml:space="preserve"> November 2025)</w:t>
      </w:r>
    </w:p>
    <w:p w14:paraId="2C90D611" w14:textId="04F195FD" w:rsidR="004D04C5" w:rsidRPr="00720E71" w:rsidRDefault="004D04C5" w:rsidP="00AD059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0E71">
        <w:rPr>
          <w:rFonts w:ascii="Times New Roman" w:hAnsi="Times New Roman" w:cs="Times New Roman"/>
          <w:sz w:val="24"/>
          <w:szCs w:val="24"/>
        </w:rPr>
        <w:t xml:space="preserve">Zhang, S., Tao, X., Ding, S., Feng, X., Wu, F., &amp; Wu, Y. (2024). </w:t>
      </w:r>
      <w:r w:rsidR="00A36071" w:rsidRPr="00720E71">
        <w:rPr>
          <w:rFonts w:ascii="Times New Roman" w:hAnsi="Times New Roman" w:cs="Times New Roman"/>
          <w:sz w:val="24"/>
          <w:szCs w:val="24"/>
        </w:rPr>
        <w:t>‘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Associations between postoperative cognitive dysfunction, serum interleukin‐6 and postoperative delirium among patients after coronary artery bypass grafting</w:t>
      </w:r>
      <w:r w:rsidR="00A36071" w:rsidRPr="00720E71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 xml:space="preserve"> A mediation analysis</w:t>
      </w:r>
      <w:r w:rsidRPr="00720E71">
        <w:rPr>
          <w:rFonts w:ascii="Times New Roman" w:hAnsi="Times New Roman" w:cs="Times New Roman"/>
          <w:sz w:val="24"/>
          <w:szCs w:val="24"/>
        </w:rPr>
        <w:t xml:space="preserve">. 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Nursing in Critical Care</w:t>
      </w:r>
      <w:r w:rsidRPr="00720E71">
        <w:rPr>
          <w:rFonts w:ascii="Times New Roman" w:hAnsi="Times New Roman" w:cs="Times New Roman"/>
          <w:sz w:val="24"/>
          <w:szCs w:val="24"/>
        </w:rPr>
        <w:t xml:space="preserve">, </w:t>
      </w:r>
      <w:r w:rsidRPr="00720E71">
        <w:rPr>
          <w:rFonts w:ascii="Times New Roman" w:hAnsi="Times New Roman" w:cs="Times New Roman"/>
          <w:i/>
          <w:iCs/>
          <w:sz w:val="24"/>
          <w:szCs w:val="24"/>
        </w:rPr>
        <w:t>29</w:t>
      </w:r>
      <w:r w:rsidRPr="00720E71">
        <w:rPr>
          <w:rFonts w:ascii="Times New Roman" w:hAnsi="Times New Roman" w:cs="Times New Roman"/>
          <w:sz w:val="24"/>
          <w:szCs w:val="24"/>
        </w:rPr>
        <w:t xml:space="preserve">(6), 1245–1252. </w:t>
      </w:r>
      <w:r w:rsidR="0091498A" w:rsidRPr="00720E71">
        <w:rPr>
          <w:rFonts w:ascii="Times New Roman" w:hAnsi="Times New Roman" w:cs="Times New Roman"/>
          <w:sz w:val="24"/>
          <w:szCs w:val="24"/>
        </w:rPr>
        <w:t>Avail</w:t>
      </w:r>
      <w:r w:rsidR="00303F10" w:rsidRPr="00720E71">
        <w:rPr>
          <w:rFonts w:ascii="Times New Roman" w:hAnsi="Times New Roman" w:cs="Times New Roman"/>
          <w:sz w:val="24"/>
          <w:szCs w:val="24"/>
        </w:rPr>
        <w:t xml:space="preserve">able at: </w:t>
      </w:r>
      <w:r w:rsidRPr="00720E71">
        <w:rPr>
          <w:rFonts w:ascii="Times New Roman" w:hAnsi="Times New Roman" w:cs="Times New Roman"/>
          <w:sz w:val="24"/>
          <w:szCs w:val="24"/>
        </w:rPr>
        <w:t>https://doi.org/10.1111/nicc.13081</w:t>
      </w:r>
    </w:p>
    <w:p w14:paraId="11B34742" w14:textId="77777777" w:rsidR="00FC55E7" w:rsidRPr="00720E71" w:rsidRDefault="00FC55E7" w:rsidP="00D613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27821F" w14:textId="77777777" w:rsidR="00FC55E7" w:rsidRDefault="00FC55E7" w:rsidP="00D613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FC5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46D"/>
    <w:rsid w:val="00093AC8"/>
    <w:rsid w:val="00244F8B"/>
    <w:rsid w:val="00294797"/>
    <w:rsid w:val="002C62EC"/>
    <w:rsid w:val="00303F10"/>
    <w:rsid w:val="004D04C5"/>
    <w:rsid w:val="005872CD"/>
    <w:rsid w:val="005F4792"/>
    <w:rsid w:val="0062277F"/>
    <w:rsid w:val="007032FF"/>
    <w:rsid w:val="00720E71"/>
    <w:rsid w:val="0091498A"/>
    <w:rsid w:val="0099146D"/>
    <w:rsid w:val="009A534A"/>
    <w:rsid w:val="009B595F"/>
    <w:rsid w:val="009D6D88"/>
    <w:rsid w:val="009E3FCE"/>
    <w:rsid w:val="00A36071"/>
    <w:rsid w:val="00AD059B"/>
    <w:rsid w:val="00BC2C86"/>
    <w:rsid w:val="00CF5FBB"/>
    <w:rsid w:val="00D046CA"/>
    <w:rsid w:val="00D6133D"/>
    <w:rsid w:val="00E527EF"/>
    <w:rsid w:val="00ED20EB"/>
    <w:rsid w:val="00FC5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3060C"/>
  <w15:chartTrackingRefBased/>
  <w15:docId w15:val="{779EAA84-3A41-4390-81D9-F2EB9F17F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72C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3FC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3A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230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55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8413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1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Cwm Taf Morgannwg University Health Board</Company>
  <LinksUpToDate>false</LinksUpToDate>
  <CharactersWithSpaces>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Mead (CTM UHB -  Physiotherapy)</dc:creator>
  <cp:keywords/>
  <dc:description/>
  <cp:lastModifiedBy>Rachael Mead (CTM UHB -  Physiotherapy)</cp:lastModifiedBy>
  <cp:revision>23</cp:revision>
  <dcterms:created xsi:type="dcterms:W3CDTF">2025-11-04T09:52:00Z</dcterms:created>
  <dcterms:modified xsi:type="dcterms:W3CDTF">2025-11-10T16:12:00Z</dcterms:modified>
</cp:coreProperties>
</file>