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4AFE0F" w14:textId="77777777" w:rsidR="00D722CE" w:rsidRDefault="00D722CE" w:rsidP="00D722CE">
      <w:pPr>
        <w:pStyle w:val="NormalWeb"/>
        <w:spacing w:before="0" w:beforeAutospacing="0" w:after="0" w:afterAutospacing="0"/>
        <w:ind w:left="-180" w:right="-334"/>
      </w:pPr>
      <w:bookmarkStart w:id="0" w:name="_Hlk526433641"/>
      <w:r>
        <w:rPr>
          <w:noProof/>
        </w:rPr>
        <w:drawing>
          <wp:inline distT="0" distB="0" distL="0" distR="0" wp14:anchorId="753775E8" wp14:editId="6BB34ACD">
            <wp:extent cx="1905000" cy="63500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B016043" w14:textId="77777777" w:rsidR="00D722CE" w:rsidRDefault="00D722CE" w:rsidP="00D722CE">
      <w:pPr>
        <w:pStyle w:val="NormalWeb"/>
        <w:spacing w:before="0" w:beforeAutospacing="0" w:after="0" w:afterAutospacing="0"/>
        <w:ind w:left="-180" w:right="-334"/>
      </w:pPr>
    </w:p>
    <w:p w14:paraId="3ED6C9E0" w14:textId="77777777" w:rsidR="00D722CE" w:rsidRDefault="00D722CE" w:rsidP="00D722CE">
      <w:pPr>
        <w:pStyle w:val="NormalWeb"/>
        <w:spacing w:before="0" w:beforeAutospacing="0" w:after="0" w:afterAutospacing="0"/>
        <w:ind w:left="-180" w:right="-334"/>
      </w:pPr>
    </w:p>
    <w:p w14:paraId="510B608E" w14:textId="77777777" w:rsidR="00D722CE" w:rsidRDefault="00D722CE" w:rsidP="00D722C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C83FAAF" w14:textId="77777777" w:rsidR="00D722CE" w:rsidRPr="00230F35" w:rsidRDefault="00D722CE" w:rsidP="00D722C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E34CFE9" w14:textId="77777777" w:rsidR="00D722CE" w:rsidRPr="00230F35" w:rsidRDefault="00D722CE" w:rsidP="00D722CE">
      <w:pPr>
        <w:rPr>
          <w:rFonts w:ascii="Arial" w:hAnsi="Arial" w:cs="Arial"/>
          <w:sz w:val="28"/>
          <w:szCs w:val="28"/>
          <w:lang w:val="cy-GB"/>
        </w:rPr>
      </w:pPr>
    </w:p>
    <w:p w14:paraId="3B18EA4C" w14:textId="77777777" w:rsidR="00D722CE" w:rsidRDefault="00D722CE" w:rsidP="00D722CE">
      <w:pPr>
        <w:pStyle w:val="Heading3"/>
        <w:jc w:val="center"/>
        <w:rPr>
          <w:lang w:val="cy-GB"/>
        </w:rPr>
      </w:pPr>
      <w:r>
        <w:rPr>
          <w:lang w:val="cy-GB"/>
        </w:rPr>
        <w:t>THIS SHEET MUST BE THE FIRST PAGE OF THE ASSIGNMENT YOU ARE SUBMITTING  (DO NOT SEND AS A SEPARATE FILE)</w:t>
      </w:r>
    </w:p>
    <w:p w14:paraId="45E1387B" w14:textId="77777777" w:rsidR="00D722CE" w:rsidRDefault="00D722CE" w:rsidP="00D722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3"/>
        <w:gridCol w:w="423"/>
        <w:gridCol w:w="1503"/>
        <w:gridCol w:w="284"/>
        <w:gridCol w:w="1793"/>
      </w:tblGrid>
      <w:tr w:rsidR="00D722CE" w:rsidRPr="00230F35" w14:paraId="05BFCD57" w14:textId="77777777" w:rsidTr="00F640C7">
        <w:trPr>
          <w:trHeight w:val="614"/>
        </w:trPr>
        <w:tc>
          <w:tcPr>
            <w:tcW w:w="8856" w:type="dxa"/>
            <w:gridSpan w:val="5"/>
          </w:tcPr>
          <w:p w14:paraId="6C409C79" w14:textId="77777777" w:rsidR="00D722CE" w:rsidRPr="00230F35" w:rsidRDefault="00D722CE" w:rsidP="00F640C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722CE" w:rsidRPr="00230F35" w14:paraId="6694DC1C" w14:textId="77777777" w:rsidTr="00F640C7">
        <w:trPr>
          <w:trHeight w:val="718"/>
        </w:trPr>
        <w:tc>
          <w:tcPr>
            <w:tcW w:w="8856" w:type="dxa"/>
            <w:gridSpan w:val="5"/>
          </w:tcPr>
          <w:p w14:paraId="2A352DFE" w14:textId="77777777" w:rsidR="00D722CE" w:rsidRPr="0063343F" w:rsidRDefault="00D722CE" w:rsidP="00F640C7">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b/>
                <w:sz w:val="22"/>
                <w:szCs w:val="22"/>
              </w:rPr>
              <w:t>Elizabeth Flynn</w:t>
            </w:r>
          </w:p>
          <w:p w14:paraId="55322344" w14:textId="77777777" w:rsidR="00D722CE" w:rsidRPr="00230F35" w:rsidRDefault="00D722CE" w:rsidP="00F640C7">
            <w:pPr>
              <w:pStyle w:val="NormalWeb"/>
              <w:spacing w:before="0" w:beforeAutospacing="0" w:after="0" w:afterAutospacing="0"/>
              <w:ind w:right="34"/>
              <w:rPr>
                <w:rFonts w:ascii="Arial" w:hAnsi="Arial" w:cs="Arial"/>
                <w:sz w:val="22"/>
                <w:szCs w:val="22"/>
              </w:rPr>
            </w:pPr>
          </w:p>
          <w:p w14:paraId="7F7FD82B" w14:textId="77777777" w:rsidR="00D722CE" w:rsidRPr="0063343F" w:rsidRDefault="00D722CE" w:rsidP="00F640C7">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b/>
                <w:sz w:val="22"/>
                <w:szCs w:val="22"/>
              </w:rPr>
              <w:t>1805402@student.uwtsd.ac.uk</w:t>
            </w:r>
          </w:p>
        </w:tc>
      </w:tr>
      <w:tr w:rsidR="00D722CE" w:rsidRPr="00230F35" w14:paraId="455AC5AC" w14:textId="77777777" w:rsidTr="00F640C7">
        <w:trPr>
          <w:trHeight w:val="849"/>
        </w:trPr>
        <w:tc>
          <w:tcPr>
            <w:tcW w:w="4788" w:type="dxa"/>
          </w:tcPr>
          <w:p w14:paraId="77CD0CFD" w14:textId="7E1CB16F" w:rsidR="00D722CE" w:rsidRPr="0063343F" w:rsidRDefault="00D722CE" w:rsidP="00F640C7">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b/>
                <w:sz w:val="22"/>
                <w:szCs w:val="22"/>
              </w:rPr>
              <w:t>HPCA700</w:t>
            </w:r>
            <w:r w:rsidR="00453FB9">
              <w:rPr>
                <w:rFonts w:ascii="Arial" w:hAnsi="Arial" w:cs="Arial"/>
                <w:b/>
                <w:sz w:val="22"/>
                <w:szCs w:val="22"/>
              </w:rPr>
              <w:t>5</w:t>
            </w:r>
          </w:p>
          <w:p w14:paraId="1078388E" w14:textId="77777777" w:rsidR="00D722CE" w:rsidRPr="00230F35" w:rsidRDefault="00D722CE" w:rsidP="00F640C7">
            <w:pPr>
              <w:pStyle w:val="NormalWeb"/>
              <w:spacing w:before="0" w:beforeAutospacing="0" w:after="0" w:afterAutospacing="0"/>
              <w:ind w:right="34"/>
              <w:rPr>
                <w:rFonts w:ascii="Arial" w:hAnsi="Arial" w:cs="Arial"/>
                <w:sz w:val="22"/>
                <w:szCs w:val="22"/>
              </w:rPr>
            </w:pPr>
          </w:p>
          <w:p w14:paraId="78E6E42C" w14:textId="1EDB84E6" w:rsidR="00D722CE" w:rsidRPr="0063343F" w:rsidRDefault="00D722CE" w:rsidP="00453FB9">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title:</w:t>
            </w:r>
            <w:r>
              <w:rPr>
                <w:rFonts w:ascii="Arial" w:hAnsi="Arial" w:cs="Arial"/>
                <w:sz w:val="22"/>
                <w:szCs w:val="22"/>
              </w:rPr>
              <w:t xml:space="preserve"> </w:t>
            </w:r>
            <w:r w:rsidR="00453FB9">
              <w:rPr>
                <w:rFonts w:ascii="Arial" w:hAnsi="Arial" w:cs="Arial"/>
                <w:b/>
                <w:sz w:val="22"/>
                <w:szCs w:val="22"/>
              </w:rPr>
              <w:t>Cosmology, Magic, and     Divination</w:t>
            </w:r>
          </w:p>
          <w:p w14:paraId="4CCC6166" w14:textId="77777777" w:rsidR="00D722CE" w:rsidRPr="00230F35" w:rsidRDefault="00D722CE" w:rsidP="00F640C7">
            <w:pPr>
              <w:pStyle w:val="NormalWeb"/>
              <w:spacing w:before="0" w:beforeAutospacing="0" w:after="0" w:afterAutospacing="0"/>
              <w:ind w:right="34"/>
              <w:rPr>
                <w:rFonts w:ascii="Arial" w:hAnsi="Arial" w:cs="Arial"/>
                <w:sz w:val="22"/>
                <w:szCs w:val="22"/>
              </w:rPr>
            </w:pPr>
          </w:p>
        </w:tc>
        <w:tc>
          <w:tcPr>
            <w:tcW w:w="2266" w:type="dxa"/>
            <w:gridSpan w:val="3"/>
          </w:tcPr>
          <w:p w14:paraId="57C151CE" w14:textId="77777777" w:rsidR="00D722CE" w:rsidRDefault="00D722CE" w:rsidP="00F640C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E6C3E2E" w14:textId="77777777" w:rsidR="00D722CE" w:rsidRDefault="00D722CE" w:rsidP="00F640C7"/>
          <w:p w14:paraId="099A253C" w14:textId="77777777" w:rsidR="00D722CE" w:rsidRPr="0063343F" w:rsidRDefault="00D722CE" w:rsidP="00F640C7">
            <w:pPr>
              <w:rPr>
                <w:rFonts w:ascii="Arial" w:hAnsi="Arial" w:cs="Arial"/>
                <w:b/>
                <w:sz w:val="22"/>
                <w:szCs w:val="22"/>
              </w:rPr>
            </w:pPr>
            <w:r>
              <w:rPr>
                <w:rFonts w:ascii="Arial" w:hAnsi="Arial" w:cs="Arial"/>
                <w:b/>
                <w:sz w:val="22"/>
                <w:szCs w:val="22"/>
              </w:rPr>
              <w:t>1805402</w:t>
            </w:r>
          </w:p>
        </w:tc>
        <w:tc>
          <w:tcPr>
            <w:tcW w:w="1802" w:type="dxa"/>
          </w:tcPr>
          <w:p w14:paraId="79931CF3" w14:textId="77777777" w:rsidR="00D722CE" w:rsidRPr="00230F35" w:rsidRDefault="00D722CE" w:rsidP="00F640C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CA9249" w14:textId="77777777" w:rsidR="00D722CE" w:rsidRPr="0063343F" w:rsidRDefault="00D722CE" w:rsidP="00F640C7">
            <w:pPr>
              <w:pStyle w:val="NormalWeb"/>
              <w:spacing w:before="0" w:beforeAutospacing="0" w:after="0" w:afterAutospacing="0"/>
              <w:ind w:right="34"/>
              <w:rPr>
                <w:rFonts w:ascii="Arial" w:hAnsi="Arial" w:cs="Arial"/>
                <w:b/>
                <w:sz w:val="22"/>
                <w:szCs w:val="22"/>
              </w:rPr>
            </w:pPr>
            <w:r w:rsidRPr="0063343F">
              <w:rPr>
                <w:rFonts w:ascii="Arial" w:hAnsi="Arial" w:cs="Arial"/>
                <w:b/>
                <w:sz w:val="22"/>
                <w:szCs w:val="22"/>
              </w:rPr>
              <w:t>No</w:t>
            </w:r>
          </w:p>
        </w:tc>
      </w:tr>
      <w:tr w:rsidR="00D722CE" w:rsidRPr="00230F35" w14:paraId="0AA2E498" w14:textId="77777777" w:rsidTr="00F640C7">
        <w:trPr>
          <w:trHeight w:val="1139"/>
        </w:trPr>
        <w:tc>
          <w:tcPr>
            <w:tcW w:w="8856" w:type="dxa"/>
            <w:gridSpan w:val="5"/>
          </w:tcPr>
          <w:p w14:paraId="465E3871" w14:textId="2114D628" w:rsidR="00D722CE" w:rsidRPr="0063343F" w:rsidRDefault="00D722CE" w:rsidP="00F640C7">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title:</w:t>
            </w:r>
            <w:r>
              <w:rPr>
                <w:rFonts w:ascii="Arial" w:hAnsi="Arial" w:cs="Arial"/>
                <w:sz w:val="22"/>
                <w:szCs w:val="22"/>
              </w:rPr>
              <w:t xml:space="preserve"> </w:t>
            </w:r>
            <w:r w:rsidR="00C20AA3">
              <w:rPr>
                <w:rFonts w:ascii="Arial" w:hAnsi="Arial" w:cs="Arial"/>
                <w:b/>
                <w:sz w:val="22"/>
                <w:szCs w:val="22"/>
              </w:rPr>
              <w:t xml:space="preserve"> </w:t>
            </w:r>
            <w:r w:rsidR="00FC38CA">
              <w:rPr>
                <w:rFonts w:ascii="Times New Roman" w:hAnsi="Times New Roman"/>
                <w:b/>
                <w:sz w:val="24"/>
              </w:rPr>
              <w:t>An analysis of the roles of, and relationship between, cosmology and divination in Ancient Mesopotamia</w:t>
            </w:r>
          </w:p>
          <w:p w14:paraId="7841D9A7" w14:textId="77777777" w:rsidR="00D722CE" w:rsidRDefault="00D722CE" w:rsidP="00F640C7">
            <w:pPr>
              <w:pStyle w:val="NormalWeb"/>
              <w:spacing w:before="0" w:beforeAutospacing="0" w:after="0" w:afterAutospacing="0"/>
              <w:ind w:right="34"/>
              <w:rPr>
                <w:rFonts w:ascii="Arial" w:hAnsi="Arial" w:cs="Arial"/>
                <w:sz w:val="22"/>
                <w:szCs w:val="22"/>
              </w:rPr>
            </w:pPr>
          </w:p>
          <w:p w14:paraId="1147CD7D" w14:textId="1C42AFD9" w:rsidR="00D722CE" w:rsidRPr="0063343F" w:rsidRDefault="00D722CE" w:rsidP="00F640C7">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due date:</w:t>
            </w:r>
            <w:r>
              <w:rPr>
                <w:rFonts w:ascii="Arial" w:hAnsi="Arial" w:cs="Arial"/>
                <w:sz w:val="22"/>
                <w:szCs w:val="22"/>
              </w:rPr>
              <w:t xml:space="preserve"> </w:t>
            </w:r>
            <w:r w:rsidR="00C20AA3" w:rsidRPr="00C20AA3">
              <w:rPr>
                <w:rFonts w:ascii="Arial" w:hAnsi="Arial" w:cs="Arial"/>
                <w:b/>
                <w:sz w:val="22"/>
                <w:szCs w:val="22"/>
              </w:rPr>
              <w:t>29</w:t>
            </w:r>
            <w:r w:rsidR="00C20AA3" w:rsidRPr="00C20AA3">
              <w:rPr>
                <w:rFonts w:ascii="Arial" w:hAnsi="Arial" w:cs="Arial"/>
                <w:b/>
                <w:sz w:val="22"/>
                <w:szCs w:val="22"/>
                <w:vertAlign w:val="superscript"/>
              </w:rPr>
              <w:t>th</w:t>
            </w:r>
            <w:r w:rsidR="00C20AA3" w:rsidRPr="00C20AA3">
              <w:rPr>
                <w:rFonts w:ascii="Arial" w:hAnsi="Arial" w:cs="Arial"/>
                <w:b/>
                <w:sz w:val="22"/>
                <w:szCs w:val="22"/>
              </w:rPr>
              <w:t xml:space="preserve"> July</w:t>
            </w:r>
            <w:r w:rsidR="00453FB9">
              <w:rPr>
                <w:rFonts w:ascii="Arial" w:hAnsi="Arial" w:cs="Arial"/>
                <w:b/>
                <w:sz w:val="22"/>
                <w:szCs w:val="22"/>
              </w:rPr>
              <w:t xml:space="preserve"> 2019</w:t>
            </w:r>
          </w:p>
        </w:tc>
      </w:tr>
      <w:tr w:rsidR="00D722CE" w:rsidRPr="00230F35" w14:paraId="723201EA" w14:textId="77777777" w:rsidTr="00F640C7">
        <w:trPr>
          <w:trHeight w:val="978"/>
        </w:trPr>
        <w:tc>
          <w:tcPr>
            <w:tcW w:w="8856" w:type="dxa"/>
            <w:gridSpan w:val="5"/>
            <w:tcBorders>
              <w:bottom w:val="single" w:sz="4" w:space="0" w:color="000000"/>
            </w:tcBorders>
          </w:tcPr>
          <w:p w14:paraId="262846D4" w14:textId="1D0161F2" w:rsidR="00D722CE" w:rsidRPr="00230F35" w:rsidRDefault="00D722CE" w:rsidP="00F640C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1" w:name="Check13"/>
            <w:r>
              <w:rPr>
                <w:rFonts w:ascii="Arial" w:hAnsi="Arial" w:cs="Arial"/>
                <w:sz w:val="22"/>
                <w:szCs w:val="22"/>
              </w:rPr>
              <w:instrText xml:space="preserve"> FORMCHECKBOX </w:instrText>
            </w:r>
            <w:r w:rsidR="00460B33">
              <w:rPr>
                <w:rFonts w:ascii="Arial" w:hAnsi="Arial" w:cs="Arial"/>
                <w:sz w:val="22"/>
                <w:szCs w:val="22"/>
              </w:rPr>
            </w:r>
            <w:r w:rsidR="00460B33">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460B33">
              <w:rPr>
                <w:rFonts w:ascii="Arial" w:hAnsi="Arial" w:cs="Arial"/>
                <w:sz w:val="22"/>
                <w:szCs w:val="22"/>
              </w:rPr>
            </w:r>
            <w:r w:rsidR="00460B33">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460B33">
              <w:rPr>
                <w:rFonts w:ascii="Arial" w:hAnsi="Arial" w:cs="Arial"/>
                <w:sz w:val="22"/>
                <w:szCs w:val="22"/>
              </w:rPr>
            </w:r>
            <w:r w:rsidR="00460B33">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460B33">
              <w:rPr>
                <w:rFonts w:ascii="Arial" w:hAnsi="Arial" w:cs="Arial"/>
                <w:sz w:val="22"/>
                <w:szCs w:val="22"/>
              </w:rPr>
            </w:r>
            <w:r w:rsidR="00460B33">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5" w:name="Check17"/>
            <w:r w:rsidRPr="00230F35">
              <w:rPr>
                <w:rFonts w:ascii="Arial" w:hAnsi="Arial" w:cs="Arial"/>
                <w:sz w:val="22"/>
                <w:szCs w:val="22"/>
              </w:rPr>
              <w:instrText xml:space="preserve"> FORMCHECKBOX </w:instrText>
            </w:r>
            <w:r w:rsidR="00460B33">
              <w:rPr>
                <w:rFonts w:ascii="Arial" w:hAnsi="Arial" w:cs="Arial"/>
                <w:sz w:val="22"/>
                <w:szCs w:val="22"/>
              </w:rPr>
            </w:r>
            <w:r w:rsidR="00460B33">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00C20AA3">
              <w:rPr>
                <w:rFonts w:ascii="Arial" w:hAnsi="Arial" w:cs="Arial"/>
                <w:sz w:val="22"/>
                <w:szCs w:val="22"/>
              </w:rPr>
              <w:fldChar w:fldCharType="begin">
                <w:ffData>
                  <w:name w:val="Check18"/>
                  <w:enabled/>
                  <w:calcOnExit w:val="0"/>
                  <w:checkBox>
                    <w:sizeAuto/>
                    <w:default w:val="1"/>
                  </w:checkBox>
                </w:ffData>
              </w:fldChar>
            </w:r>
            <w:bookmarkStart w:id="6" w:name="Check18"/>
            <w:r w:rsidR="00C20AA3">
              <w:rPr>
                <w:rFonts w:ascii="Arial" w:hAnsi="Arial" w:cs="Arial"/>
                <w:sz w:val="22"/>
                <w:szCs w:val="22"/>
              </w:rPr>
              <w:instrText xml:space="preserve"> FORMCHECKBOX </w:instrText>
            </w:r>
            <w:r w:rsidR="00460B33">
              <w:rPr>
                <w:rFonts w:ascii="Arial" w:hAnsi="Arial" w:cs="Arial"/>
                <w:sz w:val="22"/>
                <w:szCs w:val="22"/>
              </w:rPr>
            </w:r>
            <w:r w:rsidR="00460B33">
              <w:rPr>
                <w:rFonts w:ascii="Arial" w:hAnsi="Arial" w:cs="Arial"/>
                <w:sz w:val="22"/>
                <w:szCs w:val="22"/>
              </w:rPr>
              <w:fldChar w:fldCharType="separate"/>
            </w:r>
            <w:r w:rsidR="00C20AA3">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722CE" w:rsidRPr="00230F35" w14:paraId="64B04726" w14:textId="77777777" w:rsidTr="00F640C7">
        <w:trPr>
          <w:trHeight w:val="978"/>
        </w:trPr>
        <w:tc>
          <w:tcPr>
            <w:tcW w:w="8856" w:type="dxa"/>
            <w:gridSpan w:val="5"/>
            <w:shd w:val="clear" w:color="auto" w:fill="D9D9D9"/>
          </w:tcPr>
          <w:p w14:paraId="0380521E" w14:textId="77777777" w:rsidR="00D722CE" w:rsidRPr="00230F35" w:rsidRDefault="00D722CE" w:rsidP="00F640C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CDAEFC9" w14:textId="77777777" w:rsidR="00D722CE" w:rsidRDefault="00D722CE" w:rsidP="00F640C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62DD647" w14:textId="0B36973B" w:rsidR="00D722CE" w:rsidRDefault="00D722CE" w:rsidP="00F640C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453FB9">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460B33">
              <w:rPr>
                <w:rFonts w:ascii="Arial" w:hAnsi="Arial" w:cs="Arial"/>
                <w:sz w:val="22"/>
                <w:szCs w:val="22"/>
              </w:rPr>
            </w:r>
            <w:r w:rsidR="00460B33">
              <w:rPr>
                <w:rFonts w:ascii="Arial" w:hAnsi="Arial" w:cs="Arial"/>
                <w:sz w:val="22"/>
                <w:szCs w:val="22"/>
              </w:rPr>
              <w:fldChar w:fldCharType="separate"/>
            </w:r>
            <w:r>
              <w:rPr>
                <w:rFonts w:ascii="Arial" w:hAnsi="Arial" w:cs="Arial"/>
                <w:sz w:val="22"/>
                <w:szCs w:val="22"/>
              </w:rPr>
              <w:fldChar w:fldCharType="end"/>
            </w:r>
          </w:p>
          <w:p w14:paraId="478216C4" w14:textId="77777777" w:rsidR="00D722CE" w:rsidRPr="00230F35" w:rsidRDefault="00D722CE" w:rsidP="00F640C7">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722CE" w:rsidRPr="00230F35" w14:paraId="3992CCE6" w14:textId="77777777" w:rsidTr="00F640C7">
        <w:trPr>
          <w:trHeight w:val="3972"/>
        </w:trPr>
        <w:tc>
          <w:tcPr>
            <w:tcW w:w="8856" w:type="dxa"/>
            <w:gridSpan w:val="5"/>
          </w:tcPr>
          <w:p w14:paraId="59A676DD" w14:textId="77777777" w:rsidR="00D722CE" w:rsidRDefault="00D722CE" w:rsidP="00F640C7">
            <w:pPr>
              <w:rPr>
                <w:rFonts w:ascii="Arial" w:hAnsi="Arial"/>
                <w:b/>
              </w:rPr>
            </w:pPr>
          </w:p>
          <w:p w14:paraId="622AD200" w14:textId="77777777" w:rsidR="00D722CE" w:rsidRPr="00116CE6" w:rsidRDefault="00D722CE" w:rsidP="00F640C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D722CE" w:rsidRPr="00116CE6" w14:paraId="68E5B987" w14:textId="77777777" w:rsidTr="00F640C7">
              <w:tc>
                <w:tcPr>
                  <w:tcW w:w="6970" w:type="dxa"/>
                </w:tcPr>
                <w:p w14:paraId="1FC74269" w14:textId="77777777" w:rsidR="00D722CE" w:rsidRPr="00116CE6" w:rsidRDefault="00D722CE" w:rsidP="00F640C7">
                  <w:pPr>
                    <w:rPr>
                      <w:rFonts w:ascii="Arial" w:hAnsi="Arial"/>
                      <w:sz w:val="20"/>
                      <w:szCs w:val="20"/>
                    </w:rPr>
                  </w:pPr>
                </w:p>
                <w:p w14:paraId="3A4B8C03" w14:textId="77777777" w:rsidR="00D722CE" w:rsidRPr="00116CE6" w:rsidRDefault="00D722CE" w:rsidP="00F640C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472F12" w14:textId="77777777" w:rsidR="00D722CE" w:rsidRPr="00116CE6" w:rsidRDefault="00D722CE" w:rsidP="00F640C7">
                  <w:pPr>
                    <w:rPr>
                      <w:rFonts w:ascii="Arial" w:hAnsi="Arial"/>
                      <w:sz w:val="20"/>
                      <w:szCs w:val="20"/>
                    </w:rPr>
                  </w:pPr>
                </w:p>
              </w:tc>
            </w:tr>
            <w:tr w:rsidR="00D722CE" w:rsidRPr="00116CE6" w14:paraId="64D10FAB" w14:textId="77777777" w:rsidTr="00F640C7">
              <w:tc>
                <w:tcPr>
                  <w:tcW w:w="6970" w:type="dxa"/>
                </w:tcPr>
                <w:p w14:paraId="500B50C6" w14:textId="77777777" w:rsidR="00D722CE" w:rsidRPr="00116CE6" w:rsidRDefault="00D722CE" w:rsidP="00F640C7">
                  <w:pPr>
                    <w:rPr>
                      <w:rFonts w:ascii="Arial" w:hAnsi="Arial"/>
                      <w:sz w:val="20"/>
                      <w:szCs w:val="20"/>
                    </w:rPr>
                  </w:pPr>
                </w:p>
                <w:p w14:paraId="5D26A8E0" w14:textId="77777777" w:rsidR="00D722CE" w:rsidRPr="00116CE6" w:rsidRDefault="00D722CE" w:rsidP="00F640C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F297743" w14:textId="77777777" w:rsidR="00D722CE" w:rsidRPr="00116CE6" w:rsidRDefault="00D722CE" w:rsidP="00F640C7">
                  <w:pPr>
                    <w:rPr>
                      <w:rFonts w:ascii="Arial" w:hAnsi="Arial"/>
                      <w:sz w:val="20"/>
                      <w:szCs w:val="20"/>
                    </w:rPr>
                  </w:pPr>
                </w:p>
              </w:tc>
            </w:tr>
            <w:tr w:rsidR="00D722CE" w:rsidRPr="00116CE6" w14:paraId="034C1FE0" w14:textId="77777777" w:rsidTr="00F640C7">
              <w:tc>
                <w:tcPr>
                  <w:tcW w:w="6970" w:type="dxa"/>
                </w:tcPr>
                <w:p w14:paraId="4352F427" w14:textId="77777777" w:rsidR="00D722CE" w:rsidRPr="00116CE6" w:rsidRDefault="00D722CE" w:rsidP="00F640C7">
                  <w:pPr>
                    <w:rPr>
                      <w:rFonts w:ascii="Arial" w:hAnsi="Arial"/>
                      <w:sz w:val="20"/>
                      <w:szCs w:val="20"/>
                    </w:rPr>
                  </w:pPr>
                </w:p>
                <w:p w14:paraId="606D5E9F" w14:textId="77777777" w:rsidR="00D722CE" w:rsidRPr="00116CE6" w:rsidRDefault="00D722CE" w:rsidP="00F640C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ED3ED86" w14:textId="77777777" w:rsidR="00D722CE" w:rsidRPr="00116CE6" w:rsidRDefault="00D722CE" w:rsidP="00F640C7">
                  <w:pPr>
                    <w:rPr>
                      <w:rFonts w:ascii="Arial" w:hAnsi="Arial"/>
                      <w:sz w:val="20"/>
                      <w:szCs w:val="20"/>
                    </w:rPr>
                  </w:pPr>
                </w:p>
              </w:tc>
            </w:tr>
            <w:tr w:rsidR="00D722CE" w:rsidRPr="00116CE6" w14:paraId="49EE843C" w14:textId="77777777" w:rsidTr="00F640C7">
              <w:tc>
                <w:tcPr>
                  <w:tcW w:w="6970" w:type="dxa"/>
                </w:tcPr>
                <w:p w14:paraId="1A6F80F6" w14:textId="77777777" w:rsidR="00D722CE" w:rsidRDefault="00D722CE" w:rsidP="00F640C7">
                  <w:pPr>
                    <w:rPr>
                      <w:rFonts w:ascii="Arial" w:hAnsi="Arial"/>
                      <w:sz w:val="20"/>
                      <w:szCs w:val="20"/>
                    </w:rPr>
                  </w:pPr>
                </w:p>
                <w:p w14:paraId="42B313C5" w14:textId="77777777" w:rsidR="00D722CE" w:rsidRPr="00022345" w:rsidRDefault="00D722CE" w:rsidP="00F640C7">
                  <w:pPr>
                    <w:rPr>
                      <w:rFonts w:ascii="Arial" w:hAnsi="Arial"/>
                      <w:b/>
                      <w:sz w:val="20"/>
                      <w:szCs w:val="20"/>
                    </w:rPr>
                  </w:pPr>
                  <w:r w:rsidRPr="00022345">
                    <w:rPr>
                      <w:rFonts w:ascii="Arial" w:hAnsi="Arial"/>
                      <w:b/>
                      <w:sz w:val="20"/>
                      <w:szCs w:val="20"/>
                    </w:rPr>
                    <w:t>Final Mark</w:t>
                  </w:r>
                </w:p>
                <w:p w14:paraId="6B0A3219" w14:textId="77777777" w:rsidR="00D722CE" w:rsidRPr="00116CE6" w:rsidRDefault="00D722CE" w:rsidP="00F640C7">
                  <w:pPr>
                    <w:rPr>
                      <w:rFonts w:ascii="Arial" w:hAnsi="Arial"/>
                      <w:sz w:val="20"/>
                      <w:szCs w:val="20"/>
                    </w:rPr>
                  </w:pPr>
                </w:p>
              </w:tc>
              <w:tc>
                <w:tcPr>
                  <w:tcW w:w="1660" w:type="dxa"/>
                </w:tcPr>
                <w:p w14:paraId="0130D881" w14:textId="77777777" w:rsidR="00D722CE" w:rsidRPr="00116CE6" w:rsidRDefault="00D722CE" w:rsidP="00F640C7">
                  <w:pPr>
                    <w:rPr>
                      <w:rFonts w:ascii="Arial" w:hAnsi="Arial"/>
                      <w:sz w:val="20"/>
                      <w:szCs w:val="20"/>
                    </w:rPr>
                  </w:pPr>
                </w:p>
              </w:tc>
            </w:tr>
          </w:tbl>
          <w:p w14:paraId="5E53D48D" w14:textId="77777777" w:rsidR="00D722CE" w:rsidRDefault="00D722CE" w:rsidP="00F640C7">
            <w:pPr>
              <w:pStyle w:val="NormalWeb"/>
              <w:spacing w:before="0" w:beforeAutospacing="0" w:after="0" w:afterAutospacing="0"/>
              <w:ind w:left="142" w:right="34"/>
              <w:rPr>
                <w:rFonts w:ascii="Arial" w:hAnsi="Arial" w:cs="Arial"/>
                <w:b/>
                <w:sz w:val="22"/>
                <w:szCs w:val="22"/>
              </w:rPr>
            </w:pPr>
          </w:p>
          <w:p w14:paraId="510E19F6" w14:textId="77777777" w:rsidR="00D722CE" w:rsidRPr="00230F35" w:rsidRDefault="00D722CE" w:rsidP="00F640C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06CC0F" w14:textId="77777777" w:rsidR="00D722CE" w:rsidRDefault="00D722CE" w:rsidP="00F640C7">
            <w:pPr>
              <w:pStyle w:val="NormalWeb"/>
              <w:spacing w:before="0" w:beforeAutospacing="0" w:after="0" w:afterAutospacing="0"/>
              <w:rPr>
                <w:rFonts w:ascii="Arial" w:hAnsi="Arial" w:cs="Arial"/>
                <w:b/>
                <w:sz w:val="22"/>
                <w:szCs w:val="22"/>
              </w:rPr>
            </w:pPr>
          </w:p>
          <w:p w14:paraId="10CF1F30" w14:textId="77777777" w:rsidR="00D722CE" w:rsidRDefault="00D722CE" w:rsidP="00F640C7">
            <w:pPr>
              <w:pStyle w:val="NormalWeb"/>
              <w:spacing w:before="0" w:beforeAutospacing="0" w:after="0" w:afterAutospacing="0"/>
              <w:rPr>
                <w:rFonts w:ascii="Arial" w:hAnsi="Arial" w:cs="Arial"/>
                <w:b/>
                <w:sz w:val="22"/>
                <w:szCs w:val="22"/>
              </w:rPr>
            </w:pPr>
          </w:p>
          <w:p w14:paraId="74EC2FB4" w14:textId="77777777" w:rsidR="00D722CE" w:rsidRDefault="00D722CE" w:rsidP="00F640C7">
            <w:pPr>
              <w:pStyle w:val="NormalWeb"/>
              <w:spacing w:before="0" w:beforeAutospacing="0" w:after="0" w:afterAutospacing="0"/>
              <w:rPr>
                <w:rFonts w:ascii="Arial" w:hAnsi="Arial" w:cs="Arial"/>
                <w:b/>
                <w:sz w:val="22"/>
                <w:szCs w:val="22"/>
              </w:rPr>
            </w:pPr>
          </w:p>
          <w:p w14:paraId="23EF003B" w14:textId="77777777" w:rsidR="00D722CE" w:rsidRDefault="00D722CE" w:rsidP="00F640C7">
            <w:pPr>
              <w:pStyle w:val="NormalWeb"/>
              <w:spacing w:before="0" w:beforeAutospacing="0" w:after="0" w:afterAutospacing="0"/>
              <w:rPr>
                <w:rFonts w:ascii="Arial" w:hAnsi="Arial" w:cs="Arial"/>
                <w:b/>
                <w:sz w:val="22"/>
                <w:szCs w:val="22"/>
              </w:rPr>
            </w:pPr>
          </w:p>
          <w:p w14:paraId="22E8AA62" w14:textId="77777777" w:rsidR="00D722CE" w:rsidRDefault="00D722CE" w:rsidP="00F640C7">
            <w:pPr>
              <w:pStyle w:val="NormalWeb"/>
              <w:spacing w:before="0" w:beforeAutospacing="0" w:after="0" w:afterAutospacing="0"/>
              <w:rPr>
                <w:rFonts w:ascii="Arial" w:hAnsi="Arial" w:cs="Arial"/>
                <w:b/>
                <w:sz w:val="22"/>
                <w:szCs w:val="22"/>
              </w:rPr>
            </w:pPr>
          </w:p>
          <w:p w14:paraId="52DD2800" w14:textId="77777777" w:rsidR="00D722CE" w:rsidRPr="00230F35" w:rsidRDefault="00D722CE" w:rsidP="00F640C7">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w:t>
            </w:r>
          </w:p>
          <w:p w14:paraId="09545CE6" w14:textId="77777777" w:rsidR="00D722CE" w:rsidRDefault="00D722CE" w:rsidP="00F640C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047C8F51" w14:textId="77777777" w:rsidR="00D722CE" w:rsidRPr="00001C3B" w:rsidRDefault="00D722CE" w:rsidP="00F640C7">
            <w:pPr>
              <w:pStyle w:val="NormalWeb"/>
              <w:rPr>
                <w:rFonts w:ascii="Arial" w:hAnsi="Arial" w:cs="Arial"/>
                <w:sz w:val="22"/>
                <w:szCs w:val="22"/>
              </w:rPr>
            </w:pPr>
          </w:p>
        </w:tc>
      </w:tr>
      <w:tr w:rsidR="00D722CE" w:rsidRPr="00230F35" w14:paraId="65192D38" w14:textId="77777777" w:rsidTr="00F640C7">
        <w:trPr>
          <w:trHeight w:val="492"/>
        </w:trPr>
        <w:tc>
          <w:tcPr>
            <w:tcW w:w="6768" w:type="dxa"/>
            <w:gridSpan w:val="3"/>
          </w:tcPr>
          <w:p w14:paraId="4FCB6F6B" w14:textId="77777777" w:rsidR="00D722CE" w:rsidRPr="00230F35" w:rsidRDefault="00D722CE" w:rsidP="00F640C7">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A7E29DF" w14:textId="77777777" w:rsidR="00D722CE" w:rsidRPr="00230F35" w:rsidRDefault="00D722CE" w:rsidP="00F640C7">
            <w:pPr>
              <w:pStyle w:val="NormalWeb"/>
              <w:spacing w:after="0"/>
              <w:ind w:left="142" w:right="34"/>
              <w:rPr>
                <w:rFonts w:ascii="Arial" w:hAnsi="Arial" w:cs="Arial"/>
                <w:sz w:val="22"/>
                <w:szCs w:val="22"/>
              </w:rPr>
            </w:pPr>
            <w:r w:rsidRPr="00230F35">
              <w:rPr>
                <w:rFonts w:ascii="Arial" w:hAnsi="Arial" w:cs="Arial"/>
                <w:sz w:val="22"/>
                <w:szCs w:val="22"/>
              </w:rPr>
              <w:t>Date:</w:t>
            </w:r>
          </w:p>
        </w:tc>
      </w:tr>
      <w:tr w:rsidR="00D722CE" w:rsidRPr="002F467C" w14:paraId="3628FD33" w14:textId="77777777" w:rsidTr="00F640C7">
        <w:tc>
          <w:tcPr>
            <w:tcW w:w="8856" w:type="dxa"/>
            <w:gridSpan w:val="5"/>
          </w:tcPr>
          <w:p w14:paraId="11E8BC0D" w14:textId="77777777" w:rsidR="00D722CE" w:rsidRPr="00230F35" w:rsidRDefault="00D722CE" w:rsidP="00F640C7">
            <w:pPr>
              <w:pStyle w:val="NormalWeb"/>
              <w:spacing w:before="0" w:beforeAutospacing="0" w:after="0" w:afterAutospacing="0"/>
              <w:ind w:right="-334"/>
              <w:rPr>
                <w:rFonts w:ascii="Arial" w:hAnsi="Arial" w:cs="Arial"/>
                <w:bCs/>
                <w:i/>
                <w:sz w:val="22"/>
                <w:szCs w:val="22"/>
              </w:rPr>
            </w:pPr>
          </w:p>
          <w:p w14:paraId="2882F81F" w14:textId="77777777" w:rsidR="00D722CE" w:rsidRPr="00230F35" w:rsidRDefault="00D722CE" w:rsidP="00F640C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37575FC" w14:textId="77777777" w:rsidR="00D722CE" w:rsidRPr="00230F35" w:rsidRDefault="00D722CE" w:rsidP="00F640C7">
            <w:pPr>
              <w:pStyle w:val="NormalWeb"/>
              <w:spacing w:before="0" w:beforeAutospacing="0" w:after="0" w:afterAutospacing="0"/>
              <w:ind w:right="-334"/>
              <w:rPr>
                <w:rFonts w:ascii="Arial" w:hAnsi="Arial" w:cs="Arial"/>
                <w:b/>
                <w:bCs/>
                <w:sz w:val="22"/>
                <w:szCs w:val="22"/>
              </w:rPr>
            </w:pPr>
          </w:p>
          <w:p w14:paraId="0C3C0B48"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6898E9D"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1631057D"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71AC47FA"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79522B2B"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604EF972"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50C468C0"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19F35B87"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280B125A"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4BCBC509" w14:textId="77777777" w:rsidR="00D722CE" w:rsidRDefault="00D722CE" w:rsidP="00F640C7">
            <w:pPr>
              <w:pStyle w:val="NormalWeb"/>
              <w:spacing w:before="0" w:beforeAutospacing="0" w:after="0" w:afterAutospacing="0"/>
              <w:ind w:right="-334"/>
              <w:rPr>
                <w:rFonts w:ascii="Arial" w:hAnsi="Arial" w:cs="Arial"/>
                <w:bCs/>
                <w:sz w:val="22"/>
                <w:szCs w:val="22"/>
              </w:rPr>
            </w:pPr>
          </w:p>
          <w:p w14:paraId="6352C8E7"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79F22F90"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5B17ABDC"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tc>
      </w:tr>
      <w:tr w:rsidR="00D722CE" w:rsidRPr="002F467C" w14:paraId="19474912" w14:textId="77777777" w:rsidTr="00F640C7">
        <w:trPr>
          <w:trHeight w:val="720"/>
        </w:trPr>
        <w:tc>
          <w:tcPr>
            <w:tcW w:w="5211" w:type="dxa"/>
            <w:gridSpan w:val="2"/>
          </w:tcPr>
          <w:p w14:paraId="5D86650B"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7DF36D5"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722CE" w:rsidRPr="002F467C" w14:paraId="59307D10" w14:textId="77777777" w:rsidTr="00F640C7">
        <w:trPr>
          <w:trHeight w:val="720"/>
        </w:trPr>
        <w:tc>
          <w:tcPr>
            <w:tcW w:w="8856" w:type="dxa"/>
            <w:gridSpan w:val="5"/>
          </w:tcPr>
          <w:p w14:paraId="5ECAFA26" w14:textId="77777777" w:rsidR="00D722CE" w:rsidRPr="00B34964" w:rsidRDefault="00D722CE" w:rsidP="00F640C7">
            <w:pPr>
              <w:rPr>
                <w:rFonts w:ascii="Arial" w:hAnsi="Arial" w:cs="Arial"/>
                <w:b/>
                <w:sz w:val="22"/>
                <w:szCs w:val="22"/>
              </w:rPr>
            </w:pPr>
            <w:r w:rsidRPr="00B34964">
              <w:rPr>
                <w:rFonts w:ascii="Arial" w:hAnsi="Arial" w:cs="Arial"/>
                <w:b/>
                <w:sz w:val="22"/>
                <w:szCs w:val="22"/>
              </w:rPr>
              <w:t>External Examiner’s comments (if relevant)</w:t>
            </w:r>
          </w:p>
          <w:p w14:paraId="2BEB7001"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023494EF"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36423BA3"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25F6B981"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053759D1"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377D5322"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5DEB1FA2"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2029735A"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713B13F1" w14:textId="77777777" w:rsidR="00D722CE" w:rsidRDefault="00D722CE" w:rsidP="00F640C7">
            <w:pPr>
              <w:pStyle w:val="NormalWeb"/>
              <w:spacing w:before="0" w:beforeAutospacing="0" w:after="0" w:afterAutospacing="0"/>
              <w:ind w:right="-334"/>
              <w:rPr>
                <w:rFonts w:ascii="Arial" w:hAnsi="Arial" w:cs="Arial"/>
                <w:bCs/>
                <w:sz w:val="22"/>
                <w:szCs w:val="22"/>
              </w:rPr>
            </w:pPr>
          </w:p>
          <w:p w14:paraId="0278F300"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p w14:paraId="750EF095" w14:textId="77777777" w:rsidR="00D722CE" w:rsidRPr="00230F35" w:rsidRDefault="00D722CE" w:rsidP="00F640C7">
            <w:pPr>
              <w:pStyle w:val="NormalWeb"/>
              <w:spacing w:before="0" w:beforeAutospacing="0" w:after="0" w:afterAutospacing="0"/>
              <w:ind w:right="-334"/>
              <w:rPr>
                <w:rFonts w:ascii="Arial" w:hAnsi="Arial" w:cs="Arial"/>
                <w:bCs/>
                <w:sz w:val="22"/>
                <w:szCs w:val="22"/>
              </w:rPr>
            </w:pPr>
          </w:p>
        </w:tc>
      </w:tr>
      <w:tr w:rsidR="00D722CE" w:rsidRPr="002F467C" w14:paraId="765E3BEA" w14:textId="77777777" w:rsidTr="00F640C7">
        <w:trPr>
          <w:trHeight w:val="720"/>
        </w:trPr>
        <w:tc>
          <w:tcPr>
            <w:tcW w:w="5211" w:type="dxa"/>
            <w:gridSpan w:val="2"/>
          </w:tcPr>
          <w:p w14:paraId="343AC62D" w14:textId="77777777" w:rsidR="00D722CE" w:rsidRPr="00230F35" w:rsidRDefault="00D722CE" w:rsidP="00F640C7">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DD16D63" w14:textId="77777777" w:rsidR="00D722CE" w:rsidRPr="00230F35" w:rsidRDefault="00D722CE" w:rsidP="00F640C7">
            <w:pPr>
              <w:rPr>
                <w:rFonts w:ascii="Arial" w:hAnsi="Arial" w:cs="Arial"/>
                <w:sz w:val="22"/>
                <w:szCs w:val="22"/>
              </w:rPr>
            </w:pPr>
            <w:r w:rsidRPr="00230F35">
              <w:rPr>
                <w:rFonts w:ascii="Arial" w:hAnsi="Arial" w:cs="Arial"/>
                <w:sz w:val="22"/>
                <w:szCs w:val="22"/>
              </w:rPr>
              <w:t>Date:</w:t>
            </w:r>
          </w:p>
        </w:tc>
      </w:tr>
    </w:tbl>
    <w:p w14:paraId="182D6EC1" w14:textId="77777777" w:rsidR="00D722CE" w:rsidRDefault="00D722CE" w:rsidP="00D722CE">
      <w:pPr>
        <w:pStyle w:val="NormalWeb"/>
        <w:spacing w:before="0" w:beforeAutospacing="0" w:after="0" w:afterAutospacing="0"/>
        <w:ind w:right="-334"/>
        <w:rPr>
          <w:rFonts w:ascii="Trebuchet MS" w:hAnsi="Trebuchet MS" w:cs="Tahoma"/>
          <w:bCs/>
          <w:sz w:val="24"/>
          <w:szCs w:val="24"/>
        </w:rPr>
      </w:pPr>
    </w:p>
    <w:p w14:paraId="21FEA793" w14:textId="77777777" w:rsidR="00D722CE" w:rsidRDefault="00D722CE" w:rsidP="00D722CE">
      <w:pPr>
        <w:pStyle w:val="NormalWeb"/>
        <w:spacing w:before="0" w:beforeAutospacing="0" w:after="0" w:afterAutospacing="0"/>
        <w:ind w:right="-334"/>
        <w:rPr>
          <w:rFonts w:ascii="Trebuchet MS" w:hAnsi="Trebuchet MS" w:cs="Tahoma"/>
          <w:bCs/>
          <w:sz w:val="24"/>
          <w:szCs w:val="24"/>
        </w:rPr>
      </w:pPr>
    </w:p>
    <w:p w14:paraId="416F747D" w14:textId="77777777" w:rsidR="00D722CE" w:rsidRDefault="00D722CE" w:rsidP="00D722CE">
      <w:pPr>
        <w:pStyle w:val="NormalWeb"/>
        <w:spacing w:before="0" w:beforeAutospacing="0" w:after="0" w:afterAutospacing="0"/>
        <w:ind w:right="-334"/>
        <w:rPr>
          <w:rFonts w:ascii="Trebuchet MS" w:hAnsi="Trebuchet MS" w:cs="Tahoma"/>
          <w:bCs/>
          <w:sz w:val="24"/>
          <w:szCs w:val="24"/>
        </w:rPr>
        <w:sectPr w:rsidR="00D722CE" w:rsidSect="00F640C7">
          <w:footerReference w:type="default" r:id="rId9"/>
          <w:pgSz w:w="12240" w:h="15840"/>
          <w:pgMar w:top="567" w:right="1797" w:bottom="567" w:left="1797" w:header="567" w:footer="720" w:gutter="0"/>
          <w:pgNumType w:start="1"/>
          <w:cols w:space="720"/>
        </w:sectPr>
      </w:pPr>
    </w:p>
    <w:bookmarkEnd w:id="0"/>
    <w:p w14:paraId="6BD4C130" w14:textId="53427301" w:rsidR="00D722CE" w:rsidRPr="000A48D8" w:rsidRDefault="00A91247" w:rsidP="00D722CE">
      <w:pPr>
        <w:pStyle w:val="NormalWeb"/>
        <w:spacing w:before="0" w:beforeAutospacing="0" w:after="0" w:afterAutospacing="0"/>
        <w:ind w:right="-334"/>
        <w:rPr>
          <w:rFonts w:ascii="Times New Roman" w:hAnsi="Times New Roman"/>
          <w:b/>
          <w:sz w:val="24"/>
          <w:szCs w:val="24"/>
        </w:rPr>
      </w:pPr>
      <w:r>
        <w:rPr>
          <w:rFonts w:ascii="Times New Roman" w:hAnsi="Times New Roman"/>
          <w:sz w:val="24"/>
        </w:rPr>
        <w:lastRenderedPageBreak/>
        <w:t xml:space="preserve">Title: </w:t>
      </w:r>
      <w:r w:rsidR="00712B18">
        <w:rPr>
          <w:rFonts w:ascii="Times New Roman" w:hAnsi="Times New Roman"/>
          <w:b/>
          <w:sz w:val="24"/>
        </w:rPr>
        <w:t xml:space="preserve">An </w:t>
      </w:r>
      <w:r w:rsidR="001F62B9">
        <w:rPr>
          <w:rFonts w:ascii="Times New Roman" w:hAnsi="Times New Roman"/>
          <w:b/>
          <w:sz w:val="24"/>
        </w:rPr>
        <w:t xml:space="preserve">analysis of the roles of, and relationship between, cosmology and divination in </w:t>
      </w:r>
      <w:r w:rsidR="00565877" w:rsidRPr="000A48D8">
        <w:rPr>
          <w:rFonts w:ascii="Times New Roman" w:hAnsi="Times New Roman"/>
          <w:b/>
          <w:sz w:val="24"/>
          <w:szCs w:val="24"/>
        </w:rPr>
        <w:t>a</w:t>
      </w:r>
      <w:r w:rsidR="001F62B9" w:rsidRPr="000A48D8">
        <w:rPr>
          <w:rFonts w:ascii="Times New Roman" w:hAnsi="Times New Roman"/>
          <w:b/>
          <w:sz w:val="24"/>
          <w:szCs w:val="24"/>
        </w:rPr>
        <w:t>ncient Mesopotamia</w:t>
      </w:r>
    </w:p>
    <w:p w14:paraId="5C045036" w14:textId="530D7A7F" w:rsidR="00D722CE" w:rsidRPr="000A48D8" w:rsidRDefault="00D722CE" w:rsidP="00D722CE">
      <w:pPr>
        <w:pStyle w:val="NormalWeb"/>
        <w:spacing w:before="0" w:beforeAutospacing="0" w:after="0" w:afterAutospacing="0"/>
        <w:ind w:right="-334"/>
        <w:rPr>
          <w:rFonts w:ascii="Times New Roman" w:hAnsi="Times New Roman"/>
          <w:b/>
          <w:bCs/>
          <w:sz w:val="24"/>
          <w:szCs w:val="24"/>
        </w:rPr>
      </w:pPr>
      <w:r w:rsidRPr="000A48D8">
        <w:rPr>
          <w:rFonts w:ascii="Times New Roman" w:hAnsi="Times New Roman"/>
          <w:bCs/>
          <w:sz w:val="24"/>
          <w:szCs w:val="24"/>
        </w:rPr>
        <w:t xml:space="preserve">Word count: </w:t>
      </w:r>
      <w:r w:rsidR="001F62B9" w:rsidRPr="000A48D8">
        <w:rPr>
          <w:rFonts w:ascii="Times New Roman" w:hAnsi="Times New Roman"/>
          <w:b/>
          <w:bCs/>
          <w:sz w:val="24"/>
          <w:szCs w:val="24"/>
        </w:rPr>
        <w:t>31</w:t>
      </w:r>
      <w:r w:rsidR="00574E48">
        <w:rPr>
          <w:rFonts w:ascii="Times New Roman" w:hAnsi="Times New Roman"/>
          <w:b/>
          <w:bCs/>
          <w:sz w:val="24"/>
          <w:szCs w:val="24"/>
        </w:rPr>
        <w:t>4</w:t>
      </w:r>
      <w:r w:rsidR="007774D6">
        <w:rPr>
          <w:rFonts w:ascii="Times New Roman" w:hAnsi="Times New Roman"/>
          <w:b/>
          <w:bCs/>
          <w:sz w:val="24"/>
          <w:szCs w:val="24"/>
        </w:rPr>
        <w:t>9</w:t>
      </w:r>
    </w:p>
    <w:p w14:paraId="4ABD4AC3" w14:textId="56ADB11C" w:rsidR="005529EA" w:rsidRPr="000A48D8" w:rsidRDefault="005529EA" w:rsidP="00D372D0">
      <w:pPr>
        <w:pStyle w:val="NormalWeb"/>
        <w:spacing w:before="0" w:beforeAutospacing="0" w:after="0" w:afterAutospacing="0"/>
        <w:ind w:right="-334"/>
        <w:jc w:val="both"/>
        <w:rPr>
          <w:rFonts w:ascii="Times New Roman" w:hAnsi="Times New Roman"/>
          <w:bCs/>
          <w:sz w:val="24"/>
          <w:szCs w:val="24"/>
        </w:rPr>
      </w:pPr>
    </w:p>
    <w:p w14:paraId="529B0317" w14:textId="32CBAD1F" w:rsidR="004D59F9" w:rsidRPr="000A48D8" w:rsidRDefault="004D59F9" w:rsidP="00851F93">
      <w:pPr>
        <w:pStyle w:val="NormalWeb"/>
        <w:spacing w:before="0" w:beforeAutospacing="0" w:after="0" w:afterAutospacing="0" w:line="360" w:lineRule="auto"/>
        <w:ind w:right="-334"/>
        <w:jc w:val="both"/>
        <w:rPr>
          <w:rFonts w:ascii="Times New Roman" w:hAnsi="Times New Roman"/>
          <w:b/>
          <w:bCs/>
          <w:sz w:val="24"/>
          <w:szCs w:val="24"/>
        </w:rPr>
      </w:pPr>
      <w:r w:rsidRPr="000A48D8">
        <w:rPr>
          <w:rFonts w:ascii="Times New Roman" w:hAnsi="Times New Roman"/>
          <w:b/>
          <w:bCs/>
          <w:sz w:val="24"/>
          <w:szCs w:val="24"/>
        </w:rPr>
        <w:t>Introduction</w:t>
      </w:r>
    </w:p>
    <w:p w14:paraId="71CD99AF" w14:textId="77777777" w:rsidR="00BC7F6F" w:rsidRPr="000A48D8" w:rsidRDefault="00BC7F6F" w:rsidP="00851F93">
      <w:pPr>
        <w:pStyle w:val="NormalWeb"/>
        <w:spacing w:before="0" w:beforeAutospacing="0" w:after="0" w:afterAutospacing="0" w:line="360" w:lineRule="auto"/>
        <w:ind w:right="-334"/>
        <w:jc w:val="both"/>
        <w:rPr>
          <w:rFonts w:ascii="Times New Roman" w:hAnsi="Times New Roman"/>
          <w:bCs/>
          <w:sz w:val="24"/>
          <w:szCs w:val="24"/>
        </w:rPr>
      </w:pPr>
    </w:p>
    <w:p w14:paraId="77AFB5CA" w14:textId="4054E367" w:rsidR="009E0B74" w:rsidRPr="008E07F2" w:rsidRDefault="00D722CE" w:rsidP="00851F93">
      <w:pPr>
        <w:pStyle w:val="NormalWeb"/>
        <w:spacing w:before="0" w:beforeAutospacing="0" w:after="0" w:afterAutospacing="0" w:line="360" w:lineRule="auto"/>
        <w:ind w:right="-334"/>
        <w:jc w:val="both"/>
        <w:rPr>
          <w:rFonts w:ascii="Times New Roman" w:hAnsi="Times New Roman"/>
          <w:bCs/>
          <w:color w:val="auto"/>
          <w:sz w:val="24"/>
          <w:szCs w:val="24"/>
        </w:rPr>
      </w:pPr>
      <w:r w:rsidRPr="000A48D8">
        <w:rPr>
          <w:rFonts w:ascii="Times New Roman" w:hAnsi="Times New Roman"/>
          <w:bCs/>
          <w:sz w:val="24"/>
          <w:szCs w:val="24"/>
        </w:rPr>
        <w:t xml:space="preserve">This essay will </w:t>
      </w:r>
      <w:r w:rsidR="00E44354" w:rsidRPr="000A48D8">
        <w:rPr>
          <w:rFonts w:ascii="Times New Roman" w:hAnsi="Times New Roman"/>
          <w:bCs/>
          <w:sz w:val="24"/>
          <w:szCs w:val="24"/>
        </w:rPr>
        <w:t xml:space="preserve">explore the </w:t>
      </w:r>
      <w:r w:rsidR="002558B6" w:rsidRPr="000A48D8">
        <w:rPr>
          <w:rFonts w:ascii="Times New Roman" w:hAnsi="Times New Roman"/>
          <w:bCs/>
          <w:sz w:val="24"/>
          <w:szCs w:val="24"/>
        </w:rPr>
        <w:t>roles of cosmology and divination within ancient Mesopotamia</w:t>
      </w:r>
      <w:r w:rsidR="00612DF6" w:rsidRPr="000A48D8">
        <w:rPr>
          <w:rFonts w:ascii="Times New Roman" w:hAnsi="Times New Roman"/>
          <w:bCs/>
          <w:sz w:val="24"/>
          <w:szCs w:val="24"/>
        </w:rPr>
        <w:t xml:space="preserve"> and attempt to define the nature of their interlinked relationships.</w:t>
      </w:r>
      <w:r w:rsidR="00E528F4" w:rsidRPr="000A48D8">
        <w:rPr>
          <w:rFonts w:ascii="Times New Roman" w:hAnsi="Times New Roman"/>
          <w:bCs/>
          <w:sz w:val="24"/>
          <w:szCs w:val="24"/>
        </w:rPr>
        <w:t xml:space="preserve"> Nicholas Campion’s definition of </w:t>
      </w:r>
      <w:r w:rsidR="00A65622" w:rsidRPr="000A48D8">
        <w:rPr>
          <w:rFonts w:ascii="Times New Roman" w:hAnsi="Times New Roman"/>
          <w:bCs/>
          <w:sz w:val="24"/>
          <w:szCs w:val="24"/>
        </w:rPr>
        <w:t>a ‘cosmological worldview’ as ‘that set of ideas about the cosmos which reinforces, explains, or motivates cultural norms or processes’ will be followed</w:t>
      </w:r>
      <w:r w:rsidR="00E528F4" w:rsidRPr="000A48D8">
        <w:rPr>
          <w:rFonts w:ascii="Times New Roman" w:hAnsi="Times New Roman"/>
          <w:bCs/>
          <w:sz w:val="24"/>
          <w:szCs w:val="24"/>
        </w:rPr>
        <w:t>.</w:t>
      </w:r>
      <w:r w:rsidR="00E528F4" w:rsidRPr="000A48D8">
        <w:rPr>
          <w:rStyle w:val="FootnoteReference"/>
          <w:rFonts w:ascii="Times New Roman" w:hAnsi="Times New Roman"/>
          <w:bCs/>
          <w:sz w:val="24"/>
          <w:szCs w:val="24"/>
        </w:rPr>
        <w:footnoteReference w:id="1"/>
      </w:r>
      <w:r w:rsidR="00A65622" w:rsidRPr="000A48D8">
        <w:rPr>
          <w:rFonts w:ascii="Times New Roman" w:hAnsi="Times New Roman"/>
          <w:bCs/>
          <w:sz w:val="24"/>
          <w:szCs w:val="24"/>
        </w:rPr>
        <w:t xml:space="preserve"> This definition explicitly encompasses a cultural perspective</w:t>
      </w:r>
      <w:r w:rsidR="00496420" w:rsidRPr="000A48D8">
        <w:rPr>
          <w:rFonts w:ascii="Times New Roman" w:hAnsi="Times New Roman"/>
          <w:bCs/>
          <w:sz w:val="24"/>
          <w:szCs w:val="24"/>
        </w:rPr>
        <w:t>, highlighting that one group of human beings who share – as per Terry Eagleton’s definition of culture – ‘the complex of values, customs, beliefs and practices which constitute a way of life’ will not necessarily share the same cosmology as any other group of people.</w:t>
      </w:r>
      <w:r w:rsidR="00496420" w:rsidRPr="000A48D8">
        <w:rPr>
          <w:rStyle w:val="FootnoteReference"/>
          <w:rFonts w:ascii="Times New Roman" w:hAnsi="Times New Roman"/>
          <w:bCs/>
          <w:sz w:val="24"/>
          <w:szCs w:val="24"/>
        </w:rPr>
        <w:footnoteReference w:id="2"/>
      </w:r>
      <w:r w:rsidR="00F0761D" w:rsidRPr="000A48D8">
        <w:rPr>
          <w:rFonts w:ascii="Times New Roman" w:hAnsi="Times New Roman"/>
          <w:bCs/>
          <w:sz w:val="24"/>
          <w:szCs w:val="24"/>
        </w:rPr>
        <w:t xml:space="preserve"> Culture and cosmology, then, will be taken to be irrevocably intertwined.</w:t>
      </w:r>
      <w:r w:rsidR="00F0761D" w:rsidRPr="000A48D8">
        <w:rPr>
          <w:rFonts w:ascii="Times New Roman" w:hAnsi="Times New Roman"/>
          <w:bCs/>
          <w:color w:val="auto"/>
          <w:sz w:val="24"/>
          <w:szCs w:val="24"/>
        </w:rPr>
        <w:t xml:space="preserve"> </w:t>
      </w:r>
      <w:r w:rsidR="000C609E">
        <w:rPr>
          <w:rFonts w:ascii="Times New Roman" w:hAnsi="Times New Roman"/>
          <w:bCs/>
          <w:color w:val="auto"/>
          <w:sz w:val="24"/>
          <w:szCs w:val="24"/>
        </w:rPr>
        <w:t xml:space="preserve">David Brown </w:t>
      </w:r>
      <w:r w:rsidR="00C42392">
        <w:rPr>
          <w:rFonts w:ascii="Times New Roman" w:hAnsi="Times New Roman"/>
          <w:bCs/>
          <w:color w:val="auto"/>
          <w:sz w:val="24"/>
          <w:szCs w:val="24"/>
        </w:rPr>
        <w:t>has claimed that divination in ancient Mesopotamia existed as ‘the gods would, on occasion, impart information to humans through signs’, yes/no responses, or by providing ‘specific (unfalsifiable) information’ on future events.</w:t>
      </w:r>
      <w:r w:rsidR="00C42392">
        <w:rPr>
          <w:rStyle w:val="FootnoteReference"/>
          <w:rFonts w:ascii="Times New Roman" w:hAnsi="Times New Roman"/>
          <w:bCs/>
          <w:color w:val="auto"/>
          <w:sz w:val="24"/>
          <w:szCs w:val="24"/>
        </w:rPr>
        <w:footnoteReference w:id="3"/>
      </w:r>
      <w:r w:rsidR="00C42392">
        <w:rPr>
          <w:rFonts w:ascii="Times New Roman" w:hAnsi="Times New Roman"/>
          <w:bCs/>
          <w:color w:val="auto"/>
          <w:sz w:val="24"/>
          <w:szCs w:val="24"/>
        </w:rPr>
        <w:t xml:space="preserve"> </w:t>
      </w:r>
      <w:r w:rsidR="00C42392" w:rsidRPr="000A48D8">
        <w:rPr>
          <w:rFonts w:ascii="Times New Roman" w:hAnsi="Times New Roman"/>
          <w:bCs/>
          <w:color w:val="auto"/>
          <w:sz w:val="24"/>
          <w:szCs w:val="24"/>
        </w:rPr>
        <w:t>Divination</w:t>
      </w:r>
      <w:r w:rsidR="00C42392">
        <w:rPr>
          <w:rFonts w:ascii="Times New Roman" w:hAnsi="Times New Roman"/>
          <w:bCs/>
          <w:color w:val="auto"/>
          <w:sz w:val="24"/>
          <w:szCs w:val="24"/>
        </w:rPr>
        <w:t>, then,</w:t>
      </w:r>
      <w:r w:rsidR="00C42392" w:rsidRPr="000A48D8">
        <w:rPr>
          <w:rFonts w:ascii="Times New Roman" w:hAnsi="Times New Roman"/>
          <w:bCs/>
          <w:color w:val="auto"/>
          <w:sz w:val="24"/>
          <w:szCs w:val="24"/>
        </w:rPr>
        <w:t xml:space="preserve"> relies upon a cosmology which </w:t>
      </w:r>
      <w:r w:rsidR="00DA34F5">
        <w:rPr>
          <w:rFonts w:ascii="Times New Roman" w:hAnsi="Times New Roman"/>
          <w:bCs/>
          <w:color w:val="auto"/>
          <w:sz w:val="24"/>
          <w:szCs w:val="24"/>
        </w:rPr>
        <w:t>recognises</w:t>
      </w:r>
      <w:r w:rsidR="00C42392" w:rsidRPr="000A48D8">
        <w:rPr>
          <w:rFonts w:ascii="Times New Roman" w:hAnsi="Times New Roman"/>
          <w:bCs/>
          <w:color w:val="auto"/>
          <w:sz w:val="24"/>
          <w:szCs w:val="24"/>
        </w:rPr>
        <w:t xml:space="preserve"> at least one source of divine sentience both able and willing to communicate i</w:t>
      </w:r>
      <w:r w:rsidR="00DA34F5">
        <w:rPr>
          <w:rFonts w:ascii="Times New Roman" w:hAnsi="Times New Roman"/>
          <w:bCs/>
          <w:color w:val="auto"/>
          <w:sz w:val="24"/>
          <w:szCs w:val="24"/>
        </w:rPr>
        <w:t>n</w:t>
      </w:r>
      <w:r w:rsidR="00C42392" w:rsidRPr="000A48D8">
        <w:rPr>
          <w:rFonts w:ascii="Times New Roman" w:hAnsi="Times New Roman"/>
          <w:bCs/>
          <w:color w:val="auto"/>
          <w:sz w:val="24"/>
          <w:szCs w:val="24"/>
        </w:rPr>
        <w:t xml:space="preserve"> with humans. </w:t>
      </w:r>
      <w:r w:rsidR="00DA34F5">
        <w:rPr>
          <w:rFonts w:ascii="Times New Roman" w:hAnsi="Times New Roman"/>
          <w:bCs/>
          <w:color w:val="auto"/>
          <w:sz w:val="24"/>
          <w:szCs w:val="24"/>
        </w:rPr>
        <w:t xml:space="preserve">Ancient Mesopotamia refers to a chronologically and geographically </w:t>
      </w:r>
      <w:r w:rsidR="002A4751">
        <w:rPr>
          <w:rFonts w:ascii="Times New Roman" w:hAnsi="Times New Roman"/>
          <w:bCs/>
          <w:color w:val="auto"/>
          <w:sz w:val="24"/>
          <w:szCs w:val="24"/>
        </w:rPr>
        <w:t>vast area.</w:t>
      </w:r>
      <w:r w:rsidR="005452B4" w:rsidRPr="000A48D8">
        <w:rPr>
          <w:rStyle w:val="FootnoteReference"/>
          <w:rFonts w:ascii="Times New Roman" w:hAnsi="Times New Roman"/>
          <w:bCs/>
          <w:color w:val="auto"/>
          <w:sz w:val="24"/>
          <w:szCs w:val="24"/>
        </w:rPr>
        <w:footnoteReference w:id="4"/>
      </w:r>
      <w:r w:rsidR="005452B4" w:rsidRPr="000A48D8">
        <w:rPr>
          <w:rFonts w:ascii="Times New Roman" w:hAnsi="Times New Roman"/>
          <w:bCs/>
          <w:color w:val="auto"/>
          <w:sz w:val="24"/>
          <w:szCs w:val="24"/>
        </w:rPr>
        <w:t xml:space="preserve"> Campion has argued that ‘We cannot assume that the Mesopotamian worldview was a constant’, citing both the longevity of the period and the inconsistency in amount of extant sources </w:t>
      </w:r>
      <w:r w:rsidR="00095DA2">
        <w:rPr>
          <w:rFonts w:ascii="Times New Roman" w:hAnsi="Times New Roman"/>
          <w:bCs/>
          <w:color w:val="auto"/>
          <w:sz w:val="24"/>
          <w:szCs w:val="24"/>
        </w:rPr>
        <w:t>across</w:t>
      </w:r>
      <w:r w:rsidR="005452B4" w:rsidRPr="000A48D8">
        <w:rPr>
          <w:rFonts w:ascii="Times New Roman" w:hAnsi="Times New Roman"/>
          <w:bCs/>
          <w:color w:val="auto"/>
          <w:sz w:val="24"/>
          <w:szCs w:val="24"/>
        </w:rPr>
        <w:t xml:space="preserve"> centuries as evidence for this conclusion.</w:t>
      </w:r>
      <w:r w:rsidR="005452B4" w:rsidRPr="000A48D8">
        <w:rPr>
          <w:rStyle w:val="FootnoteReference"/>
          <w:rFonts w:ascii="Times New Roman" w:hAnsi="Times New Roman"/>
          <w:bCs/>
          <w:color w:val="auto"/>
          <w:sz w:val="24"/>
          <w:szCs w:val="24"/>
        </w:rPr>
        <w:footnoteReference w:id="5"/>
      </w:r>
      <w:r w:rsidR="001B0A9F" w:rsidRPr="000A48D8">
        <w:rPr>
          <w:rFonts w:ascii="Times New Roman" w:hAnsi="Times New Roman"/>
          <w:bCs/>
          <w:color w:val="auto"/>
          <w:sz w:val="24"/>
          <w:szCs w:val="24"/>
        </w:rPr>
        <w:t xml:space="preserve"> </w:t>
      </w:r>
      <w:r w:rsidR="002978F1">
        <w:rPr>
          <w:rFonts w:ascii="Times New Roman" w:hAnsi="Times New Roman"/>
          <w:bCs/>
          <w:color w:val="auto"/>
          <w:sz w:val="24"/>
          <w:szCs w:val="24"/>
        </w:rPr>
        <w:t xml:space="preserve">With this in mind, </w:t>
      </w:r>
      <w:r w:rsidR="002978F1" w:rsidRPr="002C760D">
        <w:rPr>
          <w:rFonts w:ascii="Times New Roman" w:hAnsi="Times New Roman"/>
          <w:bCs/>
          <w:color w:val="auto"/>
          <w:sz w:val="24"/>
          <w:szCs w:val="24"/>
        </w:rPr>
        <w:t>t</w:t>
      </w:r>
      <w:r w:rsidR="00C266B2" w:rsidRPr="002C760D">
        <w:rPr>
          <w:rFonts w:ascii="Times New Roman" w:hAnsi="Times New Roman"/>
          <w:bCs/>
          <w:color w:val="auto"/>
          <w:sz w:val="24"/>
          <w:szCs w:val="24"/>
        </w:rPr>
        <w:t xml:space="preserve">his essay will focus upon the relationship between </w:t>
      </w:r>
      <w:r w:rsidR="00BA2E8E" w:rsidRPr="002C760D">
        <w:rPr>
          <w:rFonts w:ascii="Times New Roman" w:hAnsi="Times New Roman"/>
          <w:bCs/>
          <w:color w:val="auto"/>
          <w:sz w:val="24"/>
          <w:szCs w:val="24"/>
        </w:rPr>
        <w:t>t</w:t>
      </w:r>
      <w:r w:rsidR="00F67FFD" w:rsidRPr="002C760D">
        <w:rPr>
          <w:rFonts w:ascii="Times New Roman" w:hAnsi="Times New Roman"/>
          <w:bCs/>
          <w:color w:val="auto"/>
          <w:sz w:val="24"/>
          <w:szCs w:val="24"/>
        </w:rPr>
        <w:t>wo</w:t>
      </w:r>
      <w:r w:rsidR="00BA2E8E" w:rsidRPr="002C760D">
        <w:rPr>
          <w:rFonts w:ascii="Times New Roman" w:hAnsi="Times New Roman"/>
          <w:bCs/>
          <w:color w:val="auto"/>
          <w:sz w:val="24"/>
          <w:szCs w:val="24"/>
        </w:rPr>
        <w:t xml:space="preserve"> deities</w:t>
      </w:r>
      <w:r w:rsidR="00C266B2" w:rsidRPr="002C760D">
        <w:rPr>
          <w:rFonts w:ascii="Times New Roman" w:hAnsi="Times New Roman"/>
          <w:bCs/>
          <w:color w:val="auto"/>
          <w:sz w:val="24"/>
          <w:szCs w:val="24"/>
        </w:rPr>
        <w:t xml:space="preserve"> – </w:t>
      </w:r>
      <w:r w:rsidR="005D6791" w:rsidRPr="002C760D">
        <w:rPr>
          <w:rFonts w:ascii="Times New Roman" w:hAnsi="Times New Roman"/>
          <w:bCs/>
          <w:color w:val="auto"/>
          <w:sz w:val="24"/>
          <w:szCs w:val="24"/>
        </w:rPr>
        <w:t>Šamaš</w:t>
      </w:r>
      <w:r w:rsidR="00C76E0D">
        <w:rPr>
          <w:rFonts w:ascii="Times New Roman" w:hAnsi="Times New Roman"/>
          <w:bCs/>
          <w:color w:val="auto"/>
          <w:sz w:val="24"/>
          <w:szCs w:val="24"/>
        </w:rPr>
        <w:t>,</w:t>
      </w:r>
      <w:r w:rsidR="00F67FFD" w:rsidRPr="002C760D">
        <w:rPr>
          <w:rFonts w:ascii="Times New Roman" w:hAnsi="Times New Roman"/>
          <w:bCs/>
          <w:color w:val="auto"/>
          <w:sz w:val="24"/>
          <w:szCs w:val="24"/>
        </w:rPr>
        <w:t xml:space="preserve"> the sun god</w:t>
      </w:r>
      <w:r w:rsidR="00C76E0D">
        <w:rPr>
          <w:rFonts w:ascii="Times New Roman" w:hAnsi="Times New Roman"/>
          <w:bCs/>
          <w:color w:val="auto"/>
          <w:sz w:val="24"/>
          <w:szCs w:val="24"/>
        </w:rPr>
        <w:t>,</w:t>
      </w:r>
      <w:r w:rsidR="00F67FFD" w:rsidRPr="002C760D">
        <w:rPr>
          <w:rFonts w:ascii="Times New Roman" w:hAnsi="Times New Roman"/>
          <w:bCs/>
          <w:color w:val="auto"/>
          <w:sz w:val="24"/>
          <w:szCs w:val="24"/>
        </w:rPr>
        <w:t xml:space="preserve"> and</w:t>
      </w:r>
      <w:r w:rsidR="00BA2E8E" w:rsidRPr="002C760D">
        <w:rPr>
          <w:rFonts w:ascii="Times New Roman" w:hAnsi="Times New Roman"/>
          <w:bCs/>
          <w:color w:val="auto"/>
          <w:sz w:val="24"/>
          <w:szCs w:val="24"/>
        </w:rPr>
        <w:t xml:space="preserve"> </w:t>
      </w:r>
      <w:r w:rsidR="005D6791" w:rsidRPr="002C760D">
        <w:rPr>
          <w:rFonts w:ascii="Times New Roman" w:hAnsi="Times New Roman"/>
          <w:bCs/>
          <w:color w:val="auto"/>
          <w:sz w:val="24"/>
          <w:szCs w:val="24"/>
        </w:rPr>
        <w:t>Adad</w:t>
      </w:r>
      <w:r w:rsidR="00F67FFD" w:rsidRPr="002C760D">
        <w:rPr>
          <w:rFonts w:ascii="Times New Roman" w:hAnsi="Times New Roman"/>
          <w:bCs/>
          <w:color w:val="auto"/>
          <w:sz w:val="24"/>
          <w:szCs w:val="24"/>
        </w:rPr>
        <w:t>, god of storms and wind</w:t>
      </w:r>
      <w:r w:rsidR="005D6791" w:rsidRPr="002C760D">
        <w:rPr>
          <w:rFonts w:ascii="Times New Roman" w:hAnsi="Times New Roman"/>
          <w:bCs/>
          <w:color w:val="auto"/>
          <w:sz w:val="24"/>
          <w:szCs w:val="24"/>
        </w:rPr>
        <w:t xml:space="preserve"> </w:t>
      </w:r>
      <w:r w:rsidR="00C266B2" w:rsidRPr="002C760D">
        <w:rPr>
          <w:rFonts w:ascii="Times New Roman" w:hAnsi="Times New Roman"/>
          <w:bCs/>
          <w:color w:val="auto"/>
          <w:sz w:val="24"/>
          <w:szCs w:val="24"/>
        </w:rPr>
        <w:t xml:space="preserve">– and </w:t>
      </w:r>
      <w:r w:rsidR="001A06E4" w:rsidRPr="002C760D">
        <w:rPr>
          <w:rFonts w:ascii="Times New Roman" w:hAnsi="Times New Roman"/>
          <w:bCs/>
          <w:color w:val="auto"/>
          <w:sz w:val="24"/>
          <w:szCs w:val="24"/>
        </w:rPr>
        <w:t xml:space="preserve">humanity </w:t>
      </w:r>
      <w:r w:rsidR="00C266B2" w:rsidRPr="002C760D">
        <w:rPr>
          <w:rFonts w:ascii="Times New Roman" w:hAnsi="Times New Roman"/>
          <w:bCs/>
          <w:color w:val="auto"/>
          <w:sz w:val="24"/>
          <w:szCs w:val="24"/>
        </w:rPr>
        <w:t xml:space="preserve">as encountered </w:t>
      </w:r>
      <w:r w:rsidR="001A06E4" w:rsidRPr="002C760D">
        <w:rPr>
          <w:rFonts w:ascii="Times New Roman" w:hAnsi="Times New Roman"/>
          <w:bCs/>
          <w:color w:val="auto"/>
          <w:sz w:val="24"/>
          <w:szCs w:val="24"/>
        </w:rPr>
        <w:t>in</w:t>
      </w:r>
      <w:r w:rsidR="00C266B2" w:rsidRPr="002C760D">
        <w:rPr>
          <w:rFonts w:ascii="Times New Roman" w:hAnsi="Times New Roman"/>
          <w:bCs/>
          <w:color w:val="auto"/>
          <w:sz w:val="24"/>
          <w:szCs w:val="24"/>
        </w:rPr>
        <w:t xml:space="preserve"> sources related to the reign</w:t>
      </w:r>
      <w:r w:rsidR="001A5AD4" w:rsidRPr="002C760D">
        <w:rPr>
          <w:rFonts w:ascii="Times New Roman" w:hAnsi="Times New Roman"/>
          <w:bCs/>
          <w:color w:val="auto"/>
          <w:sz w:val="24"/>
          <w:szCs w:val="24"/>
        </w:rPr>
        <w:t xml:space="preserve"> of Ashurbanipal (reigned c.669-c.630 B.C.E.), a</w:t>
      </w:r>
      <w:r w:rsidR="00C266B2" w:rsidRPr="002C760D">
        <w:rPr>
          <w:rFonts w:ascii="Times New Roman" w:hAnsi="Times New Roman"/>
          <w:bCs/>
          <w:color w:val="auto"/>
          <w:sz w:val="24"/>
          <w:szCs w:val="24"/>
        </w:rPr>
        <w:t xml:space="preserve"> </w:t>
      </w:r>
      <w:r w:rsidR="00C175D5" w:rsidRPr="002C760D">
        <w:rPr>
          <w:rFonts w:ascii="Times New Roman" w:hAnsi="Times New Roman"/>
          <w:bCs/>
          <w:color w:val="auto"/>
          <w:sz w:val="24"/>
          <w:szCs w:val="24"/>
        </w:rPr>
        <w:t xml:space="preserve">late </w:t>
      </w:r>
      <w:r w:rsidR="007F01D2" w:rsidRPr="002C760D">
        <w:rPr>
          <w:rFonts w:ascii="Times New Roman" w:hAnsi="Times New Roman"/>
          <w:bCs/>
          <w:color w:val="auto"/>
          <w:sz w:val="24"/>
          <w:szCs w:val="24"/>
        </w:rPr>
        <w:t>Neo</w:t>
      </w:r>
      <w:r w:rsidR="00B43712" w:rsidRPr="002C760D">
        <w:rPr>
          <w:rFonts w:ascii="Times New Roman" w:hAnsi="Times New Roman"/>
          <w:bCs/>
          <w:color w:val="auto"/>
          <w:sz w:val="24"/>
          <w:szCs w:val="24"/>
        </w:rPr>
        <w:t>-</w:t>
      </w:r>
      <w:r w:rsidR="00C266B2" w:rsidRPr="002C760D">
        <w:rPr>
          <w:rFonts w:ascii="Times New Roman" w:hAnsi="Times New Roman"/>
          <w:bCs/>
          <w:color w:val="auto"/>
          <w:sz w:val="24"/>
          <w:szCs w:val="24"/>
        </w:rPr>
        <w:t>Assyr</w:t>
      </w:r>
      <w:r w:rsidR="001A5AD4" w:rsidRPr="002C760D">
        <w:rPr>
          <w:rFonts w:ascii="Times New Roman" w:hAnsi="Times New Roman"/>
          <w:bCs/>
          <w:color w:val="auto"/>
          <w:sz w:val="24"/>
          <w:szCs w:val="24"/>
        </w:rPr>
        <w:t>ian king</w:t>
      </w:r>
      <w:r w:rsidR="00D425E2" w:rsidRPr="002C760D">
        <w:rPr>
          <w:rFonts w:ascii="Times New Roman" w:hAnsi="Times New Roman"/>
          <w:bCs/>
          <w:color w:val="auto"/>
          <w:sz w:val="24"/>
          <w:szCs w:val="24"/>
        </w:rPr>
        <w:t xml:space="preserve"> of the Sargonid dynasty</w:t>
      </w:r>
      <w:r w:rsidR="002024B3" w:rsidRPr="002C760D">
        <w:rPr>
          <w:rFonts w:ascii="Times New Roman" w:hAnsi="Times New Roman"/>
          <w:bCs/>
          <w:color w:val="auto"/>
          <w:sz w:val="24"/>
          <w:szCs w:val="24"/>
        </w:rPr>
        <w:t>.</w:t>
      </w:r>
      <w:r w:rsidR="002836A7" w:rsidRPr="002C760D">
        <w:rPr>
          <w:rStyle w:val="FootnoteReference"/>
          <w:rFonts w:ascii="Times New Roman" w:hAnsi="Times New Roman"/>
          <w:bCs/>
          <w:color w:val="auto"/>
          <w:sz w:val="24"/>
          <w:szCs w:val="24"/>
        </w:rPr>
        <w:footnoteReference w:id="6"/>
      </w:r>
      <w:r w:rsidR="00B52504">
        <w:rPr>
          <w:rFonts w:ascii="Times New Roman" w:hAnsi="Times New Roman"/>
          <w:bCs/>
          <w:color w:val="auto"/>
          <w:sz w:val="24"/>
          <w:szCs w:val="24"/>
        </w:rPr>
        <w:t xml:space="preserve"> </w:t>
      </w:r>
      <w:r w:rsidR="00C76E0D">
        <w:rPr>
          <w:rFonts w:ascii="Times New Roman" w:hAnsi="Times New Roman"/>
          <w:bCs/>
          <w:color w:val="auto"/>
          <w:sz w:val="24"/>
          <w:szCs w:val="24"/>
        </w:rPr>
        <w:lastRenderedPageBreak/>
        <w:t xml:space="preserve">Since its initial fruitful excavation </w:t>
      </w:r>
      <w:r w:rsidR="00DF368B">
        <w:rPr>
          <w:rFonts w:ascii="Times New Roman" w:hAnsi="Times New Roman"/>
          <w:bCs/>
          <w:color w:val="auto"/>
          <w:sz w:val="24"/>
          <w:szCs w:val="24"/>
        </w:rPr>
        <w:t>by</w:t>
      </w:r>
      <w:r w:rsidR="001A59C5">
        <w:rPr>
          <w:rFonts w:ascii="Times New Roman" w:hAnsi="Times New Roman"/>
          <w:bCs/>
          <w:color w:val="auto"/>
          <w:sz w:val="24"/>
          <w:szCs w:val="24"/>
        </w:rPr>
        <w:t xml:space="preserve"> Austin Henry Layard in 1846,</w:t>
      </w:r>
      <w:r w:rsidR="00DF368B">
        <w:rPr>
          <w:rFonts w:ascii="Times New Roman" w:hAnsi="Times New Roman"/>
          <w:bCs/>
          <w:color w:val="auto"/>
          <w:sz w:val="24"/>
          <w:szCs w:val="24"/>
        </w:rPr>
        <w:t xml:space="preserve"> </w:t>
      </w:r>
      <w:r w:rsidR="00C76E0D">
        <w:rPr>
          <w:rFonts w:ascii="Times New Roman" w:hAnsi="Times New Roman"/>
          <w:bCs/>
          <w:color w:val="auto"/>
          <w:sz w:val="24"/>
          <w:szCs w:val="24"/>
        </w:rPr>
        <w:t xml:space="preserve">Ashurbanipal’s Library at Nineveh has </w:t>
      </w:r>
      <w:r w:rsidR="00DF368B">
        <w:rPr>
          <w:rFonts w:ascii="Times New Roman" w:hAnsi="Times New Roman"/>
          <w:bCs/>
          <w:color w:val="auto"/>
          <w:sz w:val="24"/>
          <w:szCs w:val="24"/>
        </w:rPr>
        <w:t xml:space="preserve">held a significant role in shaping modern </w:t>
      </w:r>
      <w:r w:rsidR="00C76E0D">
        <w:rPr>
          <w:rFonts w:ascii="Times New Roman" w:hAnsi="Times New Roman"/>
          <w:bCs/>
          <w:color w:val="auto"/>
          <w:sz w:val="24"/>
          <w:szCs w:val="24"/>
        </w:rPr>
        <w:t>academic interpretations of ancient Mesopotamian life.</w:t>
      </w:r>
      <w:r w:rsidR="00DF368B">
        <w:rPr>
          <w:rStyle w:val="FootnoteReference"/>
          <w:rFonts w:ascii="Times New Roman" w:hAnsi="Times New Roman"/>
          <w:bCs/>
          <w:color w:val="auto"/>
          <w:sz w:val="24"/>
          <w:szCs w:val="24"/>
        </w:rPr>
        <w:footnoteReference w:id="7"/>
      </w:r>
      <w:r w:rsidR="007C063D">
        <w:rPr>
          <w:rFonts w:ascii="Times New Roman" w:hAnsi="Times New Roman"/>
          <w:bCs/>
          <w:color w:val="auto"/>
          <w:sz w:val="24"/>
          <w:szCs w:val="24"/>
        </w:rPr>
        <w:t xml:space="preserve"> </w:t>
      </w:r>
      <w:r w:rsidR="00DF368B">
        <w:rPr>
          <w:rFonts w:ascii="Times New Roman" w:hAnsi="Times New Roman"/>
          <w:bCs/>
          <w:color w:val="auto"/>
          <w:sz w:val="24"/>
          <w:szCs w:val="24"/>
        </w:rPr>
        <w:t>Translating the thousands of currently-excavated cuneiform tablets is an ongoing task,</w:t>
      </w:r>
      <w:r w:rsidR="00F92B63">
        <w:rPr>
          <w:rFonts w:ascii="Times New Roman" w:hAnsi="Times New Roman"/>
          <w:bCs/>
          <w:color w:val="auto"/>
          <w:sz w:val="24"/>
          <w:szCs w:val="24"/>
        </w:rPr>
        <w:t xml:space="preserve"> leaving their contents and relationships with</w:t>
      </w:r>
      <w:r w:rsidR="00F26BE0">
        <w:rPr>
          <w:rFonts w:ascii="Times New Roman" w:hAnsi="Times New Roman"/>
          <w:bCs/>
          <w:color w:val="auto"/>
          <w:sz w:val="24"/>
          <w:szCs w:val="24"/>
        </w:rPr>
        <w:t xml:space="preserve"> each other </w:t>
      </w:r>
      <w:r w:rsidR="00F92B63">
        <w:rPr>
          <w:rFonts w:ascii="Times New Roman" w:hAnsi="Times New Roman"/>
          <w:bCs/>
          <w:color w:val="auto"/>
          <w:sz w:val="24"/>
          <w:szCs w:val="24"/>
        </w:rPr>
        <w:t>within</w:t>
      </w:r>
      <w:r w:rsidR="00F26BE0">
        <w:rPr>
          <w:rFonts w:ascii="Times New Roman" w:hAnsi="Times New Roman"/>
          <w:bCs/>
          <w:color w:val="auto"/>
          <w:sz w:val="24"/>
          <w:szCs w:val="24"/>
        </w:rPr>
        <w:t xml:space="preserve"> the socio-political milieu of both Ashurbanipal’s reign and Mesopotamia’s wider history </w:t>
      </w:r>
      <w:r w:rsidR="00F92B63">
        <w:rPr>
          <w:rFonts w:ascii="Times New Roman" w:hAnsi="Times New Roman"/>
          <w:bCs/>
          <w:color w:val="auto"/>
          <w:sz w:val="24"/>
          <w:szCs w:val="24"/>
        </w:rPr>
        <w:t>unfixed</w:t>
      </w:r>
      <w:r w:rsidR="00F26BE0">
        <w:rPr>
          <w:rFonts w:ascii="Times New Roman" w:hAnsi="Times New Roman"/>
          <w:bCs/>
          <w:color w:val="auto"/>
          <w:sz w:val="24"/>
          <w:szCs w:val="24"/>
        </w:rPr>
        <w:t>.</w:t>
      </w:r>
      <w:r w:rsidR="009871D1">
        <w:rPr>
          <w:rStyle w:val="FootnoteReference"/>
          <w:rFonts w:ascii="Times New Roman" w:hAnsi="Times New Roman"/>
          <w:bCs/>
          <w:color w:val="auto"/>
          <w:sz w:val="24"/>
          <w:szCs w:val="24"/>
        </w:rPr>
        <w:footnoteReference w:id="8"/>
      </w:r>
      <w:r w:rsidR="001F02F2">
        <w:rPr>
          <w:rFonts w:ascii="Times New Roman" w:hAnsi="Times New Roman"/>
          <w:bCs/>
          <w:color w:val="auto"/>
          <w:sz w:val="24"/>
          <w:szCs w:val="24"/>
        </w:rPr>
        <w:t xml:space="preserve"> </w:t>
      </w:r>
      <w:r w:rsidR="005F3AE3">
        <w:rPr>
          <w:rFonts w:ascii="Times New Roman" w:hAnsi="Times New Roman"/>
          <w:bCs/>
          <w:color w:val="auto"/>
          <w:sz w:val="24"/>
          <w:szCs w:val="24"/>
        </w:rPr>
        <w:t xml:space="preserve">Nearly half of </w:t>
      </w:r>
      <w:r w:rsidR="00AB39CE">
        <w:rPr>
          <w:rFonts w:ascii="Times New Roman" w:hAnsi="Times New Roman"/>
          <w:bCs/>
          <w:color w:val="auto"/>
          <w:sz w:val="24"/>
          <w:szCs w:val="24"/>
        </w:rPr>
        <w:t>his entire library catalogue appears to cater to this taste</w:t>
      </w:r>
      <w:r w:rsidR="00A32530">
        <w:rPr>
          <w:rFonts w:ascii="Times New Roman" w:hAnsi="Times New Roman"/>
          <w:bCs/>
          <w:color w:val="auto"/>
          <w:sz w:val="24"/>
          <w:szCs w:val="24"/>
        </w:rPr>
        <w:t>, suggesting significant interest</w:t>
      </w:r>
      <w:r w:rsidR="00AB39CE">
        <w:rPr>
          <w:rFonts w:ascii="Times New Roman" w:hAnsi="Times New Roman"/>
          <w:bCs/>
          <w:color w:val="auto"/>
          <w:sz w:val="24"/>
          <w:szCs w:val="24"/>
        </w:rPr>
        <w:t>.</w:t>
      </w:r>
      <w:r w:rsidR="00DC4D68">
        <w:rPr>
          <w:rStyle w:val="FootnoteReference"/>
          <w:rFonts w:ascii="Times New Roman" w:hAnsi="Times New Roman"/>
          <w:bCs/>
          <w:color w:val="auto"/>
          <w:sz w:val="24"/>
          <w:szCs w:val="24"/>
        </w:rPr>
        <w:footnoteReference w:id="9"/>
      </w:r>
      <w:r w:rsidR="003F524D">
        <w:rPr>
          <w:rFonts w:ascii="Times New Roman" w:hAnsi="Times New Roman"/>
          <w:bCs/>
          <w:color w:val="auto"/>
          <w:sz w:val="24"/>
          <w:szCs w:val="24"/>
        </w:rPr>
        <w:t xml:space="preserve"> Ashurbanipal ruled Assyria directly,</w:t>
      </w:r>
      <w:r w:rsidR="00205D6B">
        <w:rPr>
          <w:rFonts w:ascii="Times New Roman" w:hAnsi="Times New Roman"/>
          <w:bCs/>
          <w:color w:val="auto"/>
          <w:sz w:val="24"/>
          <w:szCs w:val="24"/>
        </w:rPr>
        <w:t xml:space="preserve"> whilst other kings dealt with the day-to-day running of the wider Neo-Assyrian </w:t>
      </w:r>
      <w:r w:rsidR="002C13F4">
        <w:rPr>
          <w:rFonts w:ascii="Times New Roman" w:hAnsi="Times New Roman"/>
          <w:bCs/>
          <w:color w:val="auto"/>
          <w:sz w:val="24"/>
          <w:szCs w:val="24"/>
        </w:rPr>
        <w:t>empire, including</w:t>
      </w:r>
      <w:r w:rsidR="00205D6B">
        <w:rPr>
          <w:rFonts w:ascii="Times New Roman" w:hAnsi="Times New Roman"/>
          <w:bCs/>
          <w:color w:val="auto"/>
          <w:sz w:val="24"/>
          <w:szCs w:val="24"/>
        </w:rPr>
        <w:t xml:space="preserve"> Babylon</w:t>
      </w:r>
      <w:r w:rsidR="002C13F4">
        <w:rPr>
          <w:rFonts w:ascii="Times New Roman" w:hAnsi="Times New Roman"/>
          <w:bCs/>
          <w:color w:val="auto"/>
          <w:sz w:val="24"/>
          <w:szCs w:val="24"/>
        </w:rPr>
        <w:t xml:space="preserve"> – initially held by</w:t>
      </w:r>
      <w:r w:rsidR="00205D6B">
        <w:rPr>
          <w:rFonts w:ascii="Times New Roman" w:hAnsi="Times New Roman"/>
          <w:bCs/>
          <w:color w:val="auto"/>
          <w:sz w:val="24"/>
          <w:szCs w:val="24"/>
        </w:rPr>
        <w:t xml:space="preserve"> Ashurbanipal’s brother, </w:t>
      </w:r>
      <w:r w:rsidR="004A55B6" w:rsidRPr="002878E1">
        <w:rPr>
          <w:rFonts w:ascii="Times New Roman" w:hAnsi="Times New Roman"/>
          <w:bCs/>
          <w:color w:val="auto"/>
          <w:sz w:val="24"/>
          <w:szCs w:val="24"/>
        </w:rPr>
        <w:t>Šamaš</w:t>
      </w:r>
      <w:r w:rsidR="002878E1" w:rsidRPr="002878E1">
        <w:rPr>
          <w:rFonts w:ascii="Times New Roman" w:hAnsi="Times New Roman"/>
          <w:bCs/>
          <w:color w:val="auto"/>
          <w:sz w:val="24"/>
          <w:szCs w:val="24"/>
        </w:rPr>
        <w:t>-</w:t>
      </w:r>
      <w:proofErr w:type="spellStart"/>
      <w:r w:rsidR="002878E1" w:rsidRPr="002878E1">
        <w:rPr>
          <w:rFonts w:ascii="Times New Roman" w:hAnsi="Times New Roman"/>
          <w:bCs/>
          <w:color w:val="auto"/>
          <w:sz w:val="24"/>
          <w:szCs w:val="24"/>
        </w:rPr>
        <w:t>šum</w:t>
      </w:r>
      <w:proofErr w:type="spellEnd"/>
      <w:r w:rsidR="002878E1" w:rsidRPr="002878E1">
        <w:rPr>
          <w:rFonts w:ascii="Times New Roman" w:hAnsi="Times New Roman"/>
          <w:bCs/>
          <w:color w:val="auto"/>
          <w:sz w:val="24"/>
          <w:szCs w:val="24"/>
        </w:rPr>
        <w:t>-</w:t>
      </w:r>
      <w:proofErr w:type="spellStart"/>
      <w:r w:rsidR="002878E1" w:rsidRPr="002878E1">
        <w:rPr>
          <w:rFonts w:ascii="Times New Roman" w:hAnsi="Times New Roman"/>
          <w:bCs/>
          <w:color w:val="auto"/>
          <w:sz w:val="24"/>
          <w:szCs w:val="24"/>
        </w:rPr>
        <w:t>ukīn</w:t>
      </w:r>
      <w:proofErr w:type="spellEnd"/>
      <w:r w:rsidR="002878E1">
        <w:rPr>
          <w:rFonts w:ascii="Times New Roman" w:hAnsi="Times New Roman"/>
          <w:bCs/>
          <w:color w:val="auto"/>
          <w:sz w:val="24"/>
          <w:szCs w:val="24"/>
        </w:rPr>
        <w:t>,</w:t>
      </w:r>
      <w:r w:rsidR="00361ED2" w:rsidRPr="002878E1">
        <w:rPr>
          <w:rFonts w:ascii="Times New Roman" w:hAnsi="Times New Roman"/>
          <w:bCs/>
          <w:color w:val="auto"/>
          <w:sz w:val="24"/>
          <w:szCs w:val="24"/>
        </w:rPr>
        <w:t xml:space="preserve"> </w:t>
      </w:r>
      <w:r w:rsidR="00205D6B">
        <w:rPr>
          <w:rFonts w:ascii="Times New Roman" w:hAnsi="Times New Roman"/>
          <w:bCs/>
          <w:color w:val="auto"/>
          <w:sz w:val="24"/>
          <w:szCs w:val="24"/>
        </w:rPr>
        <w:t>before an unsuccessful revolt</w:t>
      </w:r>
      <w:r w:rsidR="00766EAB">
        <w:rPr>
          <w:rFonts w:ascii="Times New Roman" w:hAnsi="Times New Roman"/>
          <w:bCs/>
          <w:color w:val="auto"/>
          <w:sz w:val="24"/>
          <w:szCs w:val="24"/>
        </w:rPr>
        <w:t>.</w:t>
      </w:r>
      <w:r w:rsidR="00242E9F">
        <w:rPr>
          <w:rStyle w:val="FootnoteReference"/>
          <w:rFonts w:ascii="Times New Roman" w:hAnsi="Times New Roman"/>
          <w:bCs/>
          <w:color w:val="auto"/>
          <w:sz w:val="24"/>
          <w:szCs w:val="24"/>
        </w:rPr>
        <w:footnoteReference w:id="10"/>
      </w:r>
      <w:r w:rsidR="00205D6B">
        <w:rPr>
          <w:rFonts w:ascii="Times New Roman" w:hAnsi="Times New Roman"/>
          <w:bCs/>
          <w:color w:val="auto"/>
          <w:sz w:val="24"/>
          <w:szCs w:val="24"/>
        </w:rPr>
        <w:t xml:space="preserve"> </w:t>
      </w:r>
      <w:r w:rsidR="00B41B1D" w:rsidRPr="005E311B">
        <w:rPr>
          <w:rFonts w:ascii="Times New Roman" w:hAnsi="Times New Roman"/>
          <w:bCs/>
          <w:color w:val="auto"/>
          <w:sz w:val="24"/>
          <w:szCs w:val="24"/>
        </w:rPr>
        <w:t xml:space="preserve">This essay will particularly explore: the </w:t>
      </w:r>
      <w:r w:rsidR="00316510" w:rsidRPr="005E311B">
        <w:rPr>
          <w:rFonts w:ascii="Times New Roman" w:hAnsi="Times New Roman"/>
          <w:bCs/>
          <w:color w:val="auto"/>
          <w:sz w:val="24"/>
          <w:szCs w:val="24"/>
        </w:rPr>
        <w:t>underlying cosmology of Neo-Assyrian society</w:t>
      </w:r>
      <w:r w:rsidR="009674DE">
        <w:rPr>
          <w:rFonts w:ascii="Times New Roman" w:hAnsi="Times New Roman"/>
          <w:bCs/>
          <w:color w:val="auto"/>
          <w:sz w:val="24"/>
          <w:szCs w:val="24"/>
        </w:rPr>
        <w:t>,</w:t>
      </w:r>
      <w:r w:rsidR="00C86FEF" w:rsidRPr="005E311B">
        <w:rPr>
          <w:rFonts w:ascii="Times New Roman" w:hAnsi="Times New Roman"/>
          <w:bCs/>
          <w:color w:val="auto"/>
          <w:sz w:val="24"/>
          <w:szCs w:val="24"/>
        </w:rPr>
        <w:t xml:space="preserve"> </w:t>
      </w:r>
      <w:r w:rsidR="00EC33ED" w:rsidRPr="005E311B">
        <w:rPr>
          <w:rFonts w:ascii="Times New Roman" w:hAnsi="Times New Roman"/>
          <w:bCs/>
          <w:color w:val="auto"/>
          <w:sz w:val="24"/>
          <w:szCs w:val="24"/>
        </w:rPr>
        <w:t xml:space="preserve">the roles of the gods </w:t>
      </w:r>
      <w:r w:rsidR="004A55B6" w:rsidRPr="005E311B">
        <w:rPr>
          <w:rFonts w:ascii="Times New Roman" w:hAnsi="Times New Roman"/>
          <w:bCs/>
          <w:color w:val="auto"/>
          <w:sz w:val="24"/>
          <w:szCs w:val="24"/>
        </w:rPr>
        <w:t>Šamaš</w:t>
      </w:r>
      <w:r w:rsidR="00EC33ED" w:rsidRPr="005E311B">
        <w:rPr>
          <w:rFonts w:ascii="Times New Roman" w:hAnsi="Times New Roman"/>
          <w:bCs/>
          <w:color w:val="auto"/>
          <w:sz w:val="24"/>
          <w:szCs w:val="24"/>
        </w:rPr>
        <w:t xml:space="preserve"> and Adad within both cosmological and divinatory contexts</w:t>
      </w:r>
      <w:r w:rsidR="009915F8" w:rsidRPr="005E311B">
        <w:rPr>
          <w:rFonts w:ascii="Times New Roman" w:hAnsi="Times New Roman"/>
          <w:bCs/>
          <w:color w:val="auto"/>
          <w:sz w:val="24"/>
          <w:szCs w:val="24"/>
        </w:rPr>
        <w:t>,</w:t>
      </w:r>
      <w:r w:rsidR="00C5096E" w:rsidRPr="005E311B">
        <w:rPr>
          <w:rFonts w:ascii="Times New Roman" w:hAnsi="Times New Roman"/>
          <w:bCs/>
          <w:color w:val="auto"/>
          <w:sz w:val="24"/>
          <w:szCs w:val="24"/>
        </w:rPr>
        <w:t xml:space="preserve"> </w:t>
      </w:r>
      <w:r w:rsidR="00A73772" w:rsidRPr="005E311B">
        <w:rPr>
          <w:rFonts w:ascii="Times New Roman" w:hAnsi="Times New Roman"/>
          <w:bCs/>
          <w:color w:val="auto"/>
          <w:sz w:val="24"/>
          <w:szCs w:val="24"/>
        </w:rPr>
        <w:t>divinatory queries (</w:t>
      </w:r>
      <w:proofErr w:type="spellStart"/>
      <w:r w:rsidR="00A73772" w:rsidRPr="005E311B">
        <w:rPr>
          <w:rFonts w:ascii="Times New Roman" w:hAnsi="Times New Roman"/>
          <w:bCs/>
          <w:color w:val="auto"/>
          <w:sz w:val="24"/>
          <w:szCs w:val="24"/>
        </w:rPr>
        <w:t>tamit</w:t>
      </w:r>
      <w:r w:rsidR="006306CC">
        <w:rPr>
          <w:rFonts w:ascii="Times New Roman" w:hAnsi="Times New Roman"/>
          <w:bCs/>
          <w:color w:val="auto"/>
          <w:sz w:val="24"/>
          <w:szCs w:val="24"/>
        </w:rPr>
        <w:t>ū</w:t>
      </w:r>
      <w:r w:rsidR="00A73772" w:rsidRPr="005E311B">
        <w:rPr>
          <w:rFonts w:ascii="Times New Roman" w:hAnsi="Times New Roman"/>
          <w:bCs/>
          <w:color w:val="auto"/>
          <w:sz w:val="24"/>
          <w:szCs w:val="24"/>
        </w:rPr>
        <w:t>s</w:t>
      </w:r>
      <w:proofErr w:type="spellEnd"/>
      <w:r w:rsidR="00A73772" w:rsidRPr="005E311B">
        <w:rPr>
          <w:rFonts w:ascii="Times New Roman" w:hAnsi="Times New Roman"/>
          <w:bCs/>
          <w:color w:val="auto"/>
          <w:sz w:val="24"/>
          <w:szCs w:val="24"/>
        </w:rPr>
        <w:t xml:space="preserve">) and one ritualistic vehicle for receiving a divine response (extispicy, </w:t>
      </w:r>
      <w:r w:rsidR="008C67A4" w:rsidRPr="005E311B">
        <w:rPr>
          <w:rFonts w:ascii="Times New Roman" w:hAnsi="Times New Roman"/>
          <w:bCs/>
          <w:color w:val="auto"/>
          <w:sz w:val="24"/>
          <w:szCs w:val="24"/>
        </w:rPr>
        <w:t>‘reading’ divine judgement in the internal organs of a sacrificial animal)</w:t>
      </w:r>
      <w:r w:rsidR="00E507BA" w:rsidRPr="005E311B">
        <w:rPr>
          <w:rFonts w:ascii="Times New Roman" w:hAnsi="Times New Roman"/>
          <w:bCs/>
          <w:color w:val="auto"/>
          <w:sz w:val="24"/>
          <w:szCs w:val="24"/>
        </w:rPr>
        <w:t>,</w:t>
      </w:r>
      <w:r w:rsidR="008C67A4" w:rsidRPr="005E311B">
        <w:rPr>
          <w:rFonts w:ascii="Times New Roman" w:hAnsi="Times New Roman"/>
          <w:bCs/>
          <w:color w:val="auto"/>
          <w:sz w:val="24"/>
          <w:szCs w:val="24"/>
        </w:rPr>
        <w:t xml:space="preserve"> </w:t>
      </w:r>
      <w:r w:rsidR="009E0B74" w:rsidRPr="005E311B">
        <w:rPr>
          <w:rFonts w:ascii="Times New Roman" w:hAnsi="Times New Roman"/>
          <w:bCs/>
          <w:color w:val="auto"/>
          <w:sz w:val="24"/>
          <w:szCs w:val="24"/>
        </w:rPr>
        <w:t>and the act of interpretation</w:t>
      </w:r>
      <w:r w:rsidR="00752E87" w:rsidRPr="005E311B">
        <w:rPr>
          <w:rFonts w:ascii="Times New Roman" w:hAnsi="Times New Roman"/>
          <w:bCs/>
          <w:color w:val="auto"/>
          <w:sz w:val="24"/>
          <w:szCs w:val="24"/>
        </w:rPr>
        <w:t xml:space="preserve"> </w:t>
      </w:r>
      <w:r w:rsidR="00B41B1D" w:rsidRPr="005E311B">
        <w:rPr>
          <w:rFonts w:ascii="Times New Roman" w:hAnsi="Times New Roman"/>
          <w:bCs/>
          <w:color w:val="auto"/>
          <w:sz w:val="24"/>
          <w:szCs w:val="24"/>
        </w:rPr>
        <w:t>(including</w:t>
      </w:r>
      <w:r w:rsidR="00752E87" w:rsidRPr="005E311B">
        <w:rPr>
          <w:rFonts w:ascii="Times New Roman" w:hAnsi="Times New Roman"/>
          <w:bCs/>
          <w:color w:val="auto"/>
          <w:sz w:val="24"/>
          <w:szCs w:val="24"/>
        </w:rPr>
        <w:t xml:space="preserve"> its implications</w:t>
      </w:r>
      <w:r w:rsidR="00B41B1D" w:rsidRPr="005E311B">
        <w:rPr>
          <w:rFonts w:ascii="Times New Roman" w:hAnsi="Times New Roman"/>
          <w:bCs/>
          <w:color w:val="auto"/>
          <w:sz w:val="24"/>
          <w:szCs w:val="24"/>
        </w:rPr>
        <w:t>)</w:t>
      </w:r>
      <w:r w:rsidR="009E0B74" w:rsidRPr="005E311B">
        <w:rPr>
          <w:rFonts w:ascii="Times New Roman" w:hAnsi="Times New Roman"/>
          <w:bCs/>
          <w:color w:val="auto"/>
          <w:sz w:val="24"/>
          <w:szCs w:val="24"/>
        </w:rPr>
        <w:t>.</w:t>
      </w:r>
      <w:r w:rsidR="008C67A4" w:rsidRPr="008C67A4">
        <w:rPr>
          <w:rStyle w:val="FootnoteReference"/>
          <w:rFonts w:ascii="Times New Roman" w:hAnsi="Times New Roman"/>
          <w:bCs/>
          <w:color w:val="auto"/>
          <w:sz w:val="24"/>
          <w:szCs w:val="24"/>
        </w:rPr>
        <w:t xml:space="preserve"> </w:t>
      </w:r>
      <w:r w:rsidR="008C67A4">
        <w:rPr>
          <w:rStyle w:val="FootnoteReference"/>
          <w:rFonts w:ascii="Times New Roman" w:hAnsi="Times New Roman"/>
          <w:bCs/>
          <w:color w:val="auto"/>
          <w:sz w:val="24"/>
          <w:szCs w:val="24"/>
        </w:rPr>
        <w:footnoteReference w:id="11"/>
      </w:r>
    </w:p>
    <w:p w14:paraId="0BD55F08" w14:textId="13AB70BA" w:rsidR="00790B77" w:rsidRPr="000A48D8" w:rsidRDefault="00790B77"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1CE16819" w14:textId="335AC7A7" w:rsidR="0065120E" w:rsidRPr="000A48D8" w:rsidRDefault="00483CCB" w:rsidP="00851F93">
      <w:pPr>
        <w:pStyle w:val="NormalWeb"/>
        <w:spacing w:before="0" w:beforeAutospacing="0" w:after="0" w:afterAutospacing="0" w:line="360" w:lineRule="auto"/>
        <w:ind w:right="-334"/>
        <w:jc w:val="both"/>
        <w:rPr>
          <w:rFonts w:ascii="Times New Roman" w:hAnsi="Times New Roman"/>
          <w:b/>
          <w:bCs/>
          <w:color w:val="auto"/>
          <w:sz w:val="24"/>
          <w:szCs w:val="24"/>
        </w:rPr>
      </w:pPr>
      <w:r>
        <w:rPr>
          <w:rFonts w:ascii="Times New Roman" w:hAnsi="Times New Roman"/>
          <w:b/>
          <w:bCs/>
          <w:color w:val="auto"/>
          <w:sz w:val="24"/>
          <w:szCs w:val="24"/>
        </w:rPr>
        <w:t>Underlying Cosmology</w:t>
      </w:r>
    </w:p>
    <w:p w14:paraId="6B58A92F" w14:textId="77777777" w:rsidR="005A5BD2" w:rsidRDefault="005A5BD2" w:rsidP="00851F93">
      <w:pPr>
        <w:pStyle w:val="NormalWeb"/>
        <w:spacing w:before="0" w:beforeAutospacing="0" w:after="0" w:afterAutospacing="0" w:line="360" w:lineRule="auto"/>
        <w:ind w:right="-334"/>
        <w:jc w:val="both"/>
        <w:rPr>
          <w:rFonts w:ascii="Times New Roman" w:hAnsi="Times New Roman"/>
          <w:b/>
          <w:bCs/>
          <w:color w:val="auto"/>
          <w:sz w:val="24"/>
          <w:szCs w:val="24"/>
        </w:rPr>
      </w:pPr>
    </w:p>
    <w:p w14:paraId="581861B2" w14:textId="2162FE71" w:rsidR="00106D33" w:rsidRPr="007C7B05" w:rsidRDefault="004F4EAC" w:rsidP="00851F93">
      <w:pPr>
        <w:pStyle w:val="NormalWeb"/>
        <w:spacing w:before="0" w:beforeAutospacing="0" w:after="0" w:afterAutospacing="0" w:line="360" w:lineRule="auto"/>
        <w:ind w:right="-334"/>
        <w:jc w:val="both"/>
        <w:rPr>
          <w:rFonts w:ascii="Times New Roman" w:hAnsi="Times New Roman"/>
          <w:bCs/>
          <w:color w:val="auto"/>
          <w:sz w:val="24"/>
          <w:szCs w:val="24"/>
        </w:rPr>
      </w:pPr>
      <w:r>
        <w:rPr>
          <w:rFonts w:ascii="Times New Roman" w:hAnsi="Times New Roman"/>
          <w:bCs/>
          <w:color w:val="auto"/>
          <w:sz w:val="24"/>
          <w:szCs w:val="24"/>
        </w:rPr>
        <w:t xml:space="preserve">The </w:t>
      </w:r>
      <w:proofErr w:type="spellStart"/>
      <w:r>
        <w:rPr>
          <w:rFonts w:ascii="Times New Roman" w:hAnsi="Times New Roman"/>
          <w:bCs/>
          <w:i/>
          <w:color w:val="auto"/>
          <w:sz w:val="24"/>
          <w:szCs w:val="24"/>
        </w:rPr>
        <w:t>Enûma</w:t>
      </w:r>
      <w:proofErr w:type="spellEnd"/>
      <w:r>
        <w:rPr>
          <w:rFonts w:ascii="Times New Roman" w:hAnsi="Times New Roman"/>
          <w:bCs/>
          <w:i/>
          <w:color w:val="auto"/>
          <w:sz w:val="24"/>
          <w:szCs w:val="24"/>
        </w:rPr>
        <w:t xml:space="preserve"> </w:t>
      </w:r>
      <w:proofErr w:type="spellStart"/>
      <w:r>
        <w:rPr>
          <w:rFonts w:ascii="Times New Roman" w:hAnsi="Times New Roman"/>
          <w:bCs/>
          <w:i/>
          <w:color w:val="auto"/>
          <w:sz w:val="24"/>
          <w:szCs w:val="24"/>
        </w:rPr>
        <w:t>Eliš</w:t>
      </w:r>
      <w:proofErr w:type="spellEnd"/>
      <w:r w:rsidR="005A5BD2">
        <w:rPr>
          <w:rFonts w:ascii="Times New Roman" w:hAnsi="Times New Roman"/>
          <w:bCs/>
          <w:i/>
          <w:color w:val="auto"/>
          <w:sz w:val="24"/>
          <w:szCs w:val="24"/>
        </w:rPr>
        <w:t>,</w:t>
      </w:r>
      <w:r w:rsidR="005A5BD2">
        <w:rPr>
          <w:rFonts w:ascii="Times New Roman" w:hAnsi="Times New Roman"/>
          <w:bCs/>
          <w:color w:val="auto"/>
          <w:sz w:val="24"/>
          <w:szCs w:val="24"/>
        </w:rPr>
        <w:t xml:space="preserve"> </w:t>
      </w:r>
      <w:r w:rsidR="008279FA">
        <w:rPr>
          <w:rFonts w:ascii="Times New Roman" w:hAnsi="Times New Roman"/>
          <w:bCs/>
          <w:color w:val="auto"/>
          <w:sz w:val="24"/>
          <w:szCs w:val="24"/>
        </w:rPr>
        <w:t>an ancient Mesopotamian creation epic</w:t>
      </w:r>
      <w:r w:rsidR="005A5BD2">
        <w:rPr>
          <w:rFonts w:ascii="Times New Roman" w:hAnsi="Times New Roman"/>
          <w:bCs/>
          <w:color w:val="auto"/>
          <w:sz w:val="24"/>
          <w:szCs w:val="24"/>
        </w:rPr>
        <w:t>,</w:t>
      </w:r>
      <w:r>
        <w:rPr>
          <w:rFonts w:ascii="Times New Roman" w:hAnsi="Times New Roman"/>
          <w:bCs/>
          <w:i/>
          <w:color w:val="auto"/>
          <w:sz w:val="24"/>
          <w:szCs w:val="24"/>
        </w:rPr>
        <w:t xml:space="preserve"> </w:t>
      </w:r>
      <w:r w:rsidR="000D77EF">
        <w:rPr>
          <w:rFonts w:ascii="Times New Roman" w:hAnsi="Times New Roman"/>
          <w:bCs/>
          <w:color w:val="auto"/>
          <w:sz w:val="24"/>
          <w:szCs w:val="24"/>
        </w:rPr>
        <w:t xml:space="preserve">presents a cosmogony </w:t>
      </w:r>
      <w:r w:rsidR="00FE3BEA">
        <w:rPr>
          <w:rFonts w:ascii="Times New Roman" w:hAnsi="Times New Roman"/>
          <w:bCs/>
          <w:color w:val="auto"/>
          <w:sz w:val="24"/>
          <w:szCs w:val="24"/>
        </w:rPr>
        <w:t xml:space="preserve">with </w:t>
      </w:r>
      <w:r w:rsidR="000D77EF">
        <w:rPr>
          <w:rFonts w:ascii="Times New Roman" w:hAnsi="Times New Roman"/>
          <w:bCs/>
          <w:color w:val="auto"/>
          <w:sz w:val="24"/>
          <w:szCs w:val="24"/>
        </w:rPr>
        <w:t xml:space="preserve">water </w:t>
      </w:r>
      <w:r w:rsidR="00FE3BEA">
        <w:rPr>
          <w:rFonts w:ascii="Times New Roman" w:hAnsi="Times New Roman"/>
          <w:bCs/>
          <w:color w:val="auto"/>
          <w:sz w:val="24"/>
          <w:szCs w:val="24"/>
        </w:rPr>
        <w:t>a</w:t>
      </w:r>
      <w:r w:rsidR="000D77EF">
        <w:rPr>
          <w:rFonts w:ascii="Times New Roman" w:hAnsi="Times New Roman"/>
          <w:bCs/>
          <w:color w:val="auto"/>
          <w:sz w:val="24"/>
          <w:szCs w:val="24"/>
        </w:rPr>
        <w:t>s the initial</w:t>
      </w:r>
      <w:r w:rsidR="0006730E">
        <w:rPr>
          <w:rFonts w:ascii="Times New Roman" w:hAnsi="Times New Roman"/>
          <w:bCs/>
          <w:color w:val="auto"/>
          <w:sz w:val="24"/>
          <w:szCs w:val="24"/>
        </w:rPr>
        <w:t xml:space="preserve"> formative</w:t>
      </w:r>
      <w:r w:rsidR="000D77EF">
        <w:rPr>
          <w:rFonts w:ascii="Times New Roman" w:hAnsi="Times New Roman"/>
          <w:bCs/>
          <w:color w:val="auto"/>
          <w:sz w:val="24"/>
          <w:szCs w:val="24"/>
        </w:rPr>
        <w:t xml:space="preserve"> substance: </w:t>
      </w:r>
      <w:r w:rsidR="000947B0">
        <w:rPr>
          <w:rFonts w:ascii="Times New Roman" w:hAnsi="Times New Roman"/>
          <w:bCs/>
          <w:color w:val="auto"/>
          <w:sz w:val="24"/>
          <w:szCs w:val="24"/>
        </w:rPr>
        <w:t xml:space="preserve">‘the gods were </w:t>
      </w:r>
      <w:r w:rsidR="006B1614">
        <w:rPr>
          <w:rFonts w:ascii="Times New Roman" w:hAnsi="Times New Roman"/>
          <w:bCs/>
          <w:color w:val="auto"/>
          <w:sz w:val="24"/>
          <w:szCs w:val="24"/>
        </w:rPr>
        <w:t xml:space="preserve">created </w:t>
      </w:r>
      <w:r w:rsidR="000947B0">
        <w:rPr>
          <w:rFonts w:ascii="Times New Roman" w:hAnsi="Times New Roman"/>
          <w:bCs/>
          <w:color w:val="auto"/>
          <w:sz w:val="24"/>
          <w:szCs w:val="24"/>
        </w:rPr>
        <w:t xml:space="preserve">within’ the mixture of </w:t>
      </w:r>
      <w:r w:rsidR="00B15E1D">
        <w:rPr>
          <w:rFonts w:ascii="Times New Roman" w:hAnsi="Times New Roman"/>
          <w:bCs/>
          <w:color w:val="auto"/>
          <w:sz w:val="24"/>
          <w:szCs w:val="24"/>
        </w:rPr>
        <w:t>Tiāmat</w:t>
      </w:r>
      <w:r w:rsidR="000947B0">
        <w:rPr>
          <w:rFonts w:ascii="Times New Roman" w:hAnsi="Times New Roman"/>
          <w:bCs/>
          <w:color w:val="auto"/>
          <w:sz w:val="24"/>
          <w:szCs w:val="24"/>
        </w:rPr>
        <w:t xml:space="preserve"> (saltwater)</w:t>
      </w:r>
      <w:r w:rsidR="001C4687">
        <w:rPr>
          <w:rFonts w:ascii="Times New Roman" w:hAnsi="Times New Roman"/>
          <w:bCs/>
          <w:color w:val="auto"/>
          <w:sz w:val="24"/>
          <w:szCs w:val="24"/>
        </w:rPr>
        <w:t xml:space="preserve"> and </w:t>
      </w:r>
      <w:proofErr w:type="spellStart"/>
      <w:r w:rsidR="001C4687">
        <w:rPr>
          <w:rFonts w:ascii="Times New Roman" w:hAnsi="Times New Roman"/>
          <w:bCs/>
          <w:color w:val="auto"/>
          <w:sz w:val="24"/>
          <w:szCs w:val="24"/>
        </w:rPr>
        <w:t>Aps</w:t>
      </w:r>
      <w:r w:rsidR="004F027F">
        <w:rPr>
          <w:rFonts w:ascii="Times New Roman" w:hAnsi="Times New Roman"/>
          <w:bCs/>
          <w:color w:val="auto"/>
          <w:sz w:val="24"/>
          <w:szCs w:val="24"/>
        </w:rPr>
        <w:t>û</w:t>
      </w:r>
      <w:proofErr w:type="spellEnd"/>
      <w:r w:rsidR="000947B0">
        <w:rPr>
          <w:rFonts w:ascii="Times New Roman" w:hAnsi="Times New Roman"/>
          <w:bCs/>
          <w:color w:val="auto"/>
          <w:sz w:val="24"/>
          <w:szCs w:val="24"/>
        </w:rPr>
        <w:t xml:space="preserve"> (freshwater).</w:t>
      </w:r>
      <w:r w:rsidR="000947B0">
        <w:rPr>
          <w:rStyle w:val="FootnoteReference"/>
          <w:rFonts w:ascii="Times New Roman" w:hAnsi="Times New Roman"/>
          <w:bCs/>
          <w:color w:val="auto"/>
          <w:sz w:val="24"/>
          <w:szCs w:val="24"/>
        </w:rPr>
        <w:footnoteReference w:id="12"/>
      </w:r>
      <w:r w:rsidR="00FE3BEA">
        <w:rPr>
          <w:rFonts w:ascii="Times New Roman" w:hAnsi="Times New Roman"/>
          <w:bCs/>
          <w:color w:val="auto"/>
          <w:sz w:val="24"/>
          <w:szCs w:val="24"/>
        </w:rPr>
        <w:t xml:space="preserve"> This process of </w:t>
      </w:r>
      <w:r w:rsidR="003D5A35">
        <w:rPr>
          <w:rFonts w:ascii="Times New Roman" w:hAnsi="Times New Roman"/>
          <w:bCs/>
          <w:color w:val="auto"/>
          <w:sz w:val="24"/>
          <w:szCs w:val="24"/>
        </w:rPr>
        <w:t xml:space="preserve">initially differentiated but necessarily </w:t>
      </w:r>
      <w:r w:rsidR="00FE3BEA">
        <w:rPr>
          <w:rFonts w:ascii="Times New Roman" w:hAnsi="Times New Roman"/>
          <w:bCs/>
          <w:color w:val="auto"/>
          <w:sz w:val="24"/>
          <w:szCs w:val="24"/>
        </w:rPr>
        <w:t>mingling waters immediately situates divine creation within a geographical context wh</w:t>
      </w:r>
      <w:r w:rsidR="003D5A35">
        <w:rPr>
          <w:rFonts w:ascii="Times New Roman" w:hAnsi="Times New Roman"/>
          <w:bCs/>
          <w:color w:val="auto"/>
          <w:sz w:val="24"/>
          <w:szCs w:val="24"/>
        </w:rPr>
        <w:t>ere</w:t>
      </w:r>
      <w:r w:rsidR="00406CCC">
        <w:rPr>
          <w:rFonts w:ascii="Times New Roman" w:hAnsi="Times New Roman"/>
          <w:bCs/>
          <w:color w:val="auto"/>
          <w:sz w:val="24"/>
          <w:szCs w:val="24"/>
        </w:rPr>
        <w:t xml:space="preserve"> </w:t>
      </w:r>
      <w:r w:rsidR="00671105">
        <w:rPr>
          <w:rFonts w:ascii="Times New Roman" w:hAnsi="Times New Roman"/>
          <w:bCs/>
          <w:color w:val="auto"/>
          <w:sz w:val="24"/>
          <w:szCs w:val="24"/>
        </w:rPr>
        <w:t>just such a minglin</w:t>
      </w:r>
      <w:r w:rsidR="00E411B9">
        <w:rPr>
          <w:rFonts w:ascii="Times New Roman" w:hAnsi="Times New Roman"/>
          <w:bCs/>
          <w:color w:val="auto"/>
          <w:sz w:val="24"/>
          <w:szCs w:val="24"/>
        </w:rPr>
        <w:t xml:space="preserve">g </w:t>
      </w:r>
      <w:r w:rsidR="003D5A35">
        <w:rPr>
          <w:rFonts w:ascii="Times New Roman" w:hAnsi="Times New Roman"/>
          <w:bCs/>
          <w:color w:val="auto"/>
          <w:sz w:val="24"/>
          <w:szCs w:val="24"/>
        </w:rPr>
        <w:t xml:space="preserve">would be recognisable to human society </w:t>
      </w:r>
      <w:r w:rsidR="00CE2BD2">
        <w:rPr>
          <w:rFonts w:ascii="Times New Roman" w:hAnsi="Times New Roman"/>
          <w:bCs/>
          <w:color w:val="auto"/>
          <w:sz w:val="24"/>
          <w:szCs w:val="24"/>
        </w:rPr>
        <w:t>– a context</w:t>
      </w:r>
      <w:r w:rsidR="003D5A35">
        <w:rPr>
          <w:rFonts w:ascii="Times New Roman" w:hAnsi="Times New Roman"/>
          <w:bCs/>
          <w:color w:val="auto"/>
          <w:sz w:val="24"/>
          <w:szCs w:val="24"/>
        </w:rPr>
        <w:t>, Harriet Crawford has argued, which Mesopotamia exemplifies.</w:t>
      </w:r>
      <w:r w:rsidR="003D5A35">
        <w:rPr>
          <w:rStyle w:val="FootnoteReference"/>
          <w:rFonts w:ascii="Times New Roman" w:hAnsi="Times New Roman"/>
          <w:bCs/>
          <w:color w:val="auto"/>
          <w:sz w:val="24"/>
          <w:szCs w:val="24"/>
        </w:rPr>
        <w:footnoteReference w:id="13"/>
      </w:r>
      <w:r w:rsidR="003D5A35">
        <w:rPr>
          <w:rFonts w:ascii="Times New Roman" w:hAnsi="Times New Roman"/>
          <w:bCs/>
          <w:color w:val="auto"/>
          <w:sz w:val="24"/>
          <w:szCs w:val="24"/>
        </w:rPr>
        <w:t xml:space="preserve"> For Crawford, the ‘curious physical characteristics </w:t>
      </w:r>
      <w:r w:rsidR="003D5A35">
        <w:rPr>
          <w:rFonts w:ascii="Times New Roman" w:hAnsi="Times New Roman"/>
          <w:bCs/>
          <w:color w:val="auto"/>
          <w:sz w:val="24"/>
          <w:szCs w:val="24"/>
        </w:rPr>
        <w:lastRenderedPageBreak/>
        <w:t>of the Mesopotamian plain’ are such that repetitive cycles of water evaporation leave land salt</w:t>
      </w:r>
      <w:r w:rsidR="00B71830">
        <w:rPr>
          <w:rFonts w:ascii="Times New Roman" w:hAnsi="Times New Roman"/>
          <w:bCs/>
          <w:color w:val="auto"/>
          <w:sz w:val="24"/>
          <w:szCs w:val="24"/>
        </w:rPr>
        <w:t>-</w:t>
      </w:r>
      <w:r w:rsidR="003D5A35">
        <w:rPr>
          <w:rFonts w:ascii="Times New Roman" w:hAnsi="Times New Roman"/>
          <w:bCs/>
          <w:color w:val="auto"/>
          <w:sz w:val="24"/>
          <w:szCs w:val="24"/>
        </w:rPr>
        <w:t>encrusted</w:t>
      </w:r>
      <w:r w:rsidR="00094906">
        <w:rPr>
          <w:rFonts w:ascii="Times New Roman" w:hAnsi="Times New Roman"/>
          <w:bCs/>
          <w:color w:val="auto"/>
          <w:sz w:val="24"/>
          <w:szCs w:val="24"/>
        </w:rPr>
        <w:t xml:space="preserve"> and in need of careful interaction in order to restore fertility.</w:t>
      </w:r>
      <w:r w:rsidR="00094906">
        <w:rPr>
          <w:rStyle w:val="FootnoteReference"/>
          <w:rFonts w:ascii="Times New Roman" w:hAnsi="Times New Roman"/>
          <w:bCs/>
          <w:color w:val="auto"/>
          <w:sz w:val="24"/>
          <w:szCs w:val="24"/>
        </w:rPr>
        <w:footnoteReference w:id="14"/>
      </w:r>
      <w:r w:rsidR="00094906">
        <w:rPr>
          <w:rFonts w:ascii="Times New Roman" w:hAnsi="Times New Roman"/>
          <w:bCs/>
          <w:color w:val="auto"/>
          <w:sz w:val="24"/>
          <w:szCs w:val="24"/>
        </w:rPr>
        <w:t xml:space="preserve"> </w:t>
      </w:r>
      <w:r w:rsidR="00B71830">
        <w:rPr>
          <w:rFonts w:ascii="Times New Roman" w:hAnsi="Times New Roman"/>
          <w:bCs/>
          <w:color w:val="auto"/>
          <w:sz w:val="24"/>
          <w:szCs w:val="24"/>
        </w:rPr>
        <w:t>F</w:t>
      </w:r>
      <w:r w:rsidR="002A10D9">
        <w:rPr>
          <w:rFonts w:ascii="Times New Roman" w:hAnsi="Times New Roman"/>
          <w:bCs/>
          <w:color w:val="auto"/>
          <w:sz w:val="24"/>
          <w:szCs w:val="24"/>
        </w:rPr>
        <w:t xml:space="preserve">or life to flourish, the salt must be removed whilst the land flushed with a regular supply of freshwater – imagery </w:t>
      </w:r>
      <w:r w:rsidR="005552FC">
        <w:rPr>
          <w:rFonts w:ascii="Times New Roman" w:hAnsi="Times New Roman"/>
          <w:bCs/>
          <w:color w:val="auto"/>
          <w:sz w:val="24"/>
          <w:szCs w:val="24"/>
        </w:rPr>
        <w:t xml:space="preserve">analogous with that of Tiāmat and </w:t>
      </w:r>
      <w:proofErr w:type="spellStart"/>
      <w:r w:rsidR="005552FC">
        <w:rPr>
          <w:rFonts w:ascii="Times New Roman" w:hAnsi="Times New Roman"/>
          <w:bCs/>
          <w:color w:val="auto"/>
          <w:sz w:val="24"/>
          <w:szCs w:val="24"/>
        </w:rPr>
        <w:t>Apsû</w:t>
      </w:r>
      <w:proofErr w:type="spellEnd"/>
      <w:r w:rsidR="002A10D9">
        <w:rPr>
          <w:rFonts w:ascii="Times New Roman" w:hAnsi="Times New Roman"/>
          <w:bCs/>
          <w:color w:val="auto"/>
          <w:sz w:val="24"/>
          <w:szCs w:val="24"/>
        </w:rPr>
        <w:t xml:space="preserve">. </w:t>
      </w:r>
      <w:r w:rsidR="00A17DD1">
        <w:rPr>
          <w:rFonts w:ascii="Times New Roman" w:hAnsi="Times New Roman"/>
          <w:bCs/>
          <w:color w:val="auto"/>
          <w:sz w:val="24"/>
          <w:szCs w:val="24"/>
        </w:rPr>
        <w:t>That culture and cosmology developed both in tandem and as a response to natural stimuli appears probable</w:t>
      </w:r>
      <w:r w:rsidR="00212B69">
        <w:rPr>
          <w:rFonts w:ascii="Times New Roman" w:hAnsi="Times New Roman"/>
          <w:bCs/>
          <w:color w:val="auto"/>
          <w:sz w:val="24"/>
          <w:szCs w:val="24"/>
        </w:rPr>
        <w:t xml:space="preserve">, echoing </w:t>
      </w:r>
      <w:r w:rsidR="00A17DD1">
        <w:rPr>
          <w:rFonts w:ascii="Times New Roman" w:hAnsi="Times New Roman"/>
          <w:bCs/>
          <w:color w:val="auto"/>
          <w:sz w:val="24"/>
          <w:szCs w:val="24"/>
        </w:rPr>
        <w:t xml:space="preserve">Freya </w:t>
      </w:r>
      <w:proofErr w:type="spellStart"/>
      <w:r w:rsidR="00212B69">
        <w:rPr>
          <w:rFonts w:ascii="Times New Roman" w:hAnsi="Times New Roman"/>
          <w:bCs/>
          <w:color w:val="auto"/>
          <w:sz w:val="24"/>
          <w:szCs w:val="24"/>
        </w:rPr>
        <w:t>Mathews’s</w:t>
      </w:r>
      <w:proofErr w:type="spellEnd"/>
      <w:r w:rsidR="00212B69">
        <w:rPr>
          <w:rFonts w:ascii="Times New Roman" w:hAnsi="Times New Roman"/>
          <w:bCs/>
          <w:color w:val="auto"/>
          <w:sz w:val="24"/>
          <w:szCs w:val="24"/>
        </w:rPr>
        <w:t xml:space="preserve"> suggestion that ‘Cosmologies are not…pulled out of the air’ </w:t>
      </w:r>
      <w:r w:rsidR="00E20892">
        <w:rPr>
          <w:rFonts w:ascii="Times New Roman" w:hAnsi="Times New Roman"/>
          <w:bCs/>
          <w:color w:val="auto"/>
          <w:sz w:val="24"/>
          <w:szCs w:val="24"/>
        </w:rPr>
        <w:t xml:space="preserve">for ‘convenience’ </w:t>
      </w:r>
      <w:r w:rsidR="00212B69">
        <w:rPr>
          <w:rFonts w:ascii="Times New Roman" w:hAnsi="Times New Roman"/>
          <w:bCs/>
          <w:color w:val="auto"/>
          <w:sz w:val="24"/>
          <w:szCs w:val="24"/>
        </w:rPr>
        <w:t>but are rather ‘conditioned by many and various historical, environment, technological, psychological and social factors’.</w:t>
      </w:r>
      <w:r w:rsidR="00212B69">
        <w:rPr>
          <w:rStyle w:val="FootnoteReference"/>
          <w:rFonts w:ascii="Times New Roman" w:hAnsi="Times New Roman"/>
          <w:bCs/>
          <w:color w:val="auto"/>
          <w:sz w:val="24"/>
          <w:szCs w:val="24"/>
        </w:rPr>
        <w:footnoteReference w:id="15"/>
      </w:r>
      <w:r w:rsidR="00A17DD1">
        <w:rPr>
          <w:rFonts w:ascii="Times New Roman" w:hAnsi="Times New Roman"/>
          <w:bCs/>
          <w:color w:val="auto"/>
          <w:sz w:val="24"/>
          <w:szCs w:val="24"/>
        </w:rPr>
        <w:t xml:space="preserve"> </w:t>
      </w:r>
      <w:r w:rsidR="002F3541">
        <w:rPr>
          <w:rFonts w:ascii="Times New Roman" w:hAnsi="Times New Roman"/>
          <w:bCs/>
          <w:color w:val="auto"/>
          <w:sz w:val="24"/>
          <w:szCs w:val="24"/>
        </w:rPr>
        <w:t xml:space="preserve">The cosmology of ancient Mesopotamians, by this logic, necessarily arrived from </w:t>
      </w:r>
      <w:r w:rsidR="00064827">
        <w:rPr>
          <w:rFonts w:ascii="Times New Roman" w:hAnsi="Times New Roman"/>
          <w:bCs/>
          <w:color w:val="auto"/>
          <w:sz w:val="24"/>
          <w:szCs w:val="24"/>
        </w:rPr>
        <w:t>its surrounding</w:t>
      </w:r>
      <w:r w:rsidR="002F3541">
        <w:rPr>
          <w:rFonts w:ascii="Times New Roman" w:hAnsi="Times New Roman"/>
          <w:bCs/>
          <w:color w:val="auto"/>
          <w:sz w:val="24"/>
          <w:szCs w:val="24"/>
        </w:rPr>
        <w:t xml:space="preserve"> waters</w:t>
      </w:r>
      <w:r w:rsidR="00064827">
        <w:rPr>
          <w:rFonts w:ascii="Times New Roman" w:hAnsi="Times New Roman"/>
          <w:bCs/>
          <w:color w:val="auto"/>
          <w:sz w:val="24"/>
          <w:szCs w:val="24"/>
        </w:rPr>
        <w:t xml:space="preserve">. </w:t>
      </w:r>
      <w:r w:rsidR="004F1585">
        <w:rPr>
          <w:rFonts w:ascii="Times New Roman" w:hAnsi="Times New Roman"/>
          <w:bCs/>
          <w:color w:val="auto"/>
          <w:sz w:val="24"/>
          <w:szCs w:val="24"/>
        </w:rPr>
        <w:t>Life both sprang from and relied upon the respect</w:t>
      </w:r>
      <w:r w:rsidR="009C74EC">
        <w:rPr>
          <w:rFonts w:ascii="Times New Roman" w:hAnsi="Times New Roman"/>
          <w:bCs/>
          <w:color w:val="auto"/>
          <w:sz w:val="24"/>
          <w:szCs w:val="24"/>
        </w:rPr>
        <w:t>ful</w:t>
      </w:r>
      <w:r w:rsidR="004F1585">
        <w:rPr>
          <w:rFonts w:ascii="Times New Roman" w:hAnsi="Times New Roman"/>
          <w:bCs/>
          <w:color w:val="auto"/>
          <w:sz w:val="24"/>
          <w:szCs w:val="24"/>
        </w:rPr>
        <w:t xml:space="preserve"> management of the Tigris and Euphrates rivers</w:t>
      </w:r>
      <w:r w:rsidR="00180B84">
        <w:rPr>
          <w:rFonts w:ascii="Times New Roman" w:hAnsi="Times New Roman"/>
          <w:bCs/>
          <w:color w:val="auto"/>
          <w:sz w:val="24"/>
          <w:szCs w:val="24"/>
        </w:rPr>
        <w:t xml:space="preserve">. Sennacherib, Ashurbanipal’s grandfather, </w:t>
      </w:r>
      <w:r w:rsidR="00461A2F">
        <w:rPr>
          <w:rFonts w:ascii="Times New Roman" w:hAnsi="Times New Roman"/>
          <w:bCs/>
          <w:color w:val="auto"/>
          <w:sz w:val="24"/>
          <w:szCs w:val="24"/>
        </w:rPr>
        <w:t xml:space="preserve">described the feats of engineering involved in bringing water to Nineveh </w:t>
      </w:r>
      <w:r w:rsidR="0039521E">
        <w:rPr>
          <w:rFonts w:ascii="Times New Roman" w:hAnsi="Times New Roman"/>
          <w:bCs/>
          <w:color w:val="auto"/>
          <w:sz w:val="24"/>
          <w:szCs w:val="24"/>
        </w:rPr>
        <w:t>as part of</w:t>
      </w:r>
      <w:r w:rsidR="00461A2F">
        <w:rPr>
          <w:rFonts w:ascii="Times New Roman" w:hAnsi="Times New Roman"/>
          <w:bCs/>
          <w:color w:val="auto"/>
          <w:sz w:val="24"/>
          <w:szCs w:val="24"/>
        </w:rPr>
        <w:t xml:space="preserve"> </w:t>
      </w:r>
      <w:r w:rsidR="0039521E">
        <w:rPr>
          <w:rFonts w:ascii="Times New Roman" w:hAnsi="Times New Roman"/>
          <w:bCs/>
          <w:color w:val="auto"/>
          <w:sz w:val="24"/>
          <w:szCs w:val="24"/>
        </w:rPr>
        <w:t>a 164-line bull inscription</w:t>
      </w:r>
      <w:r w:rsidR="00461A2F">
        <w:rPr>
          <w:rFonts w:ascii="Times New Roman" w:hAnsi="Times New Roman"/>
          <w:bCs/>
          <w:color w:val="auto"/>
          <w:sz w:val="24"/>
          <w:szCs w:val="24"/>
        </w:rPr>
        <w:t>.</w:t>
      </w:r>
      <w:r w:rsidR="00461A2F">
        <w:rPr>
          <w:rStyle w:val="FootnoteReference"/>
          <w:rFonts w:ascii="Times New Roman" w:hAnsi="Times New Roman"/>
          <w:bCs/>
          <w:color w:val="auto"/>
          <w:sz w:val="24"/>
          <w:szCs w:val="24"/>
        </w:rPr>
        <w:footnoteReference w:id="16"/>
      </w:r>
      <w:r w:rsidR="00C504E9">
        <w:rPr>
          <w:rFonts w:ascii="Times New Roman" w:hAnsi="Times New Roman"/>
          <w:bCs/>
          <w:color w:val="auto"/>
          <w:sz w:val="24"/>
          <w:szCs w:val="24"/>
        </w:rPr>
        <w:t xml:space="preserve"> </w:t>
      </w:r>
      <w:r w:rsidR="00216827">
        <w:rPr>
          <w:rFonts w:ascii="Times New Roman" w:hAnsi="Times New Roman"/>
          <w:bCs/>
          <w:color w:val="auto"/>
          <w:sz w:val="24"/>
          <w:szCs w:val="24"/>
        </w:rPr>
        <w:t>A contemporary tablet</w:t>
      </w:r>
      <w:r w:rsidR="00C504E9">
        <w:rPr>
          <w:rFonts w:ascii="Times New Roman" w:hAnsi="Times New Roman"/>
          <w:bCs/>
          <w:color w:val="auto"/>
          <w:sz w:val="24"/>
          <w:szCs w:val="24"/>
        </w:rPr>
        <w:t xml:space="preserve"> </w:t>
      </w:r>
      <w:r w:rsidR="00051EFB">
        <w:rPr>
          <w:rFonts w:ascii="Times New Roman" w:hAnsi="Times New Roman"/>
          <w:bCs/>
          <w:color w:val="auto"/>
          <w:sz w:val="24"/>
          <w:szCs w:val="24"/>
        </w:rPr>
        <w:t>(K100) calls upon ‘the great gods’</w:t>
      </w:r>
      <w:r w:rsidR="00877D6E">
        <w:rPr>
          <w:rFonts w:ascii="Times New Roman" w:hAnsi="Times New Roman"/>
          <w:bCs/>
          <w:color w:val="auto"/>
          <w:sz w:val="24"/>
          <w:szCs w:val="24"/>
        </w:rPr>
        <w:t xml:space="preserve"> to </w:t>
      </w:r>
      <w:r w:rsidR="00C81E26">
        <w:rPr>
          <w:rFonts w:ascii="Times New Roman" w:hAnsi="Times New Roman"/>
          <w:bCs/>
          <w:color w:val="auto"/>
          <w:sz w:val="24"/>
          <w:szCs w:val="24"/>
        </w:rPr>
        <w:t>‘curse with a harsh curse’</w:t>
      </w:r>
      <w:r w:rsidR="00877D6E">
        <w:rPr>
          <w:rFonts w:ascii="Times New Roman" w:hAnsi="Times New Roman"/>
          <w:bCs/>
          <w:color w:val="auto"/>
          <w:sz w:val="24"/>
          <w:szCs w:val="24"/>
        </w:rPr>
        <w:t xml:space="preserve"> any of his descendants who might attempt to ‘[desecrate]’, ‘[dismantle]’, or </w:t>
      </w:r>
      <w:r w:rsidR="00EA53F0">
        <w:rPr>
          <w:rFonts w:ascii="Times New Roman" w:hAnsi="Times New Roman"/>
          <w:bCs/>
          <w:color w:val="auto"/>
          <w:sz w:val="24"/>
          <w:szCs w:val="24"/>
        </w:rPr>
        <w:t>‘</w:t>
      </w:r>
      <w:r w:rsidR="00877D6E">
        <w:rPr>
          <w:rFonts w:ascii="Times New Roman" w:hAnsi="Times New Roman"/>
          <w:bCs/>
          <w:color w:val="auto"/>
          <w:sz w:val="24"/>
          <w:szCs w:val="24"/>
        </w:rPr>
        <w:t>[divert]</w:t>
      </w:r>
      <w:r w:rsidR="00EA53F0">
        <w:rPr>
          <w:rFonts w:ascii="Times New Roman" w:hAnsi="Times New Roman"/>
          <w:bCs/>
          <w:color w:val="auto"/>
          <w:sz w:val="24"/>
          <w:szCs w:val="24"/>
        </w:rPr>
        <w:t xml:space="preserve">’ </w:t>
      </w:r>
      <w:r w:rsidR="000B3945">
        <w:rPr>
          <w:rFonts w:ascii="Times New Roman" w:hAnsi="Times New Roman"/>
          <w:bCs/>
          <w:color w:val="auto"/>
          <w:sz w:val="24"/>
          <w:szCs w:val="24"/>
        </w:rPr>
        <w:t>t</w:t>
      </w:r>
      <w:r w:rsidR="00EA53F0">
        <w:rPr>
          <w:rFonts w:ascii="Times New Roman" w:hAnsi="Times New Roman"/>
          <w:bCs/>
          <w:color w:val="auto"/>
          <w:sz w:val="24"/>
          <w:szCs w:val="24"/>
        </w:rPr>
        <w:t xml:space="preserve">his canal-system, suggesting </w:t>
      </w:r>
      <w:r w:rsidR="003F32F2">
        <w:rPr>
          <w:rFonts w:ascii="Times New Roman" w:hAnsi="Times New Roman"/>
          <w:bCs/>
          <w:color w:val="auto"/>
          <w:sz w:val="24"/>
          <w:szCs w:val="24"/>
        </w:rPr>
        <w:t>th</w:t>
      </w:r>
      <w:r w:rsidR="00C80518">
        <w:rPr>
          <w:rFonts w:ascii="Times New Roman" w:hAnsi="Times New Roman"/>
          <w:bCs/>
          <w:color w:val="auto"/>
          <w:sz w:val="24"/>
          <w:szCs w:val="24"/>
        </w:rPr>
        <w:t>is</w:t>
      </w:r>
      <w:r w:rsidR="003F32F2">
        <w:rPr>
          <w:rFonts w:ascii="Times New Roman" w:hAnsi="Times New Roman"/>
          <w:bCs/>
          <w:color w:val="auto"/>
          <w:sz w:val="24"/>
          <w:szCs w:val="24"/>
        </w:rPr>
        <w:t xml:space="preserve"> infrastructure </w:t>
      </w:r>
      <w:r w:rsidR="00C80518">
        <w:rPr>
          <w:rFonts w:ascii="Times New Roman" w:hAnsi="Times New Roman"/>
          <w:bCs/>
          <w:color w:val="auto"/>
          <w:sz w:val="24"/>
          <w:szCs w:val="24"/>
        </w:rPr>
        <w:t xml:space="preserve">was significant enough to </w:t>
      </w:r>
      <w:r w:rsidR="002509D1">
        <w:rPr>
          <w:rFonts w:ascii="Times New Roman" w:hAnsi="Times New Roman"/>
          <w:bCs/>
          <w:color w:val="auto"/>
          <w:sz w:val="24"/>
          <w:szCs w:val="24"/>
        </w:rPr>
        <w:t>pre-emptively curse members of his own family</w:t>
      </w:r>
      <w:r w:rsidR="00C80518">
        <w:rPr>
          <w:rFonts w:ascii="Times New Roman" w:hAnsi="Times New Roman"/>
          <w:bCs/>
          <w:color w:val="auto"/>
          <w:sz w:val="24"/>
          <w:szCs w:val="24"/>
        </w:rPr>
        <w:t xml:space="preserve"> over if it were disrupted</w:t>
      </w:r>
      <w:r w:rsidR="002509D1">
        <w:rPr>
          <w:rFonts w:ascii="Times New Roman" w:hAnsi="Times New Roman"/>
          <w:bCs/>
          <w:color w:val="auto"/>
          <w:sz w:val="24"/>
          <w:szCs w:val="24"/>
        </w:rPr>
        <w:t>.</w:t>
      </w:r>
      <w:r w:rsidR="00C81E26">
        <w:rPr>
          <w:rStyle w:val="FootnoteReference"/>
          <w:rFonts w:ascii="Times New Roman" w:hAnsi="Times New Roman"/>
          <w:bCs/>
          <w:color w:val="auto"/>
          <w:sz w:val="24"/>
          <w:szCs w:val="24"/>
        </w:rPr>
        <w:footnoteReference w:id="17"/>
      </w:r>
      <w:r w:rsidR="00712DF5">
        <w:rPr>
          <w:rFonts w:ascii="Times New Roman" w:hAnsi="Times New Roman"/>
          <w:bCs/>
          <w:color w:val="auto"/>
          <w:sz w:val="24"/>
          <w:szCs w:val="24"/>
        </w:rPr>
        <w:t xml:space="preserve"> </w:t>
      </w:r>
      <w:r w:rsidR="00106D33">
        <w:rPr>
          <w:rFonts w:ascii="Times New Roman" w:hAnsi="Times New Roman"/>
          <w:bCs/>
          <w:color w:val="auto"/>
          <w:sz w:val="24"/>
          <w:szCs w:val="24"/>
        </w:rPr>
        <w:t>Th</w:t>
      </w:r>
      <w:r w:rsidR="00843584">
        <w:rPr>
          <w:rFonts w:ascii="Times New Roman" w:hAnsi="Times New Roman"/>
          <w:bCs/>
          <w:color w:val="auto"/>
          <w:sz w:val="24"/>
          <w:szCs w:val="24"/>
        </w:rPr>
        <w:t>is</w:t>
      </w:r>
      <w:r w:rsidR="00106D33">
        <w:rPr>
          <w:rFonts w:ascii="Times New Roman" w:hAnsi="Times New Roman"/>
          <w:bCs/>
          <w:color w:val="auto"/>
          <w:sz w:val="24"/>
          <w:szCs w:val="24"/>
        </w:rPr>
        <w:t xml:space="preserve"> language highlights that altering the flow of water would be viewed from both a posthumous royal as well as divine perspective as inadvisable.</w:t>
      </w:r>
      <w:r w:rsidR="00106D33">
        <w:rPr>
          <w:rFonts w:ascii="Times New Roman" w:hAnsi="Times New Roman"/>
          <w:bCs/>
          <w:i/>
          <w:color w:val="auto"/>
          <w:sz w:val="24"/>
          <w:szCs w:val="24"/>
        </w:rPr>
        <w:t xml:space="preserve"> </w:t>
      </w:r>
      <w:r w:rsidR="00843584">
        <w:rPr>
          <w:rFonts w:ascii="Times New Roman" w:hAnsi="Times New Roman"/>
          <w:bCs/>
          <w:color w:val="auto"/>
          <w:sz w:val="24"/>
          <w:szCs w:val="24"/>
        </w:rPr>
        <w:t xml:space="preserve">It will be argued that such a </w:t>
      </w:r>
      <w:r w:rsidR="007C7B05">
        <w:rPr>
          <w:rFonts w:ascii="Times New Roman" w:hAnsi="Times New Roman"/>
          <w:bCs/>
          <w:color w:val="auto"/>
          <w:sz w:val="24"/>
          <w:szCs w:val="24"/>
        </w:rPr>
        <w:t>link between language and action</w:t>
      </w:r>
      <w:r w:rsidR="0005291C">
        <w:rPr>
          <w:rFonts w:ascii="Times New Roman" w:hAnsi="Times New Roman"/>
          <w:bCs/>
          <w:color w:val="auto"/>
          <w:sz w:val="24"/>
          <w:szCs w:val="24"/>
        </w:rPr>
        <w:t xml:space="preserve"> – interpretation and reality – </w:t>
      </w:r>
      <w:r w:rsidR="00843584">
        <w:rPr>
          <w:rFonts w:ascii="Times New Roman" w:hAnsi="Times New Roman"/>
          <w:bCs/>
          <w:color w:val="auto"/>
          <w:sz w:val="24"/>
          <w:szCs w:val="24"/>
        </w:rPr>
        <w:t>was crucial to</w:t>
      </w:r>
      <w:r w:rsidR="0005291C">
        <w:rPr>
          <w:rFonts w:ascii="Times New Roman" w:hAnsi="Times New Roman"/>
          <w:bCs/>
          <w:color w:val="auto"/>
          <w:sz w:val="24"/>
          <w:szCs w:val="24"/>
        </w:rPr>
        <w:t xml:space="preserve"> both </w:t>
      </w:r>
      <w:r w:rsidR="000C4ADD">
        <w:rPr>
          <w:rFonts w:ascii="Times New Roman" w:hAnsi="Times New Roman"/>
          <w:bCs/>
          <w:color w:val="auto"/>
          <w:sz w:val="24"/>
          <w:szCs w:val="24"/>
        </w:rPr>
        <w:t>Neo-Assyrian</w:t>
      </w:r>
      <w:r w:rsidR="0005291C">
        <w:rPr>
          <w:rFonts w:ascii="Times New Roman" w:hAnsi="Times New Roman"/>
          <w:bCs/>
          <w:color w:val="auto"/>
          <w:sz w:val="24"/>
          <w:szCs w:val="24"/>
        </w:rPr>
        <w:t xml:space="preserve"> cosmology and</w:t>
      </w:r>
      <w:r w:rsidR="00843584">
        <w:rPr>
          <w:rFonts w:ascii="Times New Roman" w:hAnsi="Times New Roman"/>
          <w:bCs/>
          <w:color w:val="auto"/>
          <w:sz w:val="24"/>
          <w:szCs w:val="24"/>
        </w:rPr>
        <w:t xml:space="preserve"> </w:t>
      </w:r>
      <w:r w:rsidR="0005291C">
        <w:rPr>
          <w:rFonts w:ascii="Times New Roman" w:hAnsi="Times New Roman"/>
          <w:bCs/>
          <w:color w:val="auto"/>
          <w:sz w:val="24"/>
          <w:szCs w:val="24"/>
        </w:rPr>
        <w:t>divinatory practices.</w:t>
      </w:r>
    </w:p>
    <w:p w14:paraId="19600458" w14:textId="77777777" w:rsidR="00327F6A" w:rsidRDefault="00327F6A" w:rsidP="00851F93">
      <w:pPr>
        <w:pStyle w:val="NormalWeb"/>
        <w:spacing w:before="0" w:beforeAutospacing="0" w:after="0" w:afterAutospacing="0" w:line="360" w:lineRule="auto"/>
        <w:ind w:right="-334"/>
        <w:jc w:val="both"/>
        <w:rPr>
          <w:rFonts w:ascii="Times New Roman" w:hAnsi="Times New Roman"/>
          <w:bCs/>
          <w:i/>
          <w:color w:val="auto"/>
          <w:sz w:val="24"/>
          <w:szCs w:val="24"/>
        </w:rPr>
      </w:pPr>
    </w:p>
    <w:p w14:paraId="386F90A1" w14:textId="122C83DE" w:rsidR="00D708DF" w:rsidRDefault="00085C8D" w:rsidP="00851F93">
      <w:pPr>
        <w:pStyle w:val="NormalWeb"/>
        <w:spacing w:before="0" w:beforeAutospacing="0" w:after="0" w:afterAutospacing="0" w:line="360" w:lineRule="auto"/>
        <w:ind w:right="-334"/>
        <w:jc w:val="both"/>
        <w:rPr>
          <w:rFonts w:ascii="Times New Roman" w:hAnsi="Times New Roman"/>
          <w:bCs/>
          <w:color w:val="auto"/>
          <w:sz w:val="24"/>
          <w:szCs w:val="24"/>
        </w:rPr>
      </w:pPr>
      <w:r>
        <w:rPr>
          <w:rFonts w:ascii="Times New Roman" w:hAnsi="Times New Roman"/>
          <w:bCs/>
          <w:color w:val="auto"/>
          <w:sz w:val="24"/>
          <w:szCs w:val="24"/>
        </w:rPr>
        <w:t>The relationship between linguistic interpretation and creation is presented as significant in t</w:t>
      </w:r>
      <w:r w:rsidR="00196299">
        <w:rPr>
          <w:rFonts w:ascii="Times New Roman" w:hAnsi="Times New Roman"/>
          <w:bCs/>
          <w:color w:val="auto"/>
          <w:sz w:val="24"/>
          <w:szCs w:val="24"/>
        </w:rPr>
        <w:t xml:space="preserve">he </w:t>
      </w:r>
      <w:proofErr w:type="spellStart"/>
      <w:r w:rsidR="00751E13">
        <w:rPr>
          <w:rFonts w:ascii="Times New Roman" w:hAnsi="Times New Roman"/>
          <w:bCs/>
          <w:i/>
          <w:color w:val="auto"/>
          <w:sz w:val="24"/>
          <w:szCs w:val="24"/>
        </w:rPr>
        <w:t>Enûma</w:t>
      </w:r>
      <w:proofErr w:type="spellEnd"/>
      <w:r w:rsidR="00751E13">
        <w:rPr>
          <w:rFonts w:ascii="Times New Roman" w:hAnsi="Times New Roman"/>
          <w:bCs/>
          <w:i/>
          <w:color w:val="auto"/>
          <w:sz w:val="24"/>
          <w:szCs w:val="24"/>
        </w:rPr>
        <w:t xml:space="preserve"> </w:t>
      </w:r>
      <w:proofErr w:type="spellStart"/>
      <w:r w:rsidR="00751E13">
        <w:rPr>
          <w:rFonts w:ascii="Times New Roman" w:hAnsi="Times New Roman"/>
          <w:bCs/>
          <w:i/>
          <w:color w:val="auto"/>
          <w:sz w:val="24"/>
          <w:szCs w:val="24"/>
        </w:rPr>
        <w:t>Eliš</w:t>
      </w:r>
      <w:proofErr w:type="spellEnd"/>
      <w:r>
        <w:rPr>
          <w:rFonts w:ascii="Times New Roman" w:hAnsi="Times New Roman"/>
          <w:bCs/>
          <w:color w:val="auto"/>
          <w:sz w:val="24"/>
          <w:szCs w:val="24"/>
        </w:rPr>
        <w:t>:</w:t>
      </w:r>
      <w:r w:rsidR="00751E13">
        <w:rPr>
          <w:rFonts w:ascii="Times New Roman" w:hAnsi="Times New Roman"/>
          <w:bCs/>
          <w:color w:val="auto"/>
          <w:sz w:val="24"/>
          <w:szCs w:val="24"/>
        </w:rPr>
        <w:t xml:space="preserve"> </w:t>
      </w:r>
      <w:r w:rsidR="000E1F09">
        <w:rPr>
          <w:rFonts w:ascii="Times New Roman" w:hAnsi="Times New Roman"/>
          <w:bCs/>
          <w:color w:val="auto"/>
          <w:sz w:val="24"/>
          <w:szCs w:val="24"/>
        </w:rPr>
        <w:t xml:space="preserve">Tiāmat and </w:t>
      </w:r>
      <w:proofErr w:type="spellStart"/>
      <w:r w:rsidR="000E1F09">
        <w:rPr>
          <w:rFonts w:ascii="Times New Roman" w:hAnsi="Times New Roman"/>
          <w:bCs/>
          <w:color w:val="auto"/>
          <w:sz w:val="24"/>
          <w:szCs w:val="24"/>
        </w:rPr>
        <w:t>Apsû</w:t>
      </w:r>
      <w:proofErr w:type="spellEnd"/>
      <w:r w:rsidR="000E1F09">
        <w:rPr>
          <w:rFonts w:ascii="Times New Roman" w:hAnsi="Times New Roman"/>
          <w:bCs/>
          <w:color w:val="auto"/>
          <w:sz w:val="24"/>
          <w:szCs w:val="24"/>
        </w:rPr>
        <w:t xml:space="preserve"> mixed</w:t>
      </w:r>
      <w:r>
        <w:rPr>
          <w:rFonts w:ascii="Times New Roman" w:hAnsi="Times New Roman"/>
          <w:bCs/>
          <w:color w:val="auto"/>
          <w:sz w:val="24"/>
          <w:szCs w:val="24"/>
        </w:rPr>
        <w:t xml:space="preserve"> </w:t>
      </w:r>
      <w:r w:rsidR="000E1F09">
        <w:rPr>
          <w:rFonts w:ascii="Times New Roman" w:hAnsi="Times New Roman"/>
          <w:bCs/>
          <w:color w:val="auto"/>
          <w:sz w:val="24"/>
          <w:szCs w:val="24"/>
        </w:rPr>
        <w:t>‘When the skies above were not yet named / Nor earth below pronounced by name’</w:t>
      </w:r>
      <w:r>
        <w:rPr>
          <w:rFonts w:ascii="Times New Roman" w:hAnsi="Times New Roman"/>
          <w:bCs/>
          <w:color w:val="auto"/>
          <w:sz w:val="24"/>
          <w:szCs w:val="24"/>
        </w:rPr>
        <w:t xml:space="preserve"> (trans. </w:t>
      </w:r>
      <w:proofErr w:type="spellStart"/>
      <w:r>
        <w:rPr>
          <w:rFonts w:ascii="Times New Roman" w:hAnsi="Times New Roman"/>
          <w:bCs/>
          <w:color w:val="auto"/>
          <w:sz w:val="24"/>
          <w:szCs w:val="24"/>
        </w:rPr>
        <w:t>Dalley</w:t>
      </w:r>
      <w:proofErr w:type="spellEnd"/>
      <w:r>
        <w:rPr>
          <w:rFonts w:ascii="Times New Roman" w:hAnsi="Times New Roman"/>
          <w:bCs/>
          <w:color w:val="auto"/>
          <w:sz w:val="24"/>
          <w:szCs w:val="24"/>
        </w:rPr>
        <w:t xml:space="preserve">) and, equally, ‘When the heavens above did not </w:t>
      </w:r>
      <w:proofErr w:type="gramStart"/>
      <w:r>
        <w:rPr>
          <w:rFonts w:ascii="Times New Roman" w:hAnsi="Times New Roman"/>
          <w:bCs/>
          <w:color w:val="auto"/>
          <w:sz w:val="24"/>
          <w:szCs w:val="24"/>
        </w:rPr>
        <w:t>exist,  /</w:t>
      </w:r>
      <w:proofErr w:type="gramEnd"/>
      <w:r>
        <w:rPr>
          <w:rFonts w:ascii="Times New Roman" w:hAnsi="Times New Roman"/>
          <w:bCs/>
          <w:color w:val="auto"/>
          <w:sz w:val="24"/>
          <w:szCs w:val="24"/>
        </w:rPr>
        <w:t xml:space="preserve"> And earth beneath had not come into being’ (trans. Lambert)</w:t>
      </w:r>
      <w:r w:rsidR="000E1F09">
        <w:rPr>
          <w:rFonts w:ascii="Times New Roman" w:hAnsi="Times New Roman"/>
          <w:bCs/>
          <w:color w:val="auto"/>
          <w:sz w:val="24"/>
          <w:szCs w:val="24"/>
        </w:rPr>
        <w:t>.</w:t>
      </w:r>
      <w:r w:rsidR="000E1F09">
        <w:rPr>
          <w:rStyle w:val="FootnoteReference"/>
          <w:rFonts w:ascii="Times New Roman" w:hAnsi="Times New Roman"/>
          <w:bCs/>
          <w:color w:val="auto"/>
          <w:sz w:val="24"/>
          <w:szCs w:val="24"/>
        </w:rPr>
        <w:footnoteReference w:id="18"/>
      </w:r>
      <w:r w:rsidR="000E1F09">
        <w:rPr>
          <w:rFonts w:ascii="Times New Roman" w:hAnsi="Times New Roman"/>
          <w:bCs/>
          <w:color w:val="auto"/>
          <w:sz w:val="24"/>
          <w:szCs w:val="24"/>
        </w:rPr>
        <w:t xml:space="preserve"> </w:t>
      </w:r>
      <w:r w:rsidR="004462A6">
        <w:rPr>
          <w:rFonts w:ascii="Times New Roman" w:hAnsi="Times New Roman"/>
          <w:bCs/>
          <w:color w:val="auto"/>
          <w:sz w:val="24"/>
          <w:szCs w:val="24"/>
        </w:rPr>
        <w:t xml:space="preserve">Looking at these two translations the link between naming and creation is so strong that the </w:t>
      </w:r>
      <w:r w:rsidR="002B78DC">
        <w:rPr>
          <w:rFonts w:ascii="Times New Roman" w:hAnsi="Times New Roman"/>
          <w:bCs/>
          <w:color w:val="auto"/>
          <w:sz w:val="24"/>
          <w:szCs w:val="24"/>
        </w:rPr>
        <w:t>appear</w:t>
      </w:r>
      <w:r w:rsidR="004462A6">
        <w:rPr>
          <w:rFonts w:ascii="Times New Roman" w:hAnsi="Times New Roman"/>
          <w:bCs/>
          <w:color w:val="auto"/>
          <w:sz w:val="24"/>
          <w:szCs w:val="24"/>
        </w:rPr>
        <w:t xml:space="preserve"> synonymously</w:t>
      </w:r>
      <w:r w:rsidR="002B78DC">
        <w:rPr>
          <w:rFonts w:ascii="Times New Roman" w:hAnsi="Times New Roman"/>
          <w:bCs/>
          <w:color w:val="auto"/>
          <w:sz w:val="24"/>
          <w:szCs w:val="24"/>
        </w:rPr>
        <w:t xml:space="preserve"> treated</w:t>
      </w:r>
      <w:r w:rsidR="0097287D">
        <w:rPr>
          <w:rFonts w:ascii="Times New Roman" w:hAnsi="Times New Roman"/>
          <w:bCs/>
          <w:color w:val="auto"/>
          <w:sz w:val="24"/>
          <w:szCs w:val="24"/>
        </w:rPr>
        <w:t xml:space="preserve"> by </w:t>
      </w:r>
      <w:proofErr w:type="spellStart"/>
      <w:r w:rsidR="0097287D">
        <w:rPr>
          <w:rFonts w:ascii="Times New Roman" w:hAnsi="Times New Roman"/>
          <w:bCs/>
          <w:color w:val="auto"/>
          <w:sz w:val="24"/>
          <w:szCs w:val="24"/>
        </w:rPr>
        <w:t>Dalley</w:t>
      </w:r>
      <w:proofErr w:type="spellEnd"/>
      <w:r w:rsidR="0097287D">
        <w:rPr>
          <w:rFonts w:ascii="Times New Roman" w:hAnsi="Times New Roman"/>
          <w:bCs/>
          <w:color w:val="auto"/>
          <w:sz w:val="24"/>
          <w:szCs w:val="24"/>
        </w:rPr>
        <w:t xml:space="preserve"> and Lambert</w:t>
      </w:r>
      <w:r w:rsidR="004462A6">
        <w:rPr>
          <w:rFonts w:ascii="Times New Roman" w:hAnsi="Times New Roman"/>
          <w:bCs/>
          <w:color w:val="auto"/>
          <w:sz w:val="24"/>
          <w:szCs w:val="24"/>
        </w:rPr>
        <w:t xml:space="preserve">. </w:t>
      </w:r>
      <w:r w:rsidR="00A96831">
        <w:rPr>
          <w:rFonts w:ascii="Times New Roman" w:hAnsi="Times New Roman"/>
          <w:bCs/>
          <w:color w:val="auto"/>
          <w:sz w:val="24"/>
          <w:szCs w:val="24"/>
        </w:rPr>
        <w:t xml:space="preserve">An alteration from water to substantive form is apparent in </w:t>
      </w:r>
      <w:proofErr w:type="spellStart"/>
      <w:r w:rsidR="00561425">
        <w:rPr>
          <w:rFonts w:ascii="Times New Roman" w:hAnsi="Times New Roman"/>
          <w:bCs/>
          <w:color w:val="auto"/>
          <w:sz w:val="24"/>
          <w:szCs w:val="24"/>
        </w:rPr>
        <w:t>Dalley’s</w:t>
      </w:r>
      <w:proofErr w:type="spellEnd"/>
      <w:r w:rsidR="00A96831">
        <w:rPr>
          <w:rFonts w:ascii="Times New Roman" w:hAnsi="Times New Roman"/>
          <w:bCs/>
          <w:color w:val="auto"/>
          <w:sz w:val="24"/>
          <w:szCs w:val="24"/>
        </w:rPr>
        <w:t xml:space="preserve"> translation:</w:t>
      </w:r>
      <w:r w:rsidR="000E1F09" w:rsidRPr="00A96831">
        <w:rPr>
          <w:rFonts w:ascii="Times New Roman" w:hAnsi="Times New Roman"/>
          <w:bCs/>
          <w:color w:val="auto"/>
          <w:sz w:val="24"/>
          <w:szCs w:val="24"/>
        </w:rPr>
        <w:t xml:space="preserve"> </w:t>
      </w:r>
      <w:r w:rsidR="00A96831" w:rsidRPr="00A96831">
        <w:rPr>
          <w:rFonts w:ascii="Times New Roman" w:hAnsi="Times New Roman"/>
          <w:sz w:val="24"/>
          <w:szCs w:val="24"/>
        </w:rPr>
        <w:t>‘</w:t>
      </w:r>
      <w:proofErr w:type="spellStart"/>
      <w:r w:rsidR="00A96831" w:rsidRPr="00A96831">
        <w:rPr>
          <w:rFonts w:ascii="Times New Roman" w:hAnsi="Times New Roman"/>
          <w:sz w:val="24"/>
          <w:szCs w:val="24"/>
        </w:rPr>
        <w:t>Lahmu</w:t>
      </w:r>
      <w:proofErr w:type="spellEnd"/>
      <w:r w:rsidR="00A96831" w:rsidRPr="00A96831">
        <w:rPr>
          <w:rFonts w:ascii="Times New Roman" w:hAnsi="Times New Roman"/>
          <w:sz w:val="24"/>
          <w:szCs w:val="24"/>
        </w:rPr>
        <w:t xml:space="preserve"> (and) </w:t>
      </w:r>
      <w:proofErr w:type="spellStart"/>
      <w:r w:rsidR="00A96831" w:rsidRPr="00A96831">
        <w:rPr>
          <w:rFonts w:ascii="Times New Roman" w:hAnsi="Times New Roman"/>
          <w:sz w:val="24"/>
          <w:szCs w:val="24"/>
        </w:rPr>
        <w:t>Lahamu</w:t>
      </w:r>
      <w:proofErr w:type="spellEnd"/>
      <w:r w:rsidR="00A96831" w:rsidRPr="00A96831">
        <w:rPr>
          <w:rFonts w:ascii="Times New Roman" w:hAnsi="Times New Roman"/>
          <w:sz w:val="24"/>
          <w:szCs w:val="24"/>
        </w:rPr>
        <w:t xml:space="preserve"> emerged’ from Tiāmat and </w:t>
      </w:r>
      <w:proofErr w:type="spellStart"/>
      <w:r w:rsidR="00A96831" w:rsidRPr="00A96831">
        <w:rPr>
          <w:rFonts w:ascii="Times New Roman" w:hAnsi="Times New Roman"/>
          <w:sz w:val="24"/>
          <w:szCs w:val="24"/>
        </w:rPr>
        <w:t>Apsû’s</w:t>
      </w:r>
      <w:proofErr w:type="spellEnd"/>
      <w:r w:rsidR="00A96831" w:rsidRPr="00A96831">
        <w:rPr>
          <w:rFonts w:ascii="Times New Roman" w:hAnsi="Times New Roman"/>
          <w:sz w:val="24"/>
          <w:szCs w:val="24"/>
        </w:rPr>
        <w:t xml:space="preserve"> watery mixture</w:t>
      </w:r>
      <w:r w:rsidR="00A96831">
        <w:rPr>
          <w:rFonts w:ascii="Times New Roman" w:hAnsi="Times New Roman"/>
          <w:sz w:val="24"/>
          <w:szCs w:val="24"/>
        </w:rPr>
        <w:t xml:space="preserve"> and </w:t>
      </w:r>
      <w:r w:rsidR="00995814">
        <w:rPr>
          <w:rFonts w:ascii="Times New Roman" w:hAnsi="Times New Roman"/>
          <w:sz w:val="24"/>
          <w:szCs w:val="24"/>
        </w:rPr>
        <w:t>had ‘their names pronounced’</w:t>
      </w:r>
      <w:r w:rsidR="00A96831">
        <w:rPr>
          <w:rFonts w:ascii="Times New Roman" w:hAnsi="Times New Roman"/>
          <w:sz w:val="24"/>
          <w:szCs w:val="24"/>
        </w:rPr>
        <w:t xml:space="preserve">, whilst their children </w:t>
      </w:r>
      <w:r w:rsidR="00A96831" w:rsidRPr="00A96831">
        <w:rPr>
          <w:rFonts w:ascii="Times New Roman" w:hAnsi="Times New Roman"/>
          <w:sz w:val="24"/>
          <w:szCs w:val="24"/>
        </w:rPr>
        <w:t xml:space="preserve">‘Anshar (and) </w:t>
      </w:r>
      <w:proofErr w:type="spellStart"/>
      <w:r w:rsidR="00A96831" w:rsidRPr="00A96831">
        <w:rPr>
          <w:rFonts w:ascii="Times New Roman" w:hAnsi="Times New Roman"/>
          <w:sz w:val="24"/>
          <w:szCs w:val="24"/>
        </w:rPr>
        <w:t>Kishar</w:t>
      </w:r>
      <w:proofErr w:type="spellEnd"/>
      <w:r w:rsidR="00A96831">
        <w:rPr>
          <w:rFonts w:ascii="Times New Roman" w:hAnsi="Times New Roman"/>
          <w:sz w:val="24"/>
          <w:szCs w:val="24"/>
        </w:rPr>
        <w:t xml:space="preserve">’ were not </w:t>
      </w:r>
      <w:r w:rsidR="00A96831" w:rsidRPr="00A96831">
        <w:rPr>
          <w:rFonts w:ascii="Times New Roman" w:hAnsi="Times New Roman"/>
          <w:sz w:val="24"/>
          <w:szCs w:val="24"/>
        </w:rPr>
        <w:t xml:space="preserve"> </w:t>
      </w:r>
      <w:r w:rsidR="00A96831">
        <w:rPr>
          <w:rFonts w:ascii="Times New Roman" w:hAnsi="Times New Roman"/>
          <w:sz w:val="24"/>
          <w:szCs w:val="24"/>
        </w:rPr>
        <w:t>‘</w:t>
      </w:r>
      <w:r w:rsidR="00A96831" w:rsidRPr="00A96831">
        <w:rPr>
          <w:rFonts w:ascii="Times New Roman" w:hAnsi="Times New Roman"/>
          <w:sz w:val="24"/>
          <w:szCs w:val="24"/>
        </w:rPr>
        <w:t>born’</w:t>
      </w:r>
      <w:r w:rsidR="00A96831">
        <w:rPr>
          <w:rFonts w:ascii="Times New Roman" w:hAnsi="Times New Roman"/>
          <w:sz w:val="24"/>
          <w:szCs w:val="24"/>
        </w:rPr>
        <w:t xml:space="preserve"> </w:t>
      </w:r>
      <w:r w:rsidR="00A96831">
        <w:rPr>
          <w:rFonts w:ascii="Times New Roman" w:hAnsi="Times New Roman"/>
          <w:sz w:val="24"/>
          <w:szCs w:val="24"/>
        </w:rPr>
        <w:lastRenderedPageBreak/>
        <w:t>until their parents had ‘matured’ to the point that they were ‘fully formed’.</w:t>
      </w:r>
      <w:r w:rsidR="00995814">
        <w:rPr>
          <w:rStyle w:val="FootnoteReference"/>
          <w:rFonts w:ascii="Times New Roman" w:hAnsi="Times New Roman"/>
          <w:sz w:val="24"/>
          <w:szCs w:val="24"/>
        </w:rPr>
        <w:footnoteReference w:id="19"/>
      </w:r>
      <w:r w:rsidR="00A16379">
        <w:rPr>
          <w:rFonts w:ascii="Times New Roman" w:hAnsi="Times New Roman"/>
          <w:sz w:val="24"/>
          <w:szCs w:val="24"/>
        </w:rPr>
        <w:t xml:space="preserve"> Lambert has translated</w:t>
      </w:r>
      <w:r w:rsidR="00B524DC">
        <w:rPr>
          <w:rFonts w:ascii="Times New Roman" w:hAnsi="Times New Roman"/>
          <w:sz w:val="24"/>
          <w:szCs w:val="24"/>
        </w:rPr>
        <w:t xml:space="preserve"> using ‘formed and came into being’ rather than explicitly mentioning naming regarding </w:t>
      </w:r>
      <w:proofErr w:type="spellStart"/>
      <w:r w:rsidR="00B524DC">
        <w:rPr>
          <w:rFonts w:ascii="Times New Roman" w:hAnsi="Times New Roman"/>
          <w:sz w:val="24"/>
          <w:szCs w:val="24"/>
        </w:rPr>
        <w:t>Lahmu</w:t>
      </w:r>
      <w:proofErr w:type="spellEnd"/>
      <w:r w:rsidR="00B524DC">
        <w:rPr>
          <w:rFonts w:ascii="Times New Roman" w:hAnsi="Times New Roman"/>
          <w:sz w:val="24"/>
          <w:szCs w:val="24"/>
        </w:rPr>
        <w:t xml:space="preserve"> and </w:t>
      </w:r>
      <w:proofErr w:type="spellStart"/>
      <w:r w:rsidR="00B524DC">
        <w:rPr>
          <w:rFonts w:ascii="Times New Roman" w:hAnsi="Times New Roman"/>
          <w:sz w:val="24"/>
          <w:szCs w:val="24"/>
        </w:rPr>
        <w:t>Lahamu</w:t>
      </w:r>
      <w:proofErr w:type="spellEnd"/>
      <w:r w:rsidR="00B524DC">
        <w:rPr>
          <w:rFonts w:ascii="Times New Roman" w:hAnsi="Times New Roman"/>
          <w:sz w:val="24"/>
          <w:szCs w:val="24"/>
        </w:rPr>
        <w:t xml:space="preserve">, and ‘created’ in place of </w:t>
      </w:r>
      <w:proofErr w:type="spellStart"/>
      <w:r w:rsidR="00B524DC">
        <w:rPr>
          <w:rFonts w:ascii="Times New Roman" w:hAnsi="Times New Roman"/>
          <w:sz w:val="24"/>
          <w:szCs w:val="24"/>
        </w:rPr>
        <w:t>Dalley’s</w:t>
      </w:r>
      <w:proofErr w:type="spellEnd"/>
      <w:r w:rsidR="00B524DC">
        <w:rPr>
          <w:rFonts w:ascii="Times New Roman" w:hAnsi="Times New Roman"/>
          <w:sz w:val="24"/>
          <w:szCs w:val="24"/>
        </w:rPr>
        <w:t xml:space="preserve"> ‘born’, yet the point stands that forming appears to have been viewed as a process of both</w:t>
      </w:r>
      <w:r w:rsidR="005E6D33">
        <w:rPr>
          <w:rFonts w:ascii="Times New Roman" w:hAnsi="Times New Roman"/>
          <w:sz w:val="24"/>
          <w:szCs w:val="24"/>
        </w:rPr>
        <w:t xml:space="preserve"> linguistic and physical</w:t>
      </w:r>
      <w:r w:rsidR="00B524DC">
        <w:rPr>
          <w:rFonts w:ascii="Times New Roman" w:hAnsi="Times New Roman"/>
          <w:sz w:val="24"/>
          <w:szCs w:val="24"/>
        </w:rPr>
        <w:t xml:space="preserve"> </w:t>
      </w:r>
      <w:r w:rsidR="005E6D33">
        <w:rPr>
          <w:rFonts w:ascii="Times New Roman" w:hAnsi="Times New Roman"/>
          <w:sz w:val="24"/>
          <w:szCs w:val="24"/>
        </w:rPr>
        <w:t>actualisation</w:t>
      </w:r>
      <w:r w:rsidR="00B524DC">
        <w:rPr>
          <w:rFonts w:ascii="Times New Roman" w:hAnsi="Times New Roman"/>
          <w:sz w:val="24"/>
          <w:szCs w:val="24"/>
        </w:rPr>
        <w:t>.</w:t>
      </w:r>
      <w:r w:rsidR="00B524DC">
        <w:rPr>
          <w:rStyle w:val="FootnoteReference"/>
          <w:rFonts w:ascii="Times New Roman" w:hAnsi="Times New Roman"/>
          <w:sz w:val="24"/>
          <w:szCs w:val="24"/>
        </w:rPr>
        <w:footnoteReference w:id="20"/>
      </w:r>
      <w:r w:rsidR="00E77499">
        <w:rPr>
          <w:rFonts w:ascii="Times New Roman" w:hAnsi="Times New Roman"/>
          <w:sz w:val="24"/>
          <w:szCs w:val="24"/>
        </w:rPr>
        <w:t xml:space="preserve"> As emergence from a liquid gives way to birth, so time is named and – there is an implication – so time begins</w:t>
      </w:r>
      <w:r w:rsidR="00F67CD2">
        <w:rPr>
          <w:rFonts w:ascii="Times New Roman" w:hAnsi="Times New Roman"/>
          <w:sz w:val="24"/>
          <w:szCs w:val="24"/>
        </w:rPr>
        <w:t>,</w:t>
      </w:r>
      <w:r w:rsidR="00E77499">
        <w:rPr>
          <w:rFonts w:ascii="Times New Roman" w:hAnsi="Times New Roman"/>
          <w:sz w:val="24"/>
          <w:szCs w:val="24"/>
        </w:rPr>
        <w:t xml:space="preserve"> suggesting that the </w:t>
      </w:r>
      <w:r w:rsidR="000E1F09">
        <w:rPr>
          <w:rFonts w:ascii="Times New Roman" w:hAnsi="Times New Roman"/>
          <w:bCs/>
          <w:color w:val="auto"/>
          <w:sz w:val="24"/>
          <w:szCs w:val="24"/>
        </w:rPr>
        <w:t>process by which a thing is named ma</w:t>
      </w:r>
      <w:r w:rsidR="00E77499">
        <w:rPr>
          <w:rFonts w:ascii="Times New Roman" w:hAnsi="Times New Roman"/>
          <w:bCs/>
          <w:color w:val="auto"/>
          <w:sz w:val="24"/>
          <w:szCs w:val="24"/>
        </w:rPr>
        <w:t>de</w:t>
      </w:r>
      <w:r w:rsidR="000E1F09">
        <w:rPr>
          <w:rFonts w:ascii="Times New Roman" w:hAnsi="Times New Roman"/>
          <w:bCs/>
          <w:color w:val="auto"/>
          <w:sz w:val="24"/>
          <w:szCs w:val="24"/>
        </w:rPr>
        <w:t xml:space="preserve"> it substantial</w:t>
      </w:r>
      <w:r w:rsidR="00F67CD2">
        <w:rPr>
          <w:rFonts w:ascii="Times New Roman" w:hAnsi="Times New Roman"/>
          <w:bCs/>
          <w:color w:val="auto"/>
          <w:sz w:val="24"/>
          <w:szCs w:val="24"/>
        </w:rPr>
        <w:t xml:space="preserve"> and in some sense </w:t>
      </w:r>
      <w:r w:rsidR="000E1F09">
        <w:rPr>
          <w:rFonts w:ascii="Times New Roman" w:hAnsi="Times New Roman"/>
          <w:bCs/>
          <w:color w:val="auto"/>
          <w:sz w:val="24"/>
          <w:szCs w:val="24"/>
        </w:rPr>
        <w:t>br</w:t>
      </w:r>
      <w:r w:rsidR="00E77499">
        <w:rPr>
          <w:rFonts w:ascii="Times New Roman" w:hAnsi="Times New Roman"/>
          <w:bCs/>
          <w:color w:val="auto"/>
          <w:sz w:val="24"/>
          <w:szCs w:val="24"/>
        </w:rPr>
        <w:t>ought</w:t>
      </w:r>
      <w:r w:rsidR="000E1F09">
        <w:rPr>
          <w:rFonts w:ascii="Times New Roman" w:hAnsi="Times New Roman"/>
          <w:bCs/>
          <w:color w:val="auto"/>
          <w:sz w:val="24"/>
          <w:szCs w:val="24"/>
        </w:rPr>
        <w:t xml:space="preserve"> it into reality</w:t>
      </w:r>
      <w:r w:rsidR="00E77499">
        <w:rPr>
          <w:rFonts w:ascii="Times New Roman" w:hAnsi="Times New Roman"/>
          <w:bCs/>
          <w:color w:val="auto"/>
          <w:sz w:val="24"/>
          <w:szCs w:val="24"/>
        </w:rPr>
        <w:t>.</w:t>
      </w:r>
      <w:r w:rsidR="002B78DC">
        <w:rPr>
          <w:rStyle w:val="FootnoteReference"/>
          <w:rFonts w:ascii="Times New Roman" w:hAnsi="Times New Roman"/>
          <w:bCs/>
          <w:color w:val="auto"/>
          <w:sz w:val="24"/>
          <w:szCs w:val="24"/>
        </w:rPr>
        <w:footnoteReference w:id="21"/>
      </w:r>
      <w:r w:rsidR="00F67CD2">
        <w:rPr>
          <w:rFonts w:ascii="Times New Roman" w:hAnsi="Times New Roman"/>
          <w:bCs/>
          <w:color w:val="auto"/>
          <w:sz w:val="24"/>
          <w:szCs w:val="24"/>
        </w:rPr>
        <w:t xml:space="preserve"> </w:t>
      </w:r>
      <w:r w:rsidR="0009684A">
        <w:rPr>
          <w:rFonts w:ascii="Times New Roman" w:hAnsi="Times New Roman"/>
          <w:bCs/>
          <w:color w:val="auto"/>
          <w:sz w:val="24"/>
          <w:szCs w:val="24"/>
        </w:rPr>
        <w:t xml:space="preserve">This appears </w:t>
      </w:r>
      <w:r w:rsidR="00FB1714">
        <w:rPr>
          <w:rFonts w:ascii="Times New Roman" w:hAnsi="Times New Roman"/>
          <w:bCs/>
          <w:color w:val="auto"/>
          <w:sz w:val="24"/>
          <w:szCs w:val="24"/>
        </w:rPr>
        <w:t xml:space="preserve">to perhaps be an </w:t>
      </w:r>
      <w:r w:rsidR="0009684A">
        <w:rPr>
          <w:rFonts w:ascii="Times New Roman" w:hAnsi="Times New Roman"/>
          <w:bCs/>
          <w:color w:val="auto"/>
          <w:sz w:val="24"/>
          <w:szCs w:val="24"/>
        </w:rPr>
        <w:t>earlier incarnation of</w:t>
      </w:r>
      <w:r w:rsidR="005F1106">
        <w:rPr>
          <w:rFonts w:ascii="Times New Roman" w:hAnsi="Times New Roman"/>
          <w:bCs/>
          <w:color w:val="auto"/>
          <w:sz w:val="24"/>
          <w:szCs w:val="24"/>
        </w:rPr>
        <w:t xml:space="preserve"> the Platonic ‘ideal’ </w:t>
      </w:r>
      <w:r w:rsidR="00115ECC">
        <w:rPr>
          <w:rFonts w:ascii="Times New Roman" w:hAnsi="Times New Roman"/>
          <w:bCs/>
          <w:color w:val="auto"/>
          <w:sz w:val="24"/>
          <w:szCs w:val="24"/>
        </w:rPr>
        <w:t xml:space="preserve">conceptual </w:t>
      </w:r>
      <w:r w:rsidR="005F1106">
        <w:rPr>
          <w:rFonts w:ascii="Times New Roman" w:hAnsi="Times New Roman"/>
          <w:bCs/>
          <w:color w:val="auto"/>
          <w:sz w:val="24"/>
          <w:szCs w:val="24"/>
        </w:rPr>
        <w:t>form which must be kept in mind whenever</w:t>
      </w:r>
      <w:r w:rsidR="00CA2558">
        <w:rPr>
          <w:rFonts w:ascii="Times New Roman" w:hAnsi="Times New Roman"/>
          <w:bCs/>
          <w:color w:val="auto"/>
          <w:sz w:val="24"/>
          <w:szCs w:val="24"/>
        </w:rPr>
        <w:t xml:space="preserve"> that concept is brought into reality – the ‘shuttle-ness’ of a shuttle, to paraphrase Plato’s example in his </w:t>
      </w:r>
      <w:proofErr w:type="spellStart"/>
      <w:r w:rsidR="00C2328C" w:rsidRPr="00C2328C">
        <w:rPr>
          <w:rFonts w:ascii="Times New Roman" w:hAnsi="Times New Roman"/>
          <w:bCs/>
          <w:i/>
          <w:color w:val="auto"/>
          <w:sz w:val="24"/>
          <w:szCs w:val="24"/>
        </w:rPr>
        <w:t>Cratylus</w:t>
      </w:r>
      <w:proofErr w:type="spellEnd"/>
      <w:r w:rsidR="00CA2558">
        <w:rPr>
          <w:rFonts w:ascii="Times New Roman" w:hAnsi="Times New Roman"/>
          <w:bCs/>
          <w:color w:val="auto"/>
          <w:sz w:val="24"/>
          <w:szCs w:val="24"/>
        </w:rPr>
        <w:t>.</w:t>
      </w:r>
      <w:r w:rsidR="00737F19">
        <w:rPr>
          <w:rStyle w:val="FootnoteReference"/>
          <w:rFonts w:ascii="Times New Roman" w:hAnsi="Times New Roman"/>
          <w:bCs/>
          <w:color w:val="auto"/>
          <w:sz w:val="24"/>
          <w:szCs w:val="24"/>
        </w:rPr>
        <w:footnoteReference w:id="22"/>
      </w:r>
      <w:r w:rsidR="00CA2558">
        <w:rPr>
          <w:rFonts w:ascii="Times New Roman" w:hAnsi="Times New Roman"/>
          <w:bCs/>
          <w:color w:val="auto"/>
          <w:sz w:val="24"/>
          <w:szCs w:val="24"/>
        </w:rPr>
        <w:t xml:space="preserve"> In </w:t>
      </w:r>
      <w:proofErr w:type="spellStart"/>
      <w:r w:rsidR="00CA2558">
        <w:rPr>
          <w:rFonts w:ascii="Times New Roman" w:hAnsi="Times New Roman"/>
          <w:bCs/>
          <w:i/>
          <w:color w:val="auto"/>
          <w:sz w:val="24"/>
          <w:szCs w:val="24"/>
        </w:rPr>
        <w:t>Cratylus</w:t>
      </w:r>
      <w:proofErr w:type="spellEnd"/>
      <w:r w:rsidR="00CA2558">
        <w:rPr>
          <w:rFonts w:ascii="Times New Roman" w:hAnsi="Times New Roman"/>
          <w:bCs/>
          <w:i/>
          <w:color w:val="auto"/>
          <w:sz w:val="24"/>
          <w:szCs w:val="24"/>
        </w:rPr>
        <w:t>,</w:t>
      </w:r>
      <w:r w:rsidR="00CA2558">
        <w:rPr>
          <w:rFonts w:ascii="Times New Roman" w:hAnsi="Times New Roman"/>
          <w:bCs/>
          <w:color w:val="auto"/>
          <w:sz w:val="24"/>
          <w:szCs w:val="24"/>
        </w:rPr>
        <w:t xml:space="preserve"> Plato</w:t>
      </w:r>
      <w:r w:rsidR="00C2328C">
        <w:rPr>
          <w:rFonts w:ascii="Times New Roman" w:hAnsi="Times New Roman"/>
          <w:bCs/>
          <w:i/>
          <w:color w:val="auto"/>
          <w:sz w:val="24"/>
          <w:szCs w:val="24"/>
        </w:rPr>
        <w:t xml:space="preserve"> </w:t>
      </w:r>
      <w:r w:rsidR="00C2328C">
        <w:rPr>
          <w:rFonts w:ascii="Times New Roman" w:hAnsi="Times New Roman"/>
          <w:bCs/>
          <w:color w:val="auto"/>
          <w:sz w:val="24"/>
          <w:szCs w:val="24"/>
        </w:rPr>
        <w:t>has Socrates argue that ‘a name…is an instrument of teaching and of separating reality’: where the vocalised name of anything must fit the thing which it is naming appropriately</w:t>
      </w:r>
      <w:r w:rsidR="00691604">
        <w:rPr>
          <w:rFonts w:ascii="Times New Roman" w:hAnsi="Times New Roman"/>
          <w:bCs/>
          <w:color w:val="auto"/>
          <w:sz w:val="24"/>
          <w:szCs w:val="24"/>
        </w:rPr>
        <w:t xml:space="preserve">, and so </w:t>
      </w:r>
      <w:r w:rsidR="00E23557">
        <w:rPr>
          <w:rFonts w:ascii="Times New Roman" w:hAnsi="Times New Roman"/>
          <w:bCs/>
          <w:color w:val="auto"/>
          <w:sz w:val="24"/>
          <w:szCs w:val="24"/>
        </w:rPr>
        <w:t>only a skilled ‘lawgiver’ should take on the task of naming</w:t>
      </w:r>
      <w:r w:rsidR="00C2328C">
        <w:rPr>
          <w:rFonts w:ascii="Times New Roman" w:hAnsi="Times New Roman"/>
          <w:bCs/>
          <w:color w:val="auto"/>
          <w:sz w:val="24"/>
          <w:szCs w:val="24"/>
        </w:rPr>
        <w:t>.</w:t>
      </w:r>
      <w:r w:rsidR="00C2328C">
        <w:rPr>
          <w:rStyle w:val="FootnoteReference"/>
          <w:rFonts w:ascii="Times New Roman" w:hAnsi="Times New Roman"/>
          <w:bCs/>
          <w:color w:val="auto"/>
          <w:sz w:val="24"/>
          <w:szCs w:val="24"/>
        </w:rPr>
        <w:footnoteReference w:id="23"/>
      </w:r>
      <w:r w:rsidR="00C2328C">
        <w:rPr>
          <w:rFonts w:ascii="Times New Roman" w:hAnsi="Times New Roman"/>
          <w:bCs/>
          <w:i/>
          <w:color w:val="auto"/>
          <w:sz w:val="24"/>
          <w:szCs w:val="24"/>
        </w:rPr>
        <w:t xml:space="preserve"> </w:t>
      </w:r>
      <w:r w:rsidR="000C4ADD">
        <w:rPr>
          <w:rFonts w:ascii="Times New Roman" w:hAnsi="Times New Roman"/>
          <w:bCs/>
          <w:color w:val="auto"/>
          <w:sz w:val="24"/>
          <w:szCs w:val="24"/>
        </w:rPr>
        <w:t xml:space="preserve">That Socrates </w:t>
      </w:r>
      <w:r w:rsidR="003E47AE">
        <w:rPr>
          <w:rFonts w:ascii="Times New Roman" w:hAnsi="Times New Roman"/>
          <w:bCs/>
          <w:color w:val="auto"/>
          <w:sz w:val="24"/>
          <w:szCs w:val="24"/>
        </w:rPr>
        <w:t xml:space="preserve">is tasked </w:t>
      </w:r>
      <w:r w:rsidR="000C4ADD">
        <w:rPr>
          <w:rFonts w:ascii="Times New Roman" w:hAnsi="Times New Roman"/>
          <w:bCs/>
          <w:color w:val="auto"/>
          <w:sz w:val="24"/>
          <w:szCs w:val="24"/>
        </w:rPr>
        <w:t xml:space="preserve">with assigning this skill to a ‘lawgiver’ is particularly pertinent when considering Neo-Assyrian </w:t>
      </w:r>
      <w:r w:rsidR="008C0012">
        <w:rPr>
          <w:rFonts w:ascii="Times New Roman" w:hAnsi="Times New Roman"/>
          <w:bCs/>
          <w:color w:val="auto"/>
          <w:sz w:val="24"/>
          <w:szCs w:val="24"/>
        </w:rPr>
        <w:t>divinatory practices</w:t>
      </w:r>
      <w:r w:rsidR="00676AC4">
        <w:rPr>
          <w:rFonts w:ascii="Times New Roman" w:hAnsi="Times New Roman"/>
          <w:bCs/>
          <w:color w:val="auto"/>
          <w:sz w:val="24"/>
          <w:szCs w:val="24"/>
        </w:rPr>
        <w:t xml:space="preserve"> as, following the persuasive argument presented by </w:t>
      </w:r>
      <w:r w:rsidR="003D7DEC">
        <w:rPr>
          <w:rFonts w:ascii="Times New Roman" w:hAnsi="Times New Roman"/>
          <w:bCs/>
          <w:color w:val="auto"/>
          <w:sz w:val="24"/>
          <w:szCs w:val="24"/>
        </w:rPr>
        <w:t xml:space="preserve">Scott B. </w:t>
      </w:r>
      <w:proofErr w:type="spellStart"/>
      <w:r w:rsidR="003D7DEC">
        <w:rPr>
          <w:rFonts w:ascii="Times New Roman" w:hAnsi="Times New Roman"/>
          <w:bCs/>
          <w:color w:val="auto"/>
          <w:sz w:val="24"/>
          <w:szCs w:val="24"/>
        </w:rPr>
        <w:t>Noegel</w:t>
      </w:r>
      <w:proofErr w:type="spellEnd"/>
      <w:r w:rsidR="003D7DEC">
        <w:rPr>
          <w:rFonts w:ascii="Times New Roman" w:hAnsi="Times New Roman"/>
          <w:bCs/>
          <w:color w:val="auto"/>
          <w:sz w:val="24"/>
          <w:szCs w:val="24"/>
        </w:rPr>
        <w:t xml:space="preserve"> </w:t>
      </w:r>
      <w:r w:rsidR="002E7E26">
        <w:rPr>
          <w:rFonts w:ascii="Times New Roman" w:hAnsi="Times New Roman"/>
          <w:bCs/>
          <w:color w:val="auto"/>
          <w:sz w:val="24"/>
          <w:szCs w:val="24"/>
        </w:rPr>
        <w:t xml:space="preserve">on shared terminology and by Francesca </w:t>
      </w:r>
      <w:proofErr w:type="spellStart"/>
      <w:r w:rsidR="002E7E26">
        <w:rPr>
          <w:rFonts w:ascii="Times New Roman" w:hAnsi="Times New Roman"/>
          <w:bCs/>
          <w:color w:val="auto"/>
          <w:sz w:val="24"/>
          <w:szCs w:val="24"/>
        </w:rPr>
        <w:t>Rochberg</w:t>
      </w:r>
      <w:proofErr w:type="spellEnd"/>
      <w:r w:rsidR="002E7E26">
        <w:rPr>
          <w:rFonts w:ascii="Times New Roman" w:hAnsi="Times New Roman"/>
          <w:bCs/>
          <w:color w:val="auto"/>
          <w:sz w:val="24"/>
          <w:szCs w:val="24"/>
        </w:rPr>
        <w:t xml:space="preserve"> on shared formula</w:t>
      </w:r>
      <w:r w:rsidR="00676AC4">
        <w:rPr>
          <w:rFonts w:ascii="Times New Roman" w:hAnsi="Times New Roman"/>
          <w:bCs/>
          <w:color w:val="auto"/>
          <w:sz w:val="24"/>
          <w:szCs w:val="24"/>
        </w:rPr>
        <w:t>, direct parallels may be drawn between Neo-Assyrian legal proceedings and divinatory practices</w:t>
      </w:r>
      <w:r w:rsidR="008C0012">
        <w:rPr>
          <w:rFonts w:ascii="Times New Roman" w:hAnsi="Times New Roman"/>
          <w:bCs/>
          <w:color w:val="auto"/>
          <w:sz w:val="24"/>
          <w:szCs w:val="24"/>
        </w:rPr>
        <w:t>.</w:t>
      </w:r>
      <w:r w:rsidR="00E029DC">
        <w:rPr>
          <w:rStyle w:val="FootnoteReference"/>
          <w:rFonts w:ascii="Times New Roman" w:hAnsi="Times New Roman"/>
          <w:bCs/>
          <w:color w:val="auto"/>
          <w:sz w:val="24"/>
          <w:szCs w:val="24"/>
        </w:rPr>
        <w:footnoteReference w:id="24"/>
      </w:r>
      <w:r w:rsidR="00676AC4">
        <w:rPr>
          <w:rFonts w:ascii="Times New Roman" w:hAnsi="Times New Roman"/>
          <w:bCs/>
          <w:color w:val="auto"/>
          <w:sz w:val="24"/>
          <w:szCs w:val="24"/>
        </w:rPr>
        <w:t xml:space="preserve"> </w:t>
      </w:r>
    </w:p>
    <w:p w14:paraId="6FCF8B81" w14:textId="0827B74C" w:rsidR="003E625B" w:rsidRDefault="003E625B"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76AF9395" w14:textId="48BDA514" w:rsidR="003E625B" w:rsidRPr="003E625B" w:rsidRDefault="003E625B" w:rsidP="00851F93">
      <w:pPr>
        <w:pStyle w:val="NormalWeb"/>
        <w:spacing w:before="0" w:beforeAutospacing="0" w:after="0" w:afterAutospacing="0" w:line="360" w:lineRule="auto"/>
        <w:ind w:right="-334"/>
        <w:jc w:val="both"/>
        <w:rPr>
          <w:rFonts w:ascii="Times New Roman" w:hAnsi="Times New Roman"/>
          <w:b/>
          <w:bCs/>
          <w:color w:val="auto"/>
          <w:sz w:val="24"/>
          <w:szCs w:val="24"/>
        </w:rPr>
      </w:pPr>
      <w:r w:rsidRPr="003E625B">
        <w:rPr>
          <w:rFonts w:ascii="Times New Roman" w:hAnsi="Times New Roman"/>
          <w:b/>
          <w:bCs/>
          <w:color w:val="auto"/>
          <w:sz w:val="24"/>
          <w:szCs w:val="24"/>
        </w:rPr>
        <w:t>Šamaš and Adad</w:t>
      </w:r>
    </w:p>
    <w:p w14:paraId="0DCC3563" w14:textId="77777777" w:rsidR="00D708DF" w:rsidRDefault="00D708DF"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470F58D4" w14:textId="1287927B" w:rsidR="00596C93" w:rsidRDefault="004A55B6" w:rsidP="00851F93">
      <w:pPr>
        <w:pStyle w:val="NormalWeb"/>
        <w:spacing w:before="0" w:beforeAutospacing="0" w:after="0" w:afterAutospacing="0" w:line="360" w:lineRule="auto"/>
        <w:ind w:right="-334"/>
        <w:jc w:val="both"/>
        <w:rPr>
          <w:rFonts w:ascii="Times New Roman" w:hAnsi="Times New Roman"/>
          <w:bCs/>
          <w:color w:val="auto"/>
          <w:sz w:val="24"/>
          <w:szCs w:val="24"/>
        </w:rPr>
      </w:pPr>
      <w:r>
        <w:rPr>
          <w:rFonts w:ascii="Times New Roman" w:hAnsi="Times New Roman"/>
          <w:bCs/>
          <w:color w:val="auto"/>
          <w:sz w:val="24"/>
          <w:szCs w:val="24"/>
        </w:rPr>
        <w:t>Šamaš</w:t>
      </w:r>
      <w:r w:rsidR="00051EFB">
        <w:rPr>
          <w:rFonts w:ascii="Times New Roman" w:hAnsi="Times New Roman"/>
          <w:bCs/>
          <w:color w:val="auto"/>
          <w:sz w:val="24"/>
          <w:szCs w:val="24"/>
        </w:rPr>
        <w:t xml:space="preserve"> and Adad are described in K100 as the great judge of the gods who makes </w:t>
      </w:r>
      <w:proofErr w:type="spellStart"/>
      <w:r w:rsidR="00051EFB">
        <w:rPr>
          <w:rFonts w:ascii="Times New Roman" w:hAnsi="Times New Roman"/>
          <w:bCs/>
          <w:i/>
          <w:color w:val="auto"/>
          <w:sz w:val="24"/>
          <w:szCs w:val="24"/>
        </w:rPr>
        <w:t>lig</w:t>
      </w:r>
      <w:proofErr w:type="spellEnd"/>
      <w:r w:rsidR="00051EFB">
        <w:rPr>
          <w:rFonts w:ascii="Times New Roman" w:hAnsi="Times New Roman"/>
          <w:bCs/>
          <w:i/>
          <w:color w:val="auto"/>
          <w:sz w:val="24"/>
          <w:szCs w:val="24"/>
        </w:rPr>
        <w:t>[</w:t>
      </w:r>
      <w:proofErr w:type="spellStart"/>
      <w:r w:rsidR="00051EFB">
        <w:rPr>
          <w:rFonts w:ascii="Times New Roman" w:hAnsi="Times New Roman"/>
          <w:bCs/>
          <w:i/>
          <w:color w:val="auto"/>
          <w:sz w:val="24"/>
          <w:szCs w:val="24"/>
        </w:rPr>
        <w:t>ht</w:t>
      </w:r>
      <w:proofErr w:type="spellEnd"/>
      <w:r w:rsidR="00051EFB">
        <w:rPr>
          <w:rFonts w:ascii="Times New Roman" w:hAnsi="Times New Roman"/>
          <w:bCs/>
          <w:i/>
          <w:color w:val="auto"/>
          <w:sz w:val="24"/>
          <w:szCs w:val="24"/>
        </w:rPr>
        <w:t xml:space="preserve">] </w:t>
      </w:r>
      <w:r w:rsidR="00051EFB">
        <w:rPr>
          <w:rFonts w:ascii="Times New Roman" w:hAnsi="Times New Roman"/>
          <w:bCs/>
          <w:color w:val="auto"/>
          <w:sz w:val="24"/>
          <w:szCs w:val="24"/>
        </w:rPr>
        <w:t>go forth’ and the ‘canal inspector of heaven and earth, lord of wind and lightning</w:t>
      </w:r>
      <w:r w:rsidR="000B21D4">
        <w:rPr>
          <w:rFonts w:ascii="Times New Roman" w:hAnsi="Times New Roman"/>
          <w:bCs/>
          <w:color w:val="auto"/>
          <w:sz w:val="24"/>
          <w:szCs w:val="24"/>
        </w:rPr>
        <w:t>’</w:t>
      </w:r>
      <w:r w:rsidR="00051EFB">
        <w:rPr>
          <w:rFonts w:ascii="Times New Roman" w:hAnsi="Times New Roman"/>
          <w:bCs/>
          <w:color w:val="auto"/>
          <w:sz w:val="24"/>
          <w:szCs w:val="24"/>
        </w:rPr>
        <w:t xml:space="preserve"> respect</w:t>
      </w:r>
      <w:r w:rsidR="00F96814">
        <w:rPr>
          <w:rFonts w:ascii="Times New Roman" w:hAnsi="Times New Roman"/>
          <w:bCs/>
          <w:color w:val="auto"/>
          <w:sz w:val="24"/>
          <w:szCs w:val="24"/>
        </w:rPr>
        <w:t>ive</w:t>
      </w:r>
      <w:r w:rsidR="00051EFB">
        <w:rPr>
          <w:rFonts w:ascii="Times New Roman" w:hAnsi="Times New Roman"/>
          <w:bCs/>
          <w:color w:val="auto"/>
          <w:sz w:val="24"/>
          <w:szCs w:val="24"/>
        </w:rPr>
        <w:t>ly.</w:t>
      </w:r>
      <w:r w:rsidR="00051EFB">
        <w:rPr>
          <w:rStyle w:val="FootnoteReference"/>
          <w:rFonts w:ascii="Times New Roman" w:hAnsi="Times New Roman"/>
          <w:bCs/>
          <w:color w:val="auto"/>
          <w:sz w:val="24"/>
          <w:szCs w:val="24"/>
        </w:rPr>
        <w:footnoteReference w:id="25"/>
      </w:r>
      <w:r w:rsidR="00F96814">
        <w:rPr>
          <w:rFonts w:ascii="Times New Roman" w:hAnsi="Times New Roman"/>
          <w:bCs/>
          <w:color w:val="auto"/>
          <w:sz w:val="24"/>
          <w:szCs w:val="24"/>
        </w:rPr>
        <w:t xml:space="preserve"> </w:t>
      </w:r>
      <w:r w:rsidR="00F96814">
        <w:rPr>
          <w:rFonts w:ascii="Times New Roman" w:hAnsi="Times New Roman"/>
          <w:bCs/>
          <w:color w:val="auto"/>
          <w:sz w:val="24"/>
          <w:szCs w:val="24"/>
        </w:rPr>
        <w:lastRenderedPageBreak/>
        <w:t xml:space="preserve">Both, then, were gods of phenomena </w:t>
      </w:r>
      <w:r w:rsidR="00421FB8">
        <w:rPr>
          <w:rFonts w:ascii="Times New Roman" w:hAnsi="Times New Roman"/>
          <w:bCs/>
          <w:color w:val="auto"/>
          <w:sz w:val="24"/>
          <w:szCs w:val="24"/>
        </w:rPr>
        <w:t>related to light, bridging</w:t>
      </w:r>
      <w:r w:rsidR="00F96814">
        <w:rPr>
          <w:rFonts w:ascii="Times New Roman" w:hAnsi="Times New Roman"/>
          <w:bCs/>
          <w:color w:val="auto"/>
          <w:sz w:val="24"/>
          <w:szCs w:val="24"/>
        </w:rPr>
        <w:t xml:space="preserve"> sky and earth: </w:t>
      </w:r>
      <w:r>
        <w:rPr>
          <w:rFonts w:ascii="Times New Roman" w:hAnsi="Times New Roman"/>
          <w:bCs/>
          <w:color w:val="auto"/>
          <w:sz w:val="24"/>
          <w:szCs w:val="24"/>
        </w:rPr>
        <w:t>Šamaš</w:t>
      </w:r>
      <w:r w:rsidR="00F96814">
        <w:rPr>
          <w:rFonts w:ascii="Times New Roman" w:hAnsi="Times New Roman"/>
          <w:bCs/>
          <w:color w:val="auto"/>
          <w:sz w:val="24"/>
          <w:szCs w:val="24"/>
        </w:rPr>
        <w:t xml:space="preserve"> as the sun </w:t>
      </w:r>
      <w:r w:rsidR="00421FB8">
        <w:rPr>
          <w:rFonts w:ascii="Times New Roman" w:hAnsi="Times New Roman"/>
          <w:bCs/>
          <w:color w:val="auto"/>
          <w:sz w:val="24"/>
          <w:szCs w:val="24"/>
        </w:rPr>
        <w:t>could shine</w:t>
      </w:r>
      <w:r w:rsidR="00F96814">
        <w:rPr>
          <w:rFonts w:ascii="Times New Roman" w:hAnsi="Times New Roman"/>
          <w:bCs/>
          <w:color w:val="auto"/>
          <w:sz w:val="24"/>
          <w:szCs w:val="24"/>
        </w:rPr>
        <w:t xml:space="preserve"> </w:t>
      </w:r>
      <w:r w:rsidR="00FB69AF">
        <w:rPr>
          <w:rFonts w:ascii="Times New Roman" w:hAnsi="Times New Roman"/>
          <w:bCs/>
          <w:color w:val="auto"/>
          <w:sz w:val="24"/>
          <w:szCs w:val="24"/>
        </w:rPr>
        <w:t xml:space="preserve">heat and light </w:t>
      </w:r>
      <w:r w:rsidR="00F96814">
        <w:rPr>
          <w:rFonts w:ascii="Times New Roman" w:hAnsi="Times New Roman"/>
          <w:bCs/>
          <w:color w:val="auto"/>
          <w:sz w:val="24"/>
          <w:szCs w:val="24"/>
        </w:rPr>
        <w:t xml:space="preserve">on all below </w:t>
      </w:r>
      <w:r w:rsidR="00421FB8">
        <w:rPr>
          <w:rFonts w:ascii="Times New Roman" w:hAnsi="Times New Roman"/>
          <w:bCs/>
          <w:color w:val="auto"/>
          <w:sz w:val="24"/>
          <w:szCs w:val="24"/>
        </w:rPr>
        <w:t>him</w:t>
      </w:r>
      <w:r w:rsidR="00F96814">
        <w:rPr>
          <w:rFonts w:ascii="Times New Roman" w:hAnsi="Times New Roman"/>
          <w:bCs/>
          <w:color w:val="auto"/>
          <w:sz w:val="24"/>
          <w:szCs w:val="24"/>
        </w:rPr>
        <w:t>, whilst Adad steer</w:t>
      </w:r>
      <w:r w:rsidR="00421FB8">
        <w:rPr>
          <w:rFonts w:ascii="Times New Roman" w:hAnsi="Times New Roman"/>
          <w:bCs/>
          <w:color w:val="auto"/>
          <w:sz w:val="24"/>
          <w:szCs w:val="24"/>
        </w:rPr>
        <w:t>ed</w:t>
      </w:r>
      <w:r w:rsidR="00F96814">
        <w:rPr>
          <w:rFonts w:ascii="Times New Roman" w:hAnsi="Times New Roman"/>
          <w:bCs/>
          <w:color w:val="auto"/>
          <w:sz w:val="24"/>
          <w:szCs w:val="24"/>
        </w:rPr>
        <w:t xml:space="preserve"> light </w:t>
      </w:r>
      <w:r w:rsidR="00421FB8">
        <w:rPr>
          <w:rFonts w:ascii="Times New Roman" w:hAnsi="Times New Roman"/>
          <w:bCs/>
          <w:color w:val="auto"/>
          <w:sz w:val="24"/>
          <w:szCs w:val="24"/>
        </w:rPr>
        <w:t xml:space="preserve">through storms as lightning and </w:t>
      </w:r>
      <w:r w:rsidR="00FB69AF">
        <w:rPr>
          <w:rFonts w:ascii="Times New Roman" w:hAnsi="Times New Roman"/>
          <w:bCs/>
          <w:color w:val="auto"/>
          <w:sz w:val="24"/>
          <w:szCs w:val="24"/>
        </w:rPr>
        <w:t>blew</w:t>
      </w:r>
      <w:r w:rsidR="00421FB8">
        <w:rPr>
          <w:rFonts w:ascii="Times New Roman" w:hAnsi="Times New Roman"/>
          <w:bCs/>
          <w:color w:val="auto"/>
          <w:sz w:val="24"/>
          <w:szCs w:val="24"/>
        </w:rPr>
        <w:t xml:space="preserve"> clouds </w:t>
      </w:r>
      <w:r w:rsidR="00FB69AF">
        <w:rPr>
          <w:rFonts w:ascii="Times New Roman" w:hAnsi="Times New Roman"/>
          <w:bCs/>
          <w:color w:val="auto"/>
          <w:sz w:val="24"/>
          <w:szCs w:val="24"/>
        </w:rPr>
        <w:t>to obscure or display the sun</w:t>
      </w:r>
      <w:r w:rsidR="00FC759B">
        <w:rPr>
          <w:rFonts w:ascii="Times New Roman" w:hAnsi="Times New Roman"/>
          <w:bCs/>
          <w:color w:val="auto"/>
          <w:sz w:val="24"/>
          <w:szCs w:val="24"/>
        </w:rPr>
        <w:t>/</w:t>
      </w:r>
      <w:r>
        <w:rPr>
          <w:rFonts w:ascii="Times New Roman" w:hAnsi="Times New Roman"/>
          <w:bCs/>
          <w:color w:val="auto"/>
          <w:sz w:val="24"/>
          <w:szCs w:val="24"/>
        </w:rPr>
        <w:t>Šamaš</w:t>
      </w:r>
      <w:r w:rsidR="00421FB8">
        <w:rPr>
          <w:rFonts w:ascii="Times New Roman" w:hAnsi="Times New Roman"/>
          <w:bCs/>
          <w:color w:val="auto"/>
          <w:sz w:val="24"/>
          <w:szCs w:val="24"/>
        </w:rPr>
        <w:t>.</w:t>
      </w:r>
      <w:r w:rsidR="00E75E52">
        <w:rPr>
          <w:rFonts w:ascii="Times New Roman" w:hAnsi="Times New Roman"/>
          <w:bCs/>
          <w:color w:val="auto"/>
          <w:sz w:val="24"/>
          <w:szCs w:val="24"/>
        </w:rPr>
        <w:t xml:space="preserve"> </w:t>
      </w:r>
      <w:r w:rsidR="00617E3B">
        <w:rPr>
          <w:rFonts w:ascii="Times New Roman" w:hAnsi="Times New Roman"/>
          <w:bCs/>
          <w:color w:val="auto"/>
          <w:sz w:val="24"/>
          <w:szCs w:val="24"/>
        </w:rPr>
        <w:t xml:space="preserve">Certainly, their roles as weather deities were observed to play a role in harvest yields: part of the </w:t>
      </w:r>
      <w:r w:rsidR="00617E3B">
        <w:rPr>
          <w:rFonts w:ascii="Times New Roman" w:hAnsi="Times New Roman"/>
          <w:bCs/>
          <w:i/>
          <w:color w:val="auto"/>
          <w:sz w:val="24"/>
          <w:szCs w:val="24"/>
        </w:rPr>
        <w:t xml:space="preserve">Enuma Anu Enlil </w:t>
      </w:r>
      <w:r w:rsidR="00617E3B" w:rsidRPr="00BC1A21">
        <w:rPr>
          <w:rFonts w:ascii="Times New Roman" w:hAnsi="Times New Roman"/>
          <w:bCs/>
          <w:color w:val="auto"/>
          <w:sz w:val="24"/>
          <w:szCs w:val="24"/>
        </w:rPr>
        <w:t>(</w:t>
      </w:r>
      <w:r w:rsidR="00373C9F" w:rsidRPr="00BC1A21">
        <w:rPr>
          <w:rFonts w:ascii="Times New Roman" w:hAnsi="Times New Roman"/>
          <w:bCs/>
          <w:color w:val="auto"/>
          <w:sz w:val="24"/>
          <w:szCs w:val="24"/>
        </w:rPr>
        <w:t>‘</w:t>
      </w:r>
      <w:r w:rsidR="00BC1A21" w:rsidRPr="00BC1A21">
        <w:rPr>
          <w:rFonts w:ascii="Times New Roman" w:hAnsi="Times New Roman"/>
          <w:bCs/>
          <w:color w:val="auto"/>
          <w:sz w:val="24"/>
          <w:szCs w:val="24"/>
        </w:rPr>
        <w:t>When Anu and Enlil</w:t>
      </w:r>
      <w:r w:rsidR="00373C9F" w:rsidRPr="00BC1A21">
        <w:rPr>
          <w:rFonts w:ascii="Times New Roman" w:hAnsi="Times New Roman"/>
          <w:bCs/>
          <w:color w:val="auto"/>
          <w:sz w:val="24"/>
          <w:szCs w:val="24"/>
        </w:rPr>
        <w:t>’</w:t>
      </w:r>
      <w:r w:rsidR="00617E3B" w:rsidRPr="00BC1A21">
        <w:rPr>
          <w:rFonts w:ascii="Times New Roman" w:hAnsi="Times New Roman"/>
          <w:bCs/>
          <w:color w:val="auto"/>
          <w:sz w:val="24"/>
          <w:szCs w:val="24"/>
        </w:rPr>
        <w:t>)</w:t>
      </w:r>
      <w:r w:rsidR="00617E3B">
        <w:rPr>
          <w:rFonts w:ascii="Times New Roman" w:hAnsi="Times New Roman"/>
          <w:bCs/>
          <w:color w:val="auto"/>
          <w:sz w:val="24"/>
          <w:szCs w:val="24"/>
        </w:rPr>
        <w:t xml:space="preserve"> </w:t>
      </w:r>
      <w:r w:rsidR="00BA0852">
        <w:rPr>
          <w:rFonts w:ascii="Times New Roman" w:hAnsi="Times New Roman"/>
          <w:bCs/>
          <w:color w:val="auto"/>
          <w:sz w:val="24"/>
          <w:szCs w:val="24"/>
        </w:rPr>
        <w:t>states that ‘If the sun is surrounded by a halo and a red cloud bank lies to the right: the storm god Adad will beat down the crops of the country’, whereas if the same clouds lie to the left ‘the enemy’s country’ will be so affected.</w:t>
      </w:r>
      <w:r w:rsidR="00617E3B">
        <w:rPr>
          <w:rStyle w:val="FootnoteReference"/>
          <w:rFonts w:ascii="Times New Roman" w:hAnsi="Times New Roman"/>
          <w:bCs/>
          <w:color w:val="auto"/>
          <w:sz w:val="24"/>
          <w:szCs w:val="24"/>
        </w:rPr>
        <w:footnoteReference w:id="26"/>
      </w:r>
      <w:r w:rsidR="00617E3B">
        <w:rPr>
          <w:rFonts w:ascii="Times New Roman" w:hAnsi="Times New Roman"/>
          <w:bCs/>
          <w:color w:val="auto"/>
          <w:sz w:val="24"/>
          <w:szCs w:val="24"/>
        </w:rPr>
        <w:t xml:space="preserve"> </w:t>
      </w:r>
      <w:r w:rsidR="00623342">
        <w:rPr>
          <w:rFonts w:ascii="Times New Roman" w:hAnsi="Times New Roman"/>
          <w:bCs/>
          <w:color w:val="auto"/>
          <w:sz w:val="24"/>
          <w:szCs w:val="24"/>
        </w:rPr>
        <w:t>A prayer against locusts, recovered from Nineveh, calls upon Adad as ‘canal-inspector’, ‘life of the land’, and ‘king of plenty’, reinforcing his relationship with crops and introducing an ability to keep them safe from pests.</w:t>
      </w:r>
      <w:r w:rsidR="00FD04E3">
        <w:rPr>
          <w:rStyle w:val="FootnoteReference"/>
          <w:rFonts w:ascii="Times New Roman" w:hAnsi="Times New Roman"/>
          <w:bCs/>
          <w:color w:val="auto"/>
          <w:sz w:val="24"/>
          <w:szCs w:val="24"/>
        </w:rPr>
        <w:footnoteReference w:id="27"/>
      </w:r>
      <w:r w:rsidR="00623342">
        <w:rPr>
          <w:rFonts w:ascii="Times New Roman" w:hAnsi="Times New Roman"/>
          <w:bCs/>
          <w:color w:val="auto"/>
          <w:sz w:val="24"/>
          <w:szCs w:val="24"/>
        </w:rPr>
        <w:t xml:space="preserve"> </w:t>
      </w:r>
      <w:r w:rsidR="00617E3B">
        <w:rPr>
          <w:rFonts w:ascii="Times New Roman" w:hAnsi="Times New Roman"/>
          <w:bCs/>
          <w:color w:val="auto"/>
          <w:sz w:val="24"/>
          <w:szCs w:val="24"/>
        </w:rPr>
        <w:t xml:space="preserve">On one level, this attests to a knowledge that weather patterns were connected to crop yields, yet on a more divine-centric cosmological level it suggests that </w:t>
      </w:r>
      <w:r>
        <w:rPr>
          <w:rFonts w:ascii="Times New Roman" w:hAnsi="Times New Roman"/>
          <w:bCs/>
          <w:color w:val="auto"/>
          <w:sz w:val="24"/>
          <w:szCs w:val="24"/>
        </w:rPr>
        <w:t>Šamaš</w:t>
      </w:r>
      <w:r w:rsidR="00617E3B">
        <w:rPr>
          <w:rFonts w:ascii="Times New Roman" w:hAnsi="Times New Roman"/>
          <w:bCs/>
          <w:color w:val="auto"/>
          <w:sz w:val="24"/>
          <w:szCs w:val="24"/>
        </w:rPr>
        <w:t xml:space="preserve"> and Adad were </w:t>
      </w:r>
      <w:r w:rsidR="00FF03A0">
        <w:rPr>
          <w:rFonts w:ascii="Times New Roman" w:hAnsi="Times New Roman"/>
          <w:bCs/>
          <w:color w:val="auto"/>
          <w:sz w:val="24"/>
          <w:szCs w:val="24"/>
        </w:rPr>
        <w:t>arbiters of</w:t>
      </w:r>
      <w:r w:rsidR="00617E3B">
        <w:rPr>
          <w:rFonts w:ascii="Times New Roman" w:hAnsi="Times New Roman"/>
          <w:bCs/>
          <w:color w:val="auto"/>
          <w:sz w:val="24"/>
          <w:szCs w:val="24"/>
        </w:rPr>
        <w:t xml:space="preserve"> human fate as they </w:t>
      </w:r>
      <w:r w:rsidR="008161F0">
        <w:rPr>
          <w:rFonts w:ascii="Times New Roman" w:hAnsi="Times New Roman"/>
          <w:bCs/>
          <w:color w:val="auto"/>
          <w:sz w:val="24"/>
          <w:szCs w:val="24"/>
        </w:rPr>
        <w:t xml:space="preserve">together </w:t>
      </w:r>
      <w:r w:rsidR="00617E3B">
        <w:rPr>
          <w:rFonts w:ascii="Times New Roman" w:hAnsi="Times New Roman"/>
          <w:bCs/>
          <w:color w:val="auto"/>
          <w:sz w:val="24"/>
          <w:szCs w:val="24"/>
        </w:rPr>
        <w:t>controlled food supply</w:t>
      </w:r>
      <w:r w:rsidR="005F3317">
        <w:rPr>
          <w:rFonts w:ascii="Times New Roman" w:hAnsi="Times New Roman"/>
          <w:bCs/>
          <w:color w:val="auto"/>
          <w:sz w:val="24"/>
          <w:szCs w:val="24"/>
        </w:rPr>
        <w:t xml:space="preserve"> and</w:t>
      </w:r>
      <w:r w:rsidR="00C81D1D">
        <w:rPr>
          <w:rFonts w:ascii="Times New Roman" w:hAnsi="Times New Roman"/>
          <w:bCs/>
          <w:color w:val="auto"/>
          <w:sz w:val="24"/>
          <w:szCs w:val="24"/>
        </w:rPr>
        <w:t xml:space="preserve">, by extension, </w:t>
      </w:r>
      <w:r w:rsidR="00975DC5">
        <w:rPr>
          <w:rFonts w:ascii="Times New Roman" w:hAnsi="Times New Roman"/>
          <w:bCs/>
          <w:color w:val="auto"/>
          <w:sz w:val="24"/>
          <w:szCs w:val="24"/>
        </w:rPr>
        <w:t xml:space="preserve">both </w:t>
      </w:r>
      <w:r w:rsidR="005F3317">
        <w:rPr>
          <w:rFonts w:ascii="Times New Roman" w:hAnsi="Times New Roman"/>
          <w:bCs/>
          <w:color w:val="auto"/>
          <w:sz w:val="24"/>
          <w:szCs w:val="24"/>
        </w:rPr>
        <w:t>the length and quality of life of humans</w:t>
      </w:r>
      <w:r w:rsidR="00617E3B">
        <w:rPr>
          <w:rFonts w:ascii="Times New Roman" w:hAnsi="Times New Roman"/>
          <w:bCs/>
          <w:color w:val="auto"/>
          <w:sz w:val="24"/>
          <w:szCs w:val="24"/>
        </w:rPr>
        <w:t>.</w:t>
      </w:r>
      <w:r w:rsidR="00051EFB">
        <w:rPr>
          <w:rFonts w:ascii="Times New Roman" w:hAnsi="Times New Roman"/>
          <w:bCs/>
          <w:color w:val="auto"/>
          <w:sz w:val="24"/>
          <w:szCs w:val="24"/>
        </w:rPr>
        <w:t xml:space="preserve"> </w:t>
      </w:r>
      <w:r w:rsidR="00847689">
        <w:rPr>
          <w:rFonts w:ascii="Times New Roman" w:hAnsi="Times New Roman"/>
          <w:bCs/>
          <w:color w:val="auto"/>
          <w:sz w:val="24"/>
          <w:szCs w:val="24"/>
        </w:rPr>
        <w:t xml:space="preserve">Adad’s role as ‘canal inspector’ when read alongside his relationship with storms points to a deity who wielded as much control over the </w:t>
      </w:r>
      <w:r w:rsidR="009D436D">
        <w:rPr>
          <w:rFonts w:ascii="Times New Roman" w:hAnsi="Times New Roman"/>
          <w:bCs/>
          <w:color w:val="auto"/>
          <w:sz w:val="24"/>
          <w:szCs w:val="24"/>
        </w:rPr>
        <w:t xml:space="preserve">lives of ancient Mesopotamians as the sun-god, </w:t>
      </w:r>
      <w:r>
        <w:rPr>
          <w:rFonts w:ascii="Times New Roman" w:hAnsi="Times New Roman"/>
          <w:bCs/>
          <w:color w:val="auto"/>
          <w:sz w:val="24"/>
          <w:szCs w:val="24"/>
        </w:rPr>
        <w:t>Šamaš</w:t>
      </w:r>
      <w:r w:rsidR="009D436D">
        <w:rPr>
          <w:rFonts w:ascii="Times New Roman" w:hAnsi="Times New Roman"/>
          <w:bCs/>
          <w:color w:val="auto"/>
          <w:sz w:val="24"/>
          <w:szCs w:val="24"/>
        </w:rPr>
        <w:t>.</w:t>
      </w:r>
      <w:r w:rsidR="002C4131">
        <w:rPr>
          <w:rFonts w:ascii="Times New Roman" w:hAnsi="Times New Roman"/>
          <w:bCs/>
          <w:color w:val="auto"/>
          <w:sz w:val="24"/>
          <w:szCs w:val="24"/>
        </w:rPr>
        <w:t xml:space="preserve"> </w:t>
      </w:r>
      <w:r w:rsidR="00F55A37">
        <w:rPr>
          <w:rFonts w:ascii="Times New Roman" w:hAnsi="Times New Roman"/>
          <w:bCs/>
          <w:color w:val="auto"/>
          <w:sz w:val="24"/>
          <w:szCs w:val="24"/>
        </w:rPr>
        <w:t xml:space="preserve">In one royal inscription of </w:t>
      </w:r>
      <w:r w:rsidR="00F55A37" w:rsidRPr="003A2750">
        <w:rPr>
          <w:rFonts w:ascii="Times New Roman" w:hAnsi="Times New Roman"/>
          <w:bCs/>
          <w:color w:val="auto"/>
          <w:sz w:val="24"/>
          <w:szCs w:val="24"/>
        </w:rPr>
        <w:t>A</w:t>
      </w:r>
      <w:r w:rsidR="00F55A37">
        <w:rPr>
          <w:rFonts w:ascii="Times New Roman" w:hAnsi="Times New Roman"/>
          <w:bCs/>
          <w:color w:val="auto"/>
          <w:sz w:val="24"/>
          <w:szCs w:val="24"/>
        </w:rPr>
        <w:t>sh</w:t>
      </w:r>
      <w:r w:rsidR="00F55A37" w:rsidRPr="003A2750">
        <w:rPr>
          <w:rFonts w:ascii="Times New Roman" w:hAnsi="Times New Roman"/>
          <w:bCs/>
          <w:color w:val="auto"/>
          <w:sz w:val="24"/>
          <w:szCs w:val="24"/>
        </w:rPr>
        <w:t>urbanipal</w:t>
      </w:r>
      <w:r w:rsidR="00F55A37">
        <w:rPr>
          <w:rFonts w:ascii="Times New Roman" w:hAnsi="Times New Roman"/>
          <w:bCs/>
          <w:color w:val="auto"/>
          <w:sz w:val="24"/>
          <w:szCs w:val="24"/>
        </w:rPr>
        <w:t>, these t</w:t>
      </w:r>
      <w:r w:rsidR="00F67FFD">
        <w:rPr>
          <w:rFonts w:ascii="Times New Roman" w:hAnsi="Times New Roman"/>
          <w:bCs/>
          <w:color w:val="auto"/>
          <w:sz w:val="24"/>
          <w:szCs w:val="24"/>
        </w:rPr>
        <w:t>wo</w:t>
      </w:r>
      <w:r w:rsidR="00F55A37">
        <w:rPr>
          <w:rFonts w:ascii="Times New Roman" w:hAnsi="Times New Roman"/>
          <w:bCs/>
          <w:color w:val="auto"/>
          <w:sz w:val="24"/>
          <w:szCs w:val="24"/>
        </w:rPr>
        <w:t xml:space="preserve"> deities are explicitly grouped as those who ‘declared [</w:t>
      </w:r>
      <w:r w:rsidR="00F55A37" w:rsidRPr="003A2750">
        <w:rPr>
          <w:rFonts w:ascii="Times New Roman" w:hAnsi="Times New Roman"/>
          <w:bCs/>
          <w:color w:val="auto"/>
          <w:sz w:val="24"/>
          <w:szCs w:val="24"/>
        </w:rPr>
        <w:t>A</w:t>
      </w:r>
      <w:r w:rsidR="00F55A37">
        <w:rPr>
          <w:rFonts w:ascii="Times New Roman" w:hAnsi="Times New Roman"/>
          <w:bCs/>
          <w:color w:val="auto"/>
          <w:sz w:val="24"/>
          <w:szCs w:val="24"/>
        </w:rPr>
        <w:t>sh</w:t>
      </w:r>
      <w:r w:rsidR="00F55A37" w:rsidRPr="003A2750">
        <w:rPr>
          <w:rFonts w:ascii="Times New Roman" w:hAnsi="Times New Roman"/>
          <w:bCs/>
          <w:color w:val="auto"/>
          <w:sz w:val="24"/>
          <w:szCs w:val="24"/>
        </w:rPr>
        <w:t>urbanipal</w:t>
      </w:r>
      <w:r w:rsidR="00F55A37">
        <w:rPr>
          <w:rFonts w:ascii="Times New Roman" w:hAnsi="Times New Roman"/>
          <w:bCs/>
          <w:color w:val="auto"/>
          <w:sz w:val="24"/>
          <w:szCs w:val="24"/>
        </w:rPr>
        <w:t>] exercising the kingship through their firm decision(s)’.</w:t>
      </w:r>
      <w:r w:rsidR="00F55A37">
        <w:rPr>
          <w:rStyle w:val="FootnoteReference"/>
          <w:rFonts w:ascii="Times New Roman" w:hAnsi="Times New Roman"/>
          <w:bCs/>
          <w:color w:val="auto"/>
          <w:sz w:val="24"/>
          <w:szCs w:val="24"/>
        </w:rPr>
        <w:footnoteReference w:id="28"/>
      </w:r>
      <w:r w:rsidR="00F55A37">
        <w:rPr>
          <w:rFonts w:ascii="Times New Roman" w:hAnsi="Times New Roman"/>
          <w:bCs/>
          <w:color w:val="auto"/>
          <w:sz w:val="24"/>
          <w:szCs w:val="24"/>
        </w:rPr>
        <w:t xml:space="preserve"> </w:t>
      </w:r>
      <w:r w:rsidR="008161F0">
        <w:rPr>
          <w:rFonts w:ascii="Times New Roman" w:hAnsi="Times New Roman"/>
          <w:bCs/>
          <w:color w:val="auto"/>
          <w:sz w:val="24"/>
          <w:szCs w:val="24"/>
        </w:rPr>
        <w:t xml:space="preserve">This suggests that </w:t>
      </w:r>
      <w:r w:rsidR="00F55A37" w:rsidRPr="003A2750">
        <w:rPr>
          <w:rFonts w:ascii="Times New Roman" w:hAnsi="Times New Roman"/>
          <w:bCs/>
          <w:color w:val="auto"/>
          <w:sz w:val="24"/>
          <w:szCs w:val="24"/>
        </w:rPr>
        <w:t>A</w:t>
      </w:r>
      <w:r w:rsidR="00F55A37">
        <w:rPr>
          <w:rFonts w:ascii="Times New Roman" w:hAnsi="Times New Roman"/>
          <w:bCs/>
          <w:color w:val="auto"/>
          <w:sz w:val="24"/>
          <w:szCs w:val="24"/>
        </w:rPr>
        <w:t>shu</w:t>
      </w:r>
      <w:r w:rsidR="00F55A37" w:rsidRPr="003A2750">
        <w:rPr>
          <w:rFonts w:ascii="Times New Roman" w:hAnsi="Times New Roman"/>
          <w:bCs/>
          <w:color w:val="auto"/>
          <w:sz w:val="24"/>
          <w:szCs w:val="24"/>
        </w:rPr>
        <w:t>rbanipal</w:t>
      </w:r>
      <w:r w:rsidR="00F55A37">
        <w:rPr>
          <w:rFonts w:ascii="Times New Roman" w:hAnsi="Times New Roman"/>
          <w:bCs/>
          <w:color w:val="auto"/>
          <w:sz w:val="24"/>
          <w:szCs w:val="24"/>
        </w:rPr>
        <w:t xml:space="preserve"> </w:t>
      </w:r>
      <w:r w:rsidR="008161F0">
        <w:rPr>
          <w:rFonts w:ascii="Times New Roman" w:hAnsi="Times New Roman"/>
          <w:bCs/>
          <w:color w:val="auto"/>
          <w:sz w:val="24"/>
          <w:szCs w:val="24"/>
        </w:rPr>
        <w:t xml:space="preserve">believed – or purposefully presented a belief – that </w:t>
      </w:r>
      <w:r w:rsidR="008161F0" w:rsidRPr="00001690">
        <w:rPr>
          <w:rFonts w:ascii="Times New Roman" w:hAnsi="Times New Roman"/>
          <w:bCs/>
          <w:color w:val="auto"/>
          <w:sz w:val="24"/>
          <w:szCs w:val="24"/>
        </w:rPr>
        <w:t>Šamaš</w:t>
      </w:r>
      <w:r w:rsidR="008161F0">
        <w:rPr>
          <w:rFonts w:ascii="Times New Roman" w:hAnsi="Times New Roman"/>
          <w:bCs/>
          <w:color w:val="auto"/>
          <w:sz w:val="24"/>
          <w:szCs w:val="24"/>
        </w:rPr>
        <w:t xml:space="preserve"> and Adad had </w:t>
      </w:r>
      <w:r w:rsidR="00F55A37">
        <w:rPr>
          <w:rFonts w:ascii="Times New Roman" w:hAnsi="Times New Roman"/>
          <w:bCs/>
          <w:color w:val="auto"/>
          <w:sz w:val="24"/>
          <w:szCs w:val="24"/>
        </w:rPr>
        <w:t>the ability to make ‘firm decision(s)’ regarding at least one specific destiny – kingship.</w:t>
      </w:r>
      <w:r w:rsidR="00422116">
        <w:rPr>
          <w:rFonts w:ascii="Times New Roman" w:hAnsi="Times New Roman"/>
          <w:bCs/>
          <w:color w:val="auto"/>
          <w:sz w:val="24"/>
          <w:szCs w:val="24"/>
        </w:rPr>
        <w:t xml:space="preserve"> Jeanette C. </w:t>
      </w:r>
      <w:proofErr w:type="spellStart"/>
      <w:r w:rsidR="00422116">
        <w:rPr>
          <w:rFonts w:ascii="Times New Roman" w:hAnsi="Times New Roman"/>
          <w:bCs/>
          <w:color w:val="auto"/>
          <w:sz w:val="24"/>
          <w:szCs w:val="24"/>
        </w:rPr>
        <w:t>Fincke</w:t>
      </w:r>
      <w:proofErr w:type="spellEnd"/>
      <w:r w:rsidR="00F356BD">
        <w:rPr>
          <w:rFonts w:ascii="Times New Roman" w:hAnsi="Times New Roman"/>
          <w:bCs/>
          <w:color w:val="auto"/>
          <w:sz w:val="24"/>
          <w:szCs w:val="24"/>
        </w:rPr>
        <w:t xml:space="preserve"> has claimed that the</w:t>
      </w:r>
      <w:r w:rsidR="00D54F4C">
        <w:rPr>
          <w:rFonts w:ascii="Times New Roman" w:hAnsi="Times New Roman"/>
          <w:bCs/>
          <w:color w:val="auto"/>
          <w:sz w:val="24"/>
          <w:szCs w:val="24"/>
        </w:rPr>
        <w:t xml:space="preserve"> legitimacy of the reigns of both Ashurbanipal and his father, Esarhaddon, relied upon the clear transfer of divine power into themselves as human vessels</w:t>
      </w:r>
      <w:r w:rsidR="00FD50D5">
        <w:rPr>
          <w:rFonts w:ascii="Times New Roman" w:hAnsi="Times New Roman"/>
          <w:bCs/>
          <w:color w:val="auto"/>
          <w:sz w:val="24"/>
          <w:szCs w:val="24"/>
        </w:rPr>
        <w:t>.</w:t>
      </w:r>
      <w:r w:rsidR="00F356BD">
        <w:rPr>
          <w:rStyle w:val="FootnoteReference"/>
          <w:rFonts w:ascii="Times New Roman" w:hAnsi="Times New Roman"/>
          <w:bCs/>
          <w:color w:val="auto"/>
          <w:sz w:val="24"/>
          <w:szCs w:val="24"/>
        </w:rPr>
        <w:footnoteReference w:id="29"/>
      </w:r>
      <w:r w:rsidR="00F356BD">
        <w:rPr>
          <w:rFonts w:ascii="Times New Roman" w:hAnsi="Times New Roman"/>
          <w:bCs/>
          <w:color w:val="auto"/>
          <w:sz w:val="24"/>
          <w:szCs w:val="24"/>
        </w:rPr>
        <w:t xml:space="preserve"> </w:t>
      </w:r>
      <w:r w:rsidR="00FD50D5">
        <w:rPr>
          <w:rFonts w:ascii="Times New Roman" w:hAnsi="Times New Roman"/>
          <w:bCs/>
          <w:color w:val="auto"/>
          <w:sz w:val="24"/>
          <w:szCs w:val="24"/>
        </w:rPr>
        <w:t>D</w:t>
      </w:r>
      <w:r w:rsidR="00F356BD">
        <w:rPr>
          <w:rFonts w:ascii="Times New Roman" w:hAnsi="Times New Roman"/>
          <w:bCs/>
          <w:color w:val="auto"/>
          <w:sz w:val="24"/>
          <w:szCs w:val="24"/>
        </w:rPr>
        <w:t>ue to their shared cosmologies, ladders of divine legitimacy could be extended and, as</w:t>
      </w:r>
      <w:r w:rsidR="0003144F">
        <w:rPr>
          <w:rFonts w:ascii="Times New Roman" w:hAnsi="Times New Roman"/>
          <w:bCs/>
          <w:color w:val="auto"/>
          <w:sz w:val="24"/>
          <w:szCs w:val="24"/>
        </w:rPr>
        <w:t xml:space="preserve"> </w:t>
      </w:r>
      <w:proofErr w:type="spellStart"/>
      <w:r w:rsidR="0003144F">
        <w:rPr>
          <w:rFonts w:ascii="Times New Roman" w:hAnsi="Times New Roman"/>
          <w:bCs/>
          <w:color w:val="auto"/>
          <w:sz w:val="24"/>
          <w:szCs w:val="24"/>
        </w:rPr>
        <w:t>Fincke</w:t>
      </w:r>
      <w:proofErr w:type="spellEnd"/>
      <w:r w:rsidR="00F356BD">
        <w:rPr>
          <w:rFonts w:ascii="Times New Roman" w:hAnsi="Times New Roman"/>
          <w:bCs/>
          <w:color w:val="auto"/>
          <w:sz w:val="24"/>
          <w:szCs w:val="24"/>
        </w:rPr>
        <w:t xml:space="preserve"> has persuasively claimed, </w:t>
      </w:r>
      <w:r w:rsidR="00FD50D5">
        <w:rPr>
          <w:rFonts w:ascii="Times New Roman" w:hAnsi="Times New Roman"/>
          <w:bCs/>
          <w:color w:val="auto"/>
          <w:sz w:val="24"/>
          <w:szCs w:val="24"/>
        </w:rPr>
        <w:t xml:space="preserve">thus their </w:t>
      </w:r>
      <w:r w:rsidR="00FD50D5">
        <w:rPr>
          <w:rFonts w:ascii="Times New Roman" w:hAnsi="Times New Roman"/>
          <w:bCs/>
          <w:color w:val="auto"/>
          <w:sz w:val="24"/>
          <w:szCs w:val="24"/>
        </w:rPr>
        <w:lastRenderedPageBreak/>
        <w:t>‘</w:t>
      </w:r>
      <w:r w:rsidR="00F356BD">
        <w:rPr>
          <w:rFonts w:ascii="Times New Roman" w:hAnsi="Times New Roman"/>
          <w:bCs/>
          <w:color w:val="auto"/>
          <w:sz w:val="24"/>
          <w:szCs w:val="24"/>
        </w:rPr>
        <w:t>authority became detached from human legitimacies as well as inviolable’.</w:t>
      </w:r>
      <w:r w:rsidR="00F356BD">
        <w:rPr>
          <w:rStyle w:val="FootnoteReference"/>
          <w:rFonts w:ascii="Times New Roman" w:hAnsi="Times New Roman"/>
          <w:bCs/>
          <w:color w:val="auto"/>
          <w:sz w:val="24"/>
          <w:szCs w:val="24"/>
        </w:rPr>
        <w:footnoteReference w:id="30"/>
      </w:r>
      <w:r w:rsidR="00FD50D5">
        <w:rPr>
          <w:rFonts w:ascii="Times New Roman" w:hAnsi="Times New Roman"/>
          <w:bCs/>
          <w:color w:val="auto"/>
          <w:sz w:val="24"/>
          <w:szCs w:val="24"/>
        </w:rPr>
        <w:t xml:space="preserve"> This effectively created a cosmologically-legitimate divine descent through language.</w:t>
      </w:r>
      <w:r w:rsidR="00DD6856">
        <w:rPr>
          <w:rFonts w:ascii="Times New Roman" w:hAnsi="Times New Roman"/>
          <w:bCs/>
          <w:color w:val="auto"/>
          <w:sz w:val="24"/>
          <w:szCs w:val="24"/>
        </w:rPr>
        <w:t xml:space="preserve"> </w:t>
      </w:r>
    </w:p>
    <w:p w14:paraId="05B0C805" w14:textId="77777777" w:rsidR="00C57185" w:rsidRPr="000A48D8" w:rsidRDefault="00C57185" w:rsidP="00851F93">
      <w:pPr>
        <w:pStyle w:val="NormalWeb"/>
        <w:spacing w:before="0" w:beforeAutospacing="0" w:after="0" w:afterAutospacing="0" w:line="360" w:lineRule="auto"/>
        <w:ind w:right="-334"/>
        <w:jc w:val="both"/>
        <w:rPr>
          <w:rFonts w:ascii="Times New Roman" w:hAnsi="Times New Roman"/>
          <w:b/>
          <w:bCs/>
          <w:color w:val="auto"/>
          <w:sz w:val="24"/>
          <w:szCs w:val="24"/>
        </w:rPr>
      </w:pPr>
    </w:p>
    <w:p w14:paraId="44DA57A6" w14:textId="52C03915" w:rsidR="00AA260A" w:rsidRPr="000A48D8" w:rsidRDefault="00917AD3" w:rsidP="00851F93">
      <w:pPr>
        <w:pStyle w:val="NormalWeb"/>
        <w:spacing w:before="0" w:beforeAutospacing="0" w:after="0" w:afterAutospacing="0" w:line="360" w:lineRule="auto"/>
        <w:ind w:right="-334"/>
        <w:jc w:val="both"/>
        <w:rPr>
          <w:rFonts w:ascii="Times New Roman" w:hAnsi="Times New Roman"/>
          <w:b/>
          <w:bCs/>
          <w:color w:val="auto"/>
          <w:sz w:val="24"/>
          <w:szCs w:val="24"/>
        </w:rPr>
      </w:pPr>
      <w:r>
        <w:rPr>
          <w:rFonts w:ascii="Times New Roman" w:hAnsi="Times New Roman"/>
          <w:b/>
          <w:bCs/>
          <w:color w:val="auto"/>
          <w:sz w:val="24"/>
          <w:szCs w:val="24"/>
        </w:rPr>
        <w:t>Human-Divine Communication</w:t>
      </w:r>
    </w:p>
    <w:p w14:paraId="5E99B13F" w14:textId="77777777" w:rsidR="00B07A1D" w:rsidRDefault="00B07A1D"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50D9B467" w14:textId="755D6C06" w:rsidR="00F81984" w:rsidRDefault="00322FCD" w:rsidP="00851F93">
      <w:pPr>
        <w:pStyle w:val="NormalWeb"/>
        <w:spacing w:before="0" w:beforeAutospacing="0" w:after="0" w:afterAutospacing="0" w:line="360" w:lineRule="auto"/>
        <w:ind w:right="-334"/>
        <w:jc w:val="both"/>
        <w:rPr>
          <w:rFonts w:ascii="Times New Roman" w:hAnsi="Times New Roman"/>
          <w:bCs/>
          <w:color w:val="auto"/>
          <w:sz w:val="24"/>
          <w:szCs w:val="24"/>
        </w:rPr>
      </w:pPr>
      <w:r>
        <w:rPr>
          <w:rFonts w:ascii="Times New Roman" w:hAnsi="Times New Roman"/>
          <w:bCs/>
          <w:color w:val="auto"/>
          <w:sz w:val="24"/>
          <w:szCs w:val="24"/>
        </w:rPr>
        <w:t xml:space="preserve">The earliest extant pairing of </w:t>
      </w:r>
      <w:r w:rsidR="004A55B6">
        <w:rPr>
          <w:rFonts w:ascii="Times New Roman" w:hAnsi="Times New Roman"/>
          <w:bCs/>
          <w:color w:val="auto"/>
          <w:sz w:val="24"/>
          <w:szCs w:val="24"/>
        </w:rPr>
        <w:t>Šamaš</w:t>
      </w:r>
      <w:r>
        <w:rPr>
          <w:rFonts w:ascii="Times New Roman" w:hAnsi="Times New Roman"/>
          <w:bCs/>
          <w:color w:val="auto"/>
          <w:sz w:val="24"/>
          <w:szCs w:val="24"/>
        </w:rPr>
        <w:t xml:space="preserve"> and Adad </w:t>
      </w:r>
      <w:r w:rsidR="00B83BD2">
        <w:rPr>
          <w:rFonts w:ascii="Times New Roman" w:hAnsi="Times New Roman"/>
          <w:bCs/>
          <w:color w:val="auto"/>
          <w:sz w:val="24"/>
          <w:szCs w:val="24"/>
        </w:rPr>
        <w:t>is</w:t>
      </w:r>
      <w:r>
        <w:rPr>
          <w:rFonts w:ascii="Times New Roman" w:hAnsi="Times New Roman"/>
          <w:bCs/>
          <w:color w:val="auto"/>
          <w:sz w:val="24"/>
          <w:szCs w:val="24"/>
        </w:rPr>
        <w:t>, according to Lambert, in a treaty from Ebla of c.2300 B.C.E. which</w:t>
      </w:r>
      <w:r w:rsidR="00C413E2">
        <w:rPr>
          <w:rFonts w:ascii="Times New Roman" w:hAnsi="Times New Roman"/>
          <w:bCs/>
          <w:color w:val="auto"/>
          <w:sz w:val="24"/>
          <w:szCs w:val="24"/>
        </w:rPr>
        <w:t xml:space="preserve"> – </w:t>
      </w:r>
      <w:r>
        <w:rPr>
          <w:rFonts w:ascii="Times New Roman" w:hAnsi="Times New Roman"/>
          <w:bCs/>
          <w:color w:val="auto"/>
          <w:sz w:val="24"/>
          <w:szCs w:val="24"/>
        </w:rPr>
        <w:t>alongside the near-total lack of references to shared worship within Mesopotamia</w:t>
      </w:r>
      <w:r w:rsidR="00C413E2">
        <w:rPr>
          <w:rFonts w:ascii="Times New Roman" w:hAnsi="Times New Roman"/>
          <w:bCs/>
          <w:color w:val="auto"/>
          <w:sz w:val="24"/>
          <w:szCs w:val="24"/>
        </w:rPr>
        <w:t xml:space="preserve"> –</w:t>
      </w:r>
      <w:r>
        <w:rPr>
          <w:rFonts w:ascii="Times New Roman" w:hAnsi="Times New Roman"/>
          <w:bCs/>
          <w:color w:val="auto"/>
          <w:sz w:val="24"/>
          <w:szCs w:val="24"/>
        </w:rPr>
        <w:t xml:space="preserve"> has led Lambert to </w:t>
      </w:r>
      <w:r w:rsidR="003374DE">
        <w:rPr>
          <w:rFonts w:ascii="Times New Roman" w:hAnsi="Times New Roman"/>
          <w:bCs/>
          <w:color w:val="auto"/>
          <w:sz w:val="24"/>
          <w:szCs w:val="24"/>
        </w:rPr>
        <w:t xml:space="preserve">make a persuasive case </w:t>
      </w:r>
      <w:r>
        <w:rPr>
          <w:rFonts w:ascii="Times New Roman" w:hAnsi="Times New Roman"/>
          <w:bCs/>
          <w:color w:val="auto"/>
          <w:sz w:val="24"/>
          <w:szCs w:val="24"/>
        </w:rPr>
        <w:t xml:space="preserve">that </w:t>
      </w:r>
      <w:r w:rsidR="00B83BD2">
        <w:rPr>
          <w:rFonts w:ascii="Times New Roman" w:hAnsi="Times New Roman"/>
          <w:bCs/>
          <w:color w:val="auto"/>
          <w:sz w:val="24"/>
          <w:szCs w:val="24"/>
        </w:rPr>
        <w:t xml:space="preserve">their shared </w:t>
      </w:r>
      <w:r w:rsidR="00932E14">
        <w:rPr>
          <w:rFonts w:ascii="Times New Roman" w:hAnsi="Times New Roman"/>
          <w:bCs/>
          <w:color w:val="auto"/>
          <w:sz w:val="24"/>
          <w:szCs w:val="24"/>
        </w:rPr>
        <w:t xml:space="preserve">divinatory capacity </w:t>
      </w:r>
      <w:r>
        <w:rPr>
          <w:rFonts w:ascii="Times New Roman" w:hAnsi="Times New Roman"/>
          <w:bCs/>
          <w:color w:val="auto"/>
          <w:sz w:val="24"/>
          <w:szCs w:val="24"/>
        </w:rPr>
        <w:t>originated outside of Mesopotamia.</w:t>
      </w:r>
      <w:r>
        <w:rPr>
          <w:rStyle w:val="FootnoteReference"/>
          <w:rFonts w:ascii="Times New Roman" w:hAnsi="Times New Roman"/>
          <w:bCs/>
          <w:color w:val="auto"/>
          <w:sz w:val="24"/>
          <w:szCs w:val="24"/>
        </w:rPr>
        <w:footnoteReference w:id="31"/>
      </w:r>
      <w:r>
        <w:rPr>
          <w:rFonts w:ascii="Times New Roman" w:hAnsi="Times New Roman"/>
          <w:bCs/>
          <w:color w:val="auto"/>
          <w:sz w:val="24"/>
          <w:szCs w:val="24"/>
        </w:rPr>
        <w:t xml:space="preserve"> </w:t>
      </w:r>
      <w:r w:rsidR="008522C6">
        <w:rPr>
          <w:rFonts w:ascii="Times New Roman" w:hAnsi="Times New Roman"/>
          <w:bCs/>
          <w:color w:val="auto"/>
          <w:sz w:val="24"/>
          <w:szCs w:val="24"/>
        </w:rPr>
        <w:t xml:space="preserve">By the Old Babylonian period </w:t>
      </w:r>
      <w:r w:rsidR="00C81FD4">
        <w:rPr>
          <w:rFonts w:ascii="Times New Roman" w:hAnsi="Times New Roman"/>
          <w:bCs/>
          <w:color w:val="auto"/>
          <w:sz w:val="24"/>
          <w:szCs w:val="24"/>
        </w:rPr>
        <w:t>(c.1900-1600 B.C.E.)</w:t>
      </w:r>
      <w:r w:rsidR="008522C6">
        <w:rPr>
          <w:rFonts w:ascii="Times New Roman" w:hAnsi="Times New Roman"/>
          <w:bCs/>
          <w:color w:val="auto"/>
          <w:sz w:val="24"/>
          <w:szCs w:val="24"/>
        </w:rPr>
        <w:t xml:space="preserve">, </w:t>
      </w:r>
      <w:r w:rsidR="00B83975">
        <w:rPr>
          <w:rFonts w:ascii="Times New Roman" w:hAnsi="Times New Roman"/>
          <w:bCs/>
          <w:color w:val="auto"/>
          <w:sz w:val="24"/>
          <w:szCs w:val="24"/>
        </w:rPr>
        <w:t>their roles within divinatory practices appear distinct: t</w:t>
      </w:r>
      <w:r w:rsidR="00C81FD4">
        <w:rPr>
          <w:rFonts w:ascii="Times New Roman" w:hAnsi="Times New Roman"/>
          <w:bCs/>
          <w:color w:val="auto"/>
          <w:sz w:val="24"/>
          <w:szCs w:val="24"/>
        </w:rPr>
        <w:t>he ‘Old Babylonian Prayer of the Divination Priest’</w:t>
      </w:r>
      <w:r w:rsidR="00BC0ED3">
        <w:rPr>
          <w:rFonts w:ascii="Times New Roman" w:hAnsi="Times New Roman"/>
          <w:bCs/>
          <w:color w:val="auto"/>
          <w:sz w:val="24"/>
          <w:szCs w:val="24"/>
        </w:rPr>
        <w:t xml:space="preserve">, which explicitly </w:t>
      </w:r>
      <w:r w:rsidR="005C422D">
        <w:rPr>
          <w:rFonts w:ascii="Times New Roman" w:hAnsi="Times New Roman"/>
          <w:bCs/>
          <w:color w:val="auto"/>
          <w:sz w:val="24"/>
          <w:szCs w:val="24"/>
        </w:rPr>
        <w:t xml:space="preserve">asks for </w:t>
      </w:r>
      <w:r w:rsidR="00A96BF9">
        <w:rPr>
          <w:rFonts w:ascii="Times New Roman" w:hAnsi="Times New Roman"/>
          <w:bCs/>
          <w:color w:val="auto"/>
          <w:sz w:val="24"/>
          <w:szCs w:val="24"/>
        </w:rPr>
        <w:t>‘truth’ through ‘the extispicy I perform’</w:t>
      </w:r>
      <w:r w:rsidR="00BC0ED3">
        <w:rPr>
          <w:rFonts w:ascii="Times New Roman" w:hAnsi="Times New Roman"/>
          <w:bCs/>
          <w:color w:val="auto"/>
          <w:sz w:val="24"/>
          <w:szCs w:val="24"/>
        </w:rPr>
        <w:t>,</w:t>
      </w:r>
      <w:r w:rsidR="00C81FD4">
        <w:rPr>
          <w:rFonts w:ascii="Times New Roman" w:hAnsi="Times New Roman"/>
          <w:bCs/>
          <w:color w:val="auto"/>
          <w:sz w:val="24"/>
          <w:szCs w:val="24"/>
        </w:rPr>
        <w:t xml:space="preserve"> call</w:t>
      </w:r>
      <w:r w:rsidR="001D06AF">
        <w:rPr>
          <w:rFonts w:ascii="Times New Roman" w:hAnsi="Times New Roman"/>
          <w:bCs/>
          <w:color w:val="auto"/>
          <w:sz w:val="24"/>
          <w:szCs w:val="24"/>
        </w:rPr>
        <w:t>s</w:t>
      </w:r>
      <w:r w:rsidR="00C81FD4">
        <w:rPr>
          <w:rFonts w:ascii="Times New Roman" w:hAnsi="Times New Roman"/>
          <w:bCs/>
          <w:color w:val="auto"/>
          <w:sz w:val="24"/>
          <w:szCs w:val="24"/>
        </w:rPr>
        <w:t xml:space="preserve"> upon </w:t>
      </w:r>
      <w:r w:rsidR="00C81FD4" w:rsidRPr="00001690">
        <w:rPr>
          <w:rFonts w:ascii="Times New Roman" w:hAnsi="Times New Roman"/>
          <w:bCs/>
          <w:color w:val="auto"/>
          <w:sz w:val="24"/>
          <w:szCs w:val="24"/>
        </w:rPr>
        <w:t>Šamaš</w:t>
      </w:r>
      <w:r w:rsidR="00C81FD4">
        <w:rPr>
          <w:rFonts w:ascii="Times New Roman" w:hAnsi="Times New Roman"/>
          <w:bCs/>
          <w:color w:val="auto"/>
          <w:sz w:val="24"/>
          <w:szCs w:val="24"/>
        </w:rPr>
        <w:t xml:space="preserve"> as ‘lord of judgement’ and Adad as ‘lord of ritual acts and of divination’ as a pair six times.</w:t>
      </w:r>
      <w:r w:rsidR="00C81FD4">
        <w:rPr>
          <w:rStyle w:val="FootnoteReference"/>
          <w:rFonts w:ascii="Times New Roman" w:hAnsi="Times New Roman"/>
          <w:bCs/>
          <w:color w:val="auto"/>
          <w:sz w:val="24"/>
          <w:szCs w:val="24"/>
        </w:rPr>
        <w:footnoteReference w:id="32"/>
      </w:r>
      <w:r w:rsidR="00C81FD4">
        <w:rPr>
          <w:rFonts w:ascii="Times New Roman" w:hAnsi="Times New Roman"/>
          <w:bCs/>
          <w:color w:val="auto"/>
          <w:sz w:val="24"/>
          <w:szCs w:val="24"/>
        </w:rPr>
        <w:t xml:space="preserve"> Whilst the tablet this translation stems from was not recovered at Nineveh, the tradition it relates – linking Šamaš with judgement and Adad with</w:t>
      </w:r>
      <w:r w:rsidR="00727709">
        <w:rPr>
          <w:rFonts w:ascii="Times New Roman" w:hAnsi="Times New Roman"/>
          <w:bCs/>
          <w:color w:val="auto"/>
          <w:sz w:val="24"/>
          <w:szCs w:val="24"/>
        </w:rPr>
        <w:t xml:space="preserve"> the physical acts involved in</w:t>
      </w:r>
      <w:r w:rsidR="00C81FD4">
        <w:rPr>
          <w:rFonts w:ascii="Times New Roman" w:hAnsi="Times New Roman"/>
          <w:bCs/>
          <w:color w:val="auto"/>
          <w:sz w:val="24"/>
          <w:szCs w:val="24"/>
        </w:rPr>
        <w:t xml:space="preserve"> divinatory rituals – appears </w:t>
      </w:r>
      <w:r w:rsidR="0051511E">
        <w:rPr>
          <w:rFonts w:ascii="Times New Roman" w:hAnsi="Times New Roman"/>
          <w:bCs/>
          <w:color w:val="auto"/>
          <w:sz w:val="24"/>
          <w:szCs w:val="24"/>
        </w:rPr>
        <w:t>prevalent</w:t>
      </w:r>
      <w:r w:rsidR="00C81FD4">
        <w:rPr>
          <w:rFonts w:ascii="Times New Roman" w:hAnsi="Times New Roman"/>
          <w:bCs/>
          <w:color w:val="auto"/>
          <w:sz w:val="24"/>
          <w:szCs w:val="24"/>
        </w:rPr>
        <w:t xml:space="preserve"> in Ashurbanipal’s reign</w:t>
      </w:r>
      <w:r w:rsidR="0051511E">
        <w:rPr>
          <w:rFonts w:ascii="Times New Roman" w:hAnsi="Times New Roman"/>
          <w:bCs/>
          <w:color w:val="auto"/>
          <w:sz w:val="24"/>
          <w:szCs w:val="24"/>
        </w:rPr>
        <w:t>.</w:t>
      </w:r>
      <w:r w:rsidR="00C81FD4">
        <w:rPr>
          <w:rFonts w:ascii="Times New Roman" w:hAnsi="Times New Roman"/>
          <w:bCs/>
          <w:color w:val="auto"/>
          <w:sz w:val="24"/>
          <w:szCs w:val="24"/>
        </w:rPr>
        <w:t xml:space="preserve"> </w:t>
      </w:r>
      <w:r w:rsidR="0051511E">
        <w:rPr>
          <w:rFonts w:ascii="Times New Roman" w:hAnsi="Times New Roman"/>
          <w:bCs/>
          <w:color w:val="auto"/>
          <w:sz w:val="24"/>
          <w:szCs w:val="24"/>
        </w:rPr>
        <w:t>E</w:t>
      </w:r>
      <w:r w:rsidR="00C81FD4">
        <w:rPr>
          <w:rFonts w:ascii="Times New Roman" w:hAnsi="Times New Roman"/>
          <w:bCs/>
          <w:color w:val="auto"/>
          <w:sz w:val="24"/>
          <w:szCs w:val="24"/>
        </w:rPr>
        <w:t xml:space="preserve">xtant texts relating to </w:t>
      </w:r>
      <w:r w:rsidR="00A73772">
        <w:rPr>
          <w:rFonts w:ascii="Times New Roman" w:hAnsi="Times New Roman"/>
          <w:bCs/>
          <w:color w:val="auto"/>
          <w:sz w:val="24"/>
          <w:szCs w:val="24"/>
        </w:rPr>
        <w:t xml:space="preserve">extispicy </w:t>
      </w:r>
      <w:r w:rsidR="00C81FD4">
        <w:rPr>
          <w:rFonts w:ascii="Times New Roman" w:hAnsi="Times New Roman"/>
          <w:bCs/>
          <w:color w:val="auto"/>
          <w:sz w:val="24"/>
          <w:szCs w:val="24"/>
        </w:rPr>
        <w:t xml:space="preserve">and </w:t>
      </w:r>
      <w:proofErr w:type="spellStart"/>
      <w:r w:rsidR="00C81FD4">
        <w:rPr>
          <w:rFonts w:ascii="Times New Roman" w:hAnsi="Times New Roman"/>
          <w:bCs/>
          <w:color w:val="auto"/>
          <w:sz w:val="24"/>
          <w:szCs w:val="24"/>
        </w:rPr>
        <w:t>tamītus</w:t>
      </w:r>
      <w:proofErr w:type="spellEnd"/>
      <w:r w:rsidR="00C81FD4">
        <w:rPr>
          <w:rFonts w:ascii="Times New Roman" w:hAnsi="Times New Roman"/>
          <w:bCs/>
          <w:color w:val="auto"/>
          <w:sz w:val="24"/>
          <w:szCs w:val="24"/>
        </w:rPr>
        <w:t xml:space="preserve"> dating from </w:t>
      </w:r>
      <w:r w:rsidR="00A73772">
        <w:rPr>
          <w:rFonts w:ascii="Times New Roman" w:hAnsi="Times New Roman"/>
          <w:bCs/>
          <w:color w:val="auto"/>
          <w:sz w:val="24"/>
          <w:szCs w:val="24"/>
        </w:rPr>
        <w:t xml:space="preserve">– or collected and stored at Ashurbanipal’s Library during – </w:t>
      </w:r>
      <w:r w:rsidR="00C81FD4">
        <w:rPr>
          <w:rFonts w:ascii="Times New Roman" w:hAnsi="Times New Roman"/>
          <w:bCs/>
          <w:color w:val="auto"/>
          <w:sz w:val="24"/>
          <w:szCs w:val="24"/>
        </w:rPr>
        <w:t>this period call upon both deities in a similar manner.</w:t>
      </w:r>
      <w:r w:rsidR="00C81FD4">
        <w:rPr>
          <w:rStyle w:val="FootnoteReference"/>
          <w:rFonts w:ascii="Times New Roman" w:hAnsi="Times New Roman"/>
          <w:bCs/>
          <w:color w:val="auto"/>
          <w:sz w:val="24"/>
          <w:szCs w:val="24"/>
        </w:rPr>
        <w:footnoteReference w:id="33"/>
      </w:r>
      <w:r w:rsidR="008A497C">
        <w:rPr>
          <w:rFonts w:ascii="Times New Roman" w:hAnsi="Times New Roman"/>
          <w:bCs/>
          <w:color w:val="auto"/>
          <w:sz w:val="24"/>
          <w:szCs w:val="24"/>
        </w:rPr>
        <w:t xml:space="preserve"> </w:t>
      </w:r>
      <w:r w:rsidR="00940DF7">
        <w:rPr>
          <w:rFonts w:ascii="Times New Roman" w:hAnsi="Times New Roman"/>
          <w:bCs/>
          <w:color w:val="auto"/>
          <w:sz w:val="24"/>
          <w:szCs w:val="24"/>
        </w:rPr>
        <w:t xml:space="preserve">Extispicy was one way of garnering responses from </w:t>
      </w:r>
      <w:r w:rsidR="004A55B6">
        <w:rPr>
          <w:rFonts w:ascii="Times New Roman" w:hAnsi="Times New Roman"/>
          <w:bCs/>
          <w:color w:val="auto"/>
          <w:sz w:val="24"/>
          <w:szCs w:val="24"/>
        </w:rPr>
        <w:t>Šamaš</w:t>
      </w:r>
      <w:r w:rsidR="00DF3D12">
        <w:rPr>
          <w:rFonts w:ascii="Times New Roman" w:hAnsi="Times New Roman"/>
          <w:bCs/>
          <w:color w:val="auto"/>
          <w:sz w:val="24"/>
          <w:szCs w:val="24"/>
        </w:rPr>
        <w:t xml:space="preserve"> and Adad</w:t>
      </w:r>
      <w:r w:rsidR="00940DF7">
        <w:rPr>
          <w:rFonts w:ascii="Times New Roman" w:hAnsi="Times New Roman"/>
          <w:bCs/>
          <w:color w:val="auto"/>
          <w:sz w:val="24"/>
          <w:szCs w:val="24"/>
        </w:rPr>
        <w:t xml:space="preserve">, whilst </w:t>
      </w:r>
      <w:proofErr w:type="spellStart"/>
      <w:r w:rsidR="00C370BD">
        <w:rPr>
          <w:rFonts w:ascii="Times New Roman" w:hAnsi="Times New Roman"/>
          <w:bCs/>
          <w:color w:val="auto"/>
          <w:sz w:val="24"/>
          <w:szCs w:val="24"/>
        </w:rPr>
        <w:t>tamītus</w:t>
      </w:r>
      <w:proofErr w:type="spellEnd"/>
      <w:r w:rsidR="00C370BD">
        <w:rPr>
          <w:rFonts w:ascii="Times New Roman" w:hAnsi="Times New Roman"/>
          <w:bCs/>
          <w:color w:val="auto"/>
          <w:sz w:val="24"/>
          <w:szCs w:val="24"/>
        </w:rPr>
        <w:t xml:space="preserve"> </w:t>
      </w:r>
      <w:r w:rsidR="00940DF7">
        <w:rPr>
          <w:rFonts w:ascii="Times New Roman" w:hAnsi="Times New Roman"/>
          <w:bCs/>
          <w:color w:val="auto"/>
          <w:sz w:val="24"/>
          <w:szCs w:val="24"/>
        </w:rPr>
        <w:t>were the specific queries set before the</w:t>
      </w:r>
      <w:r w:rsidR="00DF3D12">
        <w:rPr>
          <w:rFonts w:ascii="Times New Roman" w:hAnsi="Times New Roman"/>
          <w:bCs/>
          <w:color w:val="auto"/>
          <w:sz w:val="24"/>
          <w:szCs w:val="24"/>
        </w:rPr>
        <w:t>m</w:t>
      </w:r>
      <w:r w:rsidR="00940DF7">
        <w:rPr>
          <w:rFonts w:ascii="Times New Roman" w:hAnsi="Times New Roman"/>
          <w:bCs/>
          <w:color w:val="auto"/>
          <w:sz w:val="24"/>
          <w:szCs w:val="24"/>
        </w:rPr>
        <w:t>.</w:t>
      </w:r>
      <w:r w:rsidR="00940DF7">
        <w:rPr>
          <w:rStyle w:val="FootnoteReference"/>
          <w:rFonts w:ascii="Times New Roman" w:hAnsi="Times New Roman"/>
          <w:bCs/>
          <w:color w:val="auto"/>
          <w:sz w:val="24"/>
          <w:szCs w:val="24"/>
        </w:rPr>
        <w:footnoteReference w:id="34"/>
      </w:r>
      <w:r w:rsidR="002878E1">
        <w:rPr>
          <w:rFonts w:ascii="Times New Roman" w:hAnsi="Times New Roman"/>
          <w:bCs/>
          <w:color w:val="auto"/>
          <w:sz w:val="24"/>
          <w:szCs w:val="24"/>
        </w:rPr>
        <w:t xml:space="preserve"> </w:t>
      </w:r>
      <w:r w:rsidR="007348FD">
        <w:rPr>
          <w:rFonts w:ascii="Times New Roman" w:hAnsi="Times New Roman"/>
          <w:bCs/>
          <w:color w:val="auto"/>
          <w:sz w:val="24"/>
          <w:szCs w:val="24"/>
        </w:rPr>
        <w:t xml:space="preserve">Extant </w:t>
      </w:r>
      <w:proofErr w:type="spellStart"/>
      <w:r w:rsidR="00B73A27">
        <w:rPr>
          <w:rFonts w:ascii="Times New Roman" w:hAnsi="Times New Roman"/>
          <w:bCs/>
          <w:color w:val="auto"/>
          <w:sz w:val="24"/>
          <w:szCs w:val="24"/>
        </w:rPr>
        <w:t>tamītus</w:t>
      </w:r>
      <w:proofErr w:type="spellEnd"/>
      <w:r w:rsidR="007348FD">
        <w:rPr>
          <w:rFonts w:ascii="Times New Roman" w:hAnsi="Times New Roman"/>
          <w:bCs/>
          <w:color w:val="auto"/>
          <w:sz w:val="24"/>
          <w:szCs w:val="24"/>
        </w:rPr>
        <w:t xml:space="preserve"> </w:t>
      </w:r>
      <w:r w:rsidR="0051511E">
        <w:rPr>
          <w:rFonts w:ascii="Times New Roman" w:hAnsi="Times New Roman"/>
          <w:bCs/>
          <w:color w:val="auto"/>
          <w:sz w:val="24"/>
          <w:szCs w:val="24"/>
        </w:rPr>
        <w:t>dating</w:t>
      </w:r>
      <w:r w:rsidR="001C2189">
        <w:rPr>
          <w:rFonts w:ascii="Times New Roman" w:hAnsi="Times New Roman"/>
          <w:bCs/>
          <w:color w:val="auto"/>
          <w:sz w:val="24"/>
          <w:szCs w:val="24"/>
        </w:rPr>
        <w:t xml:space="preserve"> – either by </w:t>
      </w:r>
      <w:r w:rsidR="00F54444">
        <w:rPr>
          <w:rFonts w:ascii="Times New Roman" w:hAnsi="Times New Roman"/>
          <w:bCs/>
          <w:color w:val="auto"/>
          <w:sz w:val="24"/>
          <w:szCs w:val="24"/>
        </w:rPr>
        <w:t>creation, copy, or collection –</w:t>
      </w:r>
      <w:r w:rsidR="007348FD">
        <w:rPr>
          <w:rFonts w:ascii="Times New Roman" w:hAnsi="Times New Roman"/>
          <w:bCs/>
          <w:color w:val="auto"/>
          <w:sz w:val="24"/>
          <w:szCs w:val="24"/>
        </w:rPr>
        <w:t xml:space="preserve"> from </w:t>
      </w:r>
      <w:r w:rsidR="0051511E">
        <w:rPr>
          <w:rFonts w:ascii="Times New Roman" w:hAnsi="Times New Roman"/>
          <w:bCs/>
          <w:color w:val="auto"/>
          <w:sz w:val="24"/>
          <w:szCs w:val="24"/>
        </w:rPr>
        <w:t xml:space="preserve">Ashurbanipal’s </w:t>
      </w:r>
      <w:r w:rsidR="007348FD">
        <w:rPr>
          <w:rFonts w:ascii="Times New Roman" w:hAnsi="Times New Roman"/>
          <w:bCs/>
          <w:color w:val="auto"/>
          <w:sz w:val="24"/>
          <w:szCs w:val="24"/>
        </w:rPr>
        <w:t>reign range in subject vastly</w:t>
      </w:r>
      <w:r w:rsidR="00667B7B">
        <w:rPr>
          <w:rFonts w:ascii="Times New Roman" w:hAnsi="Times New Roman"/>
          <w:bCs/>
          <w:color w:val="auto"/>
          <w:sz w:val="24"/>
          <w:szCs w:val="24"/>
        </w:rPr>
        <w:t xml:space="preserve">, </w:t>
      </w:r>
      <w:r w:rsidR="0064287C">
        <w:rPr>
          <w:rFonts w:ascii="Times New Roman" w:hAnsi="Times New Roman"/>
          <w:bCs/>
          <w:color w:val="auto"/>
          <w:sz w:val="24"/>
          <w:szCs w:val="24"/>
        </w:rPr>
        <w:t>encompassing</w:t>
      </w:r>
      <w:r w:rsidR="00667B7B" w:rsidRPr="00D04B45">
        <w:rPr>
          <w:rFonts w:ascii="Times New Roman" w:hAnsi="Times New Roman"/>
          <w:bCs/>
          <w:color w:val="auto"/>
          <w:sz w:val="24"/>
          <w:szCs w:val="24"/>
        </w:rPr>
        <w:t>:</w:t>
      </w:r>
      <w:r w:rsidR="007348FD" w:rsidRPr="00D04B45">
        <w:rPr>
          <w:rFonts w:ascii="Times New Roman" w:hAnsi="Times New Roman"/>
          <w:bCs/>
          <w:color w:val="auto"/>
          <w:sz w:val="24"/>
          <w:szCs w:val="24"/>
        </w:rPr>
        <w:t xml:space="preserve"> military campaigns</w:t>
      </w:r>
      <w:r w:rsidR="00D31B32" w:rsidRPr="00D04B45">
        <w:rPr>
          <w:rFonts w:ascii="Times New Roman" w:hAnsi="Times New Roman"/>
          <w:bCs/>
          <w:color w:val="auto"/>
          <w:sz w:val="24"/>
          <w:szCs w:val="24"/>
        </w:rPr>
        <w:t xml:space="preserve"> from an explicitly royal perspective</w:t>
      </w:r>
      <w:r w:rsidR="00671058">
        <w:rPr>
          <w:rFonts w:ascii="Times New Roman" w:hAnsi="Times New Roman"/>
          <w:bCs/>
          <w:color w:val="auto"/>
          <w:sz w:val="24"/>
          <w:szCs w:val="24"/>
        </w:rPr>
        <w:t>,</w:t>
      </w:r>
      <w:r w:rsidR="00D31B32" w:rsidRPr="00D04B45">
        <w:rPr>
          <w:rFonts w:ascii="Times New Roman" w:hAnsi="Times New Roman"/>
          <w:bCs/>
          <w:color w:val="auto"/>
          <w:sz w:val="24"/>
          <w:szCs w:val="24"/>
        </w:rPr>
        <w:t xml:space="preserve"> as well as </w:t>
      </w:r>
      <w:r w:rsidR="000841DB" w:rsidRPr="00D04B45">
        <w:rPr>
          <w:rFonts w:ascii="Times New Roman" w:hAnsi="Times New Roman"/>
          <w:bCs/>
          <w:color w:val="auto"/>
          <w:sz w:val="24"/>
          <w:szCs w:val="24"/>
        </w:rPr>
        <w:t xml:space="preserve">the health and </w:t>
      </w:r>
      <w:r w:rsidR="00667B7B" w:rsidRPr="00D04B45">
        <w:rPr>
          <w:rFonts w:ascii="Times New Roman" w:hAnsi="Times New Roman"/>
          <w:bCs/>
          <w:color w:val="auto"/>
          <w:sz w:val="24"/>
          <w:szCs w:val="24"/>
        </w:rPr>
        <w:t>personal safety of</w:t>
      </w:r>
      <w:r w:rsidR="00B02BD7" w:rsidRPr="00D04B45">
        <w:rPr>
          <w:rFonts w:ascii="Times New Roman" w:hAnsi="Times New Roman"/>
          <w:bCs/>
          <w:color w:val="auto"/>
          <w:sz w:val="24"/>
          <w:szCs w:val="24"/>
        </w:rPr>
        <w:t xml:space="preserve"> both</w:t>
      </w:r>
      <w:r w:rsidR="00667B7B" w:rsidRPr="00D04B45">
        <w:rPr>
          <w:rFonts w:ascii="Times New Roman" w:hAnsi="Times New Roman"/>
          <w:bCs/>
          <w:color w:val="auto"/>
          <w:sz w:val="24"/>
          <w:szCs w:val="24"/>
        </w:rPr>
        <w:t xml:space="preserve"> men and women</w:t>
      </w:r>
      <w:r w:rsidR="007348FD" w:rsidRPr="00D04B45">
        <w:rPr>
          <w:rFonts w:ascii="Times New Roman" w:hAnsi="Times New Roman"/>
          <w:bCs/>
          <w:color w:val="auto"/>
          <w:sz w:val="24"/>
          <w:szCs w:val="24"/>
        </w:rPr>
        <w:t xml:space="preserve"> </w:t>
      </w:r>
      <w:r w:rsidR="008B6C13" w:rsidRPr="00D04B45">
        <w:rPr>
          <w:rFonts w:ascii="Times New Roman" w:hAnsi="Times New Roman"/>
          <w:bCs/>
          <w:color w:val="auto"/>
          <w:sz w:val="24"/>
          <w:szCs w:val="24"/>
        </w:rPr>
        <w:t xml:space="preserve">and </w:t>
      </w:r>
      <w:r w:rsidR="009C0098" w:rsidRPr="00D04B45">
        <w:rPr>
          <w:rFonts w:ascii="Times New Roman" w:hAnsi="Times New Roman"/>
          <w:bCs/>
          <w:color w:val="auto"/>
          <w:sz w:val="24"/>
          <w:szCs w:val="24"/>
        </w:rPr>
        <w:t xml:space="preserve">the </w:t>
      </w:r>
      <w:r w:rsidR="00671058">
        <w:rPr>
          <w:rFonts w:ascii="Times New Roman" w:hAnsi="Times New Roman"/>
          <w:bCs/>
          <w:color w:val="auto"/>
          <w:sz w:val="24"/>
          <w:szCs w:val="24"/>
        </w:rPr>
        <w:t>possible outcomes of childbirth</w:t>
      </w:r>
      <w:r w:rsidR="009C0098" w:rsidRPr="00D04B45">
        <w:rPr>
          <w:rFonts w:ascii="Times New Roman" w:hAnsi="Times New Roman"/>
          <w:bCs/>
          <w:color w:val="auto"/>
          <w:sz w:val="24"/>
          <w:szCs w:val="24"/>
        </w:rPr>
        <w:t>.</w:t>
      </w:r>
      <w:r w:rsidR="007348FD">
        <w:rPr>
          <w:rStyle w:val="FootnoteReference"/>
          <w:rFonts w:ascii="Times New Roman" w:hAnsi="Times New Roman"/>
          <w:bCs/>
          <w:color w:val="auto"/>
          <w:sz w:val="24"/>
          <w:szCs w:val="24"/>
        </w:rPr>
        <w:footnoteReference w:id="35"/>
      </w:r>
      <w:r w:rsidR="007348FD">
        <w:rPr>
          <w:rFonts w:ascii="Times New Roman" w:hAnsi="Times New Roman"/>
          <w:bCs/>
          <w:color w:val="auto"/>
          <w:sz w:val="24"/>
          <w:szCs w:val="24"/>
        </w:rPr>
        <w:t xml:space="preserve"> </w:t>
      </w:r>
      <w:r w:rsidR="00737463">
        <w:rPr>
          <w:rFonts w:ascii="Times New Roman" w:hAnsi="Times New Roman"/>
          <w:bCs/>
          <w:color w:val="auto"/>
          <w:sz w:val="24"/>
          <w:szCs w:val="24"/>
        </w:rPr>
        <w:t xml:space="preserve">This suggests a broad scope for </w:t>
      </w:r>
      <w:r w:rsidR="00015F3B">
        <w:rPr>
          <w:rFonts w:ascii="Times New Roman" w:hAnsi="Times New Roman"/>
          <w:bCs/>
          <w:color w:val="auto"/>
          <w:sz w:val="24"/>
          <w:szCs w:val="24"/>
        </w:rPr>
        <w:t>human-divine</w:t>
      </w:r>
      <w:r w:rsidR="00737463">
        <w:rPr>
          <w:rFonts w:ascii="Times New Roman" w:hAnsi="Times New Roman"/>
          <w:bCs/>
          <w:color w:val="auto"/>
          <w:sz w:val="24"/>
          <w:szCs w:val="24"/>
        </w:rPr>
        <w:t xml:space="preserve"> interactions within Neo-Assyrian society</w:t>
      </w:r>
      <w:r w:rsidR="00BC2F4C">
        <w:rPr>
          <w:rFonts w:ascii="Times New Roman" w:hAnsi="Times New Roman"/>
          <w:bCs/>
          <w:color w:val="auto"/>
          <w:sz w:val="24"/>
          <w:szCs w:val="24"/>
        </w:rPr>
        <w:t>.</w:t>
      </w:r>
      <w:r w:rsidR="00737463">
        <w:rPr>
          <w:rFonts w:ascii="Times New Roman" w:hAnsi="Times New Roman"/>
          <w:bCs/>
          <w:color w:val="auto"/>
          <w:sz w:val="24"/>
          <w:szCs w:val="24"/>
        </w:rPr>
        <w:t xml:space="preserve"> </w:t>
      </w:r>
      <w:r w:rsidR="006051A9">
        <w:rPr>
          <w:rFonts w:ascii="Times New Roman" w:hAnsi="Times New Roman"/>
          <w:bCs/>
          <w:color w:val="auto"/>
          <w:sz w:val="24"/>
          <w:szCs w:val="24"/>
        </w:rPr>
        <w:t>That subjects like childbirth and illness</w:t>
      </w:r>
      <w:r w:rsidR="00737463">
        <w:rPr>
          <w:rFonts w:ascii="Times New Roman" w:hAnsi="Times New Roman"/>
          <w:bCs/>
          <w:color w:val="auto"/>
          <w:sz w:val="24"/>
          <w:szCs w:val="24"/>
        </w:rPr>
        <w:t xml:space="preserve"> </w:t>
      </w:r>
      <w:r w:rsidR="006051A9">
        <w:rPr>
          <w:rFonts w:ascii="Times New Roman" w:hAnsi="Times New Roman"/>
          <w:bCs/>
          <w:color w:val="auto"/>
          <w:sz w:val="24"/>
          <w:szCs w:val="24"/>
        </w:rPr>
        <w:t>–</w:t>
      </w:r>
      <w:r w:rsidR="00FD0530">
        <w:rPr>
          <w:rFonts w:ascii="Times New Roman" w:hAnsi="Times New Roman"/>
          <w:bCs/>
          <w:color w:val="auto"/>
          <w:sz w:val="24"/>
          <w:szCs w:val="24"/>
        </w:rPr>
        <w:t xml:space="preserve"> </w:t>
      </w:r>
      <w:r w:rsidR="000E16BC">
        <w:rPr>
          <w:rFonts w:ascii="Times New Roman" w:hAnsi="Times New Roman"/>
          <w:bCs/>
          <w:color w:val="auto"/>
          <w:sz w:val="24"/>
          <w:szCs w:val="24"/>
        </w:rPr>
        <w:t>affecting</w:t>
      </w:r>
      <w:r w:rsidR="006051A9">
        <w:rPr>
          <w:rFonts w:ascii="Times New Roman" w:hAnsi="Times New Roman"/>
          <w:bCs/>
          <w:color w:val="auto"/>
          <w:sz w:val="24"/>
          <w:szCs w:val="24"/>
        </w:rPr>
        <w:t xml:space="preserve"> many people, </w:t>
      </w:r>
      <w:r w:rsidR="000E16BC">
        <w:rPr>
          <w:rFonts w:ascii="Times New Roman" w:hAnsi="Times New Roman"/>
          <w:bCs/>
          <w:color w:val="auto"/>
          <w:sz w:val="24"/>
          <w:szCs w:val="24"/>
        </w:rPr>
        <w:lastRenderedPageBreak/>
        <w:t>regardless of</w:t>
      </w:r>
      <w:r w:rsidR="006051A9">
        <w:rPr>
          <w:rFonts w:ascii="Times New Roman" w:hAnsi="Times New Roman"/>
          <w:bCs/>
          <w:color w:val="auto"/>
          <w:sz w:val="24"/>
          <w:szCs w:val="24"/>
        </w:rPr>
        <w:t xml:space="preserve"> socio-economic status – were handled suggests that </w:t>
      </w:r>
      <w:proofErr w:type="spellStart"/>
      <w:r w:rsidR="00C370BD">
        <w:rPr>
          <w:rFonts w:ascii="Times New Roman" w:hAnsi="Times New Roman"/>
          <w:bCs/>
          <w:color w:val="auto"/>
          <w:sz w:val="24"/>
          <w:szCs w:val="24"/>
        </w:rPr>
        <w:t>tamītus</w:t>
      </w:r>
      <w:proofErr w:type="spellEnd"/>
      <w:r w:rsidR="006C3F4D">
        <w:rPr>
          <w:rFonts w:ascii="Times New Roman" w:hAnsi="Times New Roman"/>
          <w:bCs/>
          <w:color w:val="auto"/>
          <w:sz w:val="24"/>
          <w:szCs w:val="24"/>
        </w:rPr>
        <w:t xml:space="preserve"> could be posed</w:t>
      </w:r>
      <w:r w:rsidR="00994BDD">
        <w:rPr>
          <w:rFonts w:ascii="Times New Roman" w:hAnsi="Times New Roman"/>
          <w:bCs/>
          <w:color w:val="auto"/>
          <w:sz w:val="24"/>
          <w:szCs w:val="24"/>
        </w:rPr>
        <w:t xml:space="preserve"> not only by kings </w:t>
      </w:r>
      <w:r w:rsidR="00A67180">
        <w:rPr>
          <w:rFonts w:ascii="Times New Roman" w:hAnsi="Times New Roman"/>
          <w:bCs/>
          <w:color w:val="auto"/>
          <w:sz w:val="24"/>
          <w:szCs w:val="24"/>
        </w:rPr>
        <w:t xml:space="preserve">nor even only </w:t>
      </w:r>
      <w:r w:rsidR="00994BDD">
        <w:rPr>
          <w:rFonts w:ascii="Times New Roman" w:hAnsi="Times New Roman"/>
          <w:bCs/>
          <w:color w:val="auto"/>
          <w:sz w:val="24"/>
          <w:szCs w:val="24"/>
        </w:rPr>
        <w:t>by men, but by women also.</w:t>
      </w:r>
      <w:r w:rsidR="006051A9">
        <w:rPr>
          <w:rFonts w:ascii="Times New Roman" w:hAnsi="Times New Roman"/>
          <w:bCs/>
          <w:color w:val="auto"/>
          <w:sz w:val="24"/>
          <w:szCs w:val="24"/>
        </w:rPr>
        <w:t xml:space="preserve"> </w:t>
      </w:r>
      <w:r w:rsidR="000F0734">
        <w:rPr>
          <w:rFonts w:ascii="Times New Roman" w:hAnsi="Times New Roman"/>
          <w:bCs/>
          <w:color w:val="auto"/>
          <w:sz w:val="24"/>
          <w:szCs w:val="24"/>
        </w:rPr>
        <w:t>D</w:t>
      </w:r>
      <w:r w:rsidR="00125950">
        <w:rPr>
          <w:rFonts w:ascii="Times New Roman" w:hAnsi="Times New Roman"/>
          <w:bCs/>
          <w:color w:val="auto"/>
          <w:sz w:val="24"/>
          <w:szCs w:val="24"/>
        </w:rPr>
        <w:t>ivination</w:t>
      </w:r>
      <w:r w:rsidR="000F0734">
        <w:rPr>
          <w:rFonts w:ascii="Times New Roman" w:hAnsi="Times New Roman"/>
          <w:bCs/>
          <w:color w:val="auto"/>
          <w:sz w:val="24"/>
          <w:szCs w:val="24"/>
        </w:rPr>
        <w:t xml:space="preserve">, then, appears to have been </w:t>
      </w:r>
      <w:r w:rsidR="00FB53A7">
        <w:rPr>
          <w:rFonts w:ascii="Times New Roman" w:hAnsi="Times New Roman"/>
          <w:bCs/>
          <w:color w:val="auto"/>
          <w:sz w:val="24"/>
          <w:szCs w:val="24"/>
        </w:rPr>
        <w:t>both</w:t>
      </w:r>
      <w:r w:rsidR="00125950">
        <w:rPr>
          <w:rFonts w:ascii="Times New Roman" w:hAnsi="Times New Roman"/>
          <w:bCs/>
          <w:color w:val="auto"/>
          <w:sz w:val="24"/>
          <w:szCs w:val="24"/>
        </w:rPr>
        <w:t xml:space="preserve"> embedded within society</w:t>
      </w:r>
      <w:r w:rsidR="000F0734">
        <w:rPr>
          <w:rFonts w:ascii="Times New Roman" w:hAnsi="Times New Roman"/>
          <w:bCs/>
          <w:color w:val="auto"/>
          <w:sz w:val="24"/>
          <w:szCs w:val="24"/>
        </w:rPr>
        <w:t xml:space="preserve"> </w:t>
      </w:r>
      <w:r w:rsidR="00125950">
        <w:rPr>
          <w:rFonts w:ascii="Times New Roman" w:hAnsi="Times New Roman"/>
          <w:bCs/>
          <w:color w:val="auto"/>
          <w:sz w:val="24"/>
          <w:szCs w:val="24"/>
        </w:rPr>
        <w:t xml:space="preserve">and inclusive – with </w:t>
      </w:r>
      <w:r w:rsidR="005C2C61">
        <w:rPr>
          <w:rFonts w:ascii="Times New Roman" w:hAnsi="Times New Roman"/>
          <w:bCs/>
          <w:color w:val="auto"/>
          <w:sz w:val="24"/>
          <w:szCs w:val="24"/>
        </w:rPr>
        <w:t xml:space="preserve">neither </w:t>
      </w:r>
      <w:r w:rsidR="00125950">
        <w:rPr>
          <w:rFonts w:ascii="Times New Roman" w:hAnsi="Times New Roman"/>
          <w:bCs/>
          <w:color w:val="auto"/>
          <w:sz w:val="24"/>
          <w:szCs w:val="24"/>
        </w:rPr>
        <w:t>gender nor social rank necessarily acting as barriers.</w:t>
      </w:r>
      <w:r w:rsidR="00734342">
        <w:rPr>
          <w:rFonts w:ascii="Times New Roman" w:hAnsi="Times New Roman"/>
          <w:bCs/>
          <w:color w:val="auto"/>
          <w:sz w:val="24"/>
          <w:szCs w:val="24"/>
        </w:rPr>
        <w:t xml:space="preserve"> </w:t>
      </w:r>
      <w:r w:rsidR="006C3F4D">
        <w:rPr>
          <w:rFonts w:ascii="Times New Roman" w:hAnsi="Times New Roman"/>
          <w:bCs/>
          <w:color w:val="auto"/>
          <w:sz w:val="24"/>
          <w:szCs w:val="24"/>
        </w:rPr>
        <w:t xml:space="preserve">However, the costs involved in some forms of divinatory practices – particularly extispicy, where sacrificing an animal as well as </w:t>
      </w:r>
      <w:r w:rsidR="00FA789C">
        <w:rPr>
          <w:rFonts w:ascii="Times New Roman" w:hAnsi="Times New Roman"/>
          <w:bCs/>
          <w:color w:val="auto"/>
          <w:sz w:val="24"/>
          <w:szCs w:val="24"/>
        </w:rPr>
        <w:t>remunerating</w:t>
      </w:r>
      <w:r w:rsidR="006C3F4D">
        <w:rPr>
          <w:rFonts w:ascii="Times New Roman" w:hAnsi="Times New Roman"/>
          <w:bCs/>
          <w:color w:val="auto"/>
          <w:sz w:val="24"/>
          <w:szCs w:val="24"/>
        </w:rPr>
        <w:t xml:space="preserve"> the diviner would be necessary – would like</w:t>
      </w:r>
      <w:r w:rsidR="000F0734">
        <w:rPr>
          <w:rFonts w:ascii="Times New Roman" w:hAnsi="Times New Roman"/>
          <w:bCs/>
          <w:color w:val="auto"/>
          <w:sz w:val="24"/>
          <w:szCs w:val="24"/>
        </w:rPr>
        <w:t>ly</w:t>
      </w:r>
      <w:r w:rsidR="006C3F4D">
        <w:rPr>
          <w:rFonts w:ascii="Times New Roman" w:hAnsi="Times New Roman"/>
          <w:bCs/>
          <w:color w:val="auto"/>
          <w:sz w:val="24"/>
          <w:szCs w:val="24"/>
        </w:rPr>
        <w:t xml:space="preserve"> prove prohibitive for</w:t>
      </w:r>
      <w:r w:rsidR="000F0734">
        <w:rPr>
          <w:rFonts w:ascii="Times New Roman" w:hAnsi="Times New Roman"/>
          <w:bCs/>
          <w:color w:val="auto"/>
          <w:sz w:val="24"/>
          <w:szCs w:val="24"/>
        </w:rPr>
        <w:t xml:space="preserve"> less economically-secure individuals</w:t>
      </w:r>
      <w:r w:rsidR="006C3F4D">
        <w:rPr>
          <w:rFonts w:ascii="Times New Roman" w:hAnsi="Times New Roman"/>
          <w:bCs/>
          <w:color w:val="auto"/>
          <w:sz w:val="24"/>
          <w:szCs w:val="24"/>
        </w:rPr>
        <w:t>.</w:t>
      </w:r>
      <w:r w:rsidR="00D55C36">
        <w:rPr>
          <w:rStyle w:val="FootnoteReference"/>
          <w:rFonts w:ascii="Times New Roman" w:hAnsi="Times New Roman"/>
          <w:bCs/>
          <w:color w:val="auto"/>
          <w:sz w:val="24"/>
          <w:szCs w:val="24"/>
        </w:rPr>
        <w:footnoteReference w:id="36"/>
      </w:r>
      <w:r w:rsidR="006C3F4D">
        <w:rPr>
          <w:rFonts w:ascii="Times New Roman" w:hAnsi="Times New Roman"/>
          <w:bCs/>
          <w:color w:val="auto"/>
          <w:sz w:val="24"/>
          <w:szCs w:val="24"/>
        </w:rPr>
        <w:t xml:space="preserve"> </w:t>
      </w:r>
      <w:r w:rsidR="006B5AFA">
        <w:rPr>
          <w:rFonts w:ascii="Times New Roman" w:hAnsi="Times New Roman"/>
          <w:bCs/>
          <w:color w:val="auto"/>
          <w:sz w:val="24"/>
          <w:szCs w:val="24"/>
        </w:rPr>
        <w:t xml:space="preserve">Lena-Sofia </w:t>
      </w:r>
      <w:proofErr w:type="spellStart"/>
      <w:r w:rsidR="00267766">
        <w:rPr>
          <w:rFonts w:ascii="Times New Roman" w:hAnsi="Times New Roman"/>
          <w:bCs/>
          <w:color w:val="auto"/>
          <w:sz w:val="24"/>
          <w:szCs w:val="24"/>
        </w:rPr>
        <w:t>Tiemeyer</w:t>
      </w:r>
      <w:proofErr w:type="spellEnd"/>
      <w:r w:rsidR="00267766">
        <w:rPr>
          <w:rFonts w:ascii="Times New Roman" w:hAnsi="Times New Roman"/>
          <w:bCs/>
          <w:color w:val="auto"/>
          <w:sz w:val="24"/>
          <w:szCs w:val="24"/>
        </w:rPr>
        <w:t xml:space="preserve"> has d</w:t>
      </w:r>
      <w:r w:rsidR="00433DA5">
        <w:rPr>
          <w:rFonts w:ascii="Times New Roman" w:hAnsi="Times New Roman"/>
          <w:bCs/>
          <w:color w:val="auto"/>
          <w:sz w:val="24"/>
          <w:szCs w:val="24"/>
        </w:rPr>
        <w:t>escribed</w:t>
      </w:r>
      <w:r w:rsidR="00267766">
        <w:rPr>
          <w:rFonts w:ascii="Times New Roman" w:hAnsi="Times New Roman"/>
          <w:bCs/>
          <w:color w:val="auto"/>
          <w:sz w:val="24"/>
          <w:szCs w:val="24"/>
        </w:rPr>
        <w:t xml:space="preserve"> the ‘Queries to the Sun God’ as a ‘Neo-Assyrian development of the </w:t>
      </w:r>
      <w:proofErr w:type="spellStart"/>
      <w:r w:rsidR="00C370BD">
        <w:rPr>
          <w:rFonts w:ascii="Times New Roman" w:hAnsi="Times New Roman"/>
          <w:bCs/>
          <w:color w:val="auto"/>
          <w:sz w:val="24"/>
          <w:szCs w:val="24"/>
        </w:rPr>
        <w:t>tamītu</w:t>
      </w:r>
      <w:proofErr w:type="spellEnd"/>
      <w:r w:rsidR="00C370BD">
        <w:rPr>
          <w:rFonts w:ascii="Times New Roman" w:hAnsi="Times New Roman"/>
          <w:bCs/>
          <w:color w:val="auto"/>
          <w:sz w:val="24"/>
          <w:szCs w:val="24"/>
        </w:rPr>
        <w:t>,</w:t>
      </w:r>
      <w:r w:rsidR="00267766">
        <w:rPr>
          <w:rFonts w:ascii="Times New Roman" w:hAnsi="Times New Roman"/>
          <w:bCs/>
          <w:color w:val="auto"/>
          <w:sz w:val="24"/>
          <w:szCs w:val="24"/>
        </w:rPr>
        <w:t xml:space="preserve"> concerned solely with matter of state’, elevating the status of the questioner to royal circles</w:t>
      </w:r>
      <w:r w:rsidR="00EF10DD">
        <w:rPr>
          <w:rFonts w:ascii="Times New Roman" w:hAnsi="Times New Roman"/>
          <w:bCs/>
          <w:color w:val="auto"/>
          <w:sz w:val="24"/>
          <w:szCs w:val="24"/>
        </w:rPr>
        <w:t xml:space="preserve"> perhaps taking into account the cost </w:t>
      </w:r>
      <w:r w:rsidR="00DA2826">
        <w:rPr>
          <w:rFonts w:ascii="Times New Roman" w:hAnsi="Times New Roman"/>
          <w:bCs/>
          <w:color w:val="auto"/>
          <w:sz w:val="24"/>
          <w:szCs w:val="24"/>
        </w:rPr>
        <w:t>of performing such rituals</w:t>
      </w:r>
      <w:r w:rsidR="00267766">
        <w:rPr>
          <w:rFonts w:ascii="Times New Roman" w:hAnsi="Times New Roman"/>
          <w:bCs/>
          <w:color w:val="auto"/>
          <w:sz w:val="24"/>
          <w:szCs w:val="24"/>
        </w:rPr>
        <w:t>.</w:t>
      </w:r>
      <w:r w:rsidR="00267766">
        <w:rPr>
          <w:rStyle w:val="FootnoteReference"/>
          <w:rFonts w:ascii="Times New Roman" w:hAnsi="Times New Roman"/>
          <w:bCs/>
          <w:color w:val="auto"/>
          <w:sz w:val="24"/>
          <w:szCs w:val="24"/>
        </w:rPr>
        <w:footnoteReference w:id="37"/>
      </w:r>
      <w:r w:rsidR="00AC3EB0">
        <w:rPr>
          <w:rFonts w:ascii="Times New Roman" w:hAnsi="Times New Roman"/>
          <w:bCs/>
          <w:color w:val="auto"/>
          <w:sz w:val="24"/>
          <w:szCs w:val="24"/>
        </w:rPr>
        <w:t xml:space="preserve"> </w:t>
      </w:r>
      <w:r w:rsidR="004D18F7">
        <w:rPr>
          <w:rFonts w:ascii="Times New Roman" w:hAnsi="Times New Roman"/>
          <w:bCs/>
          <w:color w:val="auto"/>
          <w:sz w:val="24"/>
          <w:szCs w:val="24"/>
        </w:rPr>
        <w:t>T</w:t>
      </w:r>
      <w:r w:rsidR="009C0098">
        <w:rPr>
          <w:rFonts w:ascii="Times New Roman" w:hAnsi="Times New Roman"/>
          <w:bCs/>
          <w:color w:val="auto"/>
          <w:sz w:val="24"/>
          <w:szCs w:val="24"/>
        </w:rPr>
        <w:t xml:space="preserve">he </w:t>
      </w:r>
      <w:proofErr w:type="spellStart"/>
      <w:r w:rsidR="00C370BD">
        <w:rPr>
          <w:rFonts w:ascii="Times New Roman" w:hAnsi="Times New Roman"/>
          <w:bCs/>
          <w:color w:val="auto"/>
          <w:sz w:val="24"/>
          <w:szCs w:val="24"/>
        </w:rPr>
        <w:t>tamītus</w:t>
      </w:r>
      <w:proofErr w:type="spellEnd"/>
      <w:r w:rsidR="00315905">
        <w:rPr>
          <w:rFonts w:ascii="Times New Roman" w:hAnsi="Times New Roman"/>
          <w:bCs/>
          <w:color w:val="auto"/>
          <w:sz w:val="24"/>
          <w:szCs w:val="24"/>
        </w:rPr>
        <w:t xml:space="preserve"> </w:t>
      </w:r>
      <w:r w:rsidR="009C0098">
        <w:rPr>
          <w:rFonts w:ascii="Times New Roman" w:hAnsi="Times New Roman"/>
          <w:bCs/>
          <w:color w:val="auto"/>
          <w:sz w:val="24"/>
          <w:szCs w:val="24"/>
        </w:rPr>
        <w:t>are formulaic, suggesting that the way in which diviners addressed the gods was – by the time these were written</w:t>
      </w:r>
      <w:r w:rsidR="00FD0530">
        <w:rPr>
          <w:rFonts w:ascii="Times New Roman" w:hAnsi="Times New Roman"/>
          <w:bCs/>
          <w:color w:val="auto"/>
          <w:sz w:val="24"/>
          <w:szCs w:val="24"/>
        </w:rPr>
        <w:t xml:space="preserve"> down</w:t>
      </w:r>
      <w:r w:rsidR="009C0098">
        <w:rPr>
          <w:rFonts w:ascii="Times New Roman" w:hAnsi="Times New Roman"/>
          <w:bCs/>
          <w:color w:val="auto"/>
          <w:sz w:val="24"/>
          <w:szCs w:val="24"/>
        </w:rPr>
        <w:t xml:space="preserve"> – a codified</w:t>
      </w:r>
      <w:r w:rsidR="0090569F">
        <w:rPr>
          <w:rFonts w:ascii="Times New Roman" w:hAnsi="Times New Roman"/>
          <w:bCs/>
          <w:color w:val="auto"/>
          <w:sz w:val="24"/>
          <w:szCs w:val="24"/>
        </w:rPr>
        <w:t xml:space="preserve"> and</w:t>
      </w:r>
      <w:r w:rsidR="00FD0530">
        <w:rPr>
          <w:rFonts w:ascii="Times New Roman" w:hAnsi="Times New Roman"/>
          <w:bCs/>
          <w:color w:val="auto"/>
          <w:sz w:val="24"/>
          <w:szCs w:val="24"/>
        </w:rPr>
        <w:t xml:space="preserve"> </w:t>
      </w:r>
      <w:r w:rsidR="000527C7">
        <w:rPr>
          <w:rFonts w:ascii="Times New Roman" w:hAnsi="Times New Roman"/>
          <w:bCs/>
          <w:color w:val="auto"/>
          <w:sz w:val="24"/>
          <w:szCs w:val="24"/>
        </w:rPr>
        <w:t>specialist</w:t>
      </w:r>
      <w:r w:rsidR="009C0098">
        <w:rPr>
          <w:rFonts w:ascii="Times New Roman" w:hAnsi="Times New Roman"/>
          <w:bCs/>
          <w:color w:val="auto"/>
          <w:sz w:val="24"/>
          <w:szCs w:val="24"/>
        </w:rPr>
        <w:t xml:space="preserve"> exercise.</w:t>
      </w:r>
      <w:r w:rsidR="00B954D2">
        <w:rPr>
          <w:rStyle w:val="FootnoteReference"/>
          <w:rFonts w:ascii="Times New Roman" w:hAnsi="Times New Roman"/>
          <w:bCs/>
          <w:color w:val="auto"/>
          <w:sz w:val="24"/>
          <w:szCs w:val="24"/>
        </w:rPr>
        <w:footnoteReference w:id="38"/>
      </w:r>
      <w:r w:rsidR="009C0098">
        <w:rPr>
          <w:rFonts w:ascii="Times New Roman" w:hAnsi="Times New Roman"/>
          <w:bCs/>
          <w:color w:val="auto"/>
          <w:sz w:val="24"/>
          <w:szCs w:val="24"/>
        </w:rPr>
        <w:t xml:space="preserve"> </w:t>
      </w:r>
    </w:p>
    <w:p w14:paraId="272278DE" w14:textId="77777777" w:rsidR="00F81984" w:rsidRDefault="00F81984"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7083A254" w14:textId="4EB566A4" w:rsidR="00F81984" w:rsidRDefault="00F81984" w:rsidP="00851F93">
      <w:pPr>
        <w:pStyle w:val="NormalWeb"/>
        <w:spacing w:before="0" w:beforeAutospacing="0" w:after="0" w:afterAutospacing="0" w:line="360" w:lineRule="auto"/>
        <w:ind w:right="-334"/>
        <w:jc w:val="both"/>
        <w:rPr>
          <w:rFonts w:ascii="Times New Roman" w:hAnsi="Times New Roman"/>
          <w:bCs/>
          <w:color w:val="auto"/>
          <w:sz w:val="24"/>
          <w:szCs w:val="24"/>
        </w:rPr>
      </w:pPr>
      <w:proofErr w:type="spellStart"/>
      <w:r>
        <w:rPr>
          <w:rFonts w:ascii="Times New Roman" w:hAnsi="Times New Roman"/>
          <w:bCs/>
          <w:color w:val="auto"/>
          <w:sz w:val="24"/>
          <w:szCs w:val="24"/>
        </w:rPr>
        <w:t>Rochberg</w:t>
      </w:r>
      <w:proofErr w:type="spellEnd"/>
      <w:r>
        <w:rPr>
          <w:rFonts w:ascii="Times New Roman" w:hAnsi="Times New Roman"/>
          <w:bCs/>
          <w:color w:val="auto"/>
          <w:sz w:val="24"/>
          <w:szCs w:val="24"/>
        </w:rPr>
        <w:t xml:space="preserve"> has claimed that liver models from Mari are ‘the earliest extant divination texts’, as they reference datable people and events from between the Akkadian (c.2300-2230 B.C.E.) and </w:t>
      </w:r>
      <w:proofErr w:type="spellStart"/>
      <w:r>
        <w:rPr>
          <w:rFonts w:ascii="Times New Roman" w:hAnsi="Times New Roman"/>
          <w:bCs/>
          <w:color w:val="auto"/>
          <w:sz w:val="24"/>
          <w:szCs w:val="24"/>
        </w:rPr>
        <w:t>Isin</w:t>
      </w:r>
      <w:proofErr w:type="spellEnd"/>
      <w:r>
        <w:rPr>
          <w:rFonts w:ascii="Times New Roman" w:hAnsi="Times New Roman"/>
          <w:bCs/>
          <w:color w:val="auto"/>
          <w:sz w:val="24"/>
          <w:szCs w:val="24"/>
        </w:rPr>
        <w:t xml:space="preserve"> (c.2000-1900 B.C.E.) periods.</w:t>
      </w:r>
      <w:r>
        <w:rPr>
          <w:rStyle w:val="FootnoteReference"/>
          <w:rFonts w:ascii="Times New Roman" w:hAnsi="Times New Roman"/>
          <w:bCs/>
          <w:color w:val="auto"/>
          <w:sz w:val="24"/>
          <w:szCs w:val="24"/>
        </w:rPr>
        <w:footnoteReference w:id="39"/>
      </w:r>
      <w:r>
        <w:rPr>
          <w:rFonts w:ascii="Times New Roman" w:hAnsi="Times New Roman"/>
          <w:bCs/>
          <w:color w:val="auto"/>
          <w:sz w:val="24"/>
          <w:szCs w:val="24"/>
        </w:rPr>
        <w:t xml:space="preserve"> This sets both Neo-Assyrian divination as a whole – and the practice of extispicy particularly – within a longstanding context. Extispicy has been used by Piotr </w:t>
      </w:r>
      <w:proofErr w:type="spellStart"/>
      <w:r>
        <w:rPr>
          <w:rFonts w:ascii="Times New Roman" w:hAnsi="Times New Roman"/>
          <w:bCs/>
          <w:color w:val="auto"/>
          <w:sz w:val="24"/>
          <w:szCs w:val="24"/>
        </w:rPr>
        <w:t>Steinkeller</w:t>
      </w:r>
      <w:proofErr w:type="spellEnd"/>
      <w:r>
        <w:rPr>
          <w:rFonts w:ascii="Times New Roman" w:hAnsi="Times New Roman"/>
          <w:bCs/>
          <w:color w:val="auto"/>
          <w:sz w:val="24"/>
          <w:szCs w:val="24"/>
        </w:rPr>
        <w:t xml:space="preserve"> as an exemplar not only of ancient Mesopotamian future ‘prediction’ methodologies, but also as an entryway for modern scholars to gain insight into how ‘the nature of future itself’ was viewed.</w:t>
      </w:r>
      <w:r>
        <w:rPr>
          <w:rStyle w:val="FootnoteReference"/>
          <w:rFonts w:ascii="Times New Roman" w:hAnsi="Times New Roman"/>
          <w:bCs/>
          <w:color w:val="auto"/>
          <w:sz w:val="24"/>
          <w:szCs w:val="24"/>
        </w:rPr>
        <w:footnoteReference w:id="40"/>
      </w:r>
      <w:r>
        <w:rPr>
          <w:rFonts w:ascii="Times New Roman" w:hAnsi="Times New Roman"/>
          <w:bCs/>
          <w:color w:val="auto"/>
          <w:sz w:val="24"/>
          <w:szCs w:val="24"/>
        </w:rPr>
        <w:t xml:space="preserve"> </w:t>
      </w:r>
      <w:proofErr w:type="spellStart"/>
      <w:r>
        <w:rPr>
          <w:rFonts w:ascii="Times New Roman" w:hAnsi="Times New Roman"/>
          <w:bCs/>
          <w:color w:val="auto"/>
          <w:sz w:val="24"/>
          <w:szCs w:val="24"/>
        </w:rPr>
        <w:t>Steinkeller</w:t>
      </w:r>
      <w:proofErr w:type="spellEnd"/>
      <w:r>
        <w:rPr>
          <w:rFonts w:ascii="Times New Roman" w:hAnsi="Times New Roman"/>
          <w:bCs/>
          <w:color w:val="auto"/>
          <w:sz w:val="24"/>
          <w:szCs w:val="24"/>
        </w:rPr>
        <w:t xml:space="preserve">, </w:t>
      </w:r>
      <w:r w:rsidR="00457D43">
        <w:rPr>
          <w:rFonts w:ascii="Times New Roman" w:hAnsi="Times New Roman"/>
          <w:bCs/>
          <w:color w:val="auto"/>
          <w:sz w:val="24"/>
          <w:szCs w:val="24"/>
        </w:rPr>
        <w:t>recognising</w:t>
      </w:r>
      <w:r>
        <w:rPr>
          <w:rFonts w:ascii="Times New Roman" w:hAnsi="Times New Roman"/>
          <w:bCs/>
          <w:color w:val="auto"/>
          <w:sz w:val="24"/>
          <w:szCs w:val="24"/>
        </w:rPr>
        <w:t xml:space="preserve"> </w:t>
      </w:r>
      <w:proofErr w:type="spellStart"/>
      <w:r>
        <w:rPr>
          <w:rFonts w:ascii="Times New Roman" w:hAnsi="Times New Roman"/>
          <w:bCs/>
          <w:color w:val="auto"/>
          <w:sz w:val="24"/>
          <w:szCs w:val="24"/>
        </w:rPr>
        <w:t>Rochberg</w:t>
      </w:r>
      <w:proofErr w:type="spellEnd"/>
      <w:r>
        <w:rPr>
          <w:rFonts w:ascii="Times New Roman" w:hAnsi="Times New Roman"/>
          <w:bCs/>
          <w:color w:val="auto"/>
          <w:sz w:val="24"/>
          <w:szCs w:val="24"/>
        </w:rPr>
        <w:t xml:space="preserve"> and </w:t>
      </w:r>
      <w:proofErr w:type="spellStart"/>
      <w:r>
        <w:rPr>
          <w:rFonts w:ascii="Times New Roman" w:hAnsi="Times New Roman"/>
          <w:bCs/>
          <w:color w:val="auto"/>
          <w:sz w:val="24"/>
          <w:szCs w:val="24"/>
        </w:rPr>
        <w:t>Noegel’s</w:t>
      </w:r>
      <w:proofErr w:type="spellEnd"/>
      <w:r>
        <w:rPr>
          <w:rFonts w:ascii="Times New Roman" w:hAnsi="Times New Roman"/>
          <w:bCs/>
          <w:color w:val="auto"/>
          <w:sz w:val="24"/>
          <w:szCs w:val="24"/>
        </w:rPr>
        <w:t xml:space="preserve"> </w:t>
      </w:r>
      <w:r w:rsidR="00457D43">
        <w:rPr>
          <w:rFonts w:ascii="Times New Roman" w:hAnsi="Times New Roman"/>
          <w:bCs/>
          <w:color w:val="auto"/>
          <w:sz w:val="24"/>
          <w:szCs w:val="24"/>
        </w:rPr>
        <w:t>divinatory-</w:t>
      </w:r>
      <w:r>
        <w:rPr>
          <w:rFonts w:ascii="Times New Roman" w:hAnsi="Times New Roman"/>
          <w:bCs/>
          <w:color w:val="auto"/>
          <w:sz w:val="24"/>
          <w:szCs w:val="24"/>
        </w:rPr>
        <w:t>courtroom parallel, has argued that the diviner performing extispicy access</w:t>
      </w:r>
      <w:r w:rsidR="00A07A7B">
        <w:rPr>
          <w:rFonts w:ascii="Times New Roman" w:hAnsi="Times New Roman"/>
          <w:bCs/>
          <w:color w:val="auto"/>
          <w:sz w:val="24"/>
          <w:szCs w:val="24"/>
        </w:rPr>
        <w:t>ed</w:t>
      </w:r>
      <w:r>
        <w:rPr>
          <w:rFonts w:ascii="Times New Roman" w:hAnsi="Times New Roman"/>
          <w:bCs/>
          <w:color w:val="auto"/>
          <w:sz w:val="24"/>
          <w:szCs w:val="24"/>
        </w:rPr>
        <w:t xml:space="preserve"> a nocturnal tribunal where Šamaš, Adad, and other divine representatives </w:t>
      </w:r>
      <w:r w:rsidR="00B71828">
        <w:rPr>
          <w:rFonts w:ascii="Times New Roman" w:hAnsi="Times New Roman"/>
          <w:bCs/>
          <w:color w:val="auto"/>
          <w:sz w:val="24"/>
          <w:szCs w:val="24"/>
        </w:rPr>
        <w:t xml:space="preserve">were together presented </w:t>
      </w:r>
      <w:proofErr w:type="spellStart"/>
      <w:r>
        <w:rPr>
          <w:rFonts w:ascii="Times New Roman" w:hAnsi="Times New Roman"/>
          <w:bCs/>
          <w:color w:val="auto"/>
          <w:sz w:val="24"/>
          <w:szCs w:val="24"/>
        </w:rPr>
        <w:t>tamītus</w:t>
      </w:r>
      <w:proofErr w:type="spellEnd"/>
      <w:r w:rsidR="00B71828">
        <w:rPr>
          <w:rFonts w:ascii="Times New Roman" w:hAnsi="Times New Roman"/>
          <w:bCs/>
          <w:color w:val="auto"/>
          <w:sz w:val="24"/>
          <w:szCs w:val="24"/>
        </w:rPr>
        <w:t xml:space="preserve"> as cases</w:t>
      </w:r>
      <w:r>
        <w:rPr>
          <w:rFonts w:ascii="Times New Roman" w:hAnsi="Times New Roman"/>
          <w:bCs/>
          <w:color w:val="auto"/>
          <w:sz w:val="24"/>
          <w:szCs w:val="24"/>
        </w:rPr>
        <w:t>.</w:t>
      </w:r>
      <w:r>
        <w:rPr>
          <w:rStyle w:val="FootnoteReference"/>
          <w:rFonts w:ascii="Times New Roman" w:hAnsi="Times New Roman"/>
          <w:bCs/>
          <w:color w:val="auto"/>
          <w:sz w:val="24"/>
          <w:szCs w:val="24"/>
        </w:rPr>
        <w:footnoteReference w:id="41"/>
      </w:r>
      <w:r w:rsidR="00E26290">
        <w:rPr>
          <w:rFonts w:ascii="Times New Roman" w:hAnsi="Times New Roman"/>
          <w:bCs/>
          <w:color w:val="auto"/>
          <w:sz w:val="24"/>
          <w:szCs w:val="24"/>
        </w:rPr>
        <w:t xml:space="preserve"> </w:t>
      </w:r>
      <w:r w:rsidR="008535B6">
        <w:rPr>
          <w:rFonts w:ascii="Times New Roman" w:hAnsi="Times New Roman"/>
          <w:bCs/>
          <w:color w:val="auto"/>
          <w:sz w:val="24"/>
          <w:szCs w:val="24"/>
        </w:rPr>
        <w:t>A ‘</w:t>
      </w:r>
      <w:r w:rsidR="00B71828">
        <w:rPr>
          <w:rFonts w:ascii="Times New Roman" w:hAnsi="Times New Roman"/>
          <w:bCs/>
          <w:color w:val="auto"/>
          <w:sz w:val="24"/>
          <w:szCs w:val="24"/>
        </w:rPr>
        <w:t>D</w:t>
      </w:r>
      <w:r w:rsidR="008535B6">
        <w:rPr>
          <w:rFonts w:ascii="Times New Roman" w:hAnsi="Times New Roman"/>
          <w:bCs/>
          <w:color w:val="auto"/>
          <w:sz w:val="24"/>
          <w:szCs w:val="24"/>
        </w:rPr>
        <w:t xml:space="preserve">iviner’s </w:t>
      </w:r>
      <w:r w:rsidR="00B71828">
        <w:rPr>
          <w:rFonts w:ascii="Times New Roman" w:hAnsi="Times New Roman"/>
          <w:bCs/>
          <w:color w:val="auto"/>
          <w:sz w:val="24"/>
          <w:szCs w:val="24"/>
        </w:rPr>
        <w:t>M</w:t>
      </w:r>
      <w:r w:rsidR="008535B6">
        <w:rPr>
          <w:rFonts w:ascii="Times New Roman" w:hAnsi="Times New Roman"/>
          <w:bCs/>
          <w:color w:val="auto"/>
          <w:sz w:val="24"/>
          <w:szCs w:val="24"/>
        </w:rPr>
        <w:t xml:space="preserve">anual’ translated by </w:t>
      </w:r>
      <w:proofErr w:type="spellStart"/>
      <w:r w:rsidR="008535B6">
        <w:rPr>
          <w:rFonts w:ascii="Times New Roman" w:hAnsi="Times New Roman"/>
          <w:bCs/>
          <w:color w:val="auto"/>
          <w:sz w:val="24"/>
          <w:szCs w:val="24"/>
        </w:rPr>
        <w:t>Steinkeller</w:t>
      </w:r>
      <w:proofErr w:type="spellEnd"/>
      <w:r w:rsidR="008535B6">
        <w:rPr>
          <w:rFonts w:ascii="Times New Roman" w:hAnsi="Times New Roman"/>
          <w:bCs/>
          <w:color w:val="auto"/>
          <w:sz w:val="24"/>
          <w:szCs w:val="24"/>
        </w:rPr>
        <w:t xml:space="preserve"> </w:t>
      </w:r>
      <w:r w:rsidR="00B71828">
        <w:rPr>
          <w:rFonts w:ascii="Times New Roman" w:hAnsi="Times New Roman"/>
          <w:bCs/>
          <w:color w:val="auto"/>
          <w:sz w:val="24"/>
          <w:szCs w:val="24"/>
        </w:rPr>
        <w:t>(</w:t>
      </w:r>
      <w:r w:rsidR="008535B6">
        <w:rPr>
          <w:rFonts w:ascii="Times New Roman" w:hAnsi="Times New Roman"/>
          <w:bCs/>
          <w:color w:val="auto"/>
          <w:sz w:val="24"/>
          <w:szCs w:val="24"/>
        </w:rPr>
        <w:t>via H. Zimmern</w:t>
      </w:r>
      <w:r w:rsidR="00B71828">
        <w:rPr>
          <w:rFonts w:ascii="Times New Roman" w:hAnsi="Times New Roman"/>
          <w:bCs/>
          <w:color w:val="auto"/>
          <w:sz w:val="24"/>
          <w:szCs w:val="24"/>
        </w:rPr>
        <w:t>)</w:t>
      </w:r>
      <w:r w:rsidR="008535B6">
        <w:rPr>
          <w:rFonts w:ascii="Times New Roman" w:hAnsi="Times New Roman"/>
          <w:bCs/>
          <w:color w:val="auto"/>
          <w:sz w:val="24"/>
          <w:szCs w:val="24"/>
        </w:rPr>
        <w:t xml:space="preserve"> </w:t>
      </w:r>
      <w:r w:rsidR="00661E22">
        <w:rPr>
          <w:rFonts w:ascii="Times New Roman" w:hAnsi="Times New Roman"/>
          <w:bCs/>
          <w:color w:val="auto"/>
          <w:sz w:val="24"/>
          <w:szCs w:val="24"/>
        </w:rPr>
        <w:t xml:space="preserve">places extispicy as a nocturnal rite, offering times based on sunset and star-rise which would enable </w:t>
      </w:r>
      <w:r w:rsidR="00265534">
        <w:rPr>
          <w:rFonts w:ascii="Times New Roman" w:hAnsi="Times New Roman"/>
          <w:bCs/>
          <w:color w:val="auto"/>
          <w:sz w:val="24"/>
          <w:szCs w:val="24"/>
        </w:rPr>
        <w:t>Šamaš</w:t>
      </w:r>
      <w:r w:rsidR="00661E22">
        <w:rPr>
          <w:rFonts w:ascii="Times New Roman" w:hAnsi="Times New Roman"/>
          <w:bCs/>
          <w:color w:val="auto"/>
          <w:sz w:val="24"/>
          <w:szCs w:val="24"/>
        </w:rPr>
        <w:t xml:space="preserve"> to be free to offer judgement.</w:t>
      </w:r>
      <w:r w:rsidR="00C2159A">
        <w:rPr>
          <w:rStyle w:val="FootnoteReference"/>
          <w:rFonts w:ascii="Times New Roman" w:hAnsi="Times New Roman"/>
          <w:bCs/>
          <w:color w:val="auto"/>
          <w:sz w:val="24"/>
          <w:szCs w:val="24"/>
        </w:rPr>
        <w:footnoteReference w:id="42"/>
      </w:r>
      <w:r>
        <w:rPr>
          <w:rFonts w:ascii="Times New Roman" w:hAnsi="Times New Roman"/>
          <w:bCs/>
          <w:color w:val="auto"/>
          <w:sz w:val="24"/>
          <w:szCs w:val="24"/>
        </w:rPr>
        <w:t xml:space="preserve"> It is </w:t>
      </w:r>
      <w:proofErr w:type="spellStart"/>
      <w:r>
        <w:rPr>
          <w:rFonts w:ascii="Times New Roman" w:hAnsi="Times New Roman"/>
          <w:bCs/>
          <w:color w:val="auto"/>
          <w:sz w:val="24"/>
          <w:szCs w:val="24"/>
        </w:rPr>
        <w:t>Steinkeller’s</w:t>
      </w:r>
      <w:proofErr w:type="spellEnd"/>
      <w:r>
        <w:rPr>
          <w:rFonts w:ascii="Times New Roman" w:hAnsi="Times New Roman"/>
          <w:bCs/>
          <w:color w:val="auto"/>
          <w:sz w:val="24"/>
          <w:szCs w:val="24"/>
        </w:rPr>
        <w:t xml:space="preserve"> position that Adad’s role was as a subsidiary to Šamaš as the latter ‘presided over the court and he alone had the power to predict the future’.</w:t>
      </w:r>
      <w:r>
        <w:rPr>
          <w:rStyle w:val="FootnoteReference"/>
          <w:rFonts w:ascii="Times New Roman" w:hAnsi="Times New Roman"/>
          <w:bCs/>
          <w:color w:val="auto"/>
          <w:sz w:val="24"/>
          <w:szCs w:val="24"/>
        </w:rPr>
        <w:footnoteReference w:id="43"/>
      </w:r>
      <w:r>
        <w:rPr>
          <w:rFonts w:ascii="Times New Roman" w:hAnsi="Times New Roman"/>
          <w:bCs/>
          <w:color w:val="auto"/>
          <w:sz w:val="24"/>
          <w:szCs w:val="24"/>
        </w:rPr>
        <w:t xml:space="preserve"> </w:t>
      </w:r>
      <w:r>
        <w:rPr>
          <w:rFonts w:ascii="Times New Roman" w:hAnsi="Times New Roman"/>
          <w:bCs/>
          <w:color w:val="auto"/>
          <w:sz w:val="24"/>
          <w:szCs w:val="24"/>
        </w:rPr>
        <w:lastRenderedPageBreak/>
        <w:t>This is a potentially problematic reading: if Adad was</w:t>
      </w:r>
      <w:r w:rsidR="00ED08F9">
        <w:rPr>
          <w:rFonts w:ascii="Times New Roman" w:hAnsi="Times New Roman"/>
          <w:bCs/>
          <w:color w:val="auto"/>
          <w:sz w:val="24"/>
          <w:szCs w:val="24"/>
        </w:rPr>
        <w:t xml:space="preserve"> ‘lord of ritual acts’ whi</w:t>
      </w:r>
      <w:r>
        <w:rPr>
          <w:rFonts w:ascii="Times New Roman" w:hAnsi="Times New Roman"/>
          <w:bCs/>
          <w:color w:val="auto"/>
          <w:sz w:val="24"/>
          <w:szCs w:val="24"/>
        </w:rPr>
        <w:t xml:space="preserve">lst Šamaš stood as </w:t>
      </w:r>
      <w:r w:rsidR="00ED08F9">
        <w:rPr>
          <w:rFonts w:ascii="Times New Roman" w:hAnsi="Times New Roman"/>
          <w:bCs/>
          <w:color w:val="auto"/>
          <w:sz w:val="24"/>
          <w:szCs w:val="24"/>
        </w:rPr>
        <w:t xml:space="preserve">‘lord of </w:t>
      </w:r>
      <w:r>
        <w:rPr>
          <w:rFonts w:ascii="Times New Roman" w:hAnsi="Times New Roman"/>
          <w:bCs/>
          <w:color w:val="auto"/>
          <w:sz w:val="24"/>
          <w:szCs w:val="24"/>
        </w:rPr>
        <w:t>judge</w:t>
      </w:r>
      <w:r w:rsidR="00ED08F9">
        <w:rPr>
          <w:rFonts w:ascii="Times New Roman" w:hAnsi="Times New Roman"/>
          <w:bCs/>
          <w:color w:val="auto"/>
          <w:sz w:val="24"/>
          <w:szCs w:val="24"/>
        </w:rPr>
        <w:t>ment’,</w:t>
      </w:r>
      <w:r>
        <w:rPr>
          <w:rFonts w:ascii="Times New Roman" w:hAnsi="Times New Roman"/>
          <w:bCs/>
          <w:color w:val="auto"/>
          <w:sz w:val="24"/>
          <w:szCs w:val="24"/>
        </w:rPr>
        <w:t xml:space="preserve"> the active engagement of both parties would be crucial. Without Adad’s continued observation of the ritual practices and words performed correctly, it seems unlikely that Šamaš could access evidence or pass judgement. Lena-Sofia </w:t>
      </w:r>
      <w:proofErr w:type="spellStart"/>
      <w:r>
        <w:rPr>
          <w:rFonts w:ascii="Times New Roman" w:hAnsi="Times New Roman"/>
          <w:bCs/>
          <w:color w:val="auto"/>
          <w:sz w:val="24"/>
          <w:szCs w:val="24"/>
        </w:rPr>
        <w:t>Tiemeyer</w:t>
      </w:r>
      <w:proofErr w:type="spellEnd"/>
      <w:r>
        <w:rPr>
          <w:rFonts w:ascii="Times New Roman" w:hAnsi="Times New Roman"/>
          <w:bCs/>
          <w:color w:val="auto"/>
          <w:sz w:val="24"/>
          <w:szCs w:val="24"/>
        </w:rPr>
        <w:t xml:space="preserve"> convincingly represents th</w:t>
      </w:r>
      <w:r w:rsidR="00040DED">
        <w:rPr>
          <w:rFonts w:ascii="Times New Roman" w:hAnsi="Times New Roman"/>
          <w:bCs/>
          <w:color w:val="auto"/>
          <w:sz w:val="24"/>
          <w:szCs w:val="24"/>
        </w:rPr>
        <w:t>e Mesopotamian</w:t>
      </w:r>
      <w:r>
        <w:rPr>
          <w:rFonts w:ascii="Times New Roman" w:hAnsi="Times New Roman"/>
          <w:bCs/>
          <w:color w:val="auto"/>
          <w:sz w:val="24"/>
          <w:szCs w:val="24"/>
        </w:rPr>
        <w:t xml:space="preserve"> view of </w:t>
      </w:r>
      <w:r w:rsidR="00A24591">
        <w:rPr>
          <w:rFonts w:ascii="Times New Roman" w:hAnsi="Times New Roman"/>
          <w:bCs/>
          <w:color w:val="auto"/>
          <w:sz w:val="24"/>
          <w:szCs w:val="24"/>
        </w:rPr>
        <w:t>‘</w:t>
      </w:r>
      <w:r>
        <w:rPr>
          <w:rFonts w:ascii="Times New Roman" w:hAnsi="Times New Roman"/>
          <w:bCs/>
          <w:color w:val="auto"/>
          <w:sz w:val="24"/>
          <w:szCs w:val="24"/>
        </w:rPr>
        <w:t>fate</w:t>
      </w:r>
      <w:r w:rsidR="00A24591">
        <w:rPr>
          <w:rFonts w:ascii="Times New Roman" w:hAnsi="Times New Roman"/>
          <w:bCs/>
          <w:color w:val="auto"/>
          <w:sz w:val="24"/>
          <w:szCs w:val="24"/>
        </w:rPr>
        <w:t>’</w:t>
      </w:r>
      <w:r>
        <w:rPr>
          <w:rFonts w:ascii="Times New Roman" w:hAnsi="Times New Roman"/>
          <w:bCs/>
          <w:color w:val="auto"/>
          <w:sz w:val="24"/>
          <w:szCs w:val="24"/>
        </w:rPr>
        <w:t xml:space="preserve"> as oppositional to the infallible, predestined order popularised by scholarship surrounding the same term in Ancient Greek sources: Šamaš and Adad do not appear to have been averse to </w:t>
      </w:r>
      <w:r w:rsidR="003F0E17">
        <w:rPr>
          <w:rFonts w:ascii="Times New Roman" w:hAnsi="Times New Roman"/>
          <w:bCs/>
          <w:color w:val="auto"/>
          <w:sz w:val="24"/>
          <w:szCs w:val="24"/>
        </w:rPr>
        <w:t>‘retrials’ brought about by apotropaic rituals, where fate</w:t>
      </w:r>
      <w:r w:rsidR="00A24591">
        <w:rPr>
          <w:rFonts w:ascii="Times New Roman" w:hAnsi="Times New Roman"/>
          <w:bCs/>
          <w:color w:val="auto"/>
          <w:sz w:val="24"/>
          <w:szCs w:val="24"/>
        </w:rPr>
        <w:t>s</w:t>
      </w:r>
      <w:r w:rsidR="003F0E17">
        <w:rPr>
          <w:rFonts w:ascii="Times New Roman" w:hAnsi="Times New Roman"/>
          <w:bCs/>
          <w:color w:val="auto"/>
          <w:sz w:val="24"/>
          <w:szCs w:val="24"/>
        </w:rPr>
        <w:t xml:space="preserve"> could be negotiated and rewritten</w:t>
      </w:r>
      <w:r w:rsidR="00A24591">
        <w:rPr>
          <w:rFonts w:ascii="Times New Roman" w:hAnsi="Times New Roman"/>
          <w:bCs/>
          <w:color w:val="auto"/>
          <w:sz w:val="24"/>
          <w:szCs w:val="24"/>
        </w:rPr>
        <w:t xml:space="preserve"> on a case-by-case basis</w:t>
      </w:r>
      <w:r w:rsidR="003F0E17">
        <w:rPr>
          <w:rFonts w:ascii="Times New Roman" w:hAnsi="Times New Roman"/>
          <w:bCs/>
          <w:color w:val="auto"/>
          <w:sz w:val="24"/>
          <w:szCs w:val="24"/>
        </w:rPr>
        <w:t>.</w:t>
      </w:r>
      <w:r>
        <w:rPr>
          <w:rStyle w:val="FootnoteReference"/>
          <w:rFonts w:ascii="Times New Roman" w:hAnsi="Times New Roman"/>
          <w:bCs/>
          <w:color w:val="auto"/>
          <w:sz w:val="24"/>
          <w:szCs w:val="24"/>
        </w:rPr>
        <w:footnoteReference w:id="44"/>
      </w:r>
      <w:r w:rsidR="003F0E17">
        <w:rPr>
          <w:rFonts w:ascii="Times New Roman" w:hAnsi="Times New Roman"/>
          <w:bCs/>
          <w:color w:val="auto"/>
          <w:sz w:val="24"/>
          <w:szCs w:val="24"/>
        </w:rPr>
        <w:t xml:space="preserve"> This view of the flow of fate as something to be </w:t>
      </w:r>
      <w:r w:rsidR="00B57A9A">
        <w:rPr>
          <w:rFonts w:ascii="Times New Roman" w:hAnsi="Times New Roman"/>
          <w:bCs/>
          <w:color w:val="auto"/>
          <w:sz w:val="24"/>
          <w:szCs w:val="24"/>
        </w:rPr>
        <w:t xml:space="preserve">shaped and </w:t>
      </w:r>
      <w:r w:rsidR="003F0E17">
        <w:rPr>
          <w:rFonts w:ascii="Times New Roman" w:hAnsi="Times New Roman"/>
          <w:bCs/>
          <w:color w:val="auto"/>
          <w:sz w:val="24"/>
          <w:szCs w:val="24"/>
        </w:rPr>
        <w:t xml:space="preserve">navigated is reminiscent of water in canals </w:t>
      </w:r>
      <w:r w:rsidR="00B57A9A">
        <w:rPr>
          <w:rFonts w:ascii="Times New Roman" w:hAnsi="Times New Roman"/>
          <w:bCs/>
          <w:color w:val="auto"/>
          <w:sz w:val="24"/>
          <w:szCs w:val="24"/>
        </w:rPr>
        <w:t xml:space="preserve">– </w:t>
      </w:r>
      <w:r w:rsidR="003F0E17">
        <w:rPr>
          <w:rFonts w:ascii="Times New Roman" w:hAnsi="Times New Roman"/>
          <w:bCs/>
          <w:color w:val="auto"/>
          <w:sz w:val="24"/>
          <w:szCs w:val="24"/>
        </w:rPr>
        <w:t>which, again, brings Adad’s skillset into sharp focus</w:t>
      </w:r>
      <w:r w:rsidR="00B57A9A">
        <w:rPr>
          <w:rFonts w:ascii="Times New Roman" w:hAnsi="Times New Roman"/>
          <w:bCs/>
          <w:color w:val="auto"/>
          <w:sz w:val="24"/>
          <w:szCs w:val="24"/>
        </w:rPr>
        <w:t xml:space="preserve"> – as much as it is of language</w:t>
      </w:r>
      <w:r w:rsidR="006B5F05">
        <w:rPr>
          <w:rFonts w:ascii="Times New Roman" w:hAnsi="Times New Roman"/>
          <w:bCs/>
          <w:color w:val="auto"/>
          <w:sz w:val="24"/>
          <w:szCs w:val="24"/>
        </w:rPr>
        <w:t xml:space="preserve"> – where</w:t>
      </w:r>
      <w:r w:rsidR="00BE5E9D">
        <w:rPr>
          <w:rFonts w:ascii="Times New Roman" w:hAnsi="Times New Roman"/>
          <w:bCs/>
          <w:color w:val="auto"/>
          <w:sz w:val="24"/>
          <w:szCs w:val="24"/>
        </w:rPr>
        <w:t xml:space="preserve"> </w:t>
      </w:r>
      <w:proofErr w:type="spellStart"/>
      <w:r w:rsidR="00BE5E9D">
        <w:rPr>
          <w:rFonts w:ascii="Times New Roman" w:hAnsi="Times New Roman"/>
          <w:bCs/>
          <w:color w:val="auto"/>
          <w:sz w:val="24"/>
          <w:szCs w:val="24"/>
        </w:rPr>
        <w:t>Šamaš’s</w:t>
      </w:r>
      <w:proofErr w:type="spellEnd"/>
      <w:r w:rsidR="00BE5E9D">
        <w:rPr>
          <w:rFonts w:ascii="Times New Roman" w:hAnsi="Times New Roman"/>
          <w:bCs/>
          <w:color w:val="auto"/>
          <w:sz w:val="24"/>
          <w:szCs w:val="24"/>
        </w:rPr>
        <w:t xml:space="preserve"> role as shaper of </w:t>
      </w:r>
      <w:r w:rsidR="00075177">
        <w:rPr>
          <w:rFonts w:ascii="Times New Roman" w:hAnsi="Times New Roman"/>
          <w:bCs/>
          <w:color w:val="auto"/>
          <w:sz w:val="24"/>
          <w:szCs w:val="24"/>
        </w:rPr>
        <w:t xml:space="preserve">linguistic </w:t>
      </w:r>
      <w:r w:rsidR="006B5F05">
        <w:rPr>
          <w:rFonts w:ascii="Times New Roman" w:hAnsi="Times New Roman"/>
          <w:bCs/>
          <w:color w:val="auto"/>
          <w:sz w:val="24"/>
          <w:szCs w:val="24"/>
        </w:rPr>
        <w:t>judge</w:t>
      </w:r>
      <w:r w:rsidR="00BE5E9D">
        <w:rPr>
          <w:rFonts w:ascii="Times New Roman" w:hAnsi="Times New Roman"/>
          <w:bCs/>
          <w:color w:val="auto"/>
          <w:sz w:val="24"/>
          <w:szCs w:val="24"/>
        </w:rPr>
        <w:t>ment</w:t>
      </w:r>
      <w:r w:rsidR="00075177">
        <w:rPr>
          <w:rFonts w:ascii="Times New Roman" w:hAnsi="Times New Roman"/>
          <w:bCs/>
          <w:color w:val="auto"/>
          <w:sz w:val="24"/>
          <w:szCs w:val="24"/>
        </w:rPr>
        <w:t>s</w:t>
      </w:r>
      <w:r w:rsidR="00BE5E9D">
        <w:rPr>
          <w:rFonts w:ascii="Times New Roman" w:hAnsi="Times New Roman"/>
          <w:bCs/>
          <w:color w:val="auto"/>
          <w:sz w:val="24"/>
          <w:szCs w:val="24"/>
        </w:rPr>
        <w:t xml:space="preserve"> is clear</w:t>
      </w:r>
      <w:r w:rsidR="003F0E17">
        <w:rPr>
          <w:rFonts w:ascii="Times New Roman" w:hAnsi="Times New Roman"/>
          <w:bCs/>
          <w:color w:val="auto"/>
          <w:sz w:val="24"/>
          <w:szCs w:val="24"/>
        </w:rPr>
        <w:t>.</w:t>
      </w:r>
      <w:r w:rsidR="00537C46">
        <w:rPr>
          <w:rFonts w:ascii="Times New Roman" w:hAnsi="Times New Roman"/>
          <w:bCs/>
          <w:color w:val="auto"/>
          <w:sz w:val="24"/>
          <w:szCs w:val="24"/>
        </w:rPr>
        <w:t xml:space="preserve"> </w:t>
      </w:r>
    </w:p>
    <w:p w14:paraId="1A5883FE" w14:textId="50CC665D" w:rsidR="007E4173" w:rsidRPr="000A48D8" w:rsidRDefault="007E4173"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41D89D23" w14:textId="18B1DDF0" w:rsidR="000414F4" w:rsidRPr="000A48D8" w:rsidRDefault="003C25E7" w:rsidP="00851F93">
      <w:pPr>
        <w:pStyle w:val="NormalWeb"/>
        <w:spacing w:before="0" w:beforeAutospacing="0" w:after="0" w:afterAutospacing="0" w:line="360" w:lineRule="auto"/>
        <w:ind w:right="-334"/>
        <w:jc w:val="both"/>
        <w:rPr>
          <w:rFonts w:ascii="Times New Roman" w:hAnsi="Times New Roman"/>
          <w:b/>
          <w:bCs/>
          <w:color w:val="auto"/>
          <w:sz w:val="24"/>
          <w:szCs w:val="24"/>
        </w:rPr>
      </w:pPr>
      <w:r>
        <w:rPr>
          <w:rFonts w:ascii="Times New Roman" w:hAnsi="Times New Roman"/>
          <w:b/>
          <w:bCs/>
          <w:color w:val="auto"/>
          <w:sz w:val="24"/>
          <w:szCs w:val="24"/>
        </w:rPr>
        <w:t>The Act of Interpretation</w:t>
      </w:r>
    </w:p>
    <w:p w14:paraId="5C8590C7" w14:textId="77777777" w:rsidR="007E4173" w:rsidRPr="000A48D8" w:rsidRDefault="007E4173" w:rsidP="00851F93">
      <w:pPr>
        <w:pStyle w:val="NormalWeb"/>
        <w:spacing w:before="0" w:beforeAutospacing="0" w:after="0" w:afterAutospacing="0" w:line="360" w:lineRule="auto"/>
        <w:ind w:right="-334"/>
        <w:jc w:val="both"/>
        <w:rPr>
          <w:rFonts w:ascii="Times New Roman" w:hAnsi="Times New Roman"/>
          <w:b/>
          <w:bCs/>
          <w:color w:val="auto"/>
          <w:sz w:val="24"/>
          <w:szCs w:val="24"/>
        </w:rPr>
      </w:pPr>
    </w:p>
    <w:p w14:paraId="0A8767BB" w14:textId="7B5A41D4" w:rsidR="000C2DB5" w:rsidRPr="008E1B09" w:rsidRDefault="00DA3832" w:rsidP="00851F93">
      <w:pPr>
        <w:pStyle w:val="NormalWeb"/>
        <w:spacing w:before="0" w:beforeAutospacing="0" w:after="0" w:afterAutospacing="0" w:line="360" w:lineRule="auto"/>
        <w:ind w:right="-334"/>
        <w:jc w:val="both"/>
        <w:rPr>
          <w:rFonts w:ascii="Times New Roman" w:hAnsi="Times New Roman"/>
          <w:bCs/>
          <w:color w:val="auto"/>
          <w:sz w:val="24"/>
          <w:szCs w:val="24"/>
        </w:rPr>
      </w:pPr>
      <w:r>
        <w:rPr>
          <w:rFonts w:ascii="Times New Roman" w:hAnsi="Times New Roman"/>
          <w:bCs/>
          <w:color w:val="auto"/>
          <w:sz w:val="24"/>
          <w:szCs w:val="24"/>
        </w:rPr>
        <w:t xml:space="preserve">The role of the diviner </w:t>
      </w:r>
      <w:r w:rsidR="007D50E5">
        <w:rPr>
          <w:rFonts w:ascii="Times New Roman" w:hAnsi="Times New Roman"/>
          <w:bCs/>
          <w:color w:val="auto"/>
          <w:sz w:val="24"/>
          <w:szCs w:val="24"/>
        </w:rPr>
        <w:t xml:space="preserve">in Neo-Assyrian culture has been shown to encompass a bridging between the human and the divine, to be achieved through both the confines of ritualistic practice (extispicy, </w:t>
      </w:r>
      <w:proofErr w:type="spellStart"/>
      <w:r w:rsidR="00C370BD">
        <w:rPr>
          <w:rFonts w:ascii="Times New Roman" w:hAnsi="Times New Roman"/>
          <w:bCs/>
          <w:color w:val="auto"/>
          <w:sz w:val="24"/>
          <w:szCs w:val="24"/>
        </w:rPr>
        <w:t>tamītus</w:t>
      </w:r>
      <w:proofErr w:type="spellEnd"/>
      <w:r w:rsidR="007D50E5">
        <w:rPr>
          <w:rFonts w:ascii="Times New Roman" w:hAnsi="Times New Roman"/>
          <w:bCs/>
          <w:color w:val="auto"/>
          <w:sz w:val="24"/>
          <w:szCs w:val="24"/>
        </w:rPr>
        <w:t xml:space="preserve">) </w:t>
      </w:r>
      <w:r w:rsidR="007D50E5" w:rsidRPr="0066726F">
        <w:rPr>
          <w:rFonts w:ascii="Times New Roman" w:hAnsi="Times New Roman"/>
          <w:bCs/>
          <w:color w:val="auto"/>
          <w:sz w:val="24"/>
          <w:szCs w:val="24"/>
        </w:rPr>
        <w:t>and observation</w:t>
      </w:r>
      <w:r w:rsidR="006F165C" w:rsidRPr="0066726F">
        <w:rPr>
          <w:rFonts w:ascii="Times New Roman" w:hAnsi="Times New Roman"/>
          <w:bCs/>
          <w:color w:val="auto"/>
          <w:sz w:val="24"/>
          <w:szCs w:val="24"/>
        </w:rPr>
        <w:t xml:space="preserve"> of unsolicited signs</w:t>
      </w:r>
      <w:r w:rsidR="007D50E5" w:rsidRPr="0066726F">
        <w:rPr>
          <w:rFonts w:ascii="Times New Roman" w:hAnsi="Times New Roman"/>
          <w:bCs/>
          <w:color w:val="auto"/>
          <w:sz w:val="24"/>
          <w:szCs w:val="24"/>
        </w:rPr>
        <w:t>.</w:t>
      </w:r>
      <w:r w:rsidR="008D3E18" w:rsidRPr="0066726F">
        <w:rPr>
          <w:rStyle w:val="FootnoteReference"/>
          <w:rFonts w:ascii="Times New Roman" w:hAnsi="Times New Roman"/>
          <w:bCs/>
          <w:color w:val="auto"/>
          <w:sz w:val="24"/>
          <w:szCs w:val="24"/>
        </w:rPr>
        <w:footnoteReference w:id="45"/>
      </w:r>
      <w:r w:rsidR="007D50E5">
        <w:rPr>
          <w:rFonts w:ascii="Times New Roman" w:hAnsi="Times New Roman"/>
          <w:bCs/>
          <w:color w:val="auto"/>
          <w:sz w:val="24"/>
          <w:szCs w:val="24"/>
        </w:rPr>
        <w:t xml:space="preserve"> </w:t>
      </w:r>
      <w:r w:rsidR="00E65616">
        <w:rPr>
          <w:rFonts w:ascii="Times New Roman" w:hAnsi="Times New Roman"/>
          <w:bCs/>
          <w:color w:val="auto"/>
          <w:sz w:val="24"/>
          <w:szCs w:val="24"/>
        </w:rPr>
        <w:t xml:space="preserve">Ultimately, however, both these rituals and observations require the same treatment: interpretation. </w:t>
      </w:r>
      <w:r w:rsidR="002E392C">
        <w:rPr>
          <w:rFonts w:ascii="Times New Roman" w:hAnsi="Times New Roman"/>
          <w:bCs/>
          <w:color w:val="auto"/>
          <w:sz w:val="24"/>
          <w:szCs w:val="24"/>
        </w:rPr>
        <w:t xml:space="preserve">As </w:t>
      </w:r>
      <w:r w:rsidR="00D34201">
        <w:rPr>
          <w:rFonts w:ascii="Times New Roman" w:hAnsi="Times New Roman"/>
          <w:bCs/>
          <w:color w:val="auto"/>
          <w:sz w:val="24"/>
          <w:szCs w:val="24"/>
        </w:rPr>
        <w:t xml:space="preserve">Piotr </w:t>
      </w:r>
      <w:proofErr w:type="spellStart"/>
      <w:r w:rsidR="00D34201">
        <w:rPr>
          <w:rFonts w:ascii="Times New Roman" w:hAnsi="Times New Roman"/>
          <w:bCs/>
          <w:color w:val="auto"/>
          <w:sz w:val="24"/>
          <w:szCs w:val="24"/>
        </w:rPr>
        <w:t>Taracha</w:t>
      </w:r>
      <w:proofErr w:type="spellEnd"/>
      <w:r w:rsidR="001C42B7">
        <w:rPr>
          <w:rFonts w:ascii="Times New Roman" w:hAnsi="Times New Roman"/>
          <w:bCs/>
          <w:color w:val="auto"/>
          <w:sz w:val="24"/>
          <w:szCs w:val="24"/>
        </w:rPr>
        <w:t xml:space="preserve"> has argued, the manner in which teaching materials for diviners was collected – through observation and collection of ‘if this is observed then this occurs’</w:t>
      </w:r>
      <w:r w:rsidR="008B5F92">
        <w:rPr>
          <w:rFonts w:ascii="Times New Roman" w:hAnsi="Times New Roman"/>
          <w:bCs/>
          <w:color w:val="auto"/>
          <w:sz w:val="24"/>
          <w:szCs w:val="24"/>
        </w:rPr>
        <w:t xml:space="preserve"> </w:t>
      </w:r>
      <w:r w:rsidR="008B5F92" w:rsidRPr="008B5F92">
        <w:rPr>
          <w:rFonts w:ascii="Times New Roman" w:hAnsi="Times New Roman"/>
          <w:bCs/>
          <w:color w:val="auto"/>
          <w:sz w:val="24"/>
          <w:szCs w:val="24"/>
        </w:rPr>
        <w:t>(</w:t>
      </w:r>
      <w:r w:rsidR="008B5F92" w:rsidRPr="008B5F92">
        <w:rPr>
          <w:rFonts w:ascii="Times New Roman" w:hAnsi="Times New Roman"/>
          <w:sz w:val="24"/>
          <w:szCs w:val="24"/>
        </w:rPr>
        <w:t>protasis and apodosis)</w:t>
      </w:r>
      <w:r w:rsidR="001C42B7">
        <w:rPr>
          <w:rFonts w:ascii="Times New Roman" w:hAnsi="Times New Roman"/>
          <w:bCs/>
          <w:color w:val="auto"/>
          <w:sz w:val="24"/>
          <w:szCs w:val="24"/>
        </w:rPr>
        <w:t xml:space="preserve"> data – highlights a ‘conviction that the gods’ language remains unchanged</w:t>
      </w:r>
      <w:r w:rsidR="00BF375D">
        <w:rPr>
          <w:rFonts w:ascii="Times New Roman" w:hAnsi="Times New Roman"/>
          <w:bCs/>
          <w:color w:val="auto"/>
          <w:sz w:val="24"/>
          <w:szCs w:val="24"/>
        </w:rPr>
        <w:t>’ and thus through</w:t>
      </w:r>
      <w:r w:rsidR="001C42B7">
        <w:rPr>
          <w:rFonts w:ascii="Times New Roman" w:hAnsi="Times New Roman"/>
          <w:bCs/>
          <w:color w:val="auto"/>
          <w:sz w:val="24"/>
          <w:szCs w:val="24"/>
        </w:rPr>
        <w:t xml:space="preserve"> </w:t>
      </w:r>
      <w:r w:rsidR="00BF375D">
        <w:rPr>
          <w:rFonts w:ascii="Times New Roman" w:hAnsi="Times New Roman"/>
          <w:bCs/>
          <w:color w:val="auto"/>
          <w:sz w:val="24"/>
          <w:szCs w:val="24"/>
        </w:rPr>
        <w:t>‘</w:t>
      </w:r>
      <w:r w:rsidR="001C42B7">
        <w:rPr>
          <w:rFonts w:ascii="Times New Roman" w:hAnsi="Times New Roman"/>
          <w:bCs/>
          <w:color w:val="auto"/>
          <w:sz w:val="24"/>
          <w:szCs w:val="24"/>
        </w:rPr>
        <w:t>repetition of the same omen</w:t>
      </w:r>
      <w:r w:rsidR="00BF375D">
        <w:rPr>
          <w:rFonts w:ascii="Times New Roman" w:hAnsi="Times New Roman"/>
          <w:bCs/>
          <w:color w:val="auto"/>
          <w:sz w:val="24"/>
          <w:szCs w:val="24"/>
        </w:rPr>
        <w:t>…the same result’</w:t>
      </w:r>
      <w:r w:rsidR="001C42B7">
        <w:rPr>
          <w:rFonts w:ascii="Times New Roman" w:hAnsi="Times New Roman"/>
          <w:bCs/>
          <w:color w:val="auto"/>
          <w:sz w:val="24"/>
          <w:szCs w:val="24"/>
        </w:rPr>
        <w:t xml:space="preserve"> </w:t>
      </w:r>
      <w:r w:rsidR="00BF375D">
        <w:rPr>
          <w:rFonts w:ascii="Times New Roman" w:hAnsi="Times New Roman"/>
          <w:bCs/>
          <w:color w:val="auto"/>
          <w:sz w:val="24"/>
          <w:szCs w:val="24"/>
        </w:rPr>
        <w:t>would occur.</w:t>
      </w:r>
      <w:r w:rsidR="001C42B7">
        <w:rPr>
          <w:rStyle w:val="FootnoteReference"/>
          <w:rFonts w:ascii="Times New Roman" w:hAnsi="Times New Roman"/>
          <w:bCs/>
          <w:color w:val="auto"/>
          <w:sz w:val="24"/>
          <w:szCs w:val="24"/>
        </w:rPr>
        <w:footnoteReference w:id="46"/>
      </w:r>
      <w:r w:rsidR="001C42B7">
        <w:rPr>
          <w:rFonts w:ascii="Times New Roman" w:hAnsi="Times New Roman"/>
          <w:bCs/>
          <w:color w:val="auto"/>
          <w:sz w:val="24"/>
          <w:szCs w:val="24"/>
        </w:rPr>
        <w:t xml:space="preserve"> </w:t>
      </w:r>
      <w:r w:rsidR="003C181E">
        <w:rPr>
          <w:rFonts w:ascii="Times New Roman" w:hAnsi="Times New Roman"/>
          <w:bCs/>
          <w:color w:val="auto"/>
          <w:sz w:val="24"/>
          <w:szCs w:val="24"/>
        </w:rPr>
        <w:t>The ability to interpret what messages the gods send to humans, then, should be considered the key element upon which diviners relied.</w:t>
      </w:r>
      <w:r w:rsidR="00F35F43">
        <w:rPr>
          <w:rFonts w:ascii="Times New Roman" w:hAnsi="Times New Roman"/>
          <w:bCs/>
          <w:color w:val="auto"/>
          <w:sz w:val="24"/>
          <w:szCs w:val="24"/>
        </w:rPr>
        <w:t xml:space="preserve"> </w:t>
      </w:r>
      <w:r w:rsidR="000414F4" w:rsidRPr="000A48D8">
        <w:rPr>
          <w:rFonts w:ascii="Times New Roman" w:hAnsi="Times New Roman"/>
          <w:bCs/>
          <w:color w:val="auto"/>
          <w:sz w:val="24"/>
          <w:szCs w:val="24"/>
        </w:rPr>
        <w:t xml:space="preserve">Interpreting the omen made the interpretation true, thus – in one sense – the act of reading and understanding the writing of the </w:t>
      </w:r>
      <w:proofErr w:type="gramStart"/>
      <w:r w:rsidR="000414F4" w:rsidRPr="000A48D8">
        <w:rPr>
          <w:rFonts w:ascii="Times New Roman" w:hAnsi="Times New Roman"/>
          <w:bCs/>
          <w:color w:val="auto"/>
          <w:sz w:val="24"/>
          <w:szCs w:val="24"/>
        </w:rPr>
        <w:t>heavens actually, circuitously</w:t>
      </w:r>
      <w:proofErr w:type="gramEnd"/>
      <w:r w:rsidR="000414F4" w:rsidRPr="000A48D8">
        <w:rPr>
          <w:rFonts w:ascii="Times New Roman" w:hAnsi="Times New Roman"/>
          <w:bCs/>
          <w:color w:val="auto"/>
          <w:sz w:val="24"/>
          <w:szCs w:val="24"/>
        </w:rPr>
        <w:t xml:space="preserve">, </w:t>
      </w:r>
      <w:r w:rsidR="000414F4" w:rsidRPr="008B5F92">
        <w:rPr>
          <w:rFonts w:ascii="Times New Roman" w:hAnsi="Times New Roman"/>
          <w:bCs/>
          <w:i/>
          <w:color w:val="auto"/>
          <w:sz w:val="24"/>
          <w:szCs w:val="24"/>
        </w:rPr>
        <w:t>wrote into the heavens</w:t>
      </w:r>
      <w:r w:rsidR="000414F4" w:rsidRPr="000A48D8">
        <w:rPr>
          <w:rFonts w:ascii="Times New Roman" w:hAnsi="Times New Roman"/>
          <w:bCs/>
          <w:color w:val="auto"/>
          <w:sz w:val="24"/>
          <w:szCs w:val="24"/>
        </w:rPr>
        <w:t xml:space="preserve"> the diviner’s understanding. This is hard to discuss, both grammatically and conceptually</w:t>
      </w:r>
      <w:r w:rsidR="007E7787">
        <w:rPr>
          <w:rFonts w:ascii="Times New Roman" w:hAnsi="Times New Roman"/>
          <w:bCs/>
          <w:color w:val="auto"/>
          <w:sz w:val="24"/>
          <w:szCs w:val="24"/>
        </w:rPr>
        <w:t xml:space="preserve">, but </w:t>
      </w:r>
      <w:r w:rsidR="00653DE1">
        <w:rPr>
          <w:rFonts w:ascii="Times New Roman" w:hAnsi="Times New Roman"/>
          <w:bCs/>
          <w:color w:val="auto"/>
          <w:sz w:val="24"/>
          <w:szCs w:val="24"/>
        </w:rPr>
        <w:t>appears cosmologically possible.</w:t>
      </w:r>
      <w:r w:rsidR="00770867">
        <w:rPr>
          <w:rFonts w:ascii="Times New Roman" w:hAnsi="Times New Roman"/>
          <w:bCs/>
          <w:color w:val="auto"/>
          <w:sz w:val="24"/>
          <w:szCs w:val="24"/>
        </w:rPr>
        <w:t xml:space="preserve"> </w:t>
      </w:r>
      <w:r w:rsidR="000C2DB5">
        <w:rPr>
          <w:rFonts w:ascii="Times New Roman" w:hAnsi="Times New Roman"/>
          <w:bCs/>
          <w:color w:val="auto"/>
          <w:sz w:val="24"/>
          <w:szCs w:val="24"/>
        </w:rPr>
        <w:t>That</w:t>
      </w:r>
      <w:r w:rsidR="009C3B9C">
        <w:rPr>
          <w:rFonts w:ascii="Times New Roman" w:hAnsi="Times New Roman"/>
          <w:bCs/>
          <w:color w:val="auto"/>
          <w:sz w:val="24"/>
          <w:szCs w:val="24"/>
        </w:rPr>
        <w:t xml:space="preserve"> </w:t>
      </w:r>
      <w:r w:rsidR="000C2DB5">
        <w:rPr>
          <w:rFonts w:ascii="Times New Roman" w:hAnsi="Times New Roman"/>
          <w:bCs/>
          <w:color w:val="auto"/>
          <w:sz w:val="24"/>
          <w:szCs w:val="24"/>
        </w:rPr>
        <w:t>Ashurbanipal himself found divination – and scholarship surrounding its forms – particularly significant has been persuasively argued by</w:t>
      </w:r>
      <w:r w:rsidR="00CC25E4">
        <w:rPr>
          <w:rFonts w:ascii="Times New Roman" w:hAnsi="Times New Roman"/>
          <w:bCs/>
          <w:color w:val="auto"/>
          <w:sz w:val="24"/>
          <w:szCs w:val="24"/>
        </w:rPr>
        <w:t xml:space="preserve"> </w:t>
      </w:r>
      <w:proofErr w:type="spellStart"/>
      <w:r w:rsidR="00CC25E4">
        <w:rPr>
          <w:rFonts w:ascii="Times New Roman" w:hAnsi="Times New Roman"/>
          <w:bCs/>
          <w:color w:val="auto"/>
          <w:sz w:val="24"/>
          <w:szCs w:val="24"/>
        </w:rPr>
        <w:t>Fincke</w:t>
      </w:r>
      <w:proofErr w:type="spellEnd"/>
      <w:r w:rsidR="000C2DB5">
        <w:rPr>
          <w:rFonts w:ascii="Times New Roman" w:hAnsi="Times New Roman"/>
          <w:bCs/>
          <w:color w:val="auto"/>
          <w:sz w:val="24"/>
          <w:szCs w:val="24"/>
        </w:rPr>
        <w:t xml:space="preserve"> </w:t>
      </w:r>
      <w:r w:rsidR="00476A5A">
        <w:rPr>
          <w:rFonts w:ascii="Times New Roman" w:hAnsi="Times New Roman"/>
          <w:bCs/>
          <w:color w:val="auto"/>
          <w:sz w:val="24"/>
          <w:szCs w:val="24"/>
        </w:rPr>
        <w:t xml:space="preserve">regarding the contents </w:t>
      </w:r>
      <w:r w:rsidR="000C2DB5">
        <w:rPr>
          <w:rFonts w:ascii="Times New Roman" w:hAnsi="Times New Roman"/>
          <w:bCs/>
          <w:color w:val="auto"/>
          <w:sz w:val="24"/>
          <w:szCs w:val="24"/>
        </w:rPr>
        <w:t>of</w:t>
      </w:r>
      <w:r w:rsidR="00476A5A">
        <w:rPr>
          <w:rFonts w:ascii="Times New Roman" w:hAnsi="Times New Roman"/>
          <w:bCs/>
          <w:color w:val="auto"/>
          <w:sz w:val="24"/>
          <w:szCs w:val="24"/>
        </w:rPr>
        <w:t xml:space="preserve"> Ashurbanipal’s</w:t>
      </w:r>
      <w:r w:rsidR="000C2DB5">
        <w:rPr>
          <w:rFonts w:ascii="Times New Roman" w:hAnsi="Times New Roman"/>
          <w:bCs/>
          <w:color w:val="auto"/>
          <w:sz w:val="24"/>
          <w:szCs w:val="24"/>
        </w:rPr>
        <w:t xml:space="preserve"> library</w:t>
      </w:r>
      <w:r w:rsidR="00476A5A">
        <w:rPr>
          <w:rFonts w:ascii="Times New Roman" w:hAnsi="Times New Roman"/>
          <w:bCs/>
          <w:color w:val="auto"/>
          <w:sz w:val="24"/>
          <w:szCs w:val="24"/>
        </w:rPr>
        <w:t xml:space="preserve"> and </w:t>
      </w:r>
      <w:proofErr w:type="spellStart"/>
      <w:r w:rsidR="00476A5A">
        <w:rPr>
          <w:rFonts w:ascii="Times New Roman" w:hAnsi="Times New Roman"/>
          <w:bCs/>
          <w:color w:val="auto"/>
          <w:sz w:val="24"/>
          <w:szCs w:val="24"/>
        </w:rPr>
        <w:t>Silvie</w:t>
      </w:r>
      <w:proofErr w:type="spellEnd"/>
      <w:r w:rsidR="00476A5A">
        <w:rPr>
          <w:rFonts w:ascii="Times New Roman" w:hAnsi="Times New Roman"/>
          <w:bCs/>
          <w:color w:val="auto"/>
          <w:sz w:val="24"/>
          <w:szCs w:val="24"/>
        </w:rPr>
        <w:t xml:space="preserve"> </w:t>
      </w:r>
      <w:proofErr w:type="spellStart"/>
      <w:r w:rsidR="00476A5A">
        <w:rPr>
          <w:rFonts w:ascii="Times New Roman" w:hAnsi="Times New Roman"/>
          <w:bCs/>
          <w:color w:val="auto"/>
          <w:sz w:val="24"/>
          <w:szCs w:val="24"/>
        </w:rPr>
        <w:lastRenderedPageBreak/>
        <w:t>Zamazalová</w:t>
      </w:r>
      <w:proofErr w:type="spellEnd"/>
      <w:r w:rsidR="00476A5A">
        <w:rPr>
          <w:rFonts w:ascii="Times New Roman" w:hAnsi="Times New Roman"/>
          <w:bCs/>
          <w:color w:val="auto"/>
          <w:sz w:val="24"/>
          <w:szCs w:val="24"/>
        </w:rPr>
        <w:t>, who has considered Ashurbanipal’s education using evidence from his correspondence together with an inscription for a stela.</w:t>
      </w:r>
      <w:r w:rsidR="000C2DB5">
        <w:rPr>
          <w:rStyle w:val="FootnoteReference"/>
          <w:rFonts w:ascii="Times New Roman" w:hAnsi="Times New Roman"/>
          <w:bCs/>
          <w:color w:val="auto"/>
          <w:sz w:val="24"/>
          <w:szCs w:val="24"/>
        </w:rPr>
        <w:footnoteReference w:id="47"/>
      </w:r>
      <w:r w:rsidR="00927A98">
        <w:rPr>
          <w:rFonts w:ascii="Times New Roman" w:hAnsi="Times New Roman"/>
          <w:bCs/>
          <w:color w:val="auto"/>
          <w:sz w:val="24"/>
          <w:szCs w:val="24"/>
        </w:rPr>
        <w:t xml:space="preserve"> </w:t>
      </w:r>
    </w:p>
    <w:p w14:paraId="21DF1346" w14:textId="05F33249" w:rsidR="00161B49" w:rsidRDefault="00161B49"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5DDCC36E" w14:textId="432C5AC6" w:rsidR="00161B49" w:rsidRDefault="00161B49" w:rsidP="00851F93">
      <w:pPr>
        <w:pStyle w:val="NormalWeb"/>
        <w:spacing w:before="0" w:beforeAutospacing="0" w:after="0" w:afterAutospacing="0" w:line="360" w:lineRule="auto"/>
        <w:ind w:right="-334"/>
        <w:jc w:val="both"/>
        <w:rPr>
          <w:rFonts w:ascii="Times New Roman" w:hAnsi="Times New Roman"/>
          <w:bCs/>
          <w:color w:val="auto"/>
          <w:sz w:val="24"/>
          <w:szCs w:val="24"/>
        </w:rPr>
      </w:pPr>
      <w:r>
        <w:rPr>
          <w:rFonts w:ascii="Times New Roman" w:hAnsi="Times New Roman"/>
          <w:bCs/>
          <w:color w:val="auto"/>
          <w:sz w:val="24"/>
          <w:szCs w:val="24"/>
        </w:rPr>
        <w:t xml:space="preserve">Divinatory practitioners, in the context of extant primary sources, appear to have </w:t>
      </w:r>
      <w:r w:rsidR="00B95A19">
        <w:rPr>
          <w:rFonts w:ascii="Times New Roman" w:hAnsi="Times New Roman"/>
          <w:bCs/>
          <w:color w:val="auto"/>
          <w:sz w:val="24"/>
          <w:szCs w:val="24"/>
        </w:rPr>
        <w:t>undergone significant</w:t>
      </w:r>
      <w:r>
        <w:rPr>
          <w:rFonts w:ascii="Times New Roman" w:hAnsi="Times New Roman"/>
          <w:bCs/>
          <w:color w:val="auto"/>
          <w:sz w:val="24"/>
          <w:szCs w:val="24"/>
        </w:rPr>
        <w:t xml:space="preserve"> education</w:t>
      </w:r>
      <w:r w:rsidR="00B95A19">
        <w:rPr>
          <w:rFonts w:ascii="Times New Roman" w:hAnsi="Times New Roman"/>
          <w:bCs/>
          <w:color w:val="auto"/>
          <w:sz w:val="24"/>
          <w:szCs w:val="24"/>
        </w:rPr>
        <w:t>, visible</w:t>
      </w:r>
      <w:r w:rsidR="00475406">
        <w:rPr>
          <w:rFonts w:ascii="Times New Roman" w:hAnsi="Times New Roman"/>
          <w:bCs/>
          <w:color w:val="auto"/>
          <w:sz w:val="24"/>
          <w:szCs w:val="24"/>
        </w:rPr>
        <w:t xml:space="preserve"> partly</w:t>
      </w:r>
      <w:r w:rsidR="00B95A19">
        <w:rPr>
          <w:rFonts w:ascii="Times New Roman" w:hAnsi="Times New Roman"/>
          <w:bCs/>
          <w:color w:val="auto"/>
          <w:sz w:val="24"/>
          <w:szCs w:val="24"/>
        </w:rPr>
        <w:t xml:space="preserve"> through the wide variety of extant sources presented as manuals</w:t>
      </w:r>
      <w:r>
        <w:rPr>
          <w:rFonts w:ascii="Times New Roman" w:hAnsi="Times New Roman"/>
          <w:bCs/>
          <w:color w:val="auto"/>
          <w:sz w:val="24"/>
          <w:szCs w:val="24"/>
        </w:rPr>
        <w:t>.</w:t>
      </w:r>
      <w:r w:rsidR="00D046FA">
        <w:rPr>
          <w:rStyle w:val="FootnoteReference"/>
          <w:rFonts w:ascii="Times New Roman" w:hAnsi="Times New Roman"/>
          <w:bCs/>
          <w:color w:val="auto"/>
          <w:sz w:val="24"/>
          <w:szCs w:val="24"/>
        </w:rPr>
        <w:footnoteReference w:id="48"/>
      </w:r>
      <w:r>
        <w:rPr>
          <w:rFonts w:ascii="Times New Roman" w:hAnsi="Times New Roman"/>
          <w:bCs/>
          <w:color w:val="auto"/>
          <w:sz w:val="24"/>
          <w:szCs w:val="24"/>
        </w:rPr>
        <w:t xml:space="preserve"> </w:t>
      </w:r>
      <w:r w:rsidR="006E4D9C">
        <w:rPr>
          <w:rFonts w:ascii="Times New Roman" w:hAnsi="Times New Roman"/>
          <w:bCs/>
          <w:color w:val="auto"/>
          <w:sz w:val="24"/>
          <w:szCs w:val="24"/>
        </w:rPr>
        <w:t>A text reconstructed by Lambert lists</w:t>
      </w:r>
      <w:r w:rsidR="00141077">
        <w:rPr>
          <w:rFonts w:ascii="Times New Roman" w:hAnsi="Times New Roman"/>
          <w:bCs/>
          <w:color w:val="auto"/>
          <w:sz w:val="24"/>
          <w:szCs w:val="24"/>
        </w:rPr>
        <w:t xml:space="preserve"> mastery of the ‘mystery’ of ‘oil on water’ and examination of ‘the tablet of the gods, the liver’, alongside knowledge of astrology and mathematics</w:t>
      </w:r>
      <w:r w:rsidR="006E4D9C">
        <w:rPr>
          <w:rFonts w:ascii="Times New Roman" w:hAnsi="Times New Roman"/>
          <w:bCs/>
          <w:color w:val="auto"/>
          <w:sz w:val="24"/>
          <w:szCs w:val="24"/>
        </w:rPr>
        <w:t xml:space="preserve"> as accomplishments of diviners</w:t>
      </w:r>
      <w:r w:rsidR="00141077">
        <w:rPr>
          <w:rFonts w:ascii="Times New Roman" w:hAnsi="Times New Roman"/>
          <w:bCs/>
          <w:color w:val="auto"/>
          <w:sz w:val="24"/>
          <w:szCs w:val="24"/>
        </w:rPr>
        <w:t>.</w:t>
      </w:r>
      <w:r w:rsidR="00C55877">
        <w:rPr>
          <w:rStyle w:val="FootnoteReference"/>
          <w:rFonts w:ascii="Times New Roman" w:hAnsi="Times New Roman"/>
          <w:bCs/>
          <w:color w:val="auto"/>
          <w:sz w:val="24"/>
          <w:szCs w:val="24"/>
        </w:rPr>
        <w:footnoteReference w:id="49"/>
      </w:r>
      <w:r w:rsidR="00C55877">
        <w:rPr>
          <w:rFonts w:ascii="Times New Roman" w:hAnsi="Times New Roman"/>
          <w:bCs/>
          <w:color w:val="auto"/>
          <w:sz w:val="24"/>
          <w:szCs w:val="24"/>
        </w:rPr>
        <w:t xml:space="preserve"> </w:t>
      </w:r>
      <w:r w:rsidR="006853C5">
        <w:rPr>
          <w:rFonts w:ascii="Times New Roman" w:hAnsi="Times New Roman"/>
          <w:bCs/>
          <w:color w:val="auto"/>
          <w:sz w:val="24"/>
          <w:szCs w:val="24"/>
        </w:rPr>
        <w:t>This finds a direct parallel in the previously-mentioned stela inscription of Ashurbanipal, where he boasts that ‘Šamaš (and) Adad entrusted to me (the art of) extispicy’ alongside the ability to ‘recognize’ and ‘discuss’ ‘celestial and terrestrial omens’, ‘deliberate upon (the series) “(If) the liver is a mirror (image) of heaven”’, solve ‘complicated’ mathematical problems, studied Sumerian and Akkadian languages as well as antediluvian inscriptions.</w:t>
      </w:r>
      <w:r w:rsidR="006853C5">
        <w:rPr>
          <w:rStyle w:val="FootnoteReference"/>
          <w:rFonts w:ascii="Times New Roman" w:hAnsi="Times New Roman"/>
          <w:bCs/>
          <w:color w:val="auto"/>
          <w:sz w:val="24"/>
          <w:szCs w:val="24"/>
        </w:rPr>
        <w:footnoteReference w:id="50"/>
      </w:r>
      <w:r w:rsidR="006853C5">
        <w:rPr>
          <w:rFonts w:ascii="Times New Roman" w:hAnsi="Times New Roman"/>
          <w:bCs/>
          <w:color w:val="auto"/>
          <w:sz w:val="24"/>
          <w:szCs w:val="24"/>
        </w:rPr>
        <w:t xml:space="preserve"> Diviners</w:t>
      </w:r>
      <w:r>
        <w:rPr>
          <w:rFonts w:ascii="Times New Roman" w:hAnsi="Times New Roman"/>
          <w:bCs/>
          <w:color w:val="auto"/>
          <w:sz w:val="24"/>
          <w:szCs w:val="24"/>
        </w:rPr>
        <w:t xml:space="preserve"> may have had to in some way prove descent from </w:t>
      </w:r>
      <w:r w:rsidR="006853C5">
        <w:rPr>
          <w:rFonts w:ascii="Times New Roman" w:hAnsi="Times New Roman"/>
          <w:bCs/>
          <w:color w:val="auto"/>
          <w:sz w:val="24"/>
          <w:szCs w:val="24"/>
        </w:rPr>
        <w:t xml:space="preserve">the </w:t>
      </w:r>
      <w:r>
        <w:rPr>
          <w:rFonts w:ascii="Times New Roman" w:hAnsi="Times New Roman"/>
          <w:bCs/>
          <w:color w:val="auto"/>
          <w:sz w:val="24"/>
          <w:szCs w:val="24"/>
        </w:rPr>
        <w:t xml:space="preserve">antediluvian </w:t>
      </w:r>
      <w:r w:rsidR="000948BA">
        <w:rPr>
          <w:rFonts w:ascii="Times New Roman" w:hAnsi="Times New Roman"/>
          <w:bCs/>
          <w:color w:val="auto"/>
          <w:sz w:val="24"/>
          <w:szCs w:val="24"/>
        </w:rPr>
        <w:t xml:space="preserve">King </w:t>
      </w:r>
      <w:proofErr w:type="spellStart"/>
      <w:r>
        <w:rPr>
          <w:rFonts w:ascii="Times New Roman" w:hAnsi="Times New Roman"/>
          <w:bCs/>
          <w:color w:val="auto"/>
          <w:sz w:val="24"/>
          <w:szCs w:val="24"/>
        </w:rPr>
        <w:t>Enmeduranki</w:t>
      </w:r>
      <w:proofErr w:type="spellEnd"/>
      <w:r w:rsidR="000948BA">
        <w:rPr>
          <w:rFonts w:ascii="Times New Roman" w:hAnsi="Times New Roman"/>
          <w:bCs/>
          <w:color w:val="auto"/>
          <w:sz w:val="24"/>
          <w:szCs w:val="24"/>
        </w:rPr>
        <w:t xml:space="preserve"> of Sippar</w:t>
      </w:r>
      <w:r>
        <w:rPr>
          <w:rFonts w:ascii="Times New Roman" w:hAnsi="Times New Roman"/>
          <w:bCs/>
          <w:color w:val="auto"/>
          <w:sz w:val="24"/>
          <w:szCs w:val="24"/>
        </w:rPr>
        <w:t>, who is credited</w:t>
      </w:r>
      <w:r w:rsidR="00A74DA3">
        <w:rPr>
          <w:rFonts w:ascii="Times New Roman" w:hAnsi="Times New Roman"/>
          <w:bCs/>
          <w:color w:val="auto"/>
          <w:sz w:val="24"/>
          <w:szCs w:val="24"/>
        </w:rPr>
        <w:t xml:space="preserve"> in multiple ‘</w:t>
      </w:r>
      <w:proofErr w:type="spellStart"/>
      <w:r w:rsidR="00A74DA3">
        <w:rPr>
          <w:rFonts w:ascii="Times New Roman" w:hAnsi="Times New Roman"/>
          <w:bCs/>
          <w:color w:val="auto"/>
          <w:sz w:val="24"/>
          <w:szCs w:val="24"/>
        </w:rPr>
        <w:t>Enmeduranki</w:t>
      </w:r>
      <w:proofErr w:type="spellEnd"/>
      <w:r w:rsidR="00A74DA3">
        <w:rPr>
          <w:rFonts w:ascii="Times New Roman" w:hAnsi="Times New Roman"/>
          <w:bCs/>
          <w:color w:val="auto"/>
          <w:sz w:val="24"/>
          <w:szCs w:val="24"/>
        </w:rPr>
        <w:t xml:space="preserve"> texts’</w:t>
      </w:r>
      <w:r>
        <w:rPr>
          <w:rFonts w:ascii="Times New Roman" w:hAnsi="Times New Roman"/>
          <w:bCs/>
          <w:color w:val="auto"/>
          <w:sz w:val="24"/>
          <w:szCs w:val="24"/>
        </w:rPr>
        <w:t xml:space="preserve"> as the first human to receive the gift of divination directly from </w:t>
      </w:r>
      <w:r w:rsidR="004A55B6">
        <w:rPr>
          <w:rFonts w:ascii="Times New Roman" w:hAnsi="Times New Roman"/>
          <w:bCs/>
          <w:color w:val="auto"/>
          <w:sz w:val="24"/>
          <w:szCs w:val="24"/>
        </w:rPr>
        <w:t>Šamaš</w:t>
      </w:r>
      <w:r>
        <w:rPr>
          <w:rFonts w:ascii="Times New Roman" w:hAnsi="Times New Roman"/>
          <w:bCs/>
          <w:color w:val="auto"/>
          <w:sz w:val="24"/>
          <w:szCs w:val="24"/>
        </w:rPr>
        <w:t xml:space="preserve"> and Ada</w:t>
      </w:r>
      <w:r w:rsidR="00A74DB4">
        <w:rPr>
          <w:rFonts w:ascii="Times New Roman" w:hAnsi="Times New Roman"/>
          <w:bCs/>
          <w:color w:val="auto"/>
          <w:sz w:val="24"/>
          <w:szCs w:val="24"/>
        </w:rPr>
        <w:t>d</w:t>
      </w:r>
      <w:r w:rsidR="006853C5">
        <w:rPr>
          <w:rFonts w:ascii="Times New Roman" w:hAnsi="Times New Roman"/>
          <w:bCs/>
          <w:color w:val="auto"/>
          <w:sz w:val="24"/>
          <w:szCs w:val="24"/>
        </w:rPr>
        <w:t>, the role which Ashurbanipal both mirrors and appropriates in his stela inscription</w:t>
      </w:r>
      <w:r>
        <w:rPr>
          <w:rFonts w:ascii="Times New Roman" w:hAnsi="Times New Roman"/>
          <w:bCs/>
          <w:color w:val="auto"/>
          <w:sz w:val="24"/>
          <w:szCs w:val="24"/>
        </w:rPr>
        <w:t>.</w:t>
      </w:r>
      <w:r>
        <w:rPr>
          <w:rStyle w:val="FootnoteReference"/>
          <w:rFonts w:ascii="Times New Roman" w:hAnsi="Times New Roman"/>
          <w:bCs/>
          <w:color w:val="auto"/>
          <w:sz w:val="24"/>
          <w:szCs w:val="24"/>
        </w:rPr>
        <w:footnoteReference w:id="51"/>
      </w:r>
      <w:r>
        <w:rPr>
          <w:rFonts w:ascii="Times New Roman" w:hAnsi="Times New Roman"/>
          <w:bCs/>
          <w:color w:val="auto"/>
          <w:sz w:val="24"/>
          <w:szCs w:val="24"/>
        </w:rPr>
        <w:t xml:space="preserve"> </w:t>
      </w:r>
      <w:r w:rsidR="00A74DA3">
        <w:rPr>
          <w:rFonts w:ascii="Times New Roman" w:hAnsi="Times New Roman"/>
          <w:bCs/>
          <w:color w:val="auto"/>
          <w:sz w:val="24"/>
          <w:szCs w:val="24"/>
        </w:rPr>
        <w:t>T</w:t>
      </w:r>
      <w:r w:rsidR="00A74DB4">
        <w:rPr>
          <w:rFonts w:ascii="Times New Roman" w:hAnsi="Times New Roman"/>
          <w:bCs/>
          <w:color w:val="auto"/>
          <w:sz w:val="24"/>
          <w:szCs w:val="24"/>
        </w:rPr>
        <w:t>he king whose first person voice is read</w:t>
      </w:r>
      <w:r w:rsidR="00963AC7">
        <w:rPr>
          <w:rFonts w:ascii="Times New Roman" w:hAnsi="Times New Roman"/>
          <w:bCs/>
          <w:color w:val="auto"/>
          <w:sz w:val="24"/>
          <w:szCs w:val="24"/>
        </w:rPr>
        <w:t xml:space="preserve"> in</w:t>
      </w:r>
      <w:r w:rsidR="00A74DA3">
        <w:rPr>
          <w:rFonts w:ascii="Times New Roman" w:hAnsi="Times New Roman"/>
          <w:bCs/>
          <w:color w:val="auto"/>
          <w:sz w:val="24"/>
          <w:szCs w:val="24"/>
        </w:rPr>
        <w:t xml:space="preserve"> another </w:t>
      </w:r>
      <w:r w:rsidR="00963AC7">
        <w:rPr>
          <w:rFonts w:ascii="Times New Roman" w:hAnsi="Times New Roman"/>
          <w:bCs/>
          <w:color w:val="auto"/>
          <w:sz w:val="24"/>
          <w:szCs w:val="24"/>
        </w:rPr>
        <w:t>‘</w:t>
      </w:r>
      <w:proofErr w:type="spellStart"/>
      <w:r w:rsidR="00963AC7">
        <w:rPr>
          <w:rFonts w:ascii="Times New Roman" w:hAnsi="Times New Roman"/>
          <w:bCs/>
          <w:color w:val="auto"/>
          <w:sz w:val="24"/>
          <w:szCs w:val="24"/>
        </w:rPr>
        <w:t>Enmeduranki</w:t>
      </w:r>
      <w:proofErr w:type="spellEnd"/>
      <w:r w:rsidR="00963AC7">
        <w:rPr>
          <w:rFonts w:ascii="Times New Roman" w:hAnsi="Times New Roman"/>
          <w:bCs/>
          <w:color w:val="auto"/>
          <w:sz w:val="24"/>
          <w:szCs w:val="24"/>
        </w:rPr>
        <w:t xml:space="preserve"> </w:t>
      </w:r>
      <w:r w:rsidR="00A74DA3">
        <w:rPr>
          <w:rFonts w:ascii="Times New Roman" w:hAnsi="Times New Roman"/>
          <w:bCs/>
          <w:color w:val="auto"/>
          <w:sz w:val="24"/>
          <w:szCs w:val="24"/>
        </w:rPr>
        <w:t>text</w:t>
      </w:r>
      <w:r w:rsidR="00963AC7">
        <w:rPr>
          <w:rFonts w:ascii="Times New Roman" w:hAnsi="Times New Roman"/>
          <w:bCs/>
          <w:color w:val="auto"/>
          <w:sz w:val="24"/>
          <w:szCs w:val="24"/>
        </w:rPr>
        <w:t>’</w:t>
      </w:r>
      <w:r w:rsidR="00A74DB4">
        <w:rPr>
          <w:rFonts w:ascii="Times New Roman" w:hAnsi="Times New Roman"/>
          <w:bCs/>
          <w:color w:val="auto"/>
          <w:sz w:val="24"/>
          <w:szCs w:val="24"/>
        </w:rPr>
        <w:t xml:space="preserve"> </w:t>
      </w:r>
      <w:r w:rsidR="00A74DA3">
        <w:rPr>
          <w:rFonts w:ascii="Times New Roman" w:hAnsi="Times New Roman"/>
          <w:bCs/>
          <w:color w:val="auto"/>
          <w:sz w:val="24"/>
          <w:szCs w:val="24"/>
        </w:rPr>
        <w:t xml:space="preserve">also </w:t>
      </w:r>
      <w:r w:rsidR="00A74DB4">
        <w:rPr>
          <w:rFonts w:ascii="Times New Roman" w:hAnsi="Times New Roman"/>
          <w:bCs/>
          <w:color w:val="auto"/>
          <w:sz w:val="24"/>
          <w:szCs w:val="24"/>
        </w:rPr>
        <w:t>claims</w:t>
      </w:r>
      <w:r w:rsidR="00A74DA3">
        <w:rPr>
          <w:rFonts w:ascii="Times New Roman" w:hAnsi="Times New Roman"/>
          <w:bCs/>
          <w:color w:val="auto"/>
          <w:sz w:val="24"/>
          <w:szCs w:val="24"/>
        </w:rPr>
        <w:t xml:space="preserve"> this</w:t>
      </w:r>
      <w:r w:rsidR="00A74DB4">
        <w:rPr>
          <w:rFonts w:ascii="Times New Roman" w:hAnsi="Times New Roman"/>
          <w:bCs/>
          <w:color w:val="auto"/>
          <w:sz w:val="24"/>
          <w:szCs w:val="24"/>
        </w:rPr>
        <w:t xml:space="preserve"> descent, </w:t>
      </w:r>
      <w:r w:rsidR="008D118F">
        <w:rPr>
          <w:rFonts w:ascii="Times New Roman" w:hAnsi="Times New Roman"/>
          <w:bCs/>
          <w:color w:val="auto"/>
          <w:sz w:val="24"/>
          <w:szCs w:val="24"/>
        </w:rPr>
        <w:t xml:space="preserve">pre-dating Ashurbanipal’s similar attempt to harness divine </w:t>
      </w:r>
      <w:r w:rsidR="00A74DA3">
        <w:rPr>
          <w:rFonts w:ascii="Times New Roman" w:hAnsi="Times New Roman"/>
          <w:bCs/>
          <w:color w:val="auto"/>
          <w:sz w:val="24"/>
          <w:szCs w:val="24"/>
        </w:rPr>
        <w:t xml:space="preserve">– and divinatory – </w:t>
      </w:r>
      <w:r w:rsidR="008D118F">
        <w:rPr>
          <w:rFonts w:ascii="Times New Roman" w:hAnsi="Times New Roman"/>
          <w:bCs/>
          <w:color w:val="auto"/>
          <w:sz w:val="24"/>
          <w:szCs w:val="24"/>
        </w:rPr>
        <w:t>legitimacy.</w:t>
      </w:r>
      <w:r w:rsidR="00A304DD">
        <w:rPr>
          <w:rStyle w:val="FootnoteReference"/>
          <w:rFonts w:ascii="Times New Roman" w:hAnsi="Times New Roman"/>
          <w:bCs/>
          <w:color w:val="auto"/>
          <w:sz w:val="24"/>
          <w:szCs w:val="24"/>
        </w:rPr>
        <w:footnoteReference w:id="52"/>
      </w:r>
      <w:r w:rsidR="00870E48">
        <w:rPr>
          <w:rFonts w:ascii="Times New Roman" w:hAnsi="Times New Roman"/>
          <w:bCs/>
          <w:color w:val="auto"/>
          <w:sz w:val="24"/>
          <w:szCs w:val="24"/>
        </w:rPr>
        <w:t xml:space="preserve"> That this king circumvented the gods themselves and instead chose </w:t>
      </w:r>
      <w:proofErr w:type="spellStart"/>
      <w:r w:rsidR="00870E48">
        <w:rPr>
          <w:rFonts w:ascii="Times New Roman" w:hAnsi="Times New Roman"/>
          <w:bCs/>
          <w:color w:val="auto"/>
          <w:sz w:val="24"/>
          <w:szCs w:val="24"/>
        </w:rPr>
        <w:t>Enmeduranki</w:t>
      </w:r>
      <w:proofErr w:type="spellEnd"/>
      <w:r w:rsidR="00870E48">
        <w:rPr>
          <w:rFonts w:ascii="Times New Roman" w:hAnsi="Times New Roman"/>
          <w:bCs/>
          <w:color w:val="auto"/>
          <w:sz w:val="24"/>
          <w:szCs w:val="24"/>
        </w:rPr>
        <w:t xml:space="preserve"> </w:t>
      </w:r>
      <w:r w:rsidR="00A74DA3">
        <w:rPr>
          <w:rFonts w:ascii="Times New Roman" w:hAnsi="Times New Roman"/>
          <w:bCs/>
          <w:color w:val="auto"/>
          <w:sz w:val="24"/>
          <w:szCs w:val="24"/>
        </w:rPr>
        <w:t xml:space="preserve">– himself </w:t>
      </w:r>
      <w:r w:rsidR="00870E48">
        <w:rPr>
          <w:rFonts w:ascii="Times New Roman" w:hAnsi="Times New Roman"/>
          <w:bCs/>
          <w:color w:val="auto"/>
          <w:sz w:val="24"/>
          <w:szCs w:val="24"/>
        </w:rPr>
        <w:t>chosen by Šamaš and Adad –</w:t>
      </w:r>
      <w:r w:rsidR="00A74DA3">
        <w:rPr>
          <w:rFonts w:ascii="Times New Roman" w:hAnsi="Times New Roman"/>
          <w:bCs/>
          <w:color w:val="auto"/>
          <w:sz w:val="24"/>
          <w:szCs w:val="24"/>
        </w:rPr>
        <w:t xml:space="preserve"> as ancestor</w:t>
      </w:r>
      <w:r w:rsidR="00870E48">
        <w:rPr>
          <w:rFonts w:ascii="Times New Roman" w:hAnsi="Times New Roman"/>
          <w:bCs/>
          <w:color w:val="auto"/>
          <w:sz w:val="24"/>
          <w:szCs w:val="24"/>
        </w:rPr>
        <w:t xml:space="preserve"> is potentially a crucial step in the ‘language equals reality’ argument pertaining to ancient Mesopotamian cosmology and divination. T</w:t>
      </w:r>
      <w:r w:rsidR="000948BA">
        <w:rPr>
          <w:rFonts w:ascii="Times New Roman" w:hAnsi="Times New Roman"/>
          <w:bCs/>
          <w:color w:val="auto"/>
          <w:sz w:val="24"/>
          <w:szCs w:val="24"/>
        </w:rPr>
        <w:t xml:space="preserve">he name </w:t>
      </w:r>
      <w:proofErr w:type="spellStart"/>
      <w:r w:rsidR="000948BA">
        <w:rPr>
          <w:rFonts w:ascii="Times New Roman" w:hAnsi="Times New Roman"/>
          <w:bCs/>
          <w:color w:val="auto"/>
          <w:sz w:val="24"/>
          <w:szCs w:val="24"/>
        </w:rPr>
        <w:t>Enmeduranki</w:t>
      </w:r>
      <w:proofErr w:type="spellEnd"/>
      <w:r w:rsidR="00870E48">
        <w:rPr>
          <w:rFonts w:ascii="Times New Roman" w:hAnsi="Times New Roman"/>
          <w:bCs/>
          <w:color w:val="auto"/>
          <w:sz w:val="24"/>
          <w:szCs w:val="24"/>
        </w:rPr>
        <w:t xml:space="preserve"> translates</w:t>
      </w:r>
      <w:r w:rsidR="00BB70F6">
        <w:rPr>
          <w:rFonts w:ascii="Times New Roman" w:hAnsi="Times New Roman"/>
          <w:bCs/>
          <w:color w:val="auto"/>
          <w:sz w:val="24"/>
          <w:szCs w:val="24"/>
        </w:rPr>
        <w:t xml:space="preserve"> as something like ‘the human bridge of secrets binding above and below’</w:t>
      </w:r>
      <w:r w:rsidR="00C11394">
        <w:rPr>
          <w:rFonts w:ascii="Times New Roman" w:hAnsi="Times New Roman"/>
          <w:bCs/>
          <w:color w:val="auto"/>
          <w:sz w:val="24"/>
          <w:szCs w:val="24"/>
        </w:rPr>
        <w:t>.</w:t>
      </w:r>
      <w:r w:rsidR="00C11394">
        <w:rPr>
          <w:rStyle w:val="FootnoteReference"/>
          <w:rFonts w:ascii="Times New Roman" w:hAnsi="Times New Roman"/>
          <w:bCs/>
          <w:color w:val="auto"/>
          <w:sz w:val="24"/>
          <w:szCs w:val="24"/>
        </w:rPr>
        <w:footnoteReference w:id="53"/>
      </w:r>
      <w:r w:rsidR="000948BA">
        <w:rPr>
          <w:rFonts w:ascii="Times New Roman" w:hAnsi="Times New Roman"/>
          <w:bCs/>
          <w:color w:val="auto"/>
          <w:sz w:val="24"/>
          <w:szCs w:val="24"/>
        </w:rPr>
        <w:t xml:space="preserve"> </w:t>
      </w:r>
      <w:r w:rsidR="00C11394">
        <w:rPr>
          <w:rFonts w:ascii="Times New Roman" w:hAnsi="Times New Roman"/>
          <w:bCs/>
          <w:color w:val="auto"/>
          <w:sz w:val="24"/>
          <w:szCs w:val="24"/>
        </w:rPr>
        <w:t xml:space="preserve">Naming </w:t>
      </w:r>
      <w:proofErr w:type="spellStart"/>
      <w:r w:rsidR="00C11394">
        <w:rPr>
          <w:rFonts w:ascii="Times New Roman" w:hAnsi="Times New Roman"/>
          <w:bCs/>
          <w:color w:val="auto"/>
          <w:sz w:val="24"/>
          <w:szCs w:val="24"/>
        </w:rPr>
        <w:t>Enmeduranki</w:t>
      </w:r>
      <w:proofErr w:type="spellEnd"/>
      <w:r w:rsidR="00C11394">
        <w:rPr>
          <w:rFonts w:ascii="Times New Roman" w:hAnsi="Times New Roman"/>
          <w:bCs/>
          <w:color w:val="auto"/>
          <w:sz w:val="24"/>
          <w:szCs w:val="24"/>
        </w:rPr>
        <w:t xml:space="preserve"> as the forebear of diviners</w:t>
      </w:r>
      <w:r w:rsidR="00F62A98">
        <w:rPr>
          <w:rFonts w:ascii="Times New Roman" w:hAnsi="Times New Roman"/>
          <w:bCs/>
          <w:color w:val="auto"/>
          <w:sz w:val="24"/>
          <w:szCs w:val="24"/>
        </w:rPr>
        <w:t xml:space="preserve"> – and the first-person king </w:t>
      </w:r>
      <w:r w:rsidR="0015360E">
        <w:rPr>
          <w:rFonts w:ascii="Times New Roman" w:hAnsi="Times New Roman"/>
          <w:bCs/>
          <w:color w:val="auto"/>
          <w:sz w:val="24"/>
          <w:szCs w:val="24"/>
        </w:rPr>
        <w:t>–</w:t>
      </w:r>
      <w:r w:rsidR="00C11394">
        <w:rPr>
          <w:rFonts w:ascii="Times New Roman" w:hAnsi="Times New Roman"/>
          <w:bCs/>
          <w:color w:val="auto"/>
          <w:sz w:val="24"/>
          <w:szCs w:val="24"/>
        </w:rPr>
        <w:t xml:space="preserve"> is, </w:t>
      </w:r>
      <w:r w:rsidR="00C11394">
        <w:rPr>
          <w:rFonts w:ascii="Times New Roman" w:hAnsi="Times New Roman"/>
          <w:bCs/>
          <w:color w:val="auto"/>
          <w:sz w:val="24"/>
          <w:szCs w:val="24"/>
        </w:rPr>
        <w:lastRenderedPageBreak/>
        <w:t xml:space="preserve">effectively, naming </w:t>
      </w:r>
      <w:r w:rsidR="0015360E">
        <w:rPr>
          <w:rFonts w:ascii="Times New Roman" w:hAnsi="Times New Roman"/>
          <w:bCs/>
          <w:color w:val="auto"/>
          <w:sz w:val="24"/>
          <w:szCs w:val="24"/>
        </w:rPr>
        <w:t xml:space="preserve">descent through </w:t>
      </w:r>
      <w:r w:rsidR="00C11394">
        <w:rPr>
          <w:rFonts w:ascii="Times New Roman" w:hAnsi="Times New Roman"/>
          <w:bCs/>
          <w:color w:val="auto"/>
          <w:sz w:val="24"/>
          <w:szCs w:val="24"/>
        </w:rPr>
        <w:t>a human bridge between humans and their gods through whom divine knowledge is passed. This personification</w:t>
      </w:r>
      <w:r w:rsidR="00CE1E95">
        <w:rPr>
          <w:rFonts w:ascii="Times New Roman" w:hAnsi="Times New Roman"/>
          <w:bCs/>
          <w:color w:val="auto"/>
          <w:sz w:val="24"/>
          <w:szCs w:val="24"/>
        </w:rPr>
        <w:t xml:space="preserve"> solidifies the power of naming as regards creation, interpretation, and power which has already been discussed in relation to the </w:t>
      </w:r>
      <w:proofErr w:type="spellStart"/>
      <w:r w:rsidR="006174EB">
        <w:rPr>
          <w:rFonts w:ascii="Times New Roman" w:hAnsi="Times New Roman"/>
          <w:bCs/>
          <w:i/>
          <w:color w:val="auto"/>
          <w:sz w:val="24"/>
          <w:szCs w:val="24"/>
        </w:rPr>
        <w:t>Enûma</w:t>
      </w:r>
      <w:proofErr w:type="spellEnd"/>
      <w:r w:rsidR="006174EB">
        <w:rPr>
          <w:rFonts w:ascii="Times New Roman" w:hAnsi="Times New Roman"/>
          <w:bCs/>
          <w:i/>
          <w:color w:val="auto"/>
          <w:sz w:val="24"/>
          <w:szCs w:val="24"/>
        </w:rPr>
        <w:t xml:space="preserve"> </w:t>
      </w:r>
      <w:proofErr w:type="spellStart"/>
      <w:r w:rsidR="006174EB">
        <w:rPr>
          <w:rFonts w:ascii="Times New Roman" w:hAnsi="Times New Roman"/>
          <w:bCs/>
          <w:i/>
          <w:color w:val="auto"/>
          <w:sz w:val="24"/>
          <w:szCs w:val="24"/>
        </w:rPr>
        <w:t>Eliš</w:t>
      </w:r>
      <w:proofErr w:type="spellEnd"/>
      <w:r w:rsidR="00A7236A">
        <w:rPr>
          <w:rFonts w:ascii="Times New Roman" w:hAnsi="Times New Roman"/>
          <w:bCs/>
          <w:color w:val="auto"/>
          <w:sz w:val="24"/>
          <w:szCs w:val="24"/>
        </w:rPr>
        <w:t xml:space="preserve">. That </w:t>
      </w:r>
      <w:r w:rsidR="00063552">
        <w:rPr>
          <w:rFonts w:ascii="Times New Roman" w:hAnsi="Times New Roman"/>
          <w:bCs/>
          <w:color w:val="auto"/>
          <w:sz w:val="24"/>
          <w:szCs w:val="24"/>
        </w:rPr>
        <w:t>this concept</w:t>
      </w:r>
      <w:r w:rsidR="00A7236A">
        <w:rPr>
          <w:rFonts w:ascii="Times New Roman" w:hAnsi="Times New Roman"/>
          <w:bCs/>
          <w:color w:val="auto"/>
          <w:sz w:val="24"/>
          <w:szCs w:val="24"/>
        </w:rPr>
        <w:t xml:space="preserve"> </w:t>
      </w:r>
      <w:r w:rsidR="00063552">
        <w:rPr>
          <w:rFonts w:ascii="Times New Roman" w:hAnsi="Times New Roman"/>
          <w:bCs/>
          <w:color w:val="auto"/>
          <w:sz w:val="24"/>
          <w:szCs w:val="24"/>
        </w:rPr>
        <w:t xml:space="preserve">permeates </w:t>
      </w:r>
      <w:r w:rsidR="00B91890">
        <w:rPr>
          <w:rFonts w:ascii="Times New Roman" w:hAnsi="Times New Roman"/>
          <w:bCs/>
          <w:color w:val="auto"/>
          <w:sz w:val="24"/>
          <w:szCs w:val="24"/>
        </w:rPr>
        <w:t>texts relating to divinatory practices</w:t>
      </w:r>
      <w:r w:rsidR="00813C03">
        <w:rPr>
          <w:rFonts w:ascii="Times New Roman" w:hAnsi="Times New Roman"/>
          <w:bCs/>
          <w:color w:val="auto"/>
          <w:sz w:val="24"/>
          <w:szCs w:val="24"/>
        </w:rPr>
        <w:t xml:space="preserve"> underlines </w:t>
      </w:r>
      <w:r w:rsidR="00632B1C">
        <w:rPr>
          <w:rFonts w:ascii="Times New Roman" w:hAnsi="Times New Roman"/>
          <w:bCs/>
          <w:color w:val="auto"/>
          <w:sz w:val="24"/>
          <w:szCs w:val="24"/>
        </w:rPr>
        <w:t>creation-naming as an integral facet of both divination and cosmology during this period, a shared structure supporting both.</w:t>
      </w:r>
      <w:r w:rsidR="00B91890">
        <w:rPr>
          <w:rFonts w:ascii="Times New Roman" w:hAnsi="Times New Roman"/>
          <w:bCs/>
          <w:color w:val="auto"/>
          <w:sz w:val="24"/>
          <w:szCs w:val="24"/>
        </w:rPr>
        <w:t xml:space="preserve"> </w:t>
      </w:r>
      <w:r w:rsidR="00A74DB4">
        <w:rPr>
          <w:rFonts w:ascii="Times New Roman" w:hAnsi="Times New Roman"/>
          <w:bCs/>
          <w:color w:val="auto"/>
          <w:sz w:val="24"/>
          <w:szCs w:val="24"/>
        </w:rPr>
        <w:t xml:space="preserve">Like Ashurbanipal’s legitimacy to rule, the power of invoking the divine legitimacy of </w:t>
      </w:r>
      <w:proofErr w:type="spellStart"/>
      <w:r w:rsidR="00A74DB4">
        <w:rPr>
          <w:rFonts w:ascii="Times New Roman" w:hAnsi="Times New Roman"/>
          <w:bCs/>
          <w:color w:val="auto"/>
          <w:sz w:val="24"/>
          <w:szCs w:val="24"/>
        </w:rPr>
        <w:t>Enmeduranki’s</w:t>
      </w:r>
      <w:proofErr w:type="spellEnd"/>
      <w:r w:rsidR="00A74DB4">
        <w:rPr>
          <w:rFonts w:ascii="Times New Roman" w:hAnsi="Times New Roman"/>
          <w:bCs/>
          <w:color w:val="auto"/>
          <w:sz w:val="24"/>
          <w:szCs w:val="24"/>
        </w:rPr>
        <w:t xml:space="preserve"> line lay in the assumption of the mantle of divine power accessed and driven through language.</w:t>
      </w:r>
    </w:p>
    <w:p w14:paraId="676C16FA" w14:textId="38BA6F8E" w:rsidR="00AC7B4F" w:rsidRPr="000A48D8" w:rsidRDefault="00AC7B4F" w:rsidP="00851F93">
      <w:pPr>
        <w:pStyle w:val="NormalWeb"/>
        <w:spacing w:before="0" w:beforeAutospacing="0" w:after="0" w:afterAutospacing="0" w:line="360" w:lineRule="auto"/>
        <w:ind w:right="-334"/>
        <w:jc w:val="both"/>
        <w:rPr>
          <w:rFonts w:ascii="Times New Roman" w:hAnsi="Times New Roman"/>
          <w:bCs/>
          <w:color w:val="auto"/>
          <w:sz w:val="24"/>
          <w:szCs w:val="24"/>
        </w:rPr>
      </w:pPr>
    </w:p>
    <w:p w14:paraId="5DF44020" w14:textId="39D4BB65" w:rsidR="00075EBD" w:rsidRDefault="00075EBD" w:rsidP="00851F93">
      <w:pPr>
        <w:pStyle w:val="NormalWeb"/>
        <w:spacing w:before="0" w:beforeAutospacing="0" w:after="0" w:afterAutospacing="0" w:line="360" w:lineRule="auto"/>
        <w:ind w:right="-334"/>
        <w:jc w:val="both"/>
        <w:rPr>
          <w:rFonts w:ascii="Times New Roman" w:hAnsi="Times New Roman"/>
          <w:b/>
          <w:bCs/>
          <w:color w:val="auto"/>
          <w:sz w:val="24"/>
          <w:szCs w:val="24"/>
        </w:rPr>
      </w:pPr>
      <w:r w:rsidRPr="000A48D8">
        <w:rPr>
          <w:rFonts w:ascii="Times New Roman" w:hAnsi="Times New Roman"/>
          <w:b/>
          <w:bCs/>
          <w:color w:val="auto"/>
          <w:sz w:val="24"/>
          <w:szCs w:val="24"/>
        </w:rPr>
        <w:t>Conclusion</w:t>
      </w:r>
    </w:p>
    <w:p w14:paraId="3125E2D7" w14:textId="157C2115" w:rsidR="0042295E" w:rsidRDefault="0042295E" w:rsidP="00851F93">
      <w:pPr>
        <w:pStyle w:val="NormalWeb"/>
        <w:spacing w:before="0" w:beforeAutospacing="0" w:after="0" w:afterAutospacing="0" w:line="360" w:lineRule="auto"/>
        <w:ind w:right="-334"/>
        <w:jc w:val="both"/>
        <w:rPr>
          <w:rFonts w:ascii="Times New Roman" w:hAnsi="Times New Roman"/>
          <w:b/>
          <w:bCs/>
          <w:color w:val="auto"/>
          <w:sz w:val="24"/>
          <w:szCs w:val="24"/>
        </w:rPr>
      </w:pPr>
    </w:p>
    <w:p w14:paraId="2A8A11B9" w14:textId="0030DA59" w:rsidR="00F225F0" w:rsidRDefault="0042295E" w:rsidP="00851F93">
      <w:pPr>
        <w:pStyle w:val="NormalWeb"/>
        <w:spacing w:before="0" w:beforeAutospacing="0" w:after="0" w:afterAutospacing="0" w:line="360" w:lineRule="auto"/>
        <w:ind w:right="-334"/>
        <w:jc w:val="both"/>
        <w:rPr>
          <w:rFonts w:ascii="Times New Roman" w:hAnsi="Times New Roman"/>
          <w:bCs/>
          <w:color w:val="auto"/>
          <w:sz w:val="24"/>
          <w:szCs w:val="24"/>
        </w:rPr>
      </w:pPr>
      <w:r>
        <w:rPr>
          <w:rFonts w:ascii="Times New Roman" w:hAnsi="Times New Roman"/>
          <w:bCs/>
          <w:color w:val="auto"/>
          <w:sz w:val="24"/>
          <w:szCs w:val="24"/>
        </w:rPr>
        <w:t>This essay has considered the roles of, and relationship between, cosmology and divination</w:t>
      </w:r>
      <w:r w:rsidR="00913B8E">
        <w:rPr>
          <w:rFonts w:ascii="Times New Roman" w:hAnsi="Times New Roman"/>
          <w:bCs/>
          <w:color w:val="auto"/>
          <w:sz w:val="24"/>
          <w:szCs w:val="24"/>
        </w:rPr>
        <w:t xml:space="preserve"> during the reign of Ashurbanipal, a late Neo-Assyrian king.</w:t>
      </w:r>
      <w:r w:rsidR="00D57A21">
        <w:rPr>
          <w:rFonts w:ascii="Times New Roman" w:hAnsi="Times New Roman"/>
          <w:bCs/>
          <w:color w:val="auto"/>
          <w:sz w:val="24"/>
          <w:szCs w:val="24"/>
        </w:rPr>
        <w:t xml:space="preserve"> It has particularly considered the roles of two gods who recur in extant tablets regarding divinatory practices: </w:t>
      </w:r>
      <w:r w:rsidR="004A55B6">
        <w:rPr>
          <w:rFonts w:ascii="Times New Roman" w:hAnsi="Times New Roman"/>
          <w:bCs/>
          <w:color w:val="auto"/>
          <w:sz w:val="24"/>
          <w:szCs w:val="24"/>
        </w:rPr>
        <w:t>Šamaš</w:t>
      </w:r>
      <w:r w:rsidR="00D57A21">
        <w:rPr>
          <w:rFonts w:ascii="Times New Roman" w:hAnsi="Times New Roman"/>
          <w:bCs/>
          <w:color w:val="auto"/>
          <w:sz w:val="24"/>
          <w:szCs w:val="24"/>
        </w:rPr>
        <w:t xml:space="preserve"> and Adad. It has been argued that t</w:t>
      </w:r>
      <w:r w:rsidR="00F225F0" w:rsidRPr="000A48D8">
        <w:rPr>
          <w:rFonts w:ascii="Times New Roman" w:hAnsi="Times New Roman"/>
          <w:bCs/>
          <w:color w:val="auto"/>
          <w:sz w:val="24"/>
          <w:szCs w:val="24"/>
        </w:rPr>
        <w:t>he involvement of</w:t>
      </w:r>
      <w:r w:rsidR="00F225F0">
        <w:rPr>
          <w:rFonts w:ascii="Times New Roman" w:hAnsi="Times New Roman"/>
          <w:bCs/>
          <w:color w:val="auto"/>
          <w:sz w:val="24"/>
          <w:szCs w:val="24"/>
        </w:rPr>
        <w:t xml:space="preserve"> </w:t>
      </w:r>
      <w:r w:rsidR="004A55B6">
        <w:rPr>
          <w:rFonts w:ascii="Times New Roman" w:hAnsi="Times New Roman"/>
          <w:bCs/>
          <w:color w:val="auto"/>
          <w:sz w:val="24"/>
          <w:szCs w:val="24"/>
        </w:rPr>
        <w:t>Šamaš</w:t>
      </w:r>
      <w:r w:rsidR="00F225F0">
        <w:rPr>
          <w:rFonts w:ascii="Times New Roman" w:hAnsi="Times New Roman"/>
          <w:bCs/>
          <w:color w:val="auto"/>
          <w:sz w:val="24"/>
          <w:szCs w:val="24"/>
        </w:rPr>
        <w:t xml:space="preserve"> and Adad</w:t>
      </w:r>
      <w:r w:rsidR="00F225F0" w:rsidRPr="000A48D8">
        <w:rPr>
          <w:rFonts w:ascii="Times New Roman" w:hAnsi="Times New Roman"/>
          <w:bCs/>
          <w:color w:val="auto"/>
          <w:sz w:val="24"/>
          <w:szCs w:val="24"/>
        </w:rPr>
        <w:t xml:space="preserve"> suggests that the polytheistic cosmology of ancient Mesopotamians </w:t>
      </w:r>
      <w:r w:rsidR="00F225F0">
        <w:rPr>
          <w:rFonts w:ascii="Times New Roman" w:hAnsi="Times New Roman"/>
          <w:bCs/>
          <w:color w:val="auto"/>
          <w:sz w:val="24"/>
          <w:szCs w:val="24"/>
        </w:rPr>
        <w:t>formed</w:t>
      </w:r>
      <w:r w:rsidR="00F225F0" w:rsidRPr="000A48D8">
        <w:rPr>
          <w:rFonts w:ascii="Times New Roman" w:hAnsi="Times New Roman"/>
          <w:bCs/>
          <w:color w:val="auto"/>
          <w:sz w:val="24"/>
          <w:szCs w:val="24"/>
        </w:rPr>
        <w:t xml:space="preserve"> an intrinsic part of divinatory practice</w:t>
      </w:r>
      <w:r w:rsidR="00C772D2">
        <w:rPr>
          <w:rFonts w:ascii="Times New Roman" w:hAnsi="Times New Roman"/>
          <w:bCs/>
          <w:color w:val="auto"/>
          <w:sz w:val="24"/>
          <w:szCs w:val="24"/>
        </w:rPr>
        <w:t xml:space="preserve"> </w:t>
      </w:r>
      <w:proofErr w:type="gramStart"/>
      <w:r w:rsidR="00C772D2">
        <w:rPr>
          <w:rFonts w:ascii="Times New Roman" w:hAnsi="Times New Roman"/>
          <w:bCs/>
          <w:color w:val="auto"/>
          <w:sz w:val="24"/>
          <w:szCs w:val="24"/>
        </w:rPr>
        <w:t>and also</w:t>
      </w:r>
      <w:proofErr w:type="gramEnd"/>
      <w:r w:rsidR="00C772D2">
        <w:rPr>
          <w:rFonts w:ascii="Times New Roman" w:hAnsi="Times New Roman"/>
          <w:bCs/>
          <w:color w:val="auto"/>
          <w:sz w:val="24"/>
          <w:szCs w:val="24"/>
        </w:rPr>
        <w:t xml:space="preserve"> that this cosmology relied upon the interaction of the gods through divinatory practices to reinforce it</w:t>
      </w:r>
      <w:r w:rsidR="00F225F0" w:rsidRPr="000A48D8">
        <w:rPr>
          <w:rFonts w:ascii="Times New Roman" w:hAnsi="Times New Roman"/>
          <w:bCs/>
          <w:color w:val="auto"/>
          <w:sz w:val="24"/>
          <w:szCs w:val="24"/>
        </w:rPr>
        <w:t xml:space="preserve">. </w:t>
      </w:r>
      <w:r w:rsidR="003824B4">
        <w:rPr>
          <w:rFonts w:ascii="Times New Roman" w:hAnsi="Times New Roman"/>
          <w:bCs/>
          <w:color w:val="auto"/>
          <w:sz w:val="24"/>
          <w:szCs w:val="24"/>
        </w:rPr>
        <w:t xml:space="preserve">The power transferred through the act of naming has been considered crucial to both cosmology and divinatory practice. </w:t>
      </w:r>
      <w:r w:rsidR="00784E93">
        <w:rPr>
          <w:rFonts w:ascii="Times New Roman" w:hAnsi="Times New Roman"/>
          <w:bCs/>
          <w:color w:val="auto"/>
          <w:sz w:val="24"/>
          <w:szCs w:val="24"/>
        </w:rPr>
        <w:t>T</w:t>
      </w:r>
      <w:r w:rsidR="00F225F0">
        <w:rPr>
          <w:rFonts w:ascii="Times New Roman" w:hAnsi="Times New Roman"/>
          <w:bCs/>
          <w:color w:val="auto"/>
          <w:sz w:val="24"/>
          <w:szCs w:val="24"/>
        </w:rPr>
        <w:t xml:space="preserve">he significance of precise naming within the creation epic </w:t>
      </w:r>
      <w:proofErr w:type="spellStart"/>
      <w:r w:rsidR="006174EB">
        <w:rPr>
          <w:rFonts w:ascii="Times New Roman" w:hAnsi="Times New Roman"/>
          <w:bCs/>
          <w:i/>
          <w:color w:val="auto"/>
          <w:sz w:val="24"/>
          <w:szCs w:val="24"/>
        </w:rPr>
        <w:t>Enûma</w:t>
      </w:r>
      <w:proofErr w:type="spellEnd"/>
      <w:r w:rsidR="006174EB">
        <w:rPr>
          <w:rFonts w:ascii="Times New Roman" w:hAnsi="Times New Roman"/>
          <w:bCs/>
          <w:i/>
          <w:color w:val="auto"/>
          <w:sz w:val="24"/>
          <w:szCs w:val="24"/>
        </w:rPr>
        <w:t xml:space="preserve"> </w:t>
      </w:r>
      <w:proofErr w:type="spellStart"/>
      <w:r w:rsidR="006174EB">
        <w:rPr>
          <w:rFonts w:ascii="Times New Roman" w:hAnsi="Times New Roman"/>
          <w:bCs/>
          <w:i/>
          <w:color w:val="auto"/>
          <w:sz w:val="24"/>
          <w:szCs w:val="24"/>
        </w:rPr>
        <w:t>Eliš</w:t>
      </w:r>
      <w:proofErr w:type="spellEnd"/>
      <w:r w:rsidR="00F225F0">
        <w:rPr>
          <w:rFonts w:ascii="Times New Roman" w:hAnsi="Times New Roman"/>
          <w:bCs/>
          <w:i/>
          <w:color w:val="auto"/>
          <w:sz w:val="24"/>
          <w:szCs w:val="24"/>
        </w:rPr>
        <w:t xml:space="preserve"> </w:t>
      </w:r>
      <w:r w:rsidR="00F225F0">
        <w:rPr>
          <w:rFonts w:ascii="Times New Roman" w:hAnsi="Times New Roman"/>
          <w:bCs/>
          <w:color w:val="auto"/>
          <w:sz w:val="24"/>
          <w:szCs w:val="24"/>
        </w:rPr>
        <w:t>may be read as expanded through the utilisation of shared terminologies between law-courts and divination rituals</w:t>
      </w:r>
      <w:r w:rsidR="00784E93">
        <w:rPr>
          <w:rFonts w:ascii="Times New Roman" w:hAnsi="Times New Roman"/>
          <w:bCs/>
          <w:color w:val="auto"/>
          <w:sz w:val="24"/>
          <w:szCs w:val="24"/>
        </w:rPr>
        <w:t>, y</w:t>
      </w:r>
      <w:r w:rsidR="00F225F0">
        <w:rPr>
          <w:rFonts w:ascii="Times New Roman" w:hAnsi="Times New Roman"/>
          <w:bCs/>
          <w:color w:val="auto"/>
          <w:sz w:val="24"/>
          <w:szCs w:val="24"/>
        </w:rPr>
        <w:t>et, this is only one facet of such a relationship</w:t>
      </w:r>
      <w:r w:rsidR="00784E93">
        <w:rPr>
          <w:rFonts w:ascii="Times New Roman" w:hAnsi="Times New Roman"/>
          <w:bCs/>
          <w:color w:val="auto"/>
          <w:sz w:val="24"/>
          <w:szCs w:val="24"/>
        </w:rPr>
        <w:t>.</w:t>
      </w:r>
      <w:r w:rsidR="00F225F0">
        <w:rPr>
          <w:rFonts w:ascii="Times New Roman" w:hAnsi="Times New Roman"/>
          <w:bCs/>
          <w:color w:val="auto"/>
          <w:sz w:val="24"/>
          <w:szCs w:val="24"/>
        </w:rPr>
        <w:t xml:space="preserve"> </w:t>
      </w:r>
      <w:r w:rsidR="00784E93">
        <w:rPr>
          <w:rFonts w:ascii="Times New Roman" w:hAnsi="Times New Roman"/>
          <w:bCs/>
          <w:color w:val="auto"/>
          <w:sz w:val="24"/>
          <w:szCs w:val="24"/>
        </w:rPr>
        <w:t>L</w:t>
      </w:r>
      <w:r w:rsidR="00F225F0">
        <w:rPr>
          <w:rFonts w:ascii="Times New Roman" w:hAnsi="Times New Roman"/>
          <w:bCs/>
          <w:color w:val="auto"/>
          <w:sz w:val="24"/>
          <w:szCs w:val="24"/>
        </w:rPr>
        <w:t xml:space="preserve">anguage appears to have been the core structure through which Neo-Assyrians understood their relationship with the world around them, including their relationship with their gods. </w:t>
      </w:r>
      <w:proofErr w:type="spellStart"/>
      <w:r w:rsidR="00FF60B5">
        <w:rPr>
          <w:rFonts w:ascii="Times New Roman" w:hAnsi="Times New Roman"/>
          <w:bCs/>
          <w:color w:val="auto"/>
          <w:sz w:val="24"/>
          <w:szCs w:val="24"/>
        </w:rPr>
        <w:t>T</w:t>
      </w:r>
      <w:r w:rsidR="00C370BD">
        <w:rPr>
          <w:rFonts w:ascii="Times New Roman" w:hAnsi="Times New Roman"/>
          <w:bCs/>
          <w:color w:val="auto"/>
          <w:sz w:val="24"/>
          <w:szCs w:val="24"/>
        </w:rPr>
        <w:t>amītus</w:t>
      </w:r>
      <w:proofErr w:type="spellEnd"/>
      <w:r w:rsidR="00C370BD">
        <w:rPr>
          <w:rFonts w:ascii="Times New Roman" w:hAnsi="Times New Roman"/>
          <w:bCs/>
          <w:color w:val="auto"/>
          <w:sz w:val="24"/>
          <w:szCs w:val="24"/>
        </w:rPr>
        <w:t xml:space="preserve"> and extispicy</w:t>
      </w:r>
      <w:r w:rsidR="00FF60B5">
        <w:rPr>
          <w:rFonts w:ascii="Times New Roman" w:hAnsi="Times New Roman"/>
          <w:bCs/>
          <w:color w:val="auto"/>
          <w:sz w:val="24"/>
          <w:szCs w:val="24"/>
        </w:rPr>
        <w:t xml:space="preserve"> have been the </w:t>
      </w:r>
      <w:proofErr w:type="gramStart"/>
      <w:r w:rsidR="00FF60B5">
        <w:rPr>
          <w:rFonts w:ascii="Times New Roman" w:hAnsi="Times New Roman"/>
          <w:bCs/>
          <w:color w:val="auto"/>
          <w:sz w:val="24"/>
          <w:szCs w:val="24"/>
        </w:rPr>
        <w:t>particular methods</w:t>
      </w:r>
      <w:proofErr w:type="gramEnd"/>
      <w:r w:rsidR="00FF60B5">
        <w:rPr>
          <w:rFonts w:ascii="Times New Roman" w:hAnsi="Times New Roman"/>
          <w:bCs/>
          <w:color w:val="auto"/>
          <w:sz w:val="24"/>
          <w:szCs w:val="24"/>
        </w:rPr>
        <w:t xml:space="preserve"> of communication discussed</w:t>
      </w:r>
      <w:r w:rsidR="00C370BD">
        <w:rPr>
          <w:rFonts w:ascii="Times New Roman" w:hAnsi="Times New Roman"/>
          <w:bCs/>
          <w:color w:val="auto"/>
          <w:sz w:val="24"/>
          <w:szCs w:val="24"/>
        </w:rPr>
        <w:t xml:space="preserve">. These could </w:t>
      </w:r>
      <w:r w:rsidR="00FF60B5">
        <w:rPr>
          <w:rFonts w:ascii="Times New Roman" w:hAnsi="Times New Roman"/>
          <w:bCs/>
          <w:color w:val="auto"/>
          <w:sz w:val="24"/>
          <w:szCs w:val="24"/>
        </w:rPr>
        <w:t>encompass both</w:t>
      </w:r>
      <w:r w:rsidR="00C370BD">
        <w:rPr>
          <w:rFonts w:ascii="Times New Roman" w:hAnsi="Times New Roman"/>
          <w:bCs/>
          <w:color w:val="auto"/>
          <w:sz w:val="24"/>
          <w:szCs w:val="24"/>
        </w:rPr>
        <w:t xml:space="preserve"> sides of a conversation</w:t>
      </w:r>
      <w:r w:rsidR="00FF60B5">
        <w:rPr>
          <w:rFonts w:ascii="Times New Roman" w:hAnsi="Times New Roman"/>
          <w:bCs/>
          <w:color w:val="auto"/>
          <w:sz w:val="24"/>
          <w:szCs w:val="24"/>
        </w:rPr>
        <w:t>:</w:t>
      </w:r>
      <w:r w:rsidR="00C370BD">
        <w:rPr>
          <w:rFonts w:ascii="Times New Roman" w:hAnsi="Times New Roman"/>
          <w:bCs/>
          <w:color w:val="auto"/>
          <w:sz w:val="24"/>
          <w:szCs w:val="24"/>
        </w:rPr>
        <w:t xml:space="preserve"> </w:t>
      </w:r>
      <w:proofErr w:type="spellStart"/>
      <w:r w:rsidR="00C370BD">
        <w:rPr>
          <w:rFonts w:ascii="Times New Roman" w:hAnsi="Times New Roman"/>
          <w:bCs/>
          <w:color w:val="auto"/>
          <w:sz w:val="24"/>
          <w:szCs w:val="24"/>
        </w:rPr>
        <w:t>tamītus</w:t>
      </w:r>
      <w:proofErr w:type="spellEnd"/>
      <w:r w:rsidR="00C370BD">
        <w:rPr>
          <w:rFonts w:ascii="Times New Roman" w:hAnsi="Times New Roman"/>
          <w:bCs/>
          <w:color w:val="auto"/>
          <w:sz w:val="24"/>
          <w:szCs w:val="24"/>
        </w:rPr>
        <w:t xml:space="preserve"> as human queries to </w:t>
      </w:r>
      <w:r w:rsidR="004A55B6">
        <w:rPr>
          <w:rFonts w:ascii="Times New Roman" w:hAnsi="Times New Roman"/>
          <w:bCs/>
          <w:color w:val="auto"/>
          <w:sz w:val="24"/>
          <w:szCs w:val="24"/>
        </w:rPr>
        <w:t>Šamaš</w:t>
      </w:r>
      <w:r w:rsidR="00C370BD">
        <w:rPr>
          <w:rFonts w:ascii="Times New Roman" w:hAnsi="Times New Roman"/>
          <w:bCs/>
          <w:color w:val="auto"/>
          <w:sz w:val="24"/>
          <w:szCs w:val="24"/>
        </w:rPr>
        <w:t xml:space="preserve"> and Adad and extispicy the resulting divine determination. </w:t>
      </w:r>
      <w:r w:rsidR="00C370BD" w:rsidRPr="00A91D0A">
        <w:rPr>
          <w:rFonts w:ascii="Times New Roman" w:hAnsi="Times New Roman"/>
          <w:bCs/>
          <w:color w:val="auto"/>
          <w:sz w:val="24"/>
          <w:szCs w:val="24"/>
        </w:rPr>
        <w:t>At both ends, the interpretation of diviners was necessary</w:t>
      </w:r>
      <w:r w:rsidR="00C370BD">
        <w:rPr>
          <w:rFonts w:ascii="Times New Roman" w:hAnsi="Times New Roman"/>
          <w:bCs/>
          <w:color w:val="auto"/>
          <w:sz w:val="24"/>
          <w:szCs w:val="24"/>
        </w:rPr>
        <w:t xml:space="preserve">: they would shape a person’s query into the formulaic language of the </w:t>
      </w:r>
      <w:proofErr w:type="spellStart"/>
      <w:r w:rsidR="00C370BD">
        <w:rPr>
          <w:rFonts w:ascii="Times New Roman" w:hAnsi="Times New Roman"/>
          <w:bCs/>
          <w:color w:val="auto"/>
          <w:sz w:val="24"/>
          <w:szCs w:val="24"/>
        </w:rPr>
        <w:t>tamītu</w:t>
      </w:r>
      <w:proofErr w:type="spellEnd"/>
      <w:r w:rsidR="00C370BD">
        <w:rPr>
          <w:rFonts w:ascii="Times New Roman" w:hAnsi="Times New Roman"/>
          <w:bCs/>
          <w:color w:val="auto"/>
          <w:sz w:val="24"/>
          <w:szCs w:val="24"/>
        </w:rPr>
        <w:t xml:space="preserve"> and then interpret the response given in the </w:t>
      </w:r>
      <w:proofErr w:type="spellStart"/>
      <w:r w:rsidR="00C370BD">
        <w:rPr>
          <w:rFonts w:ascii="Times New Roman" w:hAnsi="Times New Roman"/>
          <w:bCs/>
          <w:color w:val="auto"/>
          <w:sz w:val="24"/>
          <w:szCs w:val="24"/>
        </w:rPr>
        <w:t>exta</w:t>
      </w:r>
      <w:proofErr w:type="spellEnd"/>
      <w:r w:rsidR="00C370BD">
        <w:rPr>
          <w:rFonts w:ascii="Times New Roman" w:hAnsi="Times New Roman"/>
          <w:bCs/>
          <w:color w:val="auto"/>
          <w:sz w:val="24"/>
          <w:szCs w:val="24"/>
        </w:rPr>
        <w:t xml:space="preserve"> of the sacrificial animal.</w:t>
      </w:r>
      <w:r w:rsidR="003824B4">
        <w:rPr>
          <w:rFonts w:ascii="Times New Roman" w:hAnsi="Times New Roman"/>
          <w:bCs/>
          <w:color w:val="auto"/>
          <w:sz w:val="24"/>
          <w:szCs w:val="24"/>
        </w:rPr>
        <w:t xml:space="preserve"> </w:t>
      </w:r>
      <w:r w:rsidR="009A32DC">
        <w:rPr>
          <w:rFonts w:ascii="Times New Roman" w:hAnsi="Times New Roman"/>
          <w:bCs/>
          <w:color w:val="auto"/>
          <w:sz w:val="24"/>
          <w:szCs w:val="24"/>
        </w:rPr>
        <w:t>D</w:t>
      </w:r>
      <w:r w:rsidR="00907660">
        <w:rPr>
          <w:rFonts w:ascii="Times New Roman" w:hAnsi="Times New Roman"/>
          <w:bCs/>
          <w:color w:val="auto"/>
          <w:sz w:val="24"/>
          <w:szCs w:val="24"/>
        </w:rPr>
        <w:t>iviners were translators, shapers of human concerns into divine formula and interpreters of divine rulings written</w:t>
      </w:r>
      <w:r w:rsidR="009A32DC">
        <w:rPr>
          <w:rFonts w:ascii="Times New Roman" w:hAnsi="Times New Roman"/>
          <w:bCs/>
          <w:color w:val="auto"/>
          <w:sz w:val="24"/>
          <w:szCs w:val="24"/>
        </w:rPr>
        <w:t>, during extispicy,</w:t>
      </w:r>
      <w:r w:rsidR="00907660">
        <w:rPr>
          <w:rFonts w:ascii="Times New Roman" w:hAnsi="Times New Roman"/>
          <w:bCs/>
          <w:color w:val="auto"/>
          <w:sz w:val="24"/>
          <w:szCs w:val="24"/>
        </w:rPr>
        <w:t xml:space="preserve"> in entrails.</w:t>
      </w:r>
      <w:r w:rsidR="0032279B">
        <w:rPr>
          <w:rFonts w:ascii="Times New Roman" w:hAnsi="Times New Roman"/>
          <w:bCs/>
          <w:color w:val="auto"/>
          <w:sz w:val="24"/>
          <w:szCs w:val="24"/>
        </w:rPr>
        <w:t xml:space="preserve"> It has been argued that Ashurbanipal </w:t>
      </w:r>
      <w:r w:rsidR="0032279B">
        <w:rPr>
          <w:rFonts w:ascii="Times New Roman" w:hAnsi="Times New Roman"/>
          <w:bCs/>
          <w:color w:val="auto"/>
          <w:sz w:val="24"/>
          <w:szCs w:val="24"/>
        </w:rPr>
        <w:lastRenderedPageBreak/>
        <w:t>utilised divination not only for linguistic communication, but also for divine communication of legitimacy</w:t>
      </w:r>
      <w:r w:rsidR="00C3503F">
        <w:rPr>
          <w:rFonts w:ascii="Times New Roman" w:hAnsi="Times New Roman"/>
          <w:bCs/>
          <w:color w:val="auto"/>
          <w:sz w:val="24"/>
          <w:szCs w:val="24"/>
        </w:rPr>
        <w:t>, bypassing humans. Šamaš and Adad</w:t>
      </w:r>
      <w:r w:rsidR="00833627">
        <w:rPr>
          <w:rFonts w:ascii="Times New Roman" w:hAnsi="Times New Roman"/>
          <w:bCs/>
          <w:color w:val="auto"/>
          <w:sz w:val="24"/>
          <w:szCs w:val="24"/>
        </w:rPr>
        <w:t xml:space="preserve">, controllers and deifications of the sun and the weather, were inescapable parts of people’s daily lives: through them, access to food and water were managed. It has been argued that this </w:t>
      </w:r>
      <w:r w:rsidR="00C3503F">
        <w:rPr>
          <w:rFonts w:ascii="Times New Roman" w:hAnsi="Times New Roman"/>
          <w:bCs/>
          <w:color w:val="auto"/>
          <w:sz w:val="24"/>
          <w:szCs w:val="24"/>
        </w:rPr>
        <w:t xml:space="preserve">crucial, life-sentencing </w:t>
      </w:r>
      <w:r w:rsidR="00833627">
        <w:rPr>
          <w:rFonts w:ascii="Times New Roman" w:hAnsi="Times New Roman"/>
          <w:bCs/>
          <w:color w:val="auto"/>
          <w:sz w:val="24"/>
          <w:szCs w:val="24"/>
        </w:rPr>
        <w:t>relationship</w:t>
      </w:r>
      <w:r w:rsidR="00C3503F">
        <w:rPr>
          <w:rFonts w:ascii="Times New Roman" w:hAnsi="Times New Roman"/>
          <w:bCs/>
          <w:color w:val="auto"/>
          <w:sz w:val="24"/>
          <w:szCs w:val="24"/>
        </w:rPr>
        <w:t xml:space="preserve"> uniquely placed Šamaš and Adad to arbitrate human fate in divinatory practices.</w:t>
      </w:r>
      <w:r w:rsidR="002254F5">
        <w:rPr>
          <w:rFonts w:ascii="Times New Roman" w:hAnsi="Times New Roman"/>
          <w:bCs/>
          <w:color w:val="auto"/>
          <w:sz w:val="24"/>
          <w:szCs w:val="24"/>
        </w:rPr>
        <w:t xml:space="preserve"> Language flows through ancient Mesopotamian cosmology and divinatory practices like the water upon which life – human and divine, both – depended</w:t>
      </w:r>
      <w:r w:rsidR="00432AA3">
        <w:rPr>
          <w:rFonts w:ascii="Times New Roman" w:hAnsi="Times New Roman"/>
          <w:bCs/>
          <w:color w:val="auto"/>
          <w:sz w:val="24"/>
          <w:szCs w:val="24"/>
        </w:rPr>
        <w:t>. T</w:t>
      </w:r>
      <w:r w:rsidR="002254F5">
        <w:rPr>
          <w:rFonts w:ascii="Times New Roman" w:hAnsi="Times New Roman"/>
          <w:bCs/>
          <w:color w:val="auto"/>
          <w:sz w:val="24"/>
          <w:szCs w:val="24"/>
        </w:rPr>
        <w:t>he judge who pronounced the words of response,</w:t>
      </w:r>
      <w:r w:rsidR="00833627">
        <w:rPr>
          <w:rFonts w:ascii="Times New Roman" w:hAnsi="Times New Roman"/>
          <w:bCs/>
          <w:color w:val="auto"/>
          <w:sz w:val="24"/>
          <w:szCs w:val="24"/>
        </w:rPr>
        <w:t xml:space="preserve"> </w:t>
      </w:r>
      <w:r w:rsidR="002254F5">
        <w:rPr>
          <w:rFonts w:ascii="Times New Roman" w:hAnsi="Times New Roman"/>
          <w:bCs/>
          <w:color w:val="auto"/>
          <w:sz w:val="24"/>
          <w:szCs w:val="24"/>
        </w:rPr>
        <w:t xml:space="preserve">Šamaš, and the </w:t>
      </w:r>
      <w:r w:rsidR="00187BA1">
        <w:rPr>
          <w:rFonts w:ascii="Times New Roman" w:hAnsi="Times New Roman"/>
          <w:bCs/>
          <w:color w:val="auto"/>
          <w:sz w:val="24"/>
          <w:szCs w:val="24"/>
        </w:rPr>
        <w:t xml:space="preserve">observer of the ritual’s practicalities, </w:t>
      </w:r>
      <w:r w:rsidR="002254F5">
        <w:rPr>
          <w:rFonts w:ascii="Times New Roman" w:hAnsi="Times New Roman"/>
          <w:bCs/>
          <w:color w:val="auto"/>
          <w:sz w:val="24"/>
          <w:szCs w:val="24"/>
        </w:rPr>
        <w:t>Adad</w:t>
      </w:r>
      <w:r w:rsidR="00187BA1">
        <w:rPr>
          <w:rFonts w:ascii="Times New Roman" w:hAnsi="Times New Roman"/>
          <w:bCs/>
          <w:color w:val="auto"/>
          <w:sz w:val="24"/>
          <w:szCs w:val="24"/>
        </w:rPr>
        <w:t>, seem to have been as recognisable and respected as the sun and weather</w:t>
      </w:r>
      <w:r w:rsidR="006379F7">
        <w:rPr>
          <w:rFonts w:ascii="Times New Roman" w:hAnsi="Times New Roman"/>
          <w:bCs/>
          <w:color w:val="auto"/>
          <w:sz w:val="24"/>
          <w:szCs w:val="24"/>
        </w:rPr>
        <w:t xml:space="preserve">, and as necessary to </w:t>
      </w:r>
      <w:r w:rsidR="0046104A">
        <w:rPr>
          <w:rFonts w:ascii="Times New Roman" w:hAnsi="Times New Roman"/>
          <w:bCs/>
          <w:color w:val="auto"/>
          <w:sz w:val="24"/>
          <w:szCs w:val="24"/>
        </w:rPr>
        <w:t xml:space="preserve">ancient Mesopotamian </w:t>
      </w:r>
      <w:r w:rsidR="006379F7">
        <w:rPr>
          <w:rFonts w:ascii="Times New Roman" w:hAnsi="Times New Roman"/>
          <w:bCs/>
          <w:color w:val="auto"/>
          <w:sz w:val="24"/>
          <w:szCs w:val="24"/>
        </w:rPr>
        <w:t>divination and cosmology.</w:t>
      </w:r>
      <w:r w:rsidR="00187BA1">
        <w:rPr>
          <w:rFonts w:ascii="Times New Roman" w:hAnsi="Times New Roman"/>
          <w:bCs/>
          <w:color w:val="auto"/>
          <w:sz w:val="24"/>
          <w:szCs w:val="24"/>
        </w:rPr>
        <w:t xml:space="preserve">  </w:t>
      </w:r>
    </w:p>
    <w:p w14:paraId="1EC17D91" w14:textId="7FFAEB87" w:rsidR="00921480" w:rsidRDefault="00921480" w:rsidP="00F225F0">
      <w:pPr>
        <w:pStyle w:val="NormalWeb"/>
        <w:spacing w:before="0" w:beforeAutospacing="0" w:after="0" w:afterAutospacing="0"/>
        <w:ind w:right="-334"/>
        <w:jc w:val="both"/>
        <w:rPr>
          <w:rFonts w:ascii="Times New Roman" w:hAnsi="Times New Roman"/>
          <w:bCs/>
          <w:color w:val="auto"/>
          <w:sz w:val="24"/>
          <w:szCs w:val="24"/>
        </w:rPr>
      </w:pPr>
    </w:p>
    <w:p w14:paraId="719BDAC5" w14:textId="77777777" w:rsidR="0092251C" w:rsidRPr="000A48D8" w:rsidRDefault="0092251C" w:rsidP="00D722CE">
      <w:pPr>
        <w:pStyle w:val="NormalWeb"/>
        <w:spacing w:before="0" w:beforeAutospacing="0" w:after="0" w:afterAutospacing="0"/>
        <w:ind w:right="-334"/>
        <w:rPr>
          <w:rFonts w:ascii="Times New Roman" w:hAnsi="Times New Roman"/>
          <w:bCs/>
          <w:color w:val="auto"/>
          <w:sz w:val="24"/>
          <w:szCs w:val="24"/>
        </w:rPr>
      </w:pPr>
    </w:p>
    <w:p w14:paraId="3D0ED92E" w14:textId="77777777" w:rsidR="0036280A" w:rsidRDefault="0036280A" w:rsidP="00847812">
      <w:pPr>
        <w:ind w:hanging="720"/>
        <w:rPr>
          <w:b/>
        </w:rPr>
      </w:pPr>
    </w:p>
    <w:p w14:paraId="2C03898B" w14:textId="77777777" w:rsidR="0036280A" w:rsidRDefault="0036280A" w:rsidP="00847812">
      <w:pPr>
        <w:ind w:hanging="720"/>
        <w:rPr>
          <w:b/>
        </w:rPr>
      </w:pPr>
    </w:p>
    <w:p w14:paraId="58043CB0" w14:textId="77777777" w:rsidR="0036280A" w:rsidRDefault="0036280A" w:rsidP="00847812">
      <w:pPr>
        <w:ind w:hanging="720"/>
        <w:rPr>
          <w:b/>
        </w:rPr>
      </w:pPr>
    </w:p>
    <w:p w14:paraId="4E22CB10" w14:textId="77777777" w:rsidR="0036280A" w:rsidRDefault="0036280A" w:rsidP="00847812">
      <w:pPr>
        <w:ind w:hanging="720"/>
        <w:rPr>
          <w:b/>
        </w:rPr>
      </w:pPr>
    </w:p>
    <w:p w14:paraId="3248522F" w14:textId="77777777" w:rsidR="0036280A" w:rsidRDefault="0036280A" w:rsidP="00847812">
      <w:pPr>
        <w:ind w:hanging="720"/>
        <w:rPr>
          <w:b/>
        </w:rPr>
      </w:pPr>
    </w:p>
    <w:p w14:paraId="71F31FEB" w14:textId="77777777" w:rsidR="0036280A" w:rsidRDefault="0036280A" w:rsidP="00847812">
      <w:pPr>
        <w:ind w:hanging="720"/>
        <w:rPr>
          <w:b/>
        </w:rPr>
      </w:pPr>
    </w:p>
    <w:p w14:paraId="3A9CEAE4" w14:textId="77777777" w:rsidR="0036280A" w:rsidRDefault="0036280A" w:rsidP="00847812">
      <w:pPr>
        <w:ind w:hanging="720"/>
        <w:rPr>
          <w:b/>
        </w:rPr>
      </w:pPr>
    </w:p>
    <w:p w14:paraId="698682C4" w14:textId="77777777" w:rsidR="0036280A" w:rsidRDefault="0036280A" w:rsidP="00847812">
      <w:pPr>
        <w:ind w:hanging="720"/>
        <w:rPr>
          <w:b/>
        </w:rPr>
      </w:pPr>
    </w:p>
    <w:p w14:paraId="6714C046" w14:textId="77777777" w:rsidR="0036280A" w:rsidRDefault="0036280A" w:rsidP="00847812">
      <w:pPr>
        <w:ind w:hanging="720"/>
        <w:rPr>
          <w:b/>
        </w:rPr>
      </w:pPr>
    </w:p>
    <w:p w14:paraId="6ECDB276" w14:textId="77777777" w:rsidR="0036280A" w:rsidRDefault="0036280A" w:rsidP="00847812">
      <w:pPr>
        <w:ind w:hanging="720"/>
        <w:rPr>
          <w:b/>
        </w:rPr>
      </w:pPr>
    </w:p>
    <w:p w14:paraId="2D72F55A" w14:textId="77777777" w:rsidR="0036280A" w:rsidRDefault="0036280A" w:rsidP="00847812">
      <w:pPr>
        <w:ind w:hanging="720"/>
        <w:rPr>
          <w:b/>
        </w:rPr>
      </w:pPr>
    </w:p>
    <w:p w14:paraId="35B99305" w14:textId="77777777" w:rsidR="0036280A" w:rsidRDefault="0036280A" w:rsidP="00847812">
      <w:pPr>
        <w:ind w:hanging="720"/>
        <w:rPr>
          <w:b/>
        </w:rPr>
      </w:pPr>
    </w:p>
    <w:p w14:paraId="4FEB6B81" w14:textId="77777777" w:rsidR="0036280A" w:rsidRDefault="0036280A" w:rsidP="00847812">
      <w:pPr>
        <w:ind w:hanging="720"/>
        <w:rPr>
          <w:b/>
        </w:rPr>
      </w:pPr>
    </w:p>
    <w:p w14:paraId="23177ACF" w14:textId="77777777" w:rsidR="0036280A" w:rsidRDefault="0036280A" w:rsidP="00847812">
      <w:pPr>
        <w:ind w:hanging="720"/>
        <w:rPr>
          <w:b/>
        </w:rPr>
      </w:pPr>
    </w:p>
    <w:p w14:paraId="63FE10CC" w14:textId="77777777" w:rsidR="0036280A" w:rsidRDefault="0036280A" w:rsidP="00847812">
      <w:pPr>
        <w:ind w:hanging="720"/>
        <w:rPr>
          <w:b/>
        </w:rPr>
      </w:pPr>
    </w:p>
    <w:p w14:paraId="722633CC" w14:textId="77777777" w:rsidR="0036280A" w:rsidRDefault="0036280A" w:rsidP="00847812">
      <w:pPr>
        <w:ind w:hanging="720"/>
        <w:rPr>
          <w:b/>
        </w:rPr>
      </w:pPr>
    </w:p>
    <w:p w14:paraId="50DC53A4" w14:textId="77777777" w:rsidR="0036280A" w:rsidRDefault="0036280A" w:rsidP="00847812">
      <w:pPr>
        <w:ind w:hanging="720"/>
        <w:rPr>
          <w:b/>
        </w:rPr>
      </w:pPr>
    </w:p>
    <w:p w14:paraId="1A4FB13A" w14:textId="77777777" w:rsidR="0036280A" w:rsidRDefault="0036280A" w:rsidP="00847812">
      <w:pPr>
        <w:ind w:hanging="720"/>
        <w:rPr>
          <w:b/>
        </w:rPr>
      </w:pPr>
    </w:p>
    <w:p w14:paraId="2B8DFE94" w14:textId="77777777" w:rsidR="0036280A" w:rsidRDefault="0036280A" w:rsidP="00847812">
      <w:pPr>
        <w:ind w:hanging="720"/>
        <w:rPr>
          <w:b/>
        </w:rPr>
      </w:pPr>
    </w:p>
    <w:p w14:paraId="2E32BB4C" w14:textId="77777777" w:rsidR="0036280A" w:rsidRDefault="0036280A" w:rsidP="00847812">
      <w:pPr>
        <w:ind w:hanging="720"/>
        <w:rPr>
          <w:b/>
        </w:rPr>
      </w:pPr>
    </w:p>
    <w:p w14:paraId="4B794DF7" w14:textId="77777777" w:rsidR="0036280A" w:rsidRDefault="0036280A" w:rsidP="00847812">
      <w:pPr>
        <w:ind w:hanging="720"/>
        <w:rPr>
          <w:b/>
        </w:rPr>
      </w:pPr>
    </w:p>
    <w:p w14:paraId="296BCAF3" w14:textId="77777777" w:rsidR="0036280A" w:rsidRDefault="0036280A" w:rsidP="00847812">
      <w:pPr>
        <w:ind w:hanging="720"/>
        <w:rPr>
          <w:b/>
        </w:rPr>
      </w:pPr>
    </w:p>
    <w:p w14:paraId="19A4F7AA" w14:textId="77777777" w:rsidR="0036280A" w:rsidRDefault="0036280A" w:rsidP="00847812">
      <w:pPr>
        <w:ind w:hanging="720"/>
        <w:rPr>
          <w:b/>
        </w:rPr>
      </w:pPr>
    </w:p>
    <w:p w14:paraId="578622D9" w14:textId="77777777" w:rsidR="0036280A" w:rsidRDefault="0036280A" w:rsidP="00847812">
      <w:pPr>
        <w:ind w:hanging="720"/>
        <w:rPr>
          <w:b/>
        </w:rPr>
      </w:pPr>
    </w:p>
    <w:p w14:paraId="568A12ED" w14:textId="77777777" w:rsidR="0036280A" w:rsidRDefault="0036280A" w:rsidP="00847812">
      <w:pPr>
        <w:ind w:hanging="720"/>
        <w:rPr>
          <w:b/>
        </w:rPr>
      </w:pPr>
    </w:p>
    <w:p w14:paraId="7D5904C8" w14:textId="77777777" w:rsidR="0036280A" w:rsidRDefault="0036280A" w:rsidP="00847812">
      <w:pPr>
        <w:ind w:hanging="720"/>
        <w:rPr>
          <w:b/>
        </w:rPr>
      </w:pPr>
    </w:p>
    <w:p w14:paraId="78CB4D2B" w14:textId="77777777" w:rsidR="0036280A" w:rsidRDefault="0036280A" w:rsidP="00847812">
      <w:pPr>
        <w:ind w:hanging="720"/>
        <w:rPr>
          <w:b/>
        </w:rPr>
      </w:pPr>
    </w:p>
    <w:p w14:paraId="33087A07" w14:textId="77777777" w:rsidR="0036280A" w:rsidRDefault="0036280A" w:rsidP="00847812">
      <w:pPr>
        <w:ind w:hanging="720"/>
        <w:rPr>
          <w:b/>
        </w:rPr>
      </w:pPr>
    </w:p>
    <w:p w14:paraId="58D4FB79" w14:textId="77777777" w:rsidR="0036280A" w:rsidRDefault="0036280A" w:rsidP="00847812">
      <w:pPr>
        <w:ind w:hanging="720"/>
        <w:rPr>
          <w:b/>
        </w:rPr>
      </w:pPr>
    </w:p>
    <w:p w14:paraId="4F259211" w14:textId="77777777" w:rsidR="0036280A" w:rsidRDefault="0036280A" w:rsidP="00847812">
      <w:pPr>
        <w:ind w:hanging="720"/>
        <w:rPr>
          <w:b/>
        </w:rPr>
      </w:pPr>
    </w:p>
    <w:p w14:paraId="09328E32" w14:textId="77777777" w:rsidR="0036280A" w:rsidRDefault="0036280A" w:rsidP="00847812">
      <w:pPr>
        <w:ind w:hanging="720"/>
        <w:rPr>
          <w:b/>
        </w:rPr>
      </w:pPr>
    </w:p>
    <w:p w14:paraId="6FB89FB2" w14:textId="77777777" w:rsidR="0036280A" w:rsidRDefault="0036280A" w:rsidP="00847812">
      <w:pPr>
        <w:ind w:hanging="720"/>
        <w:rPr>
          <w:b/>
        </w:rPr>
      </w:pPr>
    </w:p>
    <w:p w14:paraId="7D3B08DD" w14:textId="7385D13A" w:rsidR="00D722CE" w:rsidRPr="00847812" w:rsidRDefault="00D722CE" w:rsidP="00847812">
      <w:pPr>
        <w:ind w:hanging="720"/>
        <w:rPr>
          <w:b/>
        </w:rPr>
      </w:pPr>
      <w:r w:rsidRPr="00847812">
        <w:rPr>
          <w:b/>
        </w:rPr>
        <w:lastRenderedPageBreak/>
        <w:t>Bibliography</w:t>
      </w:r>
    </w:p>
    <w:p w14:paraId="5CCFFDB8" w14:textId="77777777" w:rsidR="00D722CE" w:rsidRPr="00847812" w:rsidRDefault="00D722CE" w:rsidP="00847812">
      <w:pPr>
        <w:ind w:hanging="720"/>
        <w:rPr>
          <w:b/>
        </w:rPr>
      </w:pPr>
    </w:p>
    <w:p w14:paraId="5661D749" w14:textId="45EF5FE8" w:rsidR="004D2003" w:rsidRPr="00DD449F" w:rsidRDefault="00142EEE" w:rsidP="00DD449F">
      <w:pPr>
        <w:pStyle w:val="FootnoteText"/>
        <w:ind w:hanging="720"/>
        <w:rPr>
          <w:b/>
          <w:sz w:val="24"/>
          <w:szCs w:val="24"/>
        </w:rPr>
      </w:pPr>
      <w:r w:rsidRPr="00847812">
        <w:rPr>
          <w:b/>
          <w:sz w:val="24"/>
          <w:szCs w:val="24"/>
        </w:rPr>
        <w:t>Primary Sources</w:t>
      </w:r>
    </w:p>
    <w:p w14:paraId="089A3D2F" w14:textId="77777777" w:rsidR="00D20B5D" w:rsidRPr="00847812" w:rsidRDefault="00D20B5D" w:rsidP="00847812">
      <w:pPr>
        <w:pStyle w:val="FootnoteText"/>
        <w:ind w:hanging="720"/>
        <w:rPr>
          <w:color w:val="000000" w:themeColor="text1"/>
          <w:sz w:val="24"/>
          <w:szCs w:val="24"/>
        </w:rPr>
      </w:pPr>
    </w:p>
    <w:p w14:paraId="3CE3E2C1" w14:textId="5900A3D6" w:rsidR="004D2003" w:rsidRPr="00847812" w:rsidRDefault="004D2003" w:rsidP="00847812">
      <w:pPr>
        <w:pStyle w:val="FootnoteText"/>
        <w:ind w:hanging="720"/>
        <w:rPr>
          <w:bCs/>
          <w:color w:val="000000" w:themeColor="text1"/>
          <w:sz w:val="24"/>
          <w:szCs w:val="24"/>
        </w:rPr>
      </w:pPr>
      <w:r w:rsidRPr="00847812">
        <w:rPr>
          <w:bCs/>
          <w:i/>
          <w:color w:val="000000" w:themeColor="text1"/>
          <w:sz w:val="24"/>
          <w:szCs w:val="24"/>
        </w:rPr>
        <w:t>Babylonian Creation Myths</w:t>
      </w:r>
      <w:r w:rsidRPr="00847812">
        <w:rPr>
          <w:bCs/>
          <w:color w:val="000000" w:themeColor="text1"/>
          <w:sz w:val="24"/>
          <w:szCs w:val="24"/>
        </w:rPr>
        <w:t>, trans. by W.G. Lambert, ed. by Jerrold S. Cooper</w:t>
      </w:r>
      <w:r w:rsidRPr="00847812">
        <w:rPr>
          <w:bCs/>
          <w:i/>
          <w:color w:val="000000" w:themeColor="text1"/>
          <w:sz w:val="24"/>
          <w:szCs w:val="24"/>
        </w:rPr>
        <w:t xml:space="preserve"> </w:t>
      </w:r>
      <w:r w:rsidRPr="00847812">
        <w:rPr>
          <w:bCs/>
          <w:color w:val="000000" w:themeColor="text1"/>
          <w:sz w:val="24"/>
          <w:szCs w:val="24"/>
        </w:rPr>
        <w:t xml:space="preserve">(Winona Lake, IN: </w:t>
      </w:r>
      <w:proofErr w:type="spellStart"/>
      <w:r w:rsidRPr="00847812">
        <w:rPr>
          <w:bCs/>
          <w:color w:val="000000" w:themeColor="text1"/>
          <w:sz w:val="24"/>
          <w:szCs w:val="24"/>
        </w:rPr>
        <w:t>Eisenbrauns</w:t>
      </w:r>
      <w:proofErr w:type="spellEnd"/>
      <w:r w:rsidRPr="00847812">
        <w:rPr>
          <w:bCs/>
          <w:color w:val="000000" w:themeColor="text1"/>
          <w:sz w:val="24"/>
          <w:szCs w:val="24"/>
        </w:rPr>
        <w:t>, 2013)</w:t>
      </w:r>
      <w:r w:rsidRPr="00847812">
        <w:rPr>
          <w:bCs/>
          <w:color w:val="000000" w:themeColor="text1"/>
          <w:sz w:val="24"/>
          <w:szCs w:val="24"/>
        </w:rPr>
        <w:t>.</w:t>
      </w:r>
    </w:p>
    <w:p w14:paraId="7CEF2FF8" w14:textId="77777777" w:rsidR="004D2003" w:rsidRPr="00847812" w:rsidRDefault="004D2003" w:rsidP="00847812">
      <w:pPr>
        <w:pStyle w:val="FootnoteText"/>
        <w:ind w:hanging="720"/>
        <w:rPr>
          <w:b/>
          <w:sz w:val="24"/>
          <w:szCs w:val="24"/>
        </w:rPr>
      </w:pPr>
    </w:p>
    <w:p w14:paraId="73B60649" w14:textId="655CE153" w:rsidR="004D2003" w:rsidRPr="00847812" w:rsidRDefault="004D2003" w:rsidP="00847812">
      <w:pPr>
        <w:pStyle w:val="FootnoteText"/>
        <w:ind w:hanging="720"/>
        <w:rPr>
          <w:sz w:val="24"/>
          <w:szCs w:val="24"/>
        </w:rPr>
      </w:pPr>
      <w:r w:rsidRPr="00847812">
        <w:rPr>
          <w:i/>
          <w:sz w:val="24"/>
          <w:szCs w:val="24"/>
        </w:rPr>
        <w:t xml:space="preserve">Myths from Mesopotamia: Creation, the Flood, Gilgamesh, and Others, </w:t>
      </w:r>
      <w:r w:rsidRPr="00847812">
        <w:rPr>
          <w:sz w:val="24"/>
          <w:szCs w:val="24"/>
        </w:rPr>
        <w:t xml:space="preserve">ed. and trans. with intro. and notes by Stephanie </w:t>
      </w:r>
      <w:proofErr w:type="spellStart"/>
      <w:r w:rsidRPr="00847812">
        <w:rPr>
          <w:sz w:val="24"/>
          <w:szCs w:val="24"/>
        </w:rPr>
        <w:t>Dalley</w:t>
      </w:r>
      <w:proofErr w:type="spellEnd"/>
      <w:r w:rsidRPr="00847812">
        <w:rPr>
          <w:sz w:val="24"/>
          <w:szCs w:val="24"/>
        </w:rPr>
        <w:t>, rev. edn (Oxford: Oxford University Press, 2000)</w:t>
      </w:r>
      <w:r w:rsidRPr="00847812">
        <w:rPr>
          <w:sz w:val="24"/>
          <w:szCs w:val="24"/>
        </w:rPr>
        <w:t>.</w:t>
      </w:r>
    </w:p>
    <w:p w14:paraId="021AB139" w14:textId="550D85A3" w:rsidR="004D2003" w:rsidRPr="00847812" w:rsidRDefault="004D2003" w:rsidP="00847812">
      <w:pPr>
        <w:pStyle w:val="FootnoteText"/>
        <w:ind w:hanging="720"/>
        <w:rPr>
          <w:sz w:val="24"/>
          <w:szCs w:val="24"/>
        </w:rPr>
      </w:pPr>
    </w:p>
    <w:p w14:paraId="02CCA553" w14:textId="71D433DC" w:rsidR="004D2003" w:rsidRDefault="004D2003" w:rsidP="00847812">
      <w:pPr>
        <w:pStyle w:val="FootnoteText"/>
        <w:ind w:hanging="720"/>
        <w:rPr>
          <w:sz w:val="24"/>
          <w:szCs w:val="24"/>
        </w:rPr>
      </w:pPr>
      <w:r w:rsidRPr="00847812">
        <w:rPr>
          <w:sz w:val="24"/>
          <w:szCs w:val="24"/>
        </w:rPr>
        <w:t xml:space="preserve">Plato, </w:t>
      </w:r>
      <w:proofErr w:type="spellStart"/>
      <w:r w:rsidRPr="00847812">
        <w:rPr>
          <w:i/>
          <w:sz w:val="24"/>
          <w:szCs w:val="24"/>
        </w:rPr>
        <w:t>Cratylus</w:t>
      </w:r>
      <w:proofErr w:type="spellEnd"/>
      <w:r w:rsidRPr="00847812">
        <w:rPr>
          <w:sz w:val="24"/>
          <w:szCs w:val="24"/>
        </w:rPr>
        <w:t>, trans. by Harold North Fowler (LCL 167. Cambridge, MA: Harvard University Press, 1926)</w:t>
      </w:r>
      <w:r w:rsidRPr="00847812">
        <w:rPr>
          <w:sz w:val="24"/>
          <w:szCs w:val="24"/>
        </w:rPr>
        <w:t>.</w:t>
      </w:r>
    </w:p>
    <w:p w14:paraId="74D66233" w14:textId="77777777" w:rsidR="002D56EC" w:rsidRPr="00847812" w:rsidRDefault="002D56EC" w:rsidP="00847812">
      <w:pPr>
        <w:pStyle w:val="FootnoteText"/>
        <w:ind w:hanging="720"/>
        <w:rPr>
          <w:sz w:val="24"/>
          <w:szCs w:val="24"/>
        </w:rPr>
      </w:pPr>
    </w:p>
    <w:p w14:paraId="2A64A329" w14:textId="77777777" w:rsidR="002D56EC" w:rsidRPr="00847812" w:rsidRDefault="002D56EC" w:rsidP="002D56EC">
      <w:pPr>
        <w:pStyle w:val="FootnoteText"/>
        <w:ind w:hanging="720"/>
        <w:rPr>
          <w:color w:val="000000" w:themeColor="text1"/>
          <w:sz w:val="24"/>
          <w:szCs w:val="24"/>
        </w:rPr>
      </w:pPr>
      <w:r w:rsidRPr="00847812">
        <w:rPr>
          <w:color w:val="000000" w:themeColor="text1"/>
          <w:sz w:val="24"/>
          <w:szCs w:val="24"/>
        </w:rPr>
        <w:t xml:space="preserve">‘Q003710: Ashurbanipal 011’, trans. by Jamie Novotny and Joshua Jeffers, </w:t>
      </w:r>
      <w:r w:rsidRPr="00847812">
        <w:rPr>
          <w:i/>
          <w:color w:val="000000" w:themeColor="text1"/>
          <w:sz w:val="24"/>
          <w:szCs w:val="24"/>
        </w:rPr>
        <w:t xml:space="preserve">The Official Inscriptions of the Middle East in Antiquity (OIMEA) Project and the Royal Inscriptions of the Neo-Assyrian Period (RINAP) Project </w:t>
      </w:r>
      <w:r w:rsidRPr="00847812">
        <w:rPr>
          <w:color w:val="000000" w:themeColor="text1"/>
          <w:sz w:val="24"/>
          <w:szCs w:val="24"/>
        </w:rPr>
        <w:t>(2015-7), &lt;</w:t>
      </w:r>
      <w:hyperlink r:id="rId10" w:history="1">
        <w:r w:rsidRPr="00847812">
          <w:rPr>
            <w:rStyle w:val="Hyperlink"/>
            <w:color w:val="000000" w:themeColor="text1"/>
            <w:sz w:val="24"/>
            <w:szCs w:val="24"/>
          </w:rPr>
          <w:t>http://oracc.iaas.upenn.edu/rinap/rinap5/Q003708/html</w:t>
        </w:r>
      </w:hyperlink>
      <w:r w:rsidRPr="00847812">
        <w:rPr>
          <w:color w:val="000000" w:themeColor="text1"/>
          <w:sz w:val="24"/>
          <w:szCs w:val="24"/>
        </w:rPr>
        <w:t>&gt; [accessed 15 July 2019].</w:t>
      </w:r>
    </w:p>
    <w:p w14:paraId="5CD56ED3" w14:textId="77777777" w:rsidR="00D20B5D" w:rsidRPr="00847812" w:rsidRDefault="00D20B5D" w:rsidP="00847812">
      <w:pPr>
        <w:pStyle w:val="FootnoteText"/>
        <w:ind w:hanging="720"/>
        <w:rPr>
          <w:sz w:val="24"/>
          <w:szCs w:val="24"/>
        </w:rPr>
      </w:pPr>
    </w:p>
    <w:p w14:paraId="11658BD6" w14:textId="0B3F2ADD" w:rsidR="004D2003" w:rsidRDefault="004D2003" w:rsidP="00847812">
      <w:pPr>
        <w:pStyle w:val="FootnoteText"/>
        <w:ind w:hanging="720"/>
        <w:rPr>
          <w:sz w:val="24"/>
          <w:szCs w:val="24"/>
        </w:rPr>
      </w:pPr>
    </w:p>
    <w:p w14:paraId="115C2320" w14:textId="77777777" w:rsidR="00DD449F" w:rsidRPr="00847812" w:rsidRDefault="00DD449F" w:rsidP="00847812">
      <w:pPr>
        <w:pStyle w:val="FootnoteText"/>
        <w:ind w:hanging="720"/>
        <w:rPr>
          <w:sz w:val="24"/>
          <w:szCs w:val="24"/>
        </w:rPr>
      </w:pPr>
      <w:bookmarkStart w:id="7" w:name="_GoBack"/>
      <w:bookmarkEnd w:id="7"/>
    </w:p>
    <w:p w14:paraId="015AE7F0" w14:textId="77777777" w:rsidR="00142EEE" w:rsidRPr="00847812" w:rsidRDefault="00142EEE" w:rsidP="00847812">
      <w:pPr>
        <w:pStyle w:val="FootnoteText"/>
        <w:ind w:hanging="720"/>
        <w:rPr>
          <w:b/>
          <w:sz w:val="24"/>
          <w:szCs w:val="24"/>
        </w:rPr>
      </w:pPr>
      <w:r w:rsidRPr="00847812">
        <w:rPr>
          <w:b/>
          <w:sz w:val="24"/>
          <w:szCs w:val="24"/>
        </w:rPr>
        <w:t>Secondary Sources</w:t>
      </w:r>
    </w:p>
    <w:p w14:paraId="392BA141" w14:textId="77777777" w:rsidR="00142EEE" w:rsidRPr="00847812" w:rsidRDefault="00142EEE" w:rsidP="00847812">
      <w:pPr>
        <w:pStyle w:val="FootnoteText"/>
        <w:ind w:hanging="720"/>
        <w:rPr>
          <w:b/>
          <w:sz w:val="24"/>
          <w:szCs w:val="24"/>
        </w:rPr>
      </w:pPr>
    </w:p>
    <w:p w14:paraId="775A672E" w14:textId="62354BA4" w:rsidR="00460B33" w:rsidRPr="00847812" w:rsidRDefault="00460B33" w:rsidP="00847812">
      <w:pPr>
        <w:pStyle w:val="FootnoteText"/>
        <w:ind w:hanging="720"/>
        <w:rPr>
          <w:sz w:val="24"/>
          <w:szCs w:val="24"/>
        </w:rPr>
      </w:pPr>
      <w:r w:rsidRPr="00847812">
        <w:rPr>
          <w:sz w:val="24"/>
          <w:szCs w:val="24"/>
        </w:rPr>
        <w:t xml:space="preserve">Brown, David, ‘Astral Divination in the Context of Mesopotamian Divination, Medicine, Religion, Magic, Society, and Scholarship’, </w:t>
      </w:r>
      <w:r w:rsidRPr="00847812">
        <w:rPr>
          <w:i/>
          <w:sz w:val="24"/>
          <w:szCs w:val="24"/>
        </w:rPr>
        <w:t>EASTM</w:t>
      </w:r>
      <w:r w:rsidRPr="00847812">
        <w:rPr>
          <w:sz w:val="24"/>
          <w:szCs w:val="24"/>
        </w:rPr>
        <w:t>, 25 (2006), 69-126.</w:t>
      </w:r>
    </w:p>
    <w:p w14:paraId="31A3BD34" w14:textId="77777777" w:rsidR="00460B33" w:rsidRPr="00847812" w:rsidRDefault="00460B33" w:rsidP="00847812">
      <w:pPr>
        <w:pStyle w:val="FootnoteText"/>
        <w:ind w:hanging="720"/>
        <w:rPr>
          <w:sz w:val="24"/>
          <w:szCs w:val="24"/>
        </w:rPr>
      </w:pPr>
    </w:p>
    <w:p w14:paraId="38428378" w14:textId="77777777" w:rsidR="00847812" w:rsidRDefault="00142EEE" w:rsidP="00847812">
      <w:pPr>
        <w:pStyle w:val="FootnoteText"/>
        <w:ind w:hanging="720"/>
        <w:rPr>
          <w:sz w:val="24"/>
          <w:szCs w:val="24"/>
        </w:rPr>
      </w:pPr>
      <w:r w:rsidRPr="00847812">
        <w:rPr>
          <w:sz w:val="24"/>
          <w:szCs w:val="24"/>
        </w:rPr>
        <w:t xml:space="preserve">Campion, Nicholas, </w:t>
      </w:r>
      <w:r w:rsidR="00460B33" w:rsidRPr="00847812">
        <w:rPr>
          <w:i/>
          <w:sz w:val="24"/>
          <w:szCs w:val="24"/>
        </w:rPr>
        <w:t xml:space="preserve">A History of Western Astrology, Volume 1: The Ancient and Classical Worlds </w:t>
      </w:r>
      <w:r w:rsidR="00460B33" w:rsidRPr="00847812">
        <w:rPr>
          <w:sz w:val="24"/>
          <w:szCs w:val="24"/>
        </w:rPr>
        <w:t xml:space="preserve">(London: Continuum International, 2008; </w:t>
      </w:r>
      <w:proofErr w:type="spellStart"/>
      <w:r w:rsidR="00460B33" w:rsidRPr="00847812">
        <w:rPr>
          <w:sz w:val="24"/>
          <w:szCs w:val="24"/>
        </w:rPr>
        <w:t>repr</w:t>
      </w:r>
      <w:proofErr w:type="spellEnd"/>
      <w:r w:rsidR="00460B33" w:rsidRPr="00847812">
        <w:rPr>
          <w:sz w:val="24"/>
          <w:szCs w:val="24"/>
        </w:rPr>
        <w:t>. London: Bloomsbury Academic, 2013)</w:t>
      </w:r>
    </w:p>
    <w:p w14:paraId="771DA690" w14:textId="1FC8D1EE" w:rsidR="00142EEE" w:rsidRPr="00847812" w:rsidRDefault="00142EEE" w:rsidP="00847812">
      <w:pPr>
        <w:pStyle w:val="FootnoteText"/>
        <w:numPr>
          <w:ilvl w:val="0"/>
          <w:numId w:val="3"/>
        </w:numPr>
        <w:rPr>
          <w:sz w:val="24"/>
          <w:szCs w:val="24"/>
        </w:rPr>
      </w:pPr>
      <w:r w:rsidRPr="00847812">
        <w:rPr>
          <w:i/>
          <w:sz w:val="24"/>
          <w:szCs w:val="24"/>
        </w:rPr>
        <w:t xml:space="preserve">Astrology and Cosmology in the World’s Religions </w:t>
      </w:r>
      <w:r w:rsidRPr="00847812">
        <w:rPr>
          <w:sz w:val="24"/>
          <w:szCs w:val="24"/>
        </w:rPr>
        <w:t>(New York: New York University Press, 2012)</w:t>
      </w:r>
      <w:r w:rsidR="00460B33" w:rsidRPr="00847812">
        <w:rPr>
          <w:sz w:val="24"/>
          <w:szCs w:val="24"/>
        </w:rPr>
        <w:t>.</w:t>
      </w:r>
    </w:p>
    <w:p w14:paraId="7A7D1F7D" w14:textId="77777777" w:rsidR="00460B33" w:rsidRPr="00847812" w:rsidRDefault="00460B33" w:rsidP="00847812">
      <w:pPr>
        <w:pStyle w:val="FootnoteText"/>
        <w:ind w:hanging="720"/>
        <w:rPr>
          <w:sz w:val="24"/>
          <w:szCs w:val="24"/>
        </w:rPr>
      </w:pPr>
    </w:p>
    <w:p w14:paraId="569D5263" w14:textId="77777777" w:rsidR="00472A6F" w:rsidRPr="00847812" w:rsidRDefault="00472A6F" w:rsidP="00847812">
      <w:pPr>
        <w:pStyle w:val="FootnoteText"/>
        <w:ind w:hanging="720"/>
        <w:rPr>
          <w:sz w:val="24"/>
          <w:szCs w:val="24"/>
        </w:rPr>
      </w:pPr>
      <w:proofErr w:type="spellStart"/>
      <w:r w:rsidRPr="00847812">
        <w:rPr>
          <w:sz w:val="24"/>
          <w:szCs w:val="24"/>
        </w:rPr>
        <w:t>Carus</w:t>
      </w:r>
      <w:proofErr w:type="spellEnd"/>
      <w:r w:rsidRPr="00847812">
        <w:rPr>
          <w:sz w:val="24"/>
          <w:szCs w:val="24"/>
        </w:rPr>
        <w:t xml:space="preserve">, Paul, ‘The Oracle of </w:t>
      </w:r>
      <w:proofErr w:type="spellStart"/>
      <w:r w:rsidRPr="00847812">
        <w:rPr>
          <w:sz w:val="24"/>
          <w:szCs w:val="24"/>
        </w:rPr>
        <w:t>Yaveh</w:t>
      </w:r>
      <w:proofErr w:type="spellEnd"/>
      <w:r w:rsidRPr="00847812">
        <w:rPr>
          <w:sz w:val="24"/>
          <w:szCs w:val="24"/>
        </w:rPr>
        <w:t xml:space="preserve">: The </w:t>
      </w:r>
      <w:proofErr w:type="spellStart"/>
      <w:r w:rsidRPr="00847812">
        <w:rPr>
          <w:sz w:val="24"/>
          <w:szCs w:val="24"/>
        </w:rPr>
        <w:t>Urim</w:t>
      </w:r>
      <w:proofErr w:type="spellEnd"/>
      <w:r w:rsidRPr="00847812">
        <w:rPr>
          <w:sz w:val="24"/>
          <w:szCs w:val="24"/>
        </w:rPr>
        <w:t xml:space="preserve"> and </w:t>
      </w:r>
      <w:proofErr w:type="spellStart"/>
      <w:r w:rsidRPr="00847812">
        <w:rPr>
          <w:sz w:val="24"/>
          <w:szCs w:val="24"/>
        </w:rPr>
        <w:t>Thummin</w:t>
      </w:r>
      <w:proofErr w:type="spellEnd"/>
      <w:r w:rsidRPr="00847812">
        <w:rPr>
          <w:sz w:val="24"/>
          <w:szCs w:val="24"/>
        </w:rPr>
        <w:t xml:space="preserve">, the Ephod, and the Breastplate of Judgement’, </w:t>
      </w:r>
      <w:r w:rsidRPr="00847812">
        <w:rPr>
          <w:i/>
          <w:sz w:val="24"/>
          <w:szCs w:val="24"/>
        </w:rPr>
        <w:t xml:space="preserve">The Monist, </w:t>
      </w:r>
      <w:r w:rsidRPr="00847812">
        <w:rPr>
          <w:sz w:val="24"/>
          <w:szCs w:val="24"/>
        </w:rPr>
        <w:t>vol. 17, no. 3 (1907), 365-88.</w:t>
      </w:r>
    </w:p>
    <w:p w14:paraId="648E8DA7" w14:textId="77777777" w:rsidR="00472A6F" w:rsidRPr="00847812" w:rsidRDefault="00472A6F" w:rsidP="00847812">
      <w:pPr>
        <w:pStyle w:val="FootnoteText"/>
        <w:ind w:hanging="720"/>
        <w:rPr>
          <w:sz w:val="24"/>
          <w:szCs w:val="24"/>
        </w:rPr>
      </w:pPr>
    </w:p>
    <w:p w14:paraId="53F07C50" w14:textId="6C6E7515" w:rsidR="004D2003" w:rsidRPr="00847812" w:rsidRDefault="004D2003" w:rsidP="00847812">
      <w:pPr>
        <w:pStyle w:val="FootnoteText"/>
        <w:ind w:hanging="720"/>
        <w:rPr>
          <w:sz w:val="24"/>
          <w:szCs w:val="24"/>
        </w:rPr>
      </w:pPr>
      <w:r w:rsidRPr="00847812">
        <w:rPr>
          <w:sz w:val="24"/>
          <w:szCs w:val="24"/>
        </w:rPr>
        <w:t xml:space="preserve">Crawford, Harriet, </w:t>
      </w:r>
      <w:r w:rsidRPr="00847812">
        <w:rPr>
          <w:i/>
          <w:sz w:val="24"/>
          <w:szCs w:val="24"/>
        </w:rPr>
        <w:t xml:space="preserve">Sumer and the Sumerians, </w:t>
      </w:r>
      <w:r w:rsidRPr="00847812">
        <w:rPr>
          <w:sz w:val="24"/>
          <w:szCs w:val="24"/>
        </w:rPr>
        <w:t>2</w:t>
      </w:r>
      <w:r w:rsidRPr="00847812">
        <w:rPr>
          <w:sz w:val="24"/>
          <w:szCs w:val="24"/>
          <w:vertAlign w:val="superscript"/>
        </w:rPr>
        <w:t>nd</w:t>
      </w:r>
      <w:r w:rsidRPr="00847812">
        <w:rPr>
          <w:sz w:val="24"/>
          <w:szCs w:val="24"/>
        </w:rPr>
        <w:t xml:space="preserve"> edn (Cambridge: Cambridge University Press, 2004).</w:t>
      </w:r>
    </w:p>
    <w:p w14:paraId="1D58E6EF" w14:textId="77777777" w:rsidR="004D2003" w:rsidRPr="00847812" w:rsidRDefault="004D2003" w:rsidP="00847812">
      <w:pPr>
        <w:pStyle w:val="FootnoteText"/>
        <w:ind w:hanging="720"/>
        <w:rPr>
          <w:sz w:val="24"/>
          <w:szCs w:val="24"/>
        </w:rPr>
      </w:pPr>
    </w:p>
    <w:p w14:paraId="379C378C" w14:textId="28E7C92D" w:rsidR="00460B33" w:rsidRPr="00847812" w:rsidRDefault="00142EEE" w:rsidP="00847812">
      <w:pPr>
        <w:pStyle w:val="FootnoteText"/>
        <w:ind w:hanging="720"/>
        <w:rPr>
          <w:sz w:val="24"/>
          <w:szCs w:val="24"/>
        </w:rPr>
      </w:pPr>
      <w:r w:rsidRPr="00847812">
        <w:rPr>
          <w:sz w:val="24"/>
          <w:szCs w:val="24"/>
        </w:rPr>
        <w:t>Eagleton,</w:t>
      </w:r>
      <w:r w:rsidR="00460B33" w:rsidRPr="00847812">
        <w:rPr>
          <w:sz w:val="24"/>
          <w:szCs w:val="24"/>
        </w:rPr>
        <w:t xml:space="preserve"> Terry,</w:t>
      </w:r>
      <w:r w:rsidRPr="00847812">
        <w:rPr>
          <w:sz w:val="24"/>
          <w:szCs w:val="24"/>
        </w:rPr>
        <w:t xml:space="preserve"> </w:t>
      </w:r>
      <w:r w:rsidRPr="00847812">
        <w:rPr>
          <w:i/>
          <w:sz w:val="24"/>
          <w:szCs w:val="24"/>
        </w:rPr>
        <w:t xml:space="preserve">The Idea of Culture </w:t>
      </w:r>
      <w:r w:rsidRPr="00847812">
        <w:rPr>
          <w:sz w:val="24"/>
          <w:szCs w:val="24"/>
        </w:rPr>
        <w:t>(Oxford: Blackwell, 2000).</w:t>
      </w:r>
    </w:p>
    <w:p w14:paraId="012C2EB9" w14:textId="77777777" w:rsidR="00460B33" w:rsidRPr="00847812" w:rsidRDefault="00460B33" w:rsidP="00847812">
      <w:pPr>
        <w:pStyle w:val="FootnoteText"/>
        <w:ind w:hanging="720"/>
        <w:rPr>
          <w:sz w:val="24"/>
          <w:szCs w:val="24"/>
        </w:rPr>
      </w:pPr>
    </w:p>
    <w:p w14:paraId="13AD39EE" w14:textId="373D13A8" w:rsidR="00142EEE" w:rsidRPr="00847812" w:rsidRDefault="00142EEE" w:rsidP="00847812">
      <w:pPr>
        <w:pStyle w:val="FootnoteText"/>
        <w:ind w:hanging="720"/>
        <w:rPr>
          <w:sz w:val="24"/>
          <w:szCs w:val="24"/>
        </w:rPr>
      </w:pPr>
      <w:proofErr w:type="spellStart"/>
      <w:r w:rsidRPr="00847812">
        <w:rPr>
          <w:sz w:val="24"/>
          <w:szCs w:val="24"/>
        </w:rPr>
        <w:t>Fincke</w:t>
      </w:r>
      <w:proofErr w:type="spellEnd"/>
      <w:r w:rsidRPr="00847812">
        <w:rPr>
          <w:sz w:val="24"/>
          <w:szCs w:val="24"/>
        </w:rPr>
        <w:t xml:space="preserve">, </w:t>
      </w:r>
      <w:r w:rsidR="00460B33" w:rsidRPr="00847812">
        <w:rPr>
          <w:sz w:val="24"/>
          <w:szCs w:val="24"/>
        </w:rPr>
        <w:t xml:space="preserve">Jeanette C., </w:t>
      </w:r>
      <w:r w:rsidRPr="00847812">
        <w:rPr>
          <w:sz w:val="24"/>
          <w:szCs w:val="24"/>
        </w:rPr>
        <w:t xml:space="preserve">‘The Babylonian Texts of Nineveh’, </w:t>
      </w:r>
      <w:proofErr w:type="spellStart"/>
      <w:r w:rsidR="00460B33" w:rsidRPr="00847812">
        <w:rPr>
          <w:i/>
          <w:sz w:val="24"/>
          <w:szCs w:val="24"/>
        </w:rPr>
        <w:t>Archiv</w:t>
      </w:r>
      <w:proofErr w:type="spellEnd"/>
      <w:r w:rsidR="00460B33" w:rsidRPr="00847812">
        <w:rPr>
          <w:i/>
          <w:sz w:val="24"/>
          <w:szCs w:val="24"/>
        </w:rPr>
        <w:t xml:space="preserve"> </w:t>
      </w:r>
      <w:proofErr w:type="spellStart"/>
      <w:r w:rsidR="00460B33" w:rsidRPr="00847812">
        <w:rPr>
          <w:i/>
          <w:sz w:val="24"/>
          <w:szCs w:val="24"/>
        </w:rPr>
        <w:t>für</w:t>
      </w:r>
      <w:proofErr w:type="spellEnd"/>
      <w:r w:rsidR="00460B33" w:rsidRPr="00847812">
        <w:rPr>
          <w:i/>
          <w:sz w:val="24"/>
          <w:szCs w:val="24"/>
        </w:rPr>
        <w:t xml:space="preserve"> </w:t>
      </w:r>
      <w:proofErr w:type="spellStart"/>
      <w:r w:rsidR="00460B33" w:rsidRPr="00847812">
        <w:rPr>
          <w:i/>
          <w:sz w:val="24"/>
          <w:szCs w:val="24"/>
        </w:rPr>
        <w:t>Orientforschung</w:t>
      </w:r>
      <w:proofErr w:type="spellEnd"/>
      <w:r w:rsidRPr="00847812">
        <w:rPr>
          <w:sz w:val="24"/>
          <w:szCs w:val="24"/>
        </w:rPr>
        <w:t xml:space="preserve">, </w:t>
      </w:r>
      <w:r w:rsidR="00050484" w:rsidRPr="00847812">
        <w:rPr>
          <w:sz w:val="24"/>
          <w:szCs w:val="24"/>
        </w:rPr>
        <w:t>no. 50</w:t>
      </w:r>
      <w:r w:rsidRPr="00847812">
        <w:rPr>
          <w:sz w:val="24"/>
          <w:szCs w:val="24"/>
        </w:rPr>
        <w:t xml:space="preserve"> (200</w:t>
      </w:r>
      <w:r w:rsidR="00050484" w:rsidRPr="00847812">
        <w:rPr>
          <w:sz w:val="24"/>
          <w:szCs w:val="24"/>
        </w:rPr>
        <w:t>3/</w:t>
      </w:r>
      <w:r w:rsidRPr="00847812">
        <w:rPr>
          <w:sz w:val="24"/>
          <w:szCs w:val="24"/>
        </w:rPr>
        <w:t>4)</w:t>
      </w:r>
      <w:r w:rsidR="00050484" w:rsidRPr="00847812">
        <w:rPr>
          <w:sz w:val="24"/>
          <w:szCs w:val="24"/>
        </w:rPr>
        <w:t>, 111-149</w:t>
      </w:r>
      <w:r w:rsidR="002D3360" w:rsidRPr="00847812">
        <w:rPr>
          <w:sz w:val="24"/>
          <w:szCs w:val="24"/>
        </w:rPr>
        <w:t>.</w:t>
      </w:r>
    </w:p>
    <w:p w14:paraId="3D27DA17" w14:textId="3CE677D3" w:rsidR="00D20B5D" w:rsidRPr="00847812" w:rsidRDefault="00D20B5D" w:rsidP="00847812">
      <w:pPr>
        <w:pStyle w:val="FootnoteText"/>
        <w:ind w:hanging="720"/>
        <w:rPr>
          <w:sz w:val="24"/>
          <w:szCs w:val="24"/>
        </w:rPr>
      </w:pPr>
    </w:p>
    <w:p w14:paraId="54B75AAE" w14:textId="77777777" w:rsidR="00847812" w:rsidRDefault="00472A6F" w:rsidP="00847812">
      <w:pPr>
        <w:pStyle w:val="FootnoteText"/>
        <w:ind w:hanging="720"/>
        <w:rPr>
          <w:sz w:val="24"/>
          <w:szCs w:val="24"/>
        </w:rPr>
      </w:pPr>
      <w:r w:rsidRPr="00847812">
        <w:rPr>
          <w:sz w:val="24"/>
          <w:szCs w:val="24"/>
        </w:rPr>
        <w:t xml:space="preserve">George, A.R., </w:t>
      </w:r>
      <w:r w:rsidRPr="00847812">
        <w:rPr>
          <w:i/>
          <w:sz w:val="24"/>
          <w:szCs w:val="24"/>
        </w:rPr>
        <w:t xml:space="preserve">Babylonian Topographical Texts </w:t>
      </w:r>
      <w:r w:rsidRPr="00847812">
        <w:rPr>
          <w:sz w:val="24"/>
          <w:szCs w:val="24"/>
        </w:rPr>
        <w:t xml:space="preserve">(Leuven: </w:t>
      </w:r>
      <w:proofErr w:type="spellStart"/>
      <w:r w:rsidRPr="00847812">
        <w:rPr>
          <w:sz w:val="24"/>
          <w:szCs w:val="24"/>
        </w:rPr>
        <w:t>Uitgeverij</w:t>
      </w:r>
      <w:proofErr w:type="spellEnd"/>
      <w:r w:rsidRPr="00847812">
        <w:rPr>
          <w:sz w:val="24"/>
          <w:szCs w:val="24"/>
        </w:rPr>
        <w:t xml:space="preserve"> </w:t>
      </w:r>
      <w:proofErr w:type="spellStart"/>
      <w:r w:rsidRPr="00847812">
        <w:rPr>
          <w:sz w:val="24"/>
          <w:szCs w:val="24"/>
        </w:rPr>
        <w:t>Peeters</w:t>
      </w:r>
      <w:proofErr w:type="spellEnd"/>
      <w:r w:rsidRPr="00847812">
        <w:rPr>
          <w:sz w:val="24"/>
          <w:szCs w:val="24"/>
        </w:rPr>
        <w:t xml:space="preserve">, 1992). </w:t>
      </w:r>
    </w:p>
    <w:p w14:paraId="711FF127" w14:textId="272B332B" w:rsidR="00D20B5D" w:rsidRPr="00847812" w:rsidRDefault="00D20B5D" w:rsidP="00847812">
      <w:pPr>
        <w:pStyle w:val="FootnoteText"/>
        <w:numPr>
          <w:ilvl w:val="0"/>
          <w:numId w:val="3"/>
        </w:numPr>
        <w:rPr>
          <w:sz w:val="24"/>
          <w:szCs w:val="24"/>
        </w:rPr>
      </w:pPr>
      <w:r w:rsidRPr="00847812">
        <w:rPr>
          <w:sz w:val="24"/>
          <w:szCs w:val="24"/>
        </w:rPr>
        <w:t xml:space="preserve">and Junko Taniguchi with a contribution by M.J. Geller, ‘The Dogs of </w:t>
      </w:r>
      <w:proofErr w:type="spellStart"/>
      <w:r w:rsidRPr="00847812">
        <w:rPr>
          <w:sz w:val="24"/>
          <w:szCs w:val="24"/>
        </w:rPr>
        <w:t>Ninkilim</w:t>
      </w:r>
      <w:proofErr w:type="spellEnd"/>
      <w:r w:rsidRPr="00847812">
        <w:rPr>
          <w:sz w:val="24"/>
          <w:szCs w:val="24"/>
        </w:rPr>
        <w:t xml:space="preserve">, Part Two: Babylonian Rituals to Counter Field Pests’, </w:t>
      </w:r>
      <w:r w:rsidRPr="00847812">
        <w:rPr>
          <w:i/>
          <w:sz w:val="24"/>
          <w:szCs w:val="24"/>
        </w:rPr>
        <w:t xml:space="preserve">Iraq, </w:t>
      </w:r>
      <w:r w:rsidRPr="00847812">
        <w:rPr>
          <w:sz w:val="24"/>
          <w:szCs w:val="24"/>
        </w:rPr>
        <w:t>vol. 72 (2010), 79-148.</w:t>
      </w:r>
    </w:p>
    <w:p w14:paraId="6EF42E12" w14:textId="77777777" w:rsidR="00D20B5D" w:rsidRPr="00847812" w:rsidRDefault="00D20B5D" w:rsidP="00847812">
      <w:pPr>
        <w:pStyle w:val="FootnoteText"/>
        <w:ind w:hanging="720"/>
        <w:rPr>
          <w:sz w:val="24"/>
          <w:szCs w:val="24"/>
        </w:rPr>
      </w:pPr>
    </w:p>
    <w:p w14:paraId="73F108AF" w14:textId="00E712DF" w:rsidR="007522CB" w:rsidRPr="00847812" w:rsidRDefault="007522CB" w:rsidP="00847812">
      <w:pPr>
        <w:pStyle w:val="FootnoteText"/>
        <w:ind w:hanging="720"/>
        <w:rPr>
          <w:sz w:val="24"/>
          <w:szCs w:val="24"/>
        </w:rPr>
      </w:pPr>
      <w:proofErr w:type="spellStart"/>
      <w:r w:rsidRPr="00847812">
        <w:rPr>
          <w:sz w:val="24"/>
          <w:szCs w:val="24"/>
        </w:rPr>
        <w:t>Goetze</w:t>
      </w:r>
      <w:proofErr w:type="spellEnd"/>
      <w:r w:rsidRPr="00847812">
        <w:rPr>
          <w:sz w:val="24"/>
          <w:szCs w:val="24"/>
        </w:rPr>
        <w:t xml:space="preserve">, Albrecht, ‘An Old Babylonian Prayer of the Divination Priest’, </w:t>
      </w:r>
      <w:r w:rsidRPr="00847812">
        <w:rPr>
          <w:i/>
          <w:sz w:val="24"/>
          <w:szCs w:val="24"/>
        </w:rPr>
        <w:t>Journal of Cuneiform Studies</w:t>
      </w:r>
      <w:r w:rsidRPr="00847812">
        <w:rPr>
          <w:sz w:val="24"/>
          <w:szCs w:val="24"/>
        </w:rPr>
        <w:t>, vol. 22, no. 2 (1968), 25-9.</w:t>
      </w:r>
    </w:p>
    <w:p w14:paraId="3BCB9AB4" w14:textId="77777777" w:rsidR="007522CB" w:rsidRPr="00847812" w:rsidRDefault="007522CB" w:rsidP="00847812">
      <w:pPr>
        <w:pStyle w:val="FootnoteText"/>
        <w:ind w:hanging="720"/>
        <w:rPr>
          <w:sz w:val="24"/>
          <w:szCs w:val="24"/>
        </w:rPr>
      </w:pPr>
    </w:p>
    <w:p w14:paraId="55E5636D" w14:textId="71734A3E" w:rsidR="00D20B5D" w:rsidRPr="00847812" w:rsidRDefault="00D20B5D" w:rsidP="00847812">
      <w:pPr>
        <w:pStyle w:val="FootnoteText"/>
        <w:ind w:hanging="720"/>
        <w:rPr>
          <w:b/>
          <w:sz w:val="24"/>
          <w:szCs w:val="24"/>
        </w:rPr>
      </w:pPr>
      <w:r w:rsidRPr="00847812">
        <w:rPr>
          <w:sz w:val="24"/>
          <w:szCs w:val="24"/>
        </w:rPr>
        <w:lastRenderedPageBreak/>
        <w:t xml:space="preserve">Grayson, A. Kirk, and Jamie Novotny, </w:t>
      </w:r>
      <w:r w:rsidRPr="00847812">
        <w:rPr>
          <w:i/>
          <w:sz w:val="24"/>
          <w:szCs w:val="24"/>
        </w:rPr>
        <w:t xml:space="preserve">The Royal Inscriptions of Sennacherib, King of Assyria (704-681 BC), Part 2 </w:t>
      </w:r>
      <w:r w:rsidRPr="00847812">
        <w:rPr>
          <w:sz w:val="24"/>
          <w:szCs w:val="24"/>
        </w:rPr>
        <w:t xml:space="preserve">(Winona Lake, IN: </w:t>
      </w:r>
      <w:proofErr w:type="spellStart"/>
      <w:r w:rsidRPr="00847812">
        <w:rPr>
          <w:sz w:val="24"/>
          <w:szCs w:val="24"/>
        </w:rPr>
        <w:t>Eisenbrauns</w:t>
      </w:r>
      <w:proofErr w:type="spellEnd"/>
      <w:r w:rsidRPr="00847812">
        <w:rPr>
          <w:sz w:val="24"/>
          <w:szCs w:val="24"/>
        </w:rPr>
        <w:t>, 2014).</w:t>
      </w:r>
    </w:p>
    <w:p w14:paraId="02D858A6" w14:textId="77777777" w:rsidR="00D20B5D" w:rsidRPr="00847812" w:rsidRDefault="00D20B5D" w:rsidP="00847812">
      <w:pPr>
        <w:pStyle w:val="FootnoteText"/>
        <w:ind w:hanging="720"/>
        <w:rPr>
          <w:sz w:val="24"/>
          <w:szCs w:val="24"/>
        </w:rPr>
      </w:pPr>
    </w:p>
    <w:p w14:paraId="19BA70C8" w14:textId="77777777" w:rsidR="00472A6F" w:rsidRPr="00847812" w:rsidRDefault="00D20B5D" w:rsidP="00847812">
      <w:pPr>
        <w:pStyle w:val="FootnoteText"/>
        <w:ind w:hanging="720"/>
        <w:rPr>
          <w:sz w:val="24"/>
          <w:szCs w:val="24"/>
        </w:rPr>
      </w:pPr>
      <w:r w:rsidRPr="00847812">
        <w:rPr>
          <w:sz w:val="24"/>
          <w:szCs w:val="24"/>
        </w:rPr>
        <w:t xml:space="preserve">Jacobsen, </w:t>
      </w:r>
      <w:proofErr w:type="spellStart"/>
      <w:r w:rsidRPr="00847812">
        <w:rPr>
          <w:sz w:val="24"/>
          <w:szCs w:val="24"/>
        </w:rPr>
        <w:t>Thorkild</w:t>
      </w:r>
      <w:proofErr w:type="spellEnd"/>
      <w:r w:rsidRPr="00847812">
        <w:rPr>
          <w:sz w:val="24"/>
          <w:szCs w:val="24"/>
        </w:rPr>
        <w:t xml:space="preserve">, </w:t>
      </w:r>
      <w:r w:rsidR="00472A6F" w:rsidRPr="00847812">
        <w:rPr>
          <w:i/>
          <w:sz w:val="24"/>
          <w:szCs w:val="24"/>
        </w:rPr>
        <w:t>The Sumerian King List</w:t>
      </w:r>
      <w:r w:rsidR="00472A6F" w:rsidRPr="00847812">
        <w:rPr>
          <w:sz w:val="24"/>
          <w:szCs w:val="24"/>
        </w:rPr>
        <w:t>, (Chicago: The University of Chicago Press, 1939)</w:t>
      </w:r>
      <w:r w:rsidR="00472A6F" w:rsidRPr="00847812">
        <w:rPr>
          <w:sz w:val="24"/>
          <w:szCs w:val="24"/>
        </w:rPr>
        <w:t>.</w:t>
      </w:r>
    </w:p>
    <w:p w14:paraId="40CD8749" w14:textId="14123651" w:rsidR="00D20B5D" w:rsidRPr="00847812" w:rsidRDefault="00D20B5D" w:rsidP="00847812">
      <w:pPr>
        <w:pStyle w:val="FootnoteText"/>
        <w:rPr>
          <w:sz w:val="24"/>
          <w:szCs w:val="24"/>
        </w:rPr>
      </w:pPr>
      <w:r w:rsidRPr="00847812">
        <w:rPr>
          <w:i/>
          <w:sz w:val="24"/>
          <w:szCs w:val="24"/>
        </w:rPr>
        <w:t xml:space="preserve">Toward the Image of Tammuz and Other Essays on Mesopotamian History and Culture, </w:t>
      </w:r>
      <w:r w:rsidRPr="00847812">
        <w:rPr>
          <w:sz w:val="24"/>
          <w:szCs w:val="24"/>
        </w:rPr>
        <w:t>ed. by William L. Moran (Cambridge, MA: Harvard University Press, 1970).</w:t>
      </w:r>
    </w:p>
    <w:p w14:paraId="737813C7" w14:textId="07C70F9B" w:rsidR="00142EEE" w:rsidRPr="00847812" w:rsidRDefault="00142EEE" w:rsidP="00847812">
      <w:pPr>
        <w:pStyle w:val="FootnoteText"/>
        <w:ind w:hanging="720"/>
        <w:rPr>
          <w:sz w:val="24"/>
          <w:szCs w:val="24"/>
        </w:rPr>
      </w:pPr>
    </w:p>
    <w:p w14:paraId="370F8B20" w14:textId="77777777" w:rsidR="00847812" w:rsidRDefault="00D20B5D" w:rsidP="00847812">
      <w:pPr>
        <w:pStyle w:val="FootnoteText"/>
        <w:ind w:hanging="720"/>
        <w:rPr>
          <w:sz w:val="24"/>
          <w:szCs w:val="24"/>
        </w:rPr>
      </w:pPr>
      <w:r w:rsidRPr="00847812">
        <w:rPr>
          <w:sz w:val="24"/>
          <w:szCs w:val="24"/>
        </w:rPr>
        <w:t xml:space="preserve">Lambert, W.G, </w:t>
      </w:r>
      <w:r w:rsidR="00B37D8F" w:rsidRPr="00847812">
        <w:rPr>
          <w:sz w:val="24"/>
          <w:szCs w:val="24"/>
        </w:rPr>
        <w:t>‘</w:t>
      </w:r>
      <w:proofErr w:type="spellStart"/>
      <w:r w:rsidR="00B37D8F" w:rsidRPr="00847812">
        <w:rPr>
          <w:sz w:val="24"/>
          <w:szCs w:val="24"/>
        </w:rPr>
        <w:t>Enmeduranki</w:t>
      </w:r>
      <w:proofErr w:type="spellEnd"/>
      <w:r w:rsidR="00B37D8F" w:rsidRPr="00847812">
        <w:rPr>
          <w:sz w:val="24"/>
          <w:szCs w:val="24"/>
        </w:rPr>
        <w:t xml:space="preserve"> and Related Matters’, </w:t>
      </w:r>
      <w:r w:rsidR="00B37D8F" w:rsidRPr="00847812">
        <w:rPr>
          <w:i/>
          <w:sz w:val="24"/>
          <w:szCs w:val="24"/>
        </w:rPr>
        <w:t xml:space="preserve">Journal of Cuneiform Studies, </w:t>
      </w:r>
      <w:r w:rsidR="00B37D8F" w:rsidRPr="00847812">
        <w:rPr>
          <w:sz w:val="24"/>
          <w:szCs w:val="24"/>
        </w:rPr>
        <w:t>vol. 21 (1967)</w:t>
      </w:r>
      <w:r w:rsidR="00B37D8F" w:rsidRPr="00847812">
        <w:rPr>
          <w:sz w:val="24"/>
          <w:szCs w:val="24"/>
        </w:rPr>
        <w:t>, 126-38.</w:t>
      </w:r>
      <w:r w:rsidR="00847812">
        <w:rPr>
          <w:sz w:val="24"/>
          <w:szCs w:val="24"/>
        </w:rPr>
        <w:t xml:space="preserve"> </w:t>
      </w:r>
    </w:p>
    <w:p w14:paraId="3887D8FC" w14:textId="27C4E085" w:rsidR="00D20B5D" w:rsidRPr="00847812" w:rsidRDefault="00D20B5D" w:rsidP="00847812">
      <w:pPr>
        <w:pStyle w:val="FootnoteText"/>
        <w:numPr>
          <w:ilvl w:val="0"/>
          <w:numId w:val="3"/>
        </w:numPr>
        <w:rPr>
          <w:sz w:val="24"/>
          <w:szCs w:val="24"/>
        </w:rPr>
      </w:pPr>
      <w:r w:rsidRPr="00847812">
        <w:rPr>
          <w:i/>
          <w:sz w:val="24"/>
          <w:szCs w:val="24"/>
        </w:rPr>
        <w:t>Babylonian Oracle Questions</w:t>
      </w:r>
      <w:r w:rsidRPr="00847812">
        <w:rPr>
          <w:sz w:val="24"/>
          <w:szCs w:val="24"/>
        </w:rPr>
        <w:t xml:space="preserve"> (Winona Lake, IN: </w:t>
      </w:r>
      <w:proofErr w:type="spellStart"/>
      <w:r w:rsidRPr="00847812">
        <w:rPr>
          <w:sz w:val="24"/>
          <w:szCs w:val="24"/>
        </w:rPr>
        <w:t>Eisenbrauns</w:t>
      </w:r>
      <w:proofErr w:type="spellEnd"/>
      <w:r w:rsidRPr="00847812">
        <w:rPr>
          <w:sz w:val="24"/>
          <w:szCs w:val="24"/>
        </w:rPr>
        <w:t>, 2007).</w:t>
      </w:r>
    </w:p>
    <w:p w14:paraId="511634DE" w14:textId="77777777" w:rsidR="00D20B5D" w:rsidRPr="00847812" w:rsidRDefault="00D20B5D" w:rsidP="00847812">
      <w:pPr>
        <w:pStyle w:val="FootnoteText"/>
        <w:ind w:hanging="720"/>
        <w:rPr>
          <w:sz w:val="24"/>
          <w:szCs w:val="24"/>
        </w:rPr>
      </w:pPr>
    </w:p>
    <w:p w14:paraId="609BB3CD" w14:textId="4E9BFBC3" w:rsidR="00142EEE" w:rsidRPr="00847812" w:rsidRDefault="00142EEE" w:rsidP="00847812">
      <w:pPr>
        <w:pStyle w:val="FootnoteText"/>
        <w:ind w:hanging="720"/>
        <w:rPr>
          <w:sz w:val="24"/>
          <w:szCs w:val="24"/>
        </w:rPr>
      </w:pPr>
      <w:r w:rsidRPr="00847812">
        <w:rPr>
          <w:sz w:val="24"/>
          <w:szCs w:val="24"/>
        </w:rPr>
        <w:t>Mathews,</w:t>
      </w:r>
      <w:r w:rsidR="004D2003" w:rsidRPr="00847812">
        <w:rPr>
          <w:sz w:val="24"/>
          <w:szCs w:val="24"/>
        </w:rPr>
        <w:t xml:space="preserve"> Freya,</w:t>
      </w:r>
      <w:r w:rsidRPr="00847812">
        <w:rPr>
          <w:sz w:val="24"/>
          <w:szCs w:val="24"/>
        </w:rPr>
        <w:t xml:space="preserve"> </w:t>
      </w:r>
      <w:r w:rsidRPr="00847812">
        <w:rPr>
          <w:i/>
          <w:sz w:val="24"/>
          <w:szCs w:val="24"/>
        </w:rPr>
        <w:t xml:space="preserve">The Ecological Self </w:t>
      </w:r>
      <w:r w:rsidRPr="00847812">
        <w:rPr>
          <w:sz w:val="24"/>
          <w:szCs w:val="24"/>
        </w:rPr>
        <w:t>(London: Routledge, 1991).</w:t>
      </w:r>
    </w:p>
    <w:p w14:paraId="114B066A" w14:textId="77777777" w:rsidR="004D2003" w:rsidRPr="00847812" w:rsidRDefault="004D2003" w:rsidP="00847812">
      <w:pPr>
        <w:pStyle w:val="FootnoteText"/>
        <w:ind w:hanging="720"/>
        <w:rPr>
          <w:sz w:val="24"/>
          <w:szCs w:val="24"/>
        </w:rPr>
      </w:pPr>
    </w:p>
    <w:p w14:paraId="57D6E611" w14:textId="245C7472" w:rsidR="004D2003" w:rsidRPr="00847812" w:rsidRDefault="00142EEE" w:rsidP="00847812">
      <w:pPr>
        <w:pStyle w:val="FootnoteText"/>
        <w:ind w:hanging="720"/>
        <w:rPr>
          <w:sz w:val="24"/>
          <w:szCs w:val="24"/>
        </w:rPr>
      </w:pPr>
      <w:proofErr w:type="spellStart"/>
      <w:r w:rsidRPr="00847812">
        <w:rPr>
          <w:sz w:val="24"/>
          <w:szCs w:val="24"/>
        </w:rPr>
        <w:t>Noegel</w:t>
      </w:r>
      <w:proofErr w:type="spellEnd"/>
      <w:r w:rsidRPr="00847812">
        <w:rPr>
          <w:sz w:val="24"/>
          <w:szCs w:val="24"/>
        </w:rPr>
        <w:t xml:space="preserve">, </w:t>
      </w:r>
      <w:r w:rsidR="004D2003" w:rsidRPr="00847812">
        <w:rPr>
          <w:sz w:val="24"/>
          <w:szCs w:val="24"/>
        </w:rPr>
        <w:t xml:space="preserve">Scott </w:t>
      </w:r>
      <w:proofErr w:type="spellStart"/>
      <w:proofErr w:type="gramStart"/>
      <w:r w:rsidR="004D2003" w:rsidRPr="00847812">
        <w:rPr>
          <w:sz w:val="24"/>
          <w:szCs w:val="24"/>
        </w:rPr>
        <w:t>B.,</w:t>
      </w:r>
      <w:r w:rsidRPr="00847812">
        <w:rPr>
          <w:sz w:val="24"/>
          <w:szCs w:val="24"/>
        </w:rPr>
        <w:t>‘</w:t>
      </w:r>
      <w:proofErr w:type="gramEnd"/>
      <w:r w:rsidRPr="00847812">
        <w:rPr>
          <w:sz w:val="24"/>
          <w:szCs w:val="24"/>
        </w:rPr>
        <w:t>“Sign</w:t>
      </w:r>
      <w:proofErr w:type="spellEnd"/>
      <w:r w:rsidRPr="00847812">
        <w:rPr>
          <w:sz w:val="24"/>
          <w:szCs w:val="24"/>
        </w:rPr>
        <w:t xml:space="preserve">, Sign, Everywhere a Sign”: Script, Power and Interpretation in the Ancient Near East’, in </w:t>
      </w:r>
      <w:r w:rsidRPr="00847812">
        <w:rPr>
          <w:i/>
          <w:sz w:val="24"/>
          <w:szCs w:val="24"/>
        </w:rPr>
        <w:t xml:space="preserve">Divination and Interpretation of Signs in the Ancient World, </w:t>
      </w:r>
      <w:r w:rsidRPr="00847812">
        <w:rPr>
          <w:sz w:val="24"/>
          <w:szCs w:val="24"/>
        </w:rPr>
        <w:t xml:space="preserve">ed. by Amar </w:t>
      </w:r>
      <w:proofErr w:type="spellStart"/>
      <w:r w:rsidRPr="00847812">
        <w:rPr>
          <w:sz w:val="24"/>
          <w:szCs w:val="24"/>
        </w:rPr>
        <w:t>Annus</w:t>
      </w:r>
      <w:proofErr w:type="spellEnd"/>
      <w:r w:rsidRPr="00847812">
        <w:rPr>
          <w:sz w:val="24"/>
          <w:szCs w:val="24"/>
        </w:rPr>
        <w:t xml:space="preserve"> (Chicago, IL: The Oriental Institute of the University of Chicago, 2010), </w:t>
      </w:r>
      <w:r w:rsidR="004D2003" w:rsidRPr="00847812">
        <w:rPr>
          <w:sz w:val="24"/>
          <w:szCs w:val="24"/>
        </w:rPr>
        <w:t>143-62.</w:t>
      </w:r>
    </w:p>
    <w:p w14:paraId="71A876C1" w14:textId="77777777" w:rsidR="004D2003" w:rsidRPr="00847812" w:rsidRDefault="004D2003" w:rsidP="00847812">
      <w:pPr>
        <w:pStyle w:val="FootnoteText"/>
        <w:ind w:hanging="720"/>
        <w:rPr>
          <w:sz w:val="24"/>
          <w:szCs w:val="24"/>
        </w:rPr>
      </w:pPr>
    </w:p>
    <w:p w14:paraId="47F1BE37" w14:textId="52D95DBD" w:rsidR="00735D4C" w:rsidRPr="00847812" w:rsidRDefault="00142EEE" w:rsidP="00847812">
      <w:pPr>
        <w:pStyle w:val="FootnoteText"/>
        <w:ind w:hanging="720"/>
        <w:rPr>
          <w:sz w:val="24"/>
          <w:szCs w:val="24"/>
        </w:rPr>
      </w:pPr>
      <w:proofErr w:type="spellStart"/>
      <w:r w:rsidRPr="00847812">
        <w:rPr>
          <w:sz w:val="24"/>
          <w:szCs w:val="24"/>
        </w:rPr>
        <w:t>Rochberg</w:t>
      </w:r>
      <w:proofErr w:type="spellEnd"/>
      <w:r w:rsidRPr="00847812">
        <w:rPr>
          <w:sz w:val="24"/>
          <w:szCs w:val="24"/>
        </w:rPr>
        <w:t>,</w:t>
      </w:r>
      <w:r w:rsidR="004D2003" w:rsidRPr="00847812">
        <w:rPr>
          <w:sz w:val="24"/>
          <w:szCs w:val="24"/>
        </w:rPr>
        <w:t xml:space="preserve"> Francesca,</w:t>
      </w:r>
      <w:r w:rsidRPr="00847812">
        <w:rPr>
          <w:sz w:val="24"/>
          <w:szCs w:val="24"/>
        </w:rPr>
        <w:t xml:space="preserve"> ‘Empiricism in Babylonian Omen Texts and the Classification of Mesopotamian Divination as Science’, </w:t>
      </w:r>
      <w:r w:rsidRPr="00847812">
        <w:rPr>
          <w:i/>
          <w:sz w:val="24"/>
          <w:szCs w:val="24"/>
        </w:rPr>
        <w:t xml:space="preserve">Journal of the American Oriental Society, </w:t>
      </w:r>
      <w:r w:rsidRPr="00847812">
        <w:rPr>
          <w:sz w:val="24"/>
          <w:szCs w:val="24"/>
        </w:rPr>
        <w:t xml:space="preserve">vol. 119, no. 4 (1999), </w:t>
      </w:r>
      <w:r w:rsidR="00735D4C" w:rsidRPr="00847812">
        <w:rPr>
          <w:sz w:val="24"/>
          <w:szCs w:val="24"/>
        </w:rPr>
        <w:t>559-69.</w:t>
      </w:r>
    </w:p>
    <w:p w14:paraId="77EDFFE9" w14:textId="3C980976" w:rsidR="00F5646F" w:rsidRPr="00847812" w:rsidRDefault="00F5646F" w:rsidP="00847812">
      <w:pPr>
        <w:pStyle w:val="FootnoteText"/>
        <w:numPr>
          <w:ilvl w:val="0"/>
          <w:numId w:val="3"/>
        </w:numPr>
        <w:rPr>
          <w:sz w:val="24"/>
          <w:szCs w:val="24"/>
        </w:rPr>
      </w:pPr>
      <w:r w:rsidRPr="00847812">
        <w:rPr>
          <w:i/>
          <w:sz w:val="24"/>
          <w:szCs w:val="24"/>
        </w:rPr>
        <w:t xml:space="preserve">The Heavenly Writing: Divination, Horoscopy, and Astronomy in Mesopotamian Culture </w:t>
      </w:r>
      <w:r w:rsidRPr="00847812">
        <w:rPr>
          <w:sz w:val="24"/>
          <w:szCs w:val="24"/>
        </w:rPr>
        <w:t>(Cambridge: Cambridge University Press, 2004)</w:t>
      </w:r>
      <w:r w:rsidRPr="00847812">
        <w:rPr>
          <w:sz w:val="24"/>
          <w:szCs w:val="24"/>
        </w:rPr>
        <w:t>.</w:t>
      </w:r>
    </w:p>
    <w:p w14:paraId="4D8FD939" w14:textId="77777777" w:rsidR="00735D4C" w:rsidRPr="00847812" w:rsidRDefault="00735D4C" w:rsidP="00847812">
      <w:pPr>
        <w:pStyle w:val="FootnoteText"/>
        <w:ind w:hanging="720"/>
        <w:rPr>
          <w:sz w:val="24"/>
          <w:szCs w:val="24"/>
        </w:rPr>
      </w:pPr>
    </w:p>
    <w:p w14:paraId="762FBBCD" w14:textId="0E29B0DE" w:rsidR="00142EEE" w:rsidRPr="00847812" w:rsidRDefault="00142EEE" w:rsidP="00847812">
      <w:pPr>
        <w:pStyle w:val="FootnoteText"/>
        <w:ind w:hanging="720"/>
        <w:rPr>
          <w:sz w:val="24"/>
          <w:szCs w:val="24"/>
        </w:rPr>
      </w:pPr>
      <w:r w:rsidRPr="00847812">
        <w:rPr>
          <w:sz w:val="24"/>
          <w:szCs w:val="24"/>
        </w:rPr>
        <w:t xml:space="preserve">van </w:t>
      </w:r>
      <w:proofErr w:type="spellStart"/>
      <w:r w:rsidRPr="00847812">
        <w:rPr>
          <w:sz w:val="24"/>
          <w:szCs w:val="24"/>
        </w:rPr>
        <w:t>Soldt</w:t>
      </w:r>
      <w:proofErr w:type="spellEnd"/>
      <w:r w:rsidRPr="00847812">
        <w:rPr>
          <w:sz w:val="24"/>
          <w:szCs w:val="24"/>
        </w:rPr>
        <w:t xml:space="preserve">. </w:t>
      </w:r>
      <w:r w:rsidR="00D20B5D" w:rsidRPr="00847812">
        <w:rPr>
          <w:sz w:val="24"/>
          <w:szCs w:val="24"/>
        </w:rPr>
        <w:t xml:space="preserve">W.H., </w:t>
      </w:r>
      <w:r w:rsidRPr="00847812">
        <w:rPr>
          <w:i/>
          <w:sz w:val="24"/>
          <w:szCs w:val="24"/>
        </w:rPr>
        <w:t xml:space="preserve">Solar Omens of Enuma Anu Enlil: Tablets 23 (24)-29 (30) </w:t>
      </w:r>
      <w:r w:rsidRPr="00847812">
        <w:rPr>
          <w:sz w:val="24"/>
          <w:szCs w:val="24"/>
        </w:rPr>
        <w:t xml:space="preserve">(Leiden: </w:t>
      </w:r>
      <w:proofErr w:type="spellStart"/>
      <w:r w:rsidRPr="00847812">
        <w:rPr>
          <w:sz w:val="24"/>
          <w:szCs w:val="24"/>
        </w:rPr>
        <w:t>Nederlands</w:t>
      </w:r>
      <w:proofErr w:type="spellEnd"/>
      <w:r w:rsidRPr="00847812">
        <w:rPr>
          <w:sz w:val="24"/>
          <w:szCs w:val="24"/>
        </w:rPr>
        <w:t xml:space="preserve"> </w:t>
      </w:r>
      <w:proofErr w:type="spellStart"/>
      <w:r w:rsidRPr="00847812">
        <w:rPr>
          <w:sz w:val="24"/>
          <w:szCs w:val="24"/>
        </w:rPr>
        <w:t>Historisch-Archaeologisch</w:t>
      </w:r>
      <w:proofErr w:type="spellEnd"/>
      <w:r w:rsidRPr="00847812">
        <w:rPr>
          <w:sz w:val="24"/>
          <w:szCs w:val="24"/>
        </w:rPr>
        <w:t xml:space="preserve"> </w:t>
      </w:r>
      <w:proofErr w:type="spellStart"/>
      <w:r w:rsidRPr="00847812">
        <w:rPr>
          <w:sz w:val="24"/>
          <w:szCs w:val="24"/>
        </w:rPr>
        <w:t>Instituut</w:t>
      </w:r>
      <w:proofErr w:type="spellEnd"/>
      <w:r w:rsidRPr="00847812">
        <w:rPr>
          <w:sz w:val="24"/>
          <w:szCs w:val="24"/>
        </w:rPr>
        <w:t xml:space="preserve"> </w:t>
      </w:r>
      <w:proofErr w:type="spellStart"/>
      <w:r w:rsidRPr="00847812">
        <w:rPr>
          <w:sz w:val="24"/>
          <w:szCs w:val="24"/>
        </w:rPr>
        <w:t>Te</w:t>
      </w:r>
      <w:proofErr w:type="spellEnd"/>
      <w:r w:rsidRPr="00847812">
        <w:rPr>
          <w:sz w:val="24"/>
          <w:szCs w:val="24"/>
        </w:rPr>
        <w:t xml:space="preserve"> Istanbul, 1995)</w:t>
      </w:r>
      <w:r w:rsidR="00D20B5D" w:rsidRPr="00847812">
        <w:rPr>
          <w:sz w:val="24"/>
          <w:szCs w:val="24"/>
        </w:rPr>
        <w:t>.</w:t>
      </w:r>
    </w:p>
    <w:p w14:paraId="7072F84E" w14:textId="77777777" w:rsidR="00D20B5D" w:rsidRPr="00847812" w:rsidRDefault="00D20B5D" w:rsidP="00847812">
      <w:pPr>
        <w:pStyle w:val="FootnoteText"/>
        <w:ind w:hanging="720"/>
        <w:rPr>
          <w:sz w:val="24"/>
          <w:szCs w:val="24"/>
        </w:rPr>
      </w:pPr>
    </w:p>
    <w:p w14:paraId="70D3E0D0" w14:textId="0B646C39" w:rsidR="00B37D8F" w:rsidRPr="00847812" w:rsidRDefault="00B37D8F" w:rsidP="00847812">
      <w:pPr>
        <w:pStyle w:val="FootnoteText"/>
        <w:ind w:hanging="720"/>
        <w:rPr>
          <w:sz w:val="24"/>
          <w:szCs w:val="24"/>
        </w:rPr>
      </w:pPr>
      <w:proofErr w:type="spellStart"/>
      <w:r w:rsidRPr="00847812">
        <w:rPr>
          <w:sz w:val="24"/>
          <w:szCs w:val="24"/>
        </w:rPr>
        <w:t>Steinkeller</w:t>
      </w:r>
      <w:proofErr w:type="spellEnd"/>
      <w:r w:rsidRPr="00847812">
        <w:rPr>
          <w:sz w:val="24"/>
          <w:szCs w:val="24"/>
        </w:rPr>
        <w:t xml:space="preserve">, Piotr, ‘Of Stars and Men: The Conceptual and Mythological Setup of Babylonian Extispicy’, in </w:t>
      </w:r>
      <w:proofErr w:type="spellStart"/>
      <w:r w:rsidRPr="00847812">
        <w:rPr>
          <w:sz w:val="24"/>
          <w:szCs w:val="24"/>
        </w:rPr>
        <w:t>Agustinus</w:t>
      </w:r>
      <w:proofErr w:type="spellEnd"/>
      <w:r w:rsidRPr="00847812">
        <w:rPr>
          <w:sz w:val="24"/>
          <w:szCs w:val="24"/>
        </w:rPr>
        <w:t xml:space="preserve"> </w:t>
      </w:r>
      <w:proofErr w:type="spellStart"/>
      <w:r w:rsidRPr="00847812">
        <w:rPr>
          <w:sz w:val="24"/>
          <w:szCs w:val="24"/>
        </w:rPr>
        <w:t>Gianto</w:t>
      </w:r>
      <w:proofErr w:type="spellEnd"/>
      <w:r w:rsidRPr="00847812">
        <w:rPr>
          <w:sz w:val="24"/>
          <w:szCs w:val="24"/>
        </w:rPr>
        <w:t xml:space="preserve"> (ed), </w:t>
      </w:r>
      <w:r w:rsidRPr="00847812">
        <w:rPr>
          <w:i/>
          <w:sz w:val="24"/>
          <w:szCs w:val="24"/>
        </w:rPr>
        <w:t xml:space="preserve">Biblical and Oriental Essays in Memory of William L. Moran </w:t>
      </w:r>
      <w:r w:rsidRPr="00847812">
        <w:rPr>
          <w:sz w:val="24"/>
          <w:szCs w:val="24"/>
        </w:rPr>
        <w:t xml:space="preserve">(Rome: </w:t>
      </w:r>
      <w:proofErr w:type="spellStart"/>
      <w:r w:rsidRPr="00847812">
        <w:rPr>
          <w:sz w:val="24"/>
          <w:szCs w:val="24"/>
        </w:rPr>
        <w:t>Editrice</w:t>
      </w:r>
      <w:proofErr w:type="spellEnd"/>
      <w:r w:rsidRPr="00847812">
        <w:rPr>
          <w:sz w:val="24"/>
          <w:szCs w:val="24"/>
        </w:rPr>
        <w:t xml:space="preserve"> </w:t>
      </w:r>
      <w:proofErr w:type="spellStart"/>
      <w:r w:rsidRPr="00847812">
        <w:rPr>
          <w:sz w:val="24"/>
          <w:szCs w:val="24"/>
        </w:rPr>
        <w:t>Pontifico</w:t>
      </w:r>
      <w:proofErr w:type="spellEnd"/>
      <w:r w:rsidRPr="00847812">
        <w:rPr>
          <w:sz w:val="24"/>
          <w:szCs w:val="24"/>
        </w:rPr>
        <w:t xml:space="preserve"> </w:t>
      </w:r>
      <w:proofErr w:type="spellStart"/>
      <w:r w:rsidRPr="00847812">
        <w:rPr>
          <w:sz w:val="24"/>
          <w:szCs w:val="24"/>
        </w:rPr>
        <w:t>Istituto</w:t>
      </w:r>
      <w:proofErr w:type="spellEnd"/>
      <w:r w:rsidRPr="00847812">
        <w:rPr>
          <w:sz w:val="24"/>
          <w:szCs w:val="24"/>
        </w:rPr>
        <w:t xml:space="preserve"> </w:t>
      </w:r>
      <w:proofErr w:type="spellStart"/>
      <w:r w:rsidRPr="00847812">
        <w:rPr>
          <w:sz w:val="24"/>
          <w:szCs w:val="24"/>
        </w:rPr>
        <w:t>Biblico</w:t>
      </w:r>
      <w:proofErr w:type="spellEnd"/>
      <w:r w:rsidRPr="00847812">
        <w:rPr>
          <w:sz w:val="24"/>
          <w:szCs w:val="24"/>
        </w:rPr>
        <w:t>, 2005), 11-46.</w:t>
      </w:r>
    </w:p>
    <w:p w14:paraId="26988679" w14:textId="77777777" w:rsidR="00B37D8F" w:rsidRPr="00847812" w:rsidRDefault="00B37D8F" w:rsidP="00847812">
      <w:pPr>
        <w:pStyle w:val="FootnoteText"/>
        <w:ind w:hanging="720"/>
        <w:rPr>
          <w:sz w:val="24"/>
          <w:szCs w:val="24"/>
        </w:rPr>
      </w:pPr>
    </w:p>
    <w:p w14:paraId="4DFD220E" w14:textId="031055EC" w:rsidR="00B37D8F" w:rsidRPr="00847812" w:rsidRDefault="00B37D8F" w:rsidP="00847812">
      <w:pPr>
        <w:pStyle w:val="FootnoteText"/>
        <w:ind w:hanging="720"/>
        <w:rPr>
          <w:sz w:val="24"/>
          <w:szCs w:val="24"/>
        </w:rPr>
      </w:pPr>
      <w:proofErr w:type="spellStart"/>
      <w:r w:rsidRPr="00847812">
        <w:rPr>
          <w:sz w:val="24"/>
          <w:szCs w:val="24"/>
        </w:rPr>
        <w:t>Taracha</w:t>
      </w:r>
      <w:proofErr w:type="spellEnd"/>
      <w:r w:rsidRPr="00847812">
        <w:rPr>
          <w:sz w:val="24"/>
          <w:szCs w:val="24"/>
        </w:rPr>
        <w:t xml:space="preserve">, Piotr, </w:t>
      </w:r>
      <w:r w:rsidRPr="00847812">
        <w:rPr>
          <w:i/>
          <w:sz w:val="24"/>
          <w:szCs w:val="24"/>
        </w:rPr>
        <w:t xml:space="preserve">Religions of Second Millennium Anatolia </w:t>
      </w:r>
      <w:r w:rsidRPr="00847812">
        <w:rPr>
          <w:sz w:val="24"/>
          <w:szCs w:val="24"/>
        </w:rPr>
        <w:t xml:space="preserve">(Wiesbaden: </w:t>
      </w:r>
      <w:proofErr w:type="spellStart"/>
      <w:r w:rsidRPr="00847812">
        <w:rPr>
          <w:sz w:val="24"/>
          <w:szCs w:val="24"/>
        </w:rPr>
        <w:t>Harrassowitz</w:t>
      </w:r>
      <w:proofErr w:type="spellEnd"/>
      <w:r w:rsidRPr="00847812">
        <w:rPr>
          <w:sz w:val="24"/>
          <w:szCs w:val="24"/>
        </w:rPr>
        <w:t xml:space="preserve"> Verlag, 2009).</w:t>
      </w:r>
    </w:p>
    <w:p w14:paraId="24BCE241" w14:textId="77777777" w:rsidR="00B37D8F" w:rsidRPr="00847812" w:rsidRDefault="00B37D8F" w:rsidP="00847812">
      <w:pPr>
        <w:pStyle w:val="FootnoteText"/>
        <w:ind w:hanging="720"/>
        <w:rPr>
          <w:sz w:val="24"/>
          <w:szCs w:val="24"/>
        </w:rPr>
      </w:pPr>
    </w:p>
    <w:p w14:paraId="2569C479" w14:textId="4EFC244B" w:rsidR="00EF4B35" w:rsidRPr="00847812" w:rsidRDefault="00F5646F" w:rsidP="00847812">
      <w:pPr>
        <w:pStyle w:val="FootnoteText"/>
        <w:ind w:hanging="720"/>
        <w:rPr>
          <w:sz w:val="24"/>
          <w:szCs w:val="24"/>
        </w:rPr>
      </w:pPr>
      <w:proofErr w:type="spellStart"/>
      <w:r w:rsidRPr="00847812">
        <w:rPr>
          <w:sz w:val="24"/>
          <w:szCs w:val="24"/>
        </w:rPr>
        <w:t>Tiemeyer</w:t>
      </w:r>
      <w:proofErr w:type="spellEnd"/>
      <w:r w:rsidRPr="00847812">
        <w:rPr>
          <w:sz w:val="24"/>
          <w:szCs w:val="24"/>
        </w:rPr>
        <w:t>, Lena-Sofia</w:t>
      </w:r>
      <w:r w:rsidRPr="00847812">
        <w:rPr>
          <w:sz w:val="24"/>
          <w:szCs w:val="24"/>
        </w:rPr>
        <w:t>,</w:t>
      </w:r>
      <w:r w:rsidRPr="00847812">
        <w:rPr>
          <w:sz w:val="24"/>
          <w:szCs w:val="24"/>
        </w:rPr>
        <w:t xml:space="preserve"> ‘Prophecy as a Way of Cancelling Prophecy – The Strategic Uses of Foreknowledge’, </w:t>
      </w:r>
      <w:proofErr w:type="spellStart"/>
      <w:r w:rsidRPr="00847812">
        <w:rPr>
          <w:i/>
          <w:sz w:val="24"/>
          <w:szCs w:val="24"/>
        </w:rPr>
        <w:t>Zeitschrift</w:t>
      </w:r>
      <w:proofErr w:type="spellEnd"/>
      <w:r w:rsidRPr="00847812">
        <w:rPr>
          <w:i/>
          <w:sz w:val="24"/>
          <w:szCs w:val="24"/>
        </w:rPr>
        <w:t xml:space="preserve"> </w:t>
      </w:r>
      <w:proofErr w:type="spellStart"/>
      <w:r w:rsidRPr="00847812">
        <w:rPr>
          <w:i/>
          <w:sz w:val="24"/>
          <w:szCs w:val="24"/>
        </w:rPr>
        <w:t>für</w:t>
      </w:r>
      <w:proofErr w:type="spellEnd"/>
      <w:r w:rsidRPr="00847812">
        <w:rPr>
          <w:i/>
          <w:sz w:val="24"/>
          <w:szCs w:val="24"/>
        </w:rPr>
        <w:t xml:space="preserve"> die </w:t>
      </w:r>
      <w:proofErr w:type="spellStart"/>
      <w:r w:rsidRPr="00847812">
        <w:rPr>
          <w:i/>
          <w:sz w:val="24"/>
          <w:szCs w:val="24"/>
        </w:rPr>
        <w:t>Alttestamentliche</w:t>
      </w:r>
      <w:proofErr w:type="spellEnd"/>
      <w:r w:rsidRPr="00847812">
        <w:rPr>
          <w:i/>
          <w:sz w:val="24"/>
          <w:szCs w:val="24"/>
        </w:rPr>
        <w:t xml:space="preserve"> </w:t>
      </w:r>
      <w:proofErr w:type="spellStart"/>
      <w:r w:rsidRPr="00847812">
        <w:rPr>
          <w:i/>
          <w:sz w:val="24"/>
          <w:szCs w:val="24"/>
        </w:rPr>
        <w:t>Wissenschaft</w:t>
      </w:r>
      <w:proofErr w:type="spellEnd"/>
      <w:r w:rsidRPr="00847812">
        <w:rPr>
          <w:i/>
          <w:sz w:val="24"/>
          <w:szCs w:val="24"/>
        </w:rPr>
        <w:t xml:space="preserve">, </w:t>
      </w:r>
      <w:r w:rsidRPr="00847812">
        <w:rPr>
          <w:sz w:val="24"/>
          <w:szCs w:val="24"/>
        </w:rPr>
        <w:t>vol. 117, no. 3 (2005),</w:t>
      </w:r>
      <w:r w:rsidRPr="00847812">
        <w:rPr>
          <w:sz w:val="24"/>
          <w:szCs w:val="24"/>
        </w:rPr>
        <w:t xml:space="preserve"> 329-50.</w:t>
      </w:r>
    </w:p>
    <w:p w14:paraId="3C51661D" w14:textId="77777777" w:rsidR="00EF4B35" w:rsidRPr="00847812" w:rsidRDefault="00EF4B35" w:rsidP="00847812">
      <w:pPr>
        <w:pStyle w:val="FootnoteText"/>
        <w:ind w:hanging="720"/>
        <w:rPr>
          <w:sz w:val="24"/>
          <w:szCs w:val="24"/>
        </w:rPr>
      </w:pPr>
    </w:p>
    <w:p w14:paraId="5FC2E925" w14:textId="1FBF050D" w:rsidR="00142EEE" w:rsidRPr="00847812" w:rsidRDefault="00142EEE" w:rsidP="00847812">
      <w:pPr>
        <w:pStyle w:val="FootnoteText"/>
        <w:ind w:hanging="720"/>
        <w:rPr>
          <w:sz w:val="24"/>
          <w:szCs w:val="24"/>
        </w:rPr>
      </w:pPr>
      <w:proofErr w:type="spellStart"/>
      <w:r w:rsidRPr="00847812">
        <w:rPr>
          <w:sz w:val="24"/>
          <w:szCs w:val="24"/>
        </w:rPr>
        <w:t>Zamazalová</w:t>
      </w:r>
      <w:proofErr w:type="spellEnd"/>
      <w:r w:rsidRPr="00847812">
        <w:rPr>
          <w:sz w:val="24"/>
          <w:szCs w:val="24"/>
        </w:rPr>
        <w:t>,</w:t>
      </w:r>
      <w:r w:rsidR="00B37D8F" w:rsidRPr="00847812">
        <w:rPr>
          <w:sz w:val="24"/>
          <w:szCs w:val="24"/>
        </w:rPr>
        <w:t xml:space="preserve"> </w:t>
      </w:r>
      <w:proofErr w:type="spellStart"/>
      <w:r w:rsidR="00B37D8F" w:rsidRPr="00847812">
        <w:rPr>
          <w:sz w:val="24"/>
          <w:szCs w:val="24"/>
        </w:rPr>
        <w:t>Silvie</w:t>
      </w:r>
      <w:proofErr w:type="spellEnd"/>
      <w:r w:rsidR="00B37D8F" w:rsidRPr="00847812">
        <w:rPr>
          <w:sz w:val="24"/>
          <w:szCs w:val="24"/>
        </w:rPr>
        <w:t>,</w:t>
      </w:r>
      <w:r w:rsidRPr="00847812">
        <w:rPr>
          <w:sz w:val="24"/>
          <w:szCs w:val="24"/>
        </w:rPr>
        <w:t xml:space="preserve"> ‘The Education of Neo-Assyrian Princes’, in Karen Radner and Eleanor Robson (eds.), </w:t>
      </w:r>
      <w:r w:rsidRPr="00847812">
        <w:rPr>
          <w:i/>
          <w:sz w:val="24"/>
          <w:szCs w:val="24"/>
        </w:rPr>
        <w:t xml:space="preserve">The Oxford Handbook of Cuneiform Culture </w:t>
      </w:r>
      <w:r w:rsidRPr="00847812">
        <w:rPr>
          <w:sz w:val="24"/>
          <w:szCs w:val="24"/>
        </w:rPr>
        <w:t xml:space="preserve">(Oxford: Oxford University Press, 2011), </w:t>
      </w:r>
      <w:r w:rsidR="00B37D8F" w:rsidRPr="00847812">
        <w:rPr>
          <w:sz w:val="24"/>
          <w:szCs w:val="24"/>
        </w:rPr>
        <w:t>313-30.</w:t>
      </w:r>
    </w:p>
    <w:p w14:paraId="7E319817" w14:textId="77777777" w:rsidR="00B37D8F" w:rsidRPr="00847812" w:rsidRDefault="00B37D8F" w:rsidP="00847812">
      <w:pPr>
        <w:pStyle w:val="FootnoteText"/>
        <w:ind w:hanging="720"/>
        <w:rPr>
          <w:sz w:val="24"/>
          <w:szCs w:val="24"/>
        </w:rPr>
      </w:pPr>
    </w:p>
    <w:p w14:paraId="4AF00FAF" w14:textId="77777777" w:rsidR="00D722CE" w:rsidRPr="00847812" w:rsidRDefault="00D722CE" w:rsidP="00847812">
      <w:pPr>
        <w:ind w:hanging="720"/>
        <w:rPr>
          <w:bCs/>
          <w:lang w:val="en-US"/>
        </w:rPr>
      </w:pPr>
    </w:p>
    <w:p w14:paraId="65442824" w14:textId="77777777" w:rsidR="002D4503" w:rsidRPr="00847812" w:rsidRDefault="002D4503" w:rsidP="00847812">
      <w:pPr>
        <w:ind w:hanging="720"/>
      </w:pPr>
    </w:p>
    <w:sectPr w:rsidR="002D4503" w:rsidRPr="00847812" w:rsidSect="00F640C7">
      <w:headerReference w:type="default" r:id="rId11"/>
      <w:footerReference w:type="default" r:id="rId12"/>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4A044F" w14:textId="77777777" w:rsidR="008A65CB" w:rsidRDefault="008A65CB" w:rsidP="00D722CE">
      <w:r>
        <w:separator/>
      </w:r>
    </w:p>
  </w:endnote>
  <w:endnote w:type="continuationSeparator" w:id="0">
    <w:p w14:paraId="6DB9D549" w14:textId="77777777" w:rsidR="008A65CB" w:rsidRDefault="008A65CB" w:rsidP="00D72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inionPro-Regular">
    <w:altName w:val="Cambria"/>
    <w:panose1 w:val="00000000000000000000"/>
    <w:charset w:val="00"/>
    <w:family w:val="roman"/>
    <w:notTrueType/>
    <w:pitch w:val="default"/>
  </w:font>
  <w:font w:name="MinionPro-It">
    <w:altName w:val="Cambria"/>
    <w:panose1 w:val="00000000000000000000"/>
    <w:charset w:val="00"/>
    <w:family w:val="roman"/>
    <w:notTrueType/>
    <w:pitch w:val="default"/>
  </w:font>
  <w:font w:name="GentiumItalic">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6391F" w14:textId="77777777" w:rsidR="00460B33" w:rsidRPr="00337A70" w:rsidRDefault="00460B33">
    <w:pPr>
      <w:pStyle w:val="Footer"/>
      <w:rPr>
        <w:rFonts w:ascii="Trebuchet MS" w:hAnsi="Trebuchet MS"/>
        <w:sz w:val="18"/>
        <w:szCs w:val="18"/>
      </w:rPr>
    </w:pPr>
    <w:r w:rsidRPr="00337A70">
      <w:rPr>
        <w:rFonts w:ascii="Trebuchet MS" w:hAnsi="Trebuchet MS"/>
        <w:sz w:val="18"/>
        <w:szCs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8B76E" w14:textId="77777777" w:rsidR="00460B33" w:rsidRDefault="00460B33">
    <w:pPr>
      <w:pStyle w:val="Footer"/>
      <w:jc w:val="right"/>
    </w:pPr>
  </w:p>
  <w:p w14:paraId="4D51ECBF" w14:textId="77777777" w:rsidR="00460B33" w:rsidRPr="00337A70" w:rsidRDefault="00460B33">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A472C9" w14:textId="77777777" w:rsidR="008A65CB" w:rsidRDefault="008A65CB" w:rsidP="00D722CE">
      <w:r>
        <w:separator/>
      </w:r>
    </w:p>
  </w:footnote>
  <w:footnote w:type="continuationSeparator" w:id="0">
    <w:p w14:paraId="7E005421" w14:textId="77777777" w:rsidR="008A65CB" w:rsidRDefault="008A65CB" w:rsidP="00D722CE">
      <w:r>
        <w:continuationSeparator/>
      </w:r>
    </w:p>
  </w:footnote>
  <w:footnote w:id="1">
    <w:p w14:paraId="0E3442E4" w14:textId="47DC9EF0" w:rsidR="00460B33" w:rsidRPr="002849B9" w:rsidRDefault="00460B33">
      <w:pPr>
        <w:pStyle w:val="FootnoteText"/>
      </w:pPr>
      <w:r w:rsidRPr="002849B9">
        <w:rPr>
          <w:rStyle w:val="FootnoteReference"/>
        </w:rPr>
        <w:footnoteRef/>
      </w:r>
      <w:r w:rsidRPr="002849B9">
        <w:t xml:space="preserve"> Nicholas Campion, </w:t>
      </w:r>
      <w:r w:rsidRPr="002849B9">
        <w:rPr>
          <w:i/>
        </w:rPr>
        <w:t xml:space="preserve">Astrology and Cosmology in the World’s Religions </w:t>
      </w:r>
      <w:r w:rsidRPr="002849B9">
        <w:t>(New York: New York University Press, 2012), p. 10.</w:t>
      </w:r>
    </w:p>
  </w:footnote>
  <w:footnote w:id="2">
    <w:p w14:paraId="3D615D36" w14:textId="21B2B1BC" w:rsidR="00460B33" w:rsidRPr="002849B9" w:rsidRDefault="00460B33">
      <w:pPr>
        <w:pStyle w:val="FootnoteText"/>
      </w:pPr>
      <w:r w:rsidRPr="002849B9">
        <w:rPr>
          <w:rStyle w:val="FootnoteReference"/>
        </w:rPr>
        <w:footnoteRef/>
      </w:r>
      <w:r w:rsidRPr="002849B9">
        <w:t xml:space="preserve"> Terry Eagleton, </w:t>
      </w:r>
      <w:r w:rsidRPr="002849B9">
        <w:rPr>
          <w:i/>
        </w:rPr>
        <w:t xml:space="preserve">The Idea of Culture </w:t>
      </w:r>
      <w:r w:rsidRPr="002849B9">
        <w:t>(Oxford: Blackwell, 2000), p. 35.</w:t>
      </w:r>
    </w:p>
  </w:footnote>
  <w:footnote w:id="3">
    <w:p w14:paraId="506A0164" w14:textId="4D359C5D" w:rsidR="00460B33" w:rsidRPr="002849B9" w:rsidRDefault="00460B33">
      <w:pPr>
        <w:pStyle w:val="FootnoteText"/>
      </w:pPr>
      <w:r w:rsidRPr="002849B9">
        <w:rPr>
          <w:rStyle w:val="FootnoteReference"/>
        </w:rPr>
        <w:footnoteRef/>
      </w:r>
      <w:r w:rsidRPr="002849B9">
        <w:t xml:space="preserve"> David Brown, ‘Astral Divination in the Context of Mesopotamian Divination, Medicine, Religion, Magic, Society, and Scholarship’, </w:t>
      </w:r>
      <w:r w:rsidRPr="002849B9">
        <w:rPr>
          <w:i/>
        </w:rPr>
        <w:t>EASTM</w:t>
      </w:r>
      <w:r w:rsidRPr="002849B9">
        <w:t>, 25 (2006), p. 69.</w:t>
      </w:r>
    </w:p>
  </w:footnote>
  <w:footnote w:id="4">
    <w:p w14:paraId="7BC90EAC" w14:textId="3C7C600C" w:rsidR="00460B33" w:rsidRPr="002849B9" w:rsidRDefault="00460B33" w:rsidP="005452B4">
      <w:pPr>
        <w:pStyle w:val="FootnoteText"/>
      </w:pPr>
      <w:r w:rsidRPr="002849B9">
        <w:rPr>
          <w:rStyle w:val="FootnoteReference"/>
        </w:rPr>
        <w:footnoteRef/>
      </w:r>
      <w:r w:rsidRPr="002849B9">
        <w:t xml:space="preserve"> Brown, ‘Astral Divination’, pp. 70-2</w:t>
      </w:r>
      <w:r>
        <w:t>,</w:t>
      </w:r>
      <w:r w:rsidRPr="002A4751">
        <w:t xml:space="preserve"> </w:t>
      </w:r>
      <w:r>
        <w:t>e</w:t>
      </w:r>
      <w:r w:rsidRPr="002A4751">
        <w:t>xtant written sources span approximately three millennia prior to year 0</w:t>
      </w:r>
      <w:r>
        <w:t xml:space="preserve">, whilst </w:t>
      </w:r>
      <w:r w:rsidRPr="002849B9">
        <w:t xml:space="preserve">‘Mesopotamia’ is from </w:t>
      </w:r>
      <w:proofErr w:type="spellStart"/>
      <w:r w:rsidRPr="002849B9">
        <w:rPr>
          <w:i/>
        </w:rPr>
        <w:t>mesos</w:t>
      </w:r>
      <w:proofErr w:type="spellEnd"/>
      <w:r w:rsidRPr="002849B9">
        <w:t xml:space="preserve"> ‘between’ and </w:t>
      </w:r>
      <w:proofErr w:type="spellStart"/>
      <w:r w:rsidRPr="002849B9">
        <w:rPr>
          <w:i/>
        </w:rPr>
        <w:t>potamos</w:t>
      </w:r>
      <w:proofErr w:type="spellEnd"/>
      <w:r w:rsidRPr="002849B9">
        <w:rPr>
          <w:i/>
        </w:rPr>
        <w:t xml:space="preserve"> </w:t>
      </w:r>
      <w:r w:rsidRPr="002849B9">
        <w:t>‘river’, and so is etymologically ‘the land between the two rivers’ of the Tigris and the Euphrates.</w:t>
      </w:r>
    </w:p>
  </w:footnote>
  <w:footnote w:id="5">
    <w:p w14:paraId="6B44D916" w14:textId="77777777" w:rsidR="00460B33" w:rsidRPr="002849B9" w:rsidRDefault="00460B33" w:rsidP="005452B4">
      <w:pPr>
        <w:pStyle w:val="FootnoteText"/>
      </w:pPr>
      <w:r w:rsidRPr="002849B9">
        <w:rPr>
          <w:rStyle w:val="FootnoteReference"/>
        </w:rPr>
        <w:footnoteRef/>
      </w:r>
      <w:r w:rsidRPr="002849B9">
        <w:t xml:space="preserve"> Nicholas Campion, </w:t>
      </w:r>
      <w:r w:rsidRPr="002849B9">
        <w:rPr>
          <w:i/>
        </w:rPr>
        <w:t xml:space="preserve">A History of Western Astrology, Volume 1: The Ancient and Classical Worlds </w:t>
      </w:r>
      <w:r w:rsidRPr="002849B9">
        <w:t xml:space="preserve">(London: Continuum International, 2008; </w:t>
      </w:r>
      <w:proofErr w:type="spellStart"/>
      <w:r w:rsidRPr="002849B9">
        <w:t>repr</w:t>
      </w:r>
      <w:proofErr w:type="spellEnd"/>
      <w:r w:rsidRPr="002849B9">
        <w:t>. London: Bloomsbury Academic, 2013), p. 37.</w:t>
      </w:r>
    </w:p>
  </w:footnote>
  <w:footnote w:id="6">
    <w:p w14:paraId="1CEF7DC6" w14:textId="78A48DD2" w:rsidR="00460B33" w:rsidRPr="002849B9" w:rsidRDefault="00460B33">
      <w:pPr>
        <w:pStyle w:val="FootnoteText"/>
      </w:pPr>
      <w:r w:rsidRPr="002849B9">
        <w:rPr>
          <w:rStyle w:val="FootnoteReference"/>
        </w:rPr>
        <w:footnoteRef/>
      </w:r>
      <w:r w:rsidRPr="002849B9">
        <w:t xml:space="preserve"> Jeanette C. </w:t>
      </w:r>
      <w:proofErr w:type="spellStart"/>
      <w:r w:rsidRPr="002849B9">
        <w:t>Fincke</w:t>
      </w:r>
      <w:proofErr w:type="spellEnd"/>
      <w:r w:rsidRPr="002849B9">
        <w:t xml:space="preserve">, ‘The Babylonian Texts of Nineveh’, </w:t>
      </w:r>
      <w:proofErr w:type="spellStart"/>
      <w:r w:rsidR="00050484" w:rsidRPr="00050484">
        <w:rPr>
          <w:i/>
        </w:rPr>
        <w:t>Archiv</w:t>
      </w:r>
      <w:proofErr w:type="spellEnd"/>
      <w:r w:rsidR="00050484" w:rsidRPr="00050484">
        <w:rPr>
          <w:i/>
        </w:rPr>
        <w:t xml:space="preserve"> </w:t>
      </w:r>
      <w:proofErr w:type="spellStart"/>
      <w:r w:rsidR="00050484" w:rsidRPr="00050484">
        <w:rPr>
          <w:i/>
        </w:rPr>
        <w:t>für</w:t>
      </w:r>
      <w:proofErr w:type="spellEnd"/>
      <w:r w:rsidR="00050484" w:rsidRPr="00050484">
        <w:rPr>
          <w:i/>
        </w:rPr>
        <w:t xml:space="preserve"> </w:t>
      </w:r>
      <w:proofErr w:type="spellStart"/>
      <w:r w:rsidR="00050484" w:rsidRPr="00050484">
        <w:rPr>
          <w:i/>
        </w:rPr>
        <w:t>Orientforschung</w:t>
      </w:r>
      <w:proofErr w:type="spellEnd"/>
      <w:r w:rsidR="00050484" w:rsidRPr="00050484">
        <w:rPr>
          <w:i/>
        </w:rPr>
        <w:t xml:space="preserve">, </w:t>
      </w:r>
      <w:r w:rsidR="00050484" w:rsidRPr="00050484">
        <w:t>no. 50 (2003/4)</w:t>
      </w:r>
      <w:r w:rsidRPr="00050484">
        <w:t>,</w:t>
      </w:r>
      <w:r w:rsidRPr="002849B9">
        <w:t xml:space="preserve"> pp. 111-2. Neo-Assyrian’ is a term applied by modern academics studying the period, it was not used by Ashurbanipal or his contemporaries. In this essay it will be used to denote a time-period, rather than in a strictly geographical sense delineating between Babylon and Assyria as both were part of the Neo-Assyrian empire at this time. ‘Sargonid’ refers to Sargon II and his descendant rulers, including Ashurbanipal, Esarhaddon (Ashurbanipal’s father), and Sennacherib (Ashurbanipal’s grandfather, Sargon II’s son and successor).</w:t>
      </w:r>
      <w:r w:rsidRPr="002849B9">
        <w:rPr>
          <w:b/>
        </w:rPr>
        <w:t xml:space="preserve"> </w:t>
      </w:r>
    </w:p>
  </w:footnote>
  <w:footnote w:id="7">
    <w:p w14:paraId="21F93DFE" w14:textId="124D4B7A" w:rsidR="00460B33" w:rsidRPr="002849B9" w:rsidRDefault="00460B33" w:rsidP="00DF368B">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 113.</w:t>
      </w:r>
    </w:p>
  </w:footnote>
  <w:footnote w:id="8">
    <w:p w14:paraId="400337A7" w14:textId="1CC9679D" w:rsidR="00460B33" w:rsidRPr="002849B9" w:rsidRDefault="00460B33">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 113.</w:t>
      </w:r>
    </w:p>
  </w:footnote>
  <w:footnote w:id="9">
    <w:p w14:paraId="32204A77" w14:textId="492494A1" w:rsidR="00460B33" w:rsidRPr="002849B9" w:rsidRDefault="00460B33">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pp. 124 on acquisitions from ‘Assyrian and Babylonian private scholars’ almost solely relating to divinatory texts, 130 for discussion and table showing divinatory text numbers in detail.</w:t>
      </w:r>
    </w:p>
  </w:footnote>
  <w:footnote w:id="10">
    <w:p w14:paraId="4D9DB33C" w14:textId="395236A3" w:rsidR="00460B33" w:rsidRPr="002849B9" w:rsidRDefault="00460B33">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 112.</w:t>
      </w:r>
    </w:p>
  </w:footnote>
  <w:footnote w:id="11">
    <w:p w14:paraId="3EC064B6" w14:textId="2D5C4237" w:rsidR="00460B33" w:rsidRPr="002849B9" w:rsidRDefault="00460B33" w:rsidP="008C67A4">
      <w:pPr>
        <w:pStyle w:val="FootnoteText"/>
      </w:pPr>
      <w:r w:rsidRPr="002849B9">
        <w:rPr>
          <w:rStyle w:val="FootnoteReference"/>
        </w:rPr>
        <w:footnoteRef/>
      </w:r>
      <w:r w:rsidRPr="002849B9">
        <w:t xml:space="preserve"> </w:t>
      </w:r>
      <w:r w:rsidR="002D3360">
        <w:t xml:space="preserve">W.G. </w:t>
      </w:r>
      <w:r w:rsidRPr="002849B9">
        <w:t xml:space="preserve">Lambert, </w:t>
      </w:r>
      <w:r w:rsidRPr="002849B9">
        <w:rPr>
          <w:i/>
        </w:rPr>
        <w:t>Babylonian Oracle Questions</w:t>
      </w:r>
      <w:r w:rsidR="002D3360">
        <w:rPr>
          <w:i/>
        </w:rPr>
        <w:t xml:space="preserve"> </w:t>
      </w:r>
      <w:r w:rsidR="002D3360">
        <w:t xml:space="preserve">(Winona Lake, IN: </w:t>
      </w:r>
      <w:proofErr w:type="spellStart"/>
      <w:r w:rsidR="002D3360">
        <w:t>Eisenbrauns</w:t>
      </w:r>
      <w:proofErr w:type="spellEnd"/>
      <w:r w:rsidR="002D3360">
        <w:t>, 2007)</w:t>
      </w:r>
      <w:r w:rsidRPr="002849B9">
        <w:t xml:space="preserve">, p. 5. No equivalent word for ‘oracle’ or ‘omen’ exists in Akkadian or Sumerian, instead more specific words were given to each practice of divination.  </w:t>
      </w:r>
    </w:p>
  </w:footnote>
  <w:footnote w:id="12">
    <w:p w14:paraId="105ED59B" w14:textId="5C8F9BEC" w:rsidR="00460B33" w:rsidRPr="002849B9" w:rsidRDefault="00460B33">
      <w:pPr>
        <w:pStyle w:val="FootnoteText"/>
      </w:pPr>
      <w:r w:rsidRPr="002849B9">
        <w:rPr>
          <w:rStyle w:val="FootnoteReference"/>
        </w:rPr>
        <w:footnoteRef/>
      </w:r>
      <w:r w:rsidRPr="002849B9">
        <w:t xml:space="preserve"> </w:t>
      </w:r>
      <w:r w:rsidRPr="002849B9">
        <w:rPr>
          <w:i/>
        </w:rPr>
        <w:t xml:space="preserve">Myths from Mesopotamia: Creation, the Flood, Gilgamesh, and Others, </w:t>
      </w:r>
      <w:r w:rsidRPr="002849B9">
        <w:t xml:space="preserve">ed. and trans. with intro. and notes by Stephanie </w:t>
      </w:r>
      <w:proofErr w:type="spellStart"/>
      <w:r w:rsidRPr="002849B9">
        <w:t>Dalley</w:t>
      </w:r>
      <w:proofErr w:type="spellEnd"/>
      <w:r w:rsidRPr="002849B9">
        <w:t xml:space="preserve">, rev. edn (Oxford: Oxford University Press, 2000), ‘The Epic of Creation’, tablet I, p. 233; </w:t>
      </w:r>
      <w:r w:rsidRPr="002849B9">
        <w:rPr>
          <w:bCs/>
          <w:i/>
        </w:rPr>
        <w:t>Babylonian Creation Myths</w:t>
      </w:r>
      <w:r w:rsidRPr="002849B9">
        <w:rPr>
          <w:bCs/>
        </w:rPr>
        <w:t>, trans. by W.G. Lambert, ed. by Jerrold S. Cooper</w:t>
      </w:r>
      <w:r w:rsidRPr="002849B9">
        <w:rPr>
          <w:bCs/>
          <w:i/>
        </w:rPr>
        <w:t xml:space="preserve"> </w:t>
      </w:r>
      <w:r w:rsidRPr="002849B9">
        <w:rPr>
          <w:bCs/>
        </w:rPr>
        <w:t xml:space="preserve">(Winona Lake, IN: </w:t>
      </w:r>
      <w:proofErr w:type="spellStart"/>
      <w:r w:rsidRPr="002849B9">
        <w:rPr>
          <w:bCs/>
        </w:rPr>
        <w:t>Eisenbrauns</w:t>
      </w:r>
      <w:proofErr w:type="spellEnd"/>
      <w:r w:rsidRPr="002849B9">
        <w:rPr>
          <w:bCs/>
        </w:rPr>
        <w:t>, 2013)</w:t>
      </w:r>
      <w:r w:rsidRPr="002849B9">
        <w:rPr>
          <w:bCs/>
          <w:i/>
        </w:rPr>
        <w:t>,</w:t>
      </w:r>
      <w:r w:rsidRPr="002849B9">
        <w:t xml:space="preserve"> ‘</w:t>
      </w:r>
      <w:proofErr w:type="spellStart"/>
      <w:r w:rsidRPr="002849B9">
        <w:t>Enûma</w:t>
      </w:r>
      <w:proofErr w:type="spellEnd"/>
      <w:r w:rsidRPr="002849B9">
        <w:t xml:space="preserve"> </w:t>
      </w:r>
      <w:proofErr w:type="spellStart"/>
      <w:r w:rsidRPr="002849B9">
        <w:t>Eliš</w:t>
      </w:r>
      <w:proofErr w:type="spellEnd"/>
      <w:r w:rsidRPr="002849B9">
        <w:t xml:space="preserve">’, tablet I, l. 9, p. 51. The English translations of </w:t>
      </w:r>
      <w:proofErr w:type="spellStart"/>
      <w:r w:rsidRPr="002849B9">
        <w:t>Dalley</w:t>
      </w:r>
      <w:proofErr w:type="spellEnd"/>
      <w:r w:rsidRPr="002849B9">
        <w:t xml:space="preserve"> and Lambert will be referred to throughout and referenced accordingly.</w:t>
      </w:r>
    </w:p>
  </w:footnote>
  <w:footnote w:id="13">
    <w:p w14:paraId="27FFAB9F" w14:textId="5546F093" w:rsidR="00460B33" w:rsidRPr="002849B9" w:rsidRDefault="00460B33">
      <w:pPr>
        <w:pStyle w:val="FootnoteText"/>
      </w:pPr>
      <w:r w:rsidRPr="002849B9">
        <w:rPr>
          <w:rStyle w:val="FootnoteReference"/>
        </w:rPr>
        <w:footnoteRef/>
      </w:r>
      <w:r w:rsidRPr="002849B9">
        <w:t xml:space="preserve"> Harriet Crawford, </w:t>
      </w:r>
      <w:r w:rsidRPr="002849B9">
        <w:rPr>
          <w:i/>
        </w:rPr>
        <w:t xml:space="preserve">Sumer and the Sumerians, </w:t>
      </w:r>
      <w:r w:rsidRPr="002849B9">
        <w:t>2</w:t>
      </w:r>
      <w:r w:rsidRPr="002849B9">
        <w:rPr>
          <w:vertAlign w:val="superscript"/>
        </w:rPr>
        <w:t>nd</w:t>
      </w:r>
      <w:r w:rsidRPr="002849B9">
        <w:t xml:space="preserve"> edn (Cambridge: Cambridge University Press, 2004), p. 47.</w:t>
      </w:r>
    </w:p>
  </w:footnote>
  <w:footnote w:id="14">
    <w:p w14:paraId="0C6DF359" w14:textId="180A226C" w:rsidR="00460B33" w:rsidRPr="002849B9" w:rsidRDefault="00460B33">
      <w:pPr>
        <w:pStyle w:val="FootnoteText"/>
      </w:pPr>
      <w:r w:rsidRPr="002849B9">
        <w:rPr>
          <w:rStyle w:val="FootnoteReference"/>
        </w:rPr>
        <w:footnoteRef/>
      </w:r>
      <w:r w:rsidRPr="002849B9">
        <w:t xml:space="preserve"> Crawford, </w:t>
      </w:r>
      <w:r w:rsidRPr="002849B9">
        <w:rPr>
          <w:i/>
        </w:rPr>
        <w:t xml:space="preserve">Sumer, </w:t>
      </w:r>
      <w:r w:rsidRPr="002849B9">
        <w:t>pp. 47-8.</w:t>
      </w:r>
    </w:p>
  </w:footnote>
  <w:footnote w:id="15">
    <w:p w14:paraId="5F1AE696" w14:textId="7CAB13B9" w:rsidR="00460B33" w:rsidRPr="002849B9" w:rsidRDefault="00460B33">
      <w:pPr>
        <w:pStyle w:val="FootnoteText"/>
      </w:pPr>
      <w:r w:rsidRPr="002849B9">
        <w:rPr>
          <w:rStyle w:val="FootnoteReference"/>
        </w:rPr>
        <w:footnoteRef/>
      </w:r>
      <w:r w:rsidRPr="002849B9">
        <w:t xml:space="preserve"> Freya Mathews, </w:t>
      </w:r>
      <w:r w:rsidRPr="002849B9">
        <w:rPr>
          <w:i/>
        </w:rPr>
        <w:t xml:space="preserve">The Ecological Self </w:t>
      </w:r>
      <w:r w:rsidRPr="002849B9">
        <w:t>(London: Routledge, 1991), p. 5.</w:t>
      </w:r>
    </w:p>
  </w:footnote>
  <w:footnote w:id="16">
    <w:p w14:paraId="6AB5ACD1" w14:textId="043F18E2" w:rsidR="00460B33" w:rsidRPr="002849B9" w:rsidRDefault="00460B33">
      <w:pPr>
        <w:pStyle w:val="FootnoteText"/>
      </w:pPr>
      <w:r w:rsidRPr="002849B9">
        <w:rPr>
          <w:rStyle w:val="FootnoteReference"/>
        </w:rPr>
        <w:footnoteRef/>
      </w:r>
      <w:r w:rsidRPr="002849B9">
        <w:t xml:space="preserve"> A. Kirk Grayson and Jamie Novotny, </w:t>
      </w:r>
      <w:r w:rsidRPr="002849B9">
        <w:rPr>
          <w:i/>
        </w:rPr>
        <w:t xml:space="preserve">The Royal Inscriptions of Sennacherib, King of Assyria (704-681 BC), Part 2 </w:t>
      </w:r>
      <w:r w:rsidRPr="002849B9">
        <w:t xml:space="preserve">(Winona Lake, IN: </w:t>
      </w:r>
      <w:proofErr w:type="spellStart"/>
      <w:r w:rsidRPr="002849B9">
        <w:t>Eisenbrauns</w:t>
      </w:r>
      <w:proofErr w:type="spellEnd"/>
      <w:r w:rsidRPr="002849B9">
        <w:t>, 2014),</w:t>
      </w:r>
      <w:r>
        <w:t xml:space="preserve"> ‘Sennacherib 46’, pp. 74 for provenance, 87-8 ll. 154b-156 for canal construction, 88 ll. 157-60a for using waterflow to bring fertility to Nineveh.</w:t>
      </w:r>
    </w:p>
  </w:footnote>
  <w:footnote w:id="17">
    <w:p w14:paraId="6026B614" w14:textId="64D2DF90" w:rsidR="00460B33" w:rsidRPr="002849B9" w:rsidRDefault="00460B33">
      <w:pPr>
        <w:pStyle w:val="FootnoteText"/>
      </w:pPr>
      <w:r w:rsidRPr="002849B9">
        <w:rPr>
          <w:rStyle w:val="FootnoteReference"/>
        </w:rPr>
        <w:footnoteRef/>
      </w:r>
      <w:r w:rsidRPr="002849B9">
        <w:t xml:space="preserve"> Grayson and Novotny, </w:t>
      </w:r>
      <w:r w:rsidRPr="002849B9">
        <w:rPr>
          <w:i/>
        </w:rPr>
        <w:t xml:space="preserve">Inscriptions of Sennacherib 2, </w:t>
      </w:r>
      <w:r w:rsidRPr="002849B9">
        <w:t>‘Sennacherib 153: K 100’, rev. 4b-9, p. 211.</w:t>
      </w:r>
    </w:p>
  </w:footnote>
  <w:footnote w:id="18">
    <w:p w14:paraId="662C792D" w14:textId="43ACAC50" w:rsidR="00460B33" w:rsidRPr="002849B9" w:rsidRDefault="00460B33">
      <w:pPr>
        <w:pStyle w:val="FootnoteText"/>
      </w:pPr>
      <w:r w:rsidRPr="002849B9">
        <w:rPr>
          <w:rStyle w:val="FootnoteReference"/>
        </w:rPr>
        <w:footnoteRef/>
      </w:r>
      <w:r w:rsidRPr="002849B9">
        <w:t xml:space="preserve"> </w:t>
      </w:r>
      <w:r w:rsidRPr="002849B9">
        <w:rPr>
          <w:bCs/>
          <w:i/>
        </w:rPr>
        <w:t>Myths from Mesopotamia,</w:t>
      </w:r>
      <w:r w:rsidRPr="002849B9">
        <w:t xml:space="preserve"> ‘The Epic of Creation’, tablet I, p. 233</w:t>
      </w:r>
      <w:r>
        <w:t xml:space="preserve">; </w:t>
      </w:r>
      <w:r w:rsidRPr="002849B9">
        <w:rPr>
          <w:bCs/>
          <w:i/>
        </w:rPr>
        <w:t>Babylonian Creation Myths</w:t>
      </w:r>
      <w:r w:rsidRPr="002849B9">
        <w:rPr>
          <w:bCs/>
        </w:rPr>
        <w:t xml:space="preserve">, </w:t>
      </w:r>
      <w:r w:rsidRPr="002849B9">
        <w:t>‘</w:t>
      </w:r>
      <w:proofErr w:type="spellStart"/>
      <w:r w:rsidRPr="002849B9">
        <w:t>Enûma</w:t>
      </w:r>
      <w:proofErr w:type="spellEnd"/>
      <w:r w:rsidRPr="002849B9">
        <w:t xml:space="preserve"> </w:t>
      </w:r>
      <w:proofErr w:type="spellStart"/>
      <w:r w:rsidRPr="002849B9">
        <w:t>Eliš</w:t>
      </w:r>
      <w:proofErr w:type="spellEnd"/>
      <w:r w:rsidRPr="002849B9">
        <w:t>’, tablet I, ll. 1-2, p. 51.</w:t>
      </w:r>
    </w:p>
  </w:footnote>
  <w:footnote w:id="19">
    <w:p w14:paraId="76D58655" w14:textId="67853B3A" w:rsidR="00460B33" w:rsidRPr="002849B9" w:rsidRDefault="00460B33">
      <w:pPr>
        <w:pStyle w:val="FootnoteText"/>
      </w:pPr>
      <w:r w:rsidRPr="002849B9">
        <w:rPr>
          <w:rStyle w:val="FootnoteReference"/>
        </w:rPr>
        <w:footnoteRef/>
      </w:r>
      <w:r w:rsidRPr="002849B9">
        <w:t xml:space="preserve"> </w:t>
      </w:r>
      <w:r w:rsidRPr="002849B9">
        <w:rPr>
          <w:bCs/>
          <w:i/>
        </w:rPr>
        <w:t>Myths from Mesopotamia,</w:t>
      </w:r>
      <w:r w:rsidRPr="002849B9">
        <w:t xml:space="preserve"> ‘The Epic of Creation’, tablet I, p. 233.</w:t>
      </w:r>
    </w:p>
  </w:footnote>
  <w:footnote w:id="20">
    <w:p w14:paraId="52EC956B" w14:textId="7319F703" w:rsidR="00460B33" w:rsidRPr="002849B9" w:rsidRDefault="00460B33">
      <w:pPr>
        <w:pStyle w:val="FootnoteText"/>
      </w:pPr>
      <w:r w:rsidRPr="002849B9">
        <w:rPr>
          <w:rStyle w:val="FootnoteReference"/>
        </w:rPr>
        <w:footnoteRef/>
      </w:r>
      <w:r w:rsidRPr="002849B9">
        <w:t xml:space="preserve"> </w:t>
      </w:r>
      <w:r w:rsidRPr="002849B9">
        <w:rPr>
          <w:bCs/>
          <w:i/>
        </w:rPr>
        <w:t>Babylonian Creation Myths</w:t>
      </w:r>
      <w:r w:rsidRPr="002849B9">
        <w:rPr>
          <w:bCs/>
        </w:rPr>
        <w:t xml:space="preserve">, </w:t>
      </w:r>
      <w:r w:rsidRPr="002849B9">
        <w:t>‘</w:t>
      </w:r>
      <w:proofErr w:type="spellStart"/>
      <w:r w:rsidRPr="002849B9">
        <w:t>Enûma</w:t>
      </w:r>
      <w:proofErr w:type="spellEnd"/>
      <w:r w:rsidRPr="002849B9">
        <w:t xml:space="preserve"> </w:t>
      </w:r>
      <w:proofErr w:type="spellStart"/>
      <w:r w:rsidRPr="002849B9">
        <w:t>Eliš</w:t>
      </w:r>
      <w:proofErr w:type="spellEnd"/>
      <w:r w:rsidRPr="002849B9">
        <w:t>’, tablet I, ll. 10, 12, p. 51.</w:t>
      </w:r>
    </w:p>
  </w:footnote>
  <w:footnote w:id="21">
    <w:p w14:paraId="318D9126" w14:textId="6D135316" w:rsidR="00460B33" w:rsidRDefault="00460B33">
      <w:pPr>
        <w:pStyle w:val="FootnoteText"/>
      </w:pPr>
      <w:r>
        <w:rPr>
          <w:rStyle w:val="FootnoteReference"/>
        </w:rPr>
        <w:footnoteRef/>
      </w:r>
      <w:r>
        <w:t xml:space="preserve"> </w:t>
      </w:r>
      <w:r w:rsidRPr="002849B9">
        <w:rPr>
          <w:bCs/>
          <w:i/>
        </w:rPr>
        <w:t>Myths from Mesopotamia,</w:t>
      </w:r>
      <w:r w:rsidRPr="002849B9">
        <w:t xml:space="preserve"> ‘The Epic of Creation’, tablet I, p. 233; </w:t>
      </w:r>
      <w:r w:rsidRPr="002849B9">
        <w:rPr>
          <w:bCs/>
          <w:i/>
        </w:rPr>
        <w:t>Babylonian Creation Myths</w:t>
      </w:r>
      <w:r w:rsidRPr="002849B9">
        <w:rPr>
          <w:bCs/>
        </w:rPr>
        <w:t xml:space="preserve">, </w:t>
      </w:r>
      <w:r w:rsidRPr="002849B9">
        <w:t>‘</w:t>
      </w:r>
      <w:proofErr w:type="spellStart"/>
      <w:r w:rsidRPr="002849B9">
        <w:t>Enûma</w:t>
      </w:r>
      <w:proofErr w:type="spellEnd"/>
      <w:r w:rsidRPr="002849B9">
        <w:t xml:space="preserve"> </w:t>
      </w:r>
      <w:proofErr w:type="spellStart"/>
      <w:r w:rsidRPr="002849B9">
        <w:t>Eliš</w:t>
      </w:r>
      <w:proofErr w:type="spellEnd"/>
      <w:r w:rsidRPr="002849B9">
        <w:t>’, tablet I, ll. 10-13, p. 51.</w:t>
      </w:r>
    </w:p>
  </w:footnote>
  <w:footnote w:id="22">
    <w:p w14:paraId="3BEFD1CF" w14:textId="767DD95E" w:rsidR="00460B33" w:rsidRPr="002849B9" w:rsidRDefault="00460B33">
      <w:pPr>
        <w:pStyle w:val="FootnoteText"/>
      </w:pPr>
      <w:r w:rsidRPr="002849B9">
        <w:rPr>
          <w:rStyle w:val="FootnoteReference"/>
        </w:rPr>
        <w:footnoteRef/>
      </w:r>
      <w:r w:rsidRPr="002849B9">
        <w:t xml:space="preserve"> Plato, </w:t>
      </w:r>
      <w:proofErr w:type="spellStart"/>
      <w:r w:rsidRPr="002849B9">
        <w:rPr>
          <w:i/>
        </w:rPr>
        <w:t>Cratylus</w:t>
      </w:r>
      <w:proofErr w:type="spellEnd"/>
      <w:r w:rsidRPr="002849B9">
        <w:t xml:space="preserve">, trans. by Harold North Fowler (LCL 167. Cambridge, MA: Harvard University Press, 1926), </w:t>
      </w:r>
      <w:r w:rsidRPr="001E1F63">
        <w:t>389A(9)-390</w:t>
      </w:r>
      <w:proofErr w:type="gramStart"/>
      <w:r w:rsidRPr="001E1F63">
        <w:t>B(</w:t>
      </w:r>
      <w:proofErr w:type="gramEnd"/>
      <w:r w:rsidRPr="001E1F63">
        <w:t>10) pp. 25-9.</w:t>
      </w:r>
    </w:p>
  </w:footnote>
  <w:footnote w:id="23">
    <w:p w14:paraId="07EFB67E" w14:textId="7812D483" w:rsidR="00460B33" w:rsidRPr="002849B9" w:rsidRDefault="00460B33">
      <w:pPr>
        <w:pStyle w:val="FootnoteText"/>
      </w:pPr>
      <w:r w:rsidRPr="002849B9">
        <w:rPr>
          <w:rStyle w:val="FootnoteReference"/>
        </w:rPr>
        <w:footnoteRef/>
      </w:r>
      <w:r w:rsidRPr="002849B9">
        <w:t xml:space="preserve"> Plato, </w:t>
      </w:r>
      <w:proofErr w:type="spellStart"/>
      <w:r w:rsidRPr="002849B9">
        <w:rPr>
          <w:i/>
        </w:rPr>
        <w:t>Cratylus</w:t>
      </w:r>
      <w:proofErr w:type="spellEnd"/>
      <w:r w:rsidRPr="002849B9">
        <w:rPr>
          <w:i/>
        </w:rPr>
        <w:t>,</w:t>
      </w:r>
      <w:r w:rsidRPr="002849B9">
        <w:t xml:space="preserve"> ‘a name is…an instrument of teaching and of separating reality’ </w:t>
      </w:r>
      <w:r w:rsidRPr="001E1F63">
        <w:t>388</w:t>
      </w:r>
      <w:proofErr w:type="gramStart"/>
      <w:r w:rsidRPr="001E1F63">
        <w:t>C(</w:t>
      </w:r>
      <w:proofErr w:type="gramEnd"/>
      <w:r w:rsidRPr="001E1F63">
        <w:t>8</w:t>
      </w:r>
      <w:r w:rsidRPr="002849B9">
        <w:t xml:space="preserve">), p. 23, naming as the remit of the skilled ‘lawmaker’ </w:t>
      </w:r>
      <w:r w:rsidRPr="001E1F63">
        <w:t>388D(8)-390A(9), pp. 25-</w:t>
      </w:r>
      <w:r w:rsidR="00907147">
        <w:t>9.</w:t>
      </w:r>
    </w:p>
  </w:footnote>
  <w:footnote w:id="24">
    <w:p w14:paraId="1B8D49E4" w14:textId="532AADD5" w:rsidR="00460B33" w:rsidRPr="002849B9" w:rsidRDefault="00460B33">
      <w:pPr>
        <w:pStyle w:val="FootnoteText"/>
      </w:pPr>
      <w:r w:rsidRPr="002849B9">
        <w:rPr>
          <w:rStyle w:val="FootnoteReference"/>
        </w:rPr>
        <w:footnoteRef/>
      </w:r>
      <w:r w:rsidRPr="002849B9">
        <w:t xml:space="preserve"> Scott B. </w:t>
      </w:r>
      <w:proofErr w:type="spellStart"/>
      <w:r w:rsidRPr="002849B9">
        <w:t>Noegel</w:t>
      </w:r>
      <w:proofErr w:type="spellEnd"/>
      <w:r w:rsidRPr="002849B9">
        <w:t xml:space="preserve">, ‘“Sign, Sign, Everywhere a Sign”: Script, Power and Interpretation in the Ancient Near East’, in </w:t>
      </w:r>
      <w:r w:rsidRPr="002849B9">
        <w:rPr>
          <w:i/>
        </w:rPr>
        <w:t xml:space="preserve">Divination and Interpretation of Signs in the Ancient World, </w:t>
      </w:r>
      <w:r w:rsidRPr="002849B9">
        <w:t xml:space="preserve">ed. by Amar </w:t>
      </w:r>
      <w:proofErr w:type="spellStart"/>
      <w:r w:rsidRPr="002849B9">
        <w:t>Annus</w:t>
      </w:r>
      <w:proofErr w:type="spellEnd"/>
      <w:r w:rsidRPr="002849B9">
        <w:t xml:space="preserve"> (Chicago, IL: The Oriental Institute of the University of Chicago, 2010), p. 147, the term ‘</w:t>
      </w:r>
      <w:proofErr w:type="spellStart"/>
      <w:r w:rsidRPr="002849B9">
        <w:t>purussû</w:t>
      </w:r>
      <w:proofErr w:type="spellEnd"/>
      <w:r w:rsidRPr="002849B9">
        <w:t xml:space="preserve">’ used by diviners which legally refers to ‘legal decision’ or ‘verdict’; Francesca </w:t>
      </w:r>
      <w:proofErr w:type="spellStart"/>
      <w:r w:rsidRPr="002849B9">
        <w:t>Rochberg</w:t>
      </w:r>
      <w:proofErr w:type="spellEnd"/>
      <w:r w:rsidRPr="002849B9">
        <w:t xml:space="preserve">, ‘Empiricism in Babylonian Omen Texts and the Classification of Mesopotamian Divination as Science’, </w:t>
      </w:r>
      <w:r w:rsidRPr="002849B9">
        <w:rPr>
          <w:i/>
        </w:rPr>
        <w:t xml:space="preserve">Journal of the American Oriental Society, </w:t>
      </w:r>
      <w:r w:rsidRPr="002849B9">
        <w:t xml:space="preserve">vol. 119, no. 4 (1999), p. 566, discussing the ‘lawlike appearance’ of ‘if/whenever </w:t>
      </w:r>
      <w:r w:rsidRPr="002849B9">
        <w:rPr>
          <w:i/>
        </w:rPr>
        <w:t xml:space="preserve">x </w:t>
      </w:r>
      <w:r w:rsidRPr="002849B9">
        <w:t xml:space="preserve">then </w:t>
      </w:r>
      <w:r w:rsidRPr="002849B9">
        <w:rPr>
          <w:i/>
        </w:rPr>
        <w:t>y</w:t>
      </w:r>
      <w:r w:rsidRPr="002849B9">
        <w:t>’</w:t>
      </w:r>
      <w:r w:rsidRPr="002849B9">
        <w:rPr>
          <w:i/>
        </w:rPr>
        <w:t xml:space="preserve"> </w:t>
      </w:r>
      <w:r w:rsidRPr="002849B9">
        <w:t>(protasis and apodosis) in divinatory texts.</w:t>
      </w:r>
    </w:p>
  </w:footnote>
  <w:footnote w:id="25">
    <w:p w14:paraId="33F6AA2D" w14:textId="455C4971" w:rsidR="00460B33" w:rsidRPr="002849B9" w:rsidRDefault="00460B33" w:rsidP="00051EFB">
      <w:pPr>
        <w:pStyle w:val="FootnoteText"/>
      </w:pPr>
      <w:r w:rsidRPr="002849B9">
        <w:rPr>
          <w:rStyle w:val="FootnoteReference"/>
        </w:rPr>
        <w:footnoteRef/>
      </w:r>
      <w:r w:rsidRPr="002849B9">
        <w:t xml:space="preserve"> Grayson and Novotny, </w:t>
      </w:r>
      <w:r w:rsidRPr="002849B9">
        <w:rPr>
          <w:i/>
        </w:rPr>
        <w:t xml:space="preserve">Inscriptions of Sennacherib 2, </w:t>
      </w:r>
      <w:r w:rsidRPr="002849B9">
        <w:t xml:space="preserve">‘Sennacherib 153: K 100’, p. 210. In the </w:t>
      </w:r>
      <w:proofErr w:type="spellStart"/>
      <w:r w:rsidRPr="002849B9">
        <w:rPr>
          <w:i/>
        </w:rPr>
        <w:t>Enûma</w:t>
      </w:r>
      <w:proofErr w:type="spellEnd"/>
      <w:r w:rsidRPr="002849B9">
        <w:rPr>
          <w:i/>
        </w:rPr>
        <w:t xml:space="preserve"> </w:t>
      </w:r>
      <w:proofErr w:type="spellStart"/>
      <w:r w:rsidRPr="002849B9">
        <w:rPr>
          <w:i/>
        </w:rPr>
        <w:t>Eliš</w:t>
      </w:r>
      <w:proofErr w:type="spellEnd"/>
      <w:r w:rsidRPr="002849B9">
        <w:rPr>
          <w:i/>
        </w:rPr>
        <w:t>,</w:t>
      </w:r>
      <w:r w:rsidRPr="002849B9">
        <w:t xml:space="preserve"> </w:t>
      </w:r>
      <w:proofErr w:type="spellStart"/>
      <w:r w:rsidRPr="002849B9">
        <w:t>Enbilulu</w:t>
      </w:r>
      <w:proofErr w:type="spellEnd"/>
      <w:r w:rsidRPr="002849B9">
        <w:rPr>
          <w:i/>
        </w:rPr>
        <w:t xml:space="preserve"> </w:t>
      </w:r>
      <w:r w:rsidRPr="002849B9">
        <w:t>supervises canals (</w:t>
      </w:r>
      <w:r w:rsidRPr="002849B9">
        <w:rPr>
          <w:bCs/>
          <w:i/>
        </w:rPr>
        <w:t>Myths from Mesopotamia,</w:t>
      </w:r>
      <w:r w:rsidRPr="002849B9">
        <w:t xml:space="preserve"> ‘The Epic of Creation’, tablet VII, pp. 269-70; </w:t>
      </w:r>
      <w:r w:rsidRPr="002849B9">
        <w:rPr>
          <w:i/>
        </w:rPr>
        <w:t xml:space="preserve">Babylonian Creation Myths, </w:t>
      </w:r>
      <w:r w:rsidRPr="002849B9">
        <w:t>‘</w:t>
      </w:r>
      <w:proofErr w:type="spellStart"/>
      <w:r w:rsidRPr="002849B9">
        <w:t>Enûma</w:t>
      </w:r>
      <w:proofErr w:type="spellEnd"/>
      <w:r w:rsidRPr="002849B9">
        <w:t xml:space="preserve"> </w:t>
      </w:r>
      <w:proofErr w:type="spellStart"/>
      <w:r w:rsidRPr="002849B9">
        <w:t>Eliš</w:t>
      </w:r>
      <w:proofErr w:type="spellEnd"/>
      <w:r w:rsidRPr="002849B9">
        <w:t>’, tablet VII, ll. 57-69, pp. 127, 129) but it has been shown that Adad also held this title. The authors denote Adad ‘well known as the divine</w:t>
      </w:r>
      <w:proofErr w:type="gramStart"/>
      <w:r w:rsidRPr="002849B9">
        <w:t>…”canal</w:t>
      </w:r>
      <w:proofErr w:type="gramEnd"/>
      <w:r w:rsidRPr="002849B9">
        <w:t xml:space="preserve">-inspector” in A.R. George and Junko Taniguchi with a contribution by M.J. Geller, ‘The Dogs of </w:t>
      </w:r>
      <w:proofErr w:type="spellStart"/>
      <w:r w:rsidRPr="002849B9">
        <w:t>Ninkilim</w:t>
      </w:r>
      <w:proofErr w:type="spellEnd"/>
      <w:r w:rsidRPr="002849B9">
        <w:t xml:space="preserve">, Part Two: Babylonian Rituals to Counter Field Pests’, </w:t>
      </w:r>
      <w:r w:rsidRPr="002849B9">
        <w:rPr>
          <w:i/>
        </w:rPr>
        <w:t xml:space="preserve">Iraq, </w:t>
      </w:r>
      <w:r w:rsidRPr="002849B9">
        <w:t xml:space="preserve">vol. 72 (2010), footnote 6, p. 89. </w:t>
      </w:r>
      <w:proofErr w:type="spellStart"/>
      <w:r w:rsidRPr="002849B9">
        <w:t>Enbilulu</w:t>
      </w:r>
      <w:proofErr w:type="spellEnd"/>
      <w:r w:rsidRPr="002849B9">
        <w:t xml:space="preserve"> is syncretistic with ‘Adad of Babylon’ in KAR142, rev. iii, l. 19 (quoted in: </w:t>
      </w:r>
      <w:proofErr w:type="spellStart"/>
      <w:r w:rsidRPr="002849B9">
        <w:t>Thorkild</w:t>
      </w:r>
      <w:proofErr w:type="spellEnd"/>
      <w:r w:rsidRPr="002849B9">
        <w:t xml:space="preserve"> Jacobsen, </w:t>
      </w:r>
      <w:r w:rsidRPr="002849B9">
        <w:rPr>
          <w:i/>
        </w:rPr>
        <w:t xml:space="preserve">Toward the Image of Tammuz and Other Essays on Mesopotamian History and Culture, </w:t>
      </w:r>
      <w:r w:rsidRPr="002849B9">
        <w:t>ed. by William L. Moran (Cambridge, MA: Harvard University Press, 1970), note 24, p. 339).</w:t>
      </w:r>
    </w:p>
  </w:footnote>
  <w:footnote w:id="26">
    <w:p w14:paraId="5EE2B2E2" w14:textId="45A4926F" w:rsidR="00460B33" w:rsidRPr="002849B9" w:rsidRDefault="00460B33">
      <w:pPr>
        <w:pStyle w:val="FootnoteText"/>
      </w:pPr>
      <w:r w:rsidRPr="002849B9">
        <w:rPr>
          <w:rStyle w:val="FootnoteReference"/>
        </w:rPr>
        <w:footnoteRef/>
      </w:r>
      <w:r w:rsidRPr="002849B9">
        <w:t xml:space="preserve"> W.H. van </w:t>
      </w:r>
      <w:proofErr w:type="spellStart"/>
      <w:r w:rsidRPr="002849B9">
        <w:t>Soldt</w:t>
      </w:r>
      <w:proofErr w:type="spellEnd"/>
      <w:r w:rsidRPr="002849B9">
        <w:t xml:space="preserve">. </w:t>
      </w:r>
      <w:r w:rsidRPr="002849B9">
        <w:rPr>
          <w:i/>
        </w:rPr>
        <w:t xml:space="preserve">Solar Omens of Enuma Anu Enlil: Tablets 23 (24)-29 (30) </w:t>
      </w:r>
      <w:r w:rsidRPr="002849B9">
        <w:t xml:space="preserve">(Leiden: </w:t>
      </w:r>
      <w:proofErr w:type="spellStart"/>
      <w:r w:rsidRPr="002849B9">
        <w:t>Nederlands</w:t>
      </w:r>
      <w:proofErr w:type="spellEnd"/>
      <w:r w:rsidRPr="002849B9">
        <w:t xml:space="preserve"> </w:t>
      </w:r>
      <w:proofErr w:type="spellStart"/>
      <w:r w:rsidRPr="002849B9">
        <w:t>Historisch-Archaeologisch</w:t>
      </w:r>
      <w:proofErr w:type="spellEnd"/>
      <w:r w:rsidRPr="002849B9">
        <w:t xml:space="preserve"> </w:t>
      </w:r>
      <w:proofErr w:type="spellStart"/>
      <w:r w:rsidRPr="002849B9">
        <w:t>Instituut</w:t>
      </w:r>
      <w:proofErr w:type="spellEnd"/>
      <w:r w:rsidRPr="002849B9">
        <w:t xml:space="preserve"> </w:t>
      </w:r>
      <w:proofErr w:type="spellStart"/>
      <w:r w:rsidRPr="002849B9">
        <w:t>Te</w:t>
      </w:r>
      <w:proofErr w:type="spellEnd"/>
      <w:r w:rsidRPr="002849B9">
        <w:t xml:space="preserve"> Istanbul, 1995), 128f, ll. iii 66-7. </w:t>
      </w:r>
    </w:p>
  </w:footnote>
  <w:footnote w:id="27">
    <w:p w14:paraId="599E254A" w14:textId="19F163A9" w:rsidR="00460B33" w:rsidRPr="002849B9" w:rsidRDefault="00460B33">
      <w:pPr>
        <w:pStyle w:val="FootnoteText"/>
      </w:pPr>
      <w:r w:rsidRPr="002849B9">
        <w:rPr>
          <w:rStyle w:val="FootnoteReference"/>
        </w:rPr>
        <w:footnoteRef/>
      </w:r>
      <w:r w:rsidRPr="002849B9">
        <w:t xml:space="preserve"> George and Taniguchi with Geller, ‘The Dogs of </w:t>
      </w:r>
      <w:proofErr w:type="spellStart"/>
      <w:r w:rsidRPr="002849B9">
        <w:t>Ninkilim</w:t>
      </w:r>
      <w:proofErr w:type="spellEnd"/>
      <w:r w:rsidRPr="002849B9">
        <w:t>, 2’, ‘No. 4: K4456+5897+11709’, ll. 6 ‘[who] props up canal-inspectors, (such) as you’, 2 ‘life of the land’, 1 and 11 ‘king of plenty’, p. 89.</w:t>
      </w:r>
    </w:p>
  </w:footnote>
  <w:footnote w:id="28">
    <w:p w14:paraId="59558396" w14:textId="2AE9FCA6" w:rsidR="00460B33" w:rsidRPr="002849B9" w:rsidRDefault="00460B33" w:rsidP="00F55A37">
      <w:pPr>
        <w:pStyle w:val="FootnoteText"/>
        <w:rPr>
          <w:b/>
          <w:i/>
        </w:rPr>
      </w:pPr>
      <w:r w:rsidRPr="002849B9">
        <w:rPr>
          <w:rStyle w:val="FootnoteReference"/>
        </w:rPr>
        <w:footnoteRef/>
      </w:r>
      <w:r w:rsidRPr="002849B9">
        <w:t xml:space="preserve"> ‘Q003710: Ashurbanipal 011’, trans. by Jamie Novotny and Joshua Jeffers, </w:t>
      </w:r>
      <w:r w:rsidRPr="002849B9">
        <w:rPr>
          <w:i/>
        </w:rPr>
        <w:t xml:space="preserve">The Official Inscriptions of the Middle East in Antiquity (OIMEA) Project and the Royal Inscriptions of the Neo-Assyrian Period (RINAP) Project </w:t>
      </w:r>
      <w:r w:rsidRPr="002849B9">
        <w:t>(2015-7), &lt;</w:t>
      </w:r>
      <w:hyperlink r:id="rId1" w:history="1">
        <w:r w:rsidRPr="00907147">
          <w:rPr>
            <w:rStyle w:val="Hyperlink"/>
            <w:color w:val="000000" w:themeColor="text1"/>
          </w:rPr>
          <w:t>http://oracc.iaas.upenn.edu/rinap/rinap5/Q003708/html</w:t>
        </w:r>
      </w:hyperlink>
      <w:r w:rsidRPr="002849B9">
        <w:t>&gt; [accessed 15 July 2019],  l. i5</w:t>
      </w:r>
    </w:p>
  </w:footnote>
  <w:footnote w:id="29">
    <w:p w14:paraId="398E9538" w14:textId="297E7D46" w:rsidR="00460B33" w:rsidRPr="002849B9" w:rsidRDefault="00460B33">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 119.</w:t>
      </w:r>
    </w:p>
  </w:footnote>
  <w:footnote w:id="30">
    <w:p w14:paraId="300BAF11" w14:textId="26D94A41" w:rsidR="00460B33" w:rsidRPr="002849B9" w:rsidRDefault="00460B33">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 119.</w:t>
      </w:r>
    </w:p>
  </w:footnote>
  <w:footnote w:id="31">
    <w:p w14:paraId="6A63A4C2" w14:textId="2ABA7DA7" w:rsidR="00460B33" w:rsidRPr="002849B9" w:rsidRDefault="00460B33">
      <w:pPr>
        <w:pStyle w:val="FootnoteText"/>
      </w:pPr>
      <w:r w:rsidRPr="002849B9">
        <w:rPr>
          <w:rStyle w:val="FootnoteReference"/>
        </w:rPr>
        <w:footnoteRef/>
      </w:r>
      <w:r w:rsidRPr="002849B9">
        <w:t xml:space="preserve"> Lambert, </w:t>
      </w:r>
      <w:r w:rsidRPr="002849B9">
        <w:rPr>
          <w:i/>
        </w:rPr>
        <w:t>Babylonian Oracle Questions</w:t>
      </w:r>
      <w:r w:rsidRPr="002849B9">
        <w:t>, pp. 1, 3-4.</w:t>
      </w:r>
    </w:p>
  </w:footnote>
  <w:footnote w:id="32">
    <w:p w14:paraId="782A0EDE" w14:textId="48557F31" w:rsidR="00460B33" w:rsidRPr="002849B9" w:rsidRDefault="00460B33" w:rsidP="00C81FD4">
      <w:pPr>
        <w:pStyle w:val="FootnoteText"/>
      </w:pPr>
      <w:r w:rsidRPr="002849B9">
        <w:rPr>
          <w:rStyle w:val="FootnoteReference"/>
        </w:rPr>
        <w:footnoteRef/>
      </w:r>
      <w:r w:rsidRPr="002849B9">
        <w:t xml:space="preserve"> Albrecht </w:t>
      </w:r>
      <w:proofErr w:type="spellStart"/>
      <w:r w:rsidRPr="002849B9">
        <w:t>Goetze</w:t>
      </w:r>
      <w:proofErr w:type="spellEnd"/>
      <w:r w:rsidRPr="002849B9">
        <w:t xml:space="preserve">, ‘An Old Babylonian Prayer of the Divination Priest’, </w:t>
      </w:r>
      <w:r w:rsidRPr="002849B9">
        <w:rPr>
          <w:i/>
        </w:rPr>
        <w:t>Journal of Cuneiform Studies</w:t>
      </w:r>
      <w:r w:rsidRPr="002849B9">
        <w:t xml:space="preserve">, vol. 22, no. 2 (1968), ‘In the ritual act I prepare, / in the extispicy I perform / put you the truth!’, ll. 65-6, p. 27; </w:t>
      </w:r>
      <w:r w:rsidRPr="002849B9">
        <w:rPr>
          <w:bCs/>
        </w:rPr>
        <w:t xml:space="preserve">‘O Šamaš, lord of judgement, O Adad, lord of ritual acts and of divination’ is repeated six times in this prayer: </w:t>
      </w:r>
      <w:r w:rsidRPr="002849B9">
        <w:t>p. 25, ll. 11-2; p. 26, ll. 26-7, 36-7, 44-5; p. 27, ll. 51-2, 55-6.</w:t>
      </w:r>
    </w:p>
  </w:footnote>
  <w:footnote w:id="33">
    <w:p w14:paraId="0089492C" w14:textId="203C9F6F" w:rsidR="00460B33" w:rsidRPr="002849B9" w:rsidRDefault="00460B33" w:rsidP="00C81FD4">
      <w:pPr>
        <w:pStyle w:val="FootnoteText"/>
      </w:pPr>
      <w:r w:rsidRPr="002849B9">
        <w:rPr>
          <w:rStyle w:val="FootnoteReference"/>
        </w:rPr>
        <w:footnoteRef/>
      </w:r>
      <w:r w:rsidRPr="002849B9">
        <w:t xml:space="preserve"> Lambert, </w:t>
      </w:r>
      <w:r w:rsidRPr="002849B9">
        <w:rPr>
          <w:i/>
        </w:rPr>
        <w:t>Babylonian Oracle Questions</w:t>
      </w:r>
      <w:r w:rsidRPr="002849B9">
        <w:t xml:space="preserve">, p. 5. </w:t>
      </w:r>
    </w:p>
  </w:footnote>
  <w:footnote w:id="34">
    <w:p w14:paraId="04DD0D20" w14:textId="1FC3A77E" w:rsidR="00460B33" w:rsidRPr="002849B9" w:rsidRDefault="00460B33">
      <w:pPr>
        <w:pStyle w:val="FootnoteText"/>
      </w:pPr>
      <w:r w:rsidRPr="002849B9">
        <w:rPr>
          <w:rStyle w:val="FootnoteReference"/>
        </w:rPr>
        <w:footnoteRef/>
      </w:r>
      <w:r w:rsidRPr="002849B9">
        <w:t xml:space="preserve"> </w:t>
      </w:r>
      <w:r w:rsidR="007522CB" w:rsidRPr="002849B9">
        <w:t xml:space="preserve">Lena-Sofia </w:t>
      </w:r>
      <w:proofErr w:type="spellStart"/>
      <w:r w:rsidR="007522CB" w:rsidRPr="002849B9">
        <w:t>Tiemeyer</w:t>
      </w:r>
      <w:proofErr w:type="spellEnd"/>
      <w:r w:rsidR="007522CB" w:rsidRPr="002849B9">
        <w:t xml:space="preserve">, ‘Prophecy as a Way of Cancelling Prophecy – The Strategic Uses of Foreknowledge’, </w:t>
      </w:r>
      <w:proofErr w:type="spellStart"/>
      <w:r w:rsidR="007522CB" w:rsidRPr="002849B9">
        <w:rPr>
          <w:i/>
        </w:rPr>
        <w:t>Zeitschrift</w:t>
      </w:r>
      <w:proofErr w:type="spellEnd"/>
      <w:r w:rsidR="007522CB" w:rsidRPr="002849B9">
        <w:rPr>
          <w:i/>
        </w:rPr>
        <w:t xml:space="preserve"> </w:t>
      </w:r>
      <w:proofErr w:type="spellStart"/>
      <w:r w:rsidR="007522CB" w:rsidRPr="002849B9">
        <w:rPr>
          <w:i/>
        </w:rPr>
        <w:t>für</w:t>
      </w:r>
      <w:proofErr w:type="spellEnd"/>
      <w:r w:rsidR="007522CB" w:rsidRPr="002849B9">
        <w:rPr>
          <w:i/>
        </w:rPr>
        <w:t xml:space="preserve"> die </w:t>
      </w:r>
      <w:proofErr w:type="spellStart"/>
      <w:r w:rsidR="007522CB" w:rsidRPr="002849B9">
        <w:rPr>
          <w:i/>
        </w:rPr>
        <w:t>Alttestamentliche</w:t>
      </w:r>
      <w:proofErr w:type="spellEnd"/>
      <w:r w:rsidR="007522CB" w:rsidRPr="002849B9">
        <w:rPr>
          <w:i/>
        </w:rPr>
        <w:t xml:space="preserve"> </w:t>
      </w:r>
      <w:proofErr w:type="spellStart"/>
      <w:r w:rsidR="007522CB" w:rsidRPr="002849B9">
        <w:rPr>
          <w:i/>
        </w:rPr>
        <w:t>Wissenschaft</w:t>
      </w:r>
      <w:proofErr w:type="spellEnd"/>
      <w:r w:rsidR="007522CB" w:rsidRPr="002849B9">
        <w:rPr>
          <w:i/>
        </w:rPr>
        <w:t xml:space="preserve">, </w:t>
      </w:r>
      <w:r w:rsidR="007522CB" w:rsidRPr="002849B9">
        <w:t>vol. 117, no. 3 (2005), p. 332.</w:t>
      </w:r>
    </w:p>
  </w:footnote>
  <w:footnote w:id="35">
    <w:p w14:paraId="45CE040E" w14:textId="6FF2E7E6" w:rsidR="00460B33" w:rsidRPr="002849B9" w:rsidRDefault="00460B33">
      <w:pPr>
        <w:pStyle w:val="FootnoteText"/>
      </w:pPr>
      <w:r w:rsidRPr="002849B9">
        <w:rPr>
          <w:rStyle w:val="FootnoteReference"/>
        </w:rPr>
        <w:footnoteRef/>
      </w:r>
      <w:r w:rsidRPr="002849B9">
        <w:t xml:space="preserve"> Lambert, </w:t>
      </w:r>
      <w:r w:rsidRPr="002849B9">
        <w:rPr>
          <w:i/>
        </w:rPr>
        <w:t>Babylonian Oracle Questions</w:t>
      </w:r>
      <w:r w:rsidRPr="002849B9">
        <w:t xml:space="preserve">, concerning royal military campaigns and the king’s safety ‘No. 5: K 2608+2633+3101b+3435’, ll. 1-50, pp. 70-3; concerning a man’s health and personal safety ‘No. 14: 79-7-8, 44; 82-3-23, 14 (+82-5-22, 567)’, </w:t>
      </w:r>
      <w:proofErr w:type="spellStart"/>
      <w:r w:rsidRPr="002849B9">
        <w:t>obv</w:t>
      </w:r>
      <w:proofErr w:type="spellEnd"/>
      <w:r w:rsidRPr="002849B9">
        <w:t xml:space="preserve">. ll. 1-22, p. 97; concerning a woman’s health ‘No. 21: K 6802+8139’, rev. ll. 1-14, p. 118; concerning a woman’s personal safety ‘No. 21: K 6802+8139’, </w:t>
      </w:r>
      <w:proofErr w:type="spellStart"/>
      <w:r w:rsidRPr="002849B9">
        <w:t>obv</w:t>
      </w:r>
      <w:proofErr w:type="spellEnd"/>
      <w:r w:rsidRPr="002849B9">
        <w:t xml:space="preserve">. ll. 10-18, pp. 117-8; concerning a husband hoping for a son ‘No. 12a: K 2370+10322’, </w:t>
      </w:r>
      <w:proofErr w:type="spellStart"/>
      <w:r w:rsidRPr="002849B9">
        <w:t>obv</w:t>
      </w:r>
      <w:proofErr w:type="spellEnd"/>
      <w:r w:rsidRPr="002849B9">
        <w:t>. I, ll. 11-17, p. 90; concerning safety during childbirth ‘No. 12c: K 2370+10322’, rev. III, ll. 1-17, p. 91, and ‘No. 13: K 8156+10942’, rev. 1-7, p. 93.</w:t>
      </w:r>
    </w:p>
  </w:footnote>
  <w:footnote w:id="36">
    <w:p w14:paraId="1742E28B" w14:textId="0EDD2982" w:rsidR="00460B33" w:rsidRPr="004B42A8" w:rsidRDefault="00460B33">
      <w:pPr>
        <w:pStyle w:val="FootnoteText"/>
      </w:pPr>
      <w:r w:rsidRPr="002849B9">
        <w:rPr>
          <w:rStyle w:val="FootnoteReference"/>
        </w:rPr>
        <w:footnoteRef/>
      </w:r>
      <w:r w:rsidRPr="002849B9">
        <w:t xml:space="preserve"> </w:t>
      </w:r>
      <w:r>
        <w:t xml:space="preserve">Campion, </w:t>
      </w:r>
      <w:r>
        <w:rPr>
          <w:i/>
        </w:rPr>
        <w:t xml:space="preserve">Western Astrology 1, </w:t>
      </w:r>
      <w:r>
        <w:t>p. 38.</w:t>
      </w:r>
    </w:p>
  </w:footnote>
  <w:footnote w:id="37">
    <w:p w14:paraId="65BE09A4" w14:textId="1B056698" w:rsidR="00460B33" w:rsidRPr="002849B9" w:rsidRDefault="00460B33">
      <w:pPr>
        <w:pStyle w:val="FootnoteText"/>
      </w:pPr>
      <w:r w:rsidRPr="002849B9">
        <w:rPr>
          <w:rStyle w:val="FootnoteReference"/>
        </w:rPr>
        <w:footnoteRef/>
      </w:r>
      <w:r w:rsidRPr="002849B9">
        <w:t xml:space="preserve"> </w:t>
      </w:r>
      <w:proofErr w:type="spellStart"/>
      <w:r w:rsidRPr="002849B9">
        <w:t>Tiemeyer</w:t>
      </w:r>
      <w:proofErr w:type="spellEnd"/>
      <w:r w:rsidRPr="002849B9">
        <w:t>, ‘Prophecy Cancelling Prophecy’, p. 332.</w:t>
      </w:r>
    </w:p>
  </w:footnote>
  <w:footnote w:id="38">
    <w:p w14:paraId="245AA4C1" w14:textId="1656D970" w:rsidR="00460B33" w:rsidRPr="002849B9" w:rsidRDefault="00460B33">
      <w:pPr>
        <w:pStyle w:val="FootnoteText"/>
      </w:pPr>
      <w:r w:rsidRPr="002849B9">
        <w:rPr>
          <w:rStyle w:val="FootnoteReference"/>
        </w:rPr>
        <w:footnoteRef/>
      </w:r>
      <w:r w:rsidRPr="002849B9">
        <w:t xml:space="preserve"> Lambert, </w:t>
      </w:r>
      <w:r w:rsidRPr="002849B9">
        <w:rPr>
          <w:i/>
        </w:rPr>
        <w:t>Babylonian Oracle Questions</w:t>
      </w:r>
      <w:r w:rsidRPr="002849B9">
        <w:t>,</w:t>
      </w:r>
      <w:r>
        <w:t xml:space="preserve"> p. 14.</w:t>
      </w:r>
    </w:p>
  </w:footnote>
  <w:footnote w:id="39">
    <w:p w14:paraId="04F76DE0" w14:textId="77777777" w:rsidR="00460B33" w:rsidRPr="002849B9" w:rsidRDefault="00460B33" w:rsidP="00F81984">
      <w:pPr>
        <w:pStyle w:val="FootnoteText"/>
      </w:pPr>
      <w:r w:rsidRPr="002849B9">
        <w:rPr>
          <w:rStyle w:val="FootnoteReference"/>
        </w:rPr>
        <w:footnoteRef/>
      </w:r>
      <w:r w:rsidRPr="002849B9">
        <w:t xml:space="preserve"> Francesca </w:t>
      </w:r>
      <w:proofErr w:type="spellStart"/>
      <w:r w:rsidRPr="002849B9">
        <w:t>Rochberg</w:t>
      </w:r>
      <w:proofErr w:type="spellEnd"/>
      <w:r w:rsidRPr="002849B9">
        <w:t xml:space="preserve">, </w:t>
      </w:r>
      <w:r w:rsidRPr="002849B9">
        <w:rPr>
          <w:i/>
        </w:rPr>
        <w:t xml:space="preserve">The Heavenly Writing: Divination, Horoscopy, and Astronomy in Mesopotamian Culture </w:t>
      </w:r>
      <w:r w:rsidRPr="002849B9">
        <w:t>(Cambridge: Cambridge University Press, 2004), p. 269.</w:t>
      </w:r>
    </w:p>
  </w:footnote>
  <w:footnote w:id="40">
    <w:p w14:paraId="233ED982" w14:textId="77777777" w:rsidR="00460B33" w:rsidRPr="002849B9" w:rsidRDefault="00460B33" w:rsidP="00F81984">
      <w:pPr>
        <w:pStyle w:val="FootnoteText"/>
      </w:pPr>
      <w:r w:rsidRPr="002849B9">
        <w:rPr>
          <w:rStyle w:val="FootnoteReference"/>
        </w:rPr>
        <w:footnoteRef/>
      </w:r>
      <w:r w:rsidRPr="002849B9">
        <w:t xml:space="preserve"> </w:t>
      </w:r>
      <w:r w:rsidRPr="00D04B45">
        <w:t xml:space="preserve">Piotr </w:t>
      </w:r>
      <w:proofErr w:type="spellStart"/>
      <w:r w:rsidRPr="00D04B45">
        <w:t>Steinkeller</w:t>
      </w:r>
      <w:proofErr w:type="spellEnd"/>
      <w:r w:rsidRPr="00D04B45">
        <w:t xml:space="preserve">, ‘Of Stars and Men: The Conceptual and Mythological Setup of Babylonian Extispicy’, in </w:t>
      </w:r>
      <w:proofErr w:type="spellStart"/>
      <w:r w:rsidRPr="00D04B45">
        <w:t>Agustinus</w:t>
      </w:r>
      <w:proofErr w:type="spellEnd"/>
      <w:r w:rsidRPr="00D04B45">
        <w:t xml:space="preserve"> </w:t>
      </w:r>
      <w:proofErr w:type="spellStart"/>
      <w:r w:rsidRPr="00D04B45">
        <w:t>Gianto</w:t>
      </w:r>
      <w:proofErr w:type="spellEnd"/>
      <w:r w:rsidRPr="00D04B45">
        <w:t xml:space="preserve"> (ed), </w:t>
      </w:r>
      <w:r w:rsidRPr="00D04B45">
        <w:rPr>
          <w:i/>
        </w:rPr>
        <w:t xml:space="preserve">Biblical and Oriental Essays in Memory of William L. Moran </w:t>
      </w:r>
      <w:r w:rsidRPr="00D04B45">
        <w:t xml:space="preserve">(Rome: </w:t>
      </w:r>
      <w:proofErr w:type="spellStart"/>
      <w:r w:rsidRPr="00D04B45">
        <w:t>Editrice</w:t>
      </w:r>
      <w:proofErr w:type="spellEnd"/>
      <w:r w:rsidRPr="00D04B45">
        <w:t xml:space="preserve"> </w:t>
      </w:r>
      <w:proofErr w:type="spellStart"/>
      <w:r w:rsidRPr="00D04B45">
        <w:t>Pontifico</w:t>
      </w:r>
      <w:proofErr w:type="spellEnd"/>
      <w:r w:rsidRPr="00D04B45">
        <w:t xml:space="preserve"> </w:t>
      </w:r>
      <w:proofErr w:type="spellStart"/>
      <w:r w:rsidRPr="00D04B45">
        <w:t>Istituto</w:t>
      </w:r>
      <w:proofErr w:type="spellEnd"/>
      <w:r w:rsidRPr="00D04B45">
        <w:t xml:space="preserve"> </w:t>
      </w:r>
      <w:proofErr w:type="spellStart"/>
      <w:r w:rsidRPr="00D04B45">
        <w:t>Biblico</w:t>
      </w:r>
      <w:proofErr w:type="spellEnd"/>
      <w:r w:rsidRPr="00D04B45">
        <w:t>, 2005), p. 12.</w:t>
      </w:r>
    </w:p>
  </w:footnote>
  <w:footnote w:id="41">
    <w:p w14:paraId="3D2B0D5E" w14:textId="64B94749" w:rsidR="00460B33" w:rsidRPr="002849B9" w:rsidRDefault="00460B33" w:rsidP="00F81984">
      <w:pPr>
        <w:pStyle w:val="FootnoteText"/>
        <w:rPr>
          <w:b/>
        </w:rPr>
      </w:pPr>
      <w:r w:rsidRPr="002849B9">
        <w:rPr>
          <w:rStyle w:val="FootnoteReference"/>
        </w:rPr>
        <w:footnoteRef/>
      </w:r>
      <w:r w:rsidRPr="002849B9">
        <w:t xml:space="preserve"> </w:t>
      </w:r>
      <w:proofErr w:type="spellStart"/>
      <w:r w:rsidRPr="002849B9">
        <w:t>Steinkeller</w:t>
      </w:r>
      <w:proofErr w:type="spellEnd"/>
      <w:r w:rsidRPr="002849B9">
        <w:t>, ‘Of Stars and Men’, p. 15.</w:t>
      </w:r>
    </w:p>
  </w:footnote>
  <w:footnote w:id="42">
    <w:p w14:paraId="732A49E2" w14:textId="6EF16A2B" w:rsidR="00460B33" w:rsidRPr="00C2159A" w:rsidRDefault="00460B33">
      <w:pPr>
        <w:pStyle w:val="FootnoteText"/>
      </w:pPr>
      <w:r>
        <w:rPr>
          <w:rStyle w:val="FootnoteReference"/>
        </w:rPr>
        <w:footnoteRef/>
      </w:r>
      <w:r>
        <w:t xml:space="preserve"> </w:t>
      </w:r>
      <w:proofErr w:type="spellStart"/>
      <w:r w:rsidRPr="002849B9">
        <w:t>Steinkeller</w:t>
      </w:r>
      <w:proofErr w:type="spellEnd"/>
      <w:r w:rsidRPr="002849B9">
        <w:t>, ‘Of Stars and Men’, p</w:t>
      </w:r>
      <w:r>
        <w:t>p</w:t>
      </w:r>
      <w:r w:rsidRPr="002849B9">
        <w:t>. 1</w:t>
      </w:r>
      <w:r>
        <w:t>2-3, footnote 1(c)</w:t>
      </w:r>
      <w:r w:rsidRPr="002849B9">
        <w:t>.</w:t>
      </w:r>
    </w:p>
  </w:footnote>
  <w:footnote w:id="43">
    <w:p w14:paraId="37ACB161" w14:textId="77777777" w:rsidR="00460B33" w:rsidRPr="002849B9" w:rsidRDefault="00460B33" w:rsidP="00F81984">
      <w:pPr>
        <w:pStyle w:val="FootnoteText"/>
      </w:pPr>
      <w:r w:rsidRPr="002849B9">
        <w:rPr>
          <w:rStyle w:val="FootnoteReference"/>
        </w:rPr>
        <w:footnoteRef/>
      </w:r>
      <w:r w:rsidRPr="002849B9">
        <w:t xml:space="preserve"> </w:t>
      </w:r>
      <w:proofErr w:type="spellStart"/>
      <w:r w:rsidRPr="002849B9">
        <w:t>Steinkeller</w:t>
      </w:r>
      <w:proofErr w:type="spellEnd"/>
      <w:r w:rsidRPr="002849B9">
        <w:t>, ‘Of Stars and Men’, p. 15.</w:t>
      </w:r>
    </w:p>
  </w:footnote>
  <w:footnote w:id="44">
    <w:p w14:paraId="49B95846" w14:textId="2FA90741" w:rsidR="00460B33" w:rsidRPr="002849B9" w:rsidRDefault="00460B33" w:rsidP="00F81984">
      <w:pPr>
        <w:pStyle w:val="FootnoteText"/>
      </w:pPr>
      <w:r w:rsidRPr="002849B9">
        <w:rPr>
          <w:rStyle w:val="FootnoteReference"/>
        </w:rPr>
        <w:footnoteRef/>
      </w:r>
      <w:r w:rsidRPr="002849B9">
        <w:t xml:space="preserve"> </w:t>
      </w:r>
      <w:proofErr w:type="spellStart"/>
      <w:r w:rsidR="007522CB" w:rsidRPr="002849B9">
        <w:t>Tiemeyer</w:t>
      </w:r>
      <w:proofErr w:type="spellEnd"/>
      <w:r w:rsidR="007522CB" w:rsidRPr="002849B9">
        <w:t xml:space="preserve">, ‘Prophecy Cancelling Prophecy’, </w:t>
      </w:r>
      <w:r w:rsidRPr="002849B9">
        <w:t>p. 332.</w:t>
      </w:r>
    </w:p>
  </w:footnote>
  <w:footnote w:id="45">
    <w:p w14:paraId="34480A33" w14:textId="3319D09B" w:rsidR="00460B33" w:rsidRPr="002849B9" w:rsidRDefault="00460B33">
      <w:pPr>
        <w:pStyle w:val="FootnoteText"/>
      </w:pPr>
      <w:r w:rsidRPr="002849B9">
        <w:rPr>
          <w:rStyle w:val="FootnoteReference"/>
        </w:rPr>
        <w:footnoteRef/>
      </w:r>
      <w:r w:rsidRPr="002849B9">
        <w:t xml:space="preserve"> </w:t>
      </w:r>
      <w:r>
        <w:t xml:space="preserve">Campion, </w:t>
      </w:r>
      <w:r>
        <w:rPr>
          <w:i/>
        </w:rPr>
        <w:t xml:space="preserve">Western Astrology 1, </w:t>
      </w:r>
      <w:r>
        <w:t>p. 38.</w:t>
      </w:r>
    </w:p>
  </w:footnote>
  <w:footnote w:id="46">
    <w:p w14:paraId="5D7A005A" w14:textId="38A30130" w:rsidR="00460B33" w:rsidRPr="002849B9" w:rsidRDefault="00460B33">
      <w:pPr>
        <w:pStyle w:val="FootnoteText"/>
      </w:pPr>
      <w:r w:rsidRPr="002849B9">
        <w:rPr>
          <w:rStyle w:val="FootnoteReference"/>
        </w:rPr>
        <w:footnoteRef/>
      </w:r>
      <w:r w:rsidRPr="002849B9">
        <w:t xml:space="preserve"> Piotr </w:t>
      </w:r>
      <w:proofErr w:type="spellStart"/>
      <w:r w:rsidRPr="002849B9">
        <w:t>Taracha</w:t>
      </w:r>
      <w:proofErr w:type="spellEnd"/>
      <w:r w:rsidRPr="002849B9">
        <w:t xml:space="preserve">, </w:t>
      </w:r>
      <w:r w:rsidRPr="002849B9">
        <w:rPr>
          <w:i/>
        </w:rPr>
        <w:t xml:space="preserve">Religions of Second Millennium Anatolia </w:t>
      </w:r>
      <w:r w:rsidRPr="002849B9">
        <w:t xml:space="preserve">(Wiesbaden: </w:t>
      </w:r>
      <w:proofErr w:type="spellStart"/>
      <w:r w:rsidRPr="002849B9">
        <w:t>Harrassowitz</w:t>
      </w:r>
      <w:proofErr w:type="spellEnd"/>
      <w:r w:rsidRPr="002849B9">
        <w:t xml:space="preserve"> Verlag, 2009), p. 145.</w:t>
      </w:r>
    </w:p>
  </w:footnote>
  <w:footnote w:id="47">
    <w:p w14:paraId="2972AEC6" w14:textId="3457BCF8" w:rsidR="00460B33" w:rsidRPr="002849B9" w:rsidRDefault="00460B33">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w:t>
      </w:r>
      <w:r>
        <w:t xml:space="preserve">p. 121-3; </w:t>
      </w:r>
      <w:proofErr w:type="spellStart"/>
      <w:r w:rsidRPr="00612069">
        <w:t>Silvie</w:t>
      </w:r>
      <w:proofErr w:type="spellEnd"/>
      <w:r w:rsidRPr="00612069">
        <w:t xml:space="preserve"> </w:t>
      </w:r>
      <w:proofErr w:type="spellStart"/>
      <w:r w:rsidRPr="00612069">
        <w:t>Zamazalová</w:t>
      </w:r>
      <w:proofErr w:type="spellEnd"/>
      <w:r>
        <w:t xml:space="preserve">, ‘The Education of Neo-Assyrian Princes’, in Karen Radner and Eleanor Robson (eds.), </w:t>
      </w:r>
      <w:r>
        <w:rPr>
          <w:i/>
        </w:rPr>
        <w:t xml:space="preserve">The Oxford Handbook of Cuneiform Culture </w:t>
      </w:r>
      <w:r>
        <w:t>(Oxford: Oxford University Press, 2011), pp. 314-20.</w:t>
      </w:r>
    </w:p>
  </w:footnote>
  <w:footnote w:id="48">
    <w:p w14:paraId="59134D9C" w14:textId="04602BDA" w:rsidR="00460B33" w:rsidRPr="002849B9" w:rsidRDefault="00460B33">
      <w:pPr>
        <w:pStyle w:val="FootnoteText"/>
      </w:pPr>
      <w:r w:rsidRPr="002849B9">
        <w:rPr>
          <w:rStyle w:val="FootnoteReference"/>
        </w:rPr>
        <w:footnoteRef/>
      </w:r>
      <w:r w:rsidRPr="002849B9">
        <w:t xml:space="preserve"> </w:t>
      </w:r>
      <w:proofErr w:type="spellStart"/>
      <w:r w:rsidRPr="002849B9">
        <w:t>Fincke</w:t>
      </w:r>
      <w:proofErr w:type="spellEnd"/>
      <w:r w:rsidRPr="002849B9">
        <w:t>, ‘Babylonian Texts’, pp. 124</w:t>
      </w:r>
      <w:r>
        <w:t>, 130.</w:t>
      </w:r>
    </w:p>
  </w:footnote>
  <w:footnote w:id="49">
    <w:p w14:paraId="67494D64" w14:textId="4392F490" w:rsidR="00460B33" w:rsidRPr="006E4D9C" w:rsidRDefault="00460B33">
      <w:pPr>
        <w:pStyle w:val="FootnoteText"/>
      </w:pPr>
      <w:r w:rsidRPr="002849B9">
        <w:rPr>
          <w:rStyle w:val="FootnoteReference"/>
        </w:rPr>
        <w:footnoteRef/>
      </w:r>
      <w:r w:rsidRPr="002849B9">
        <w:t xml:space="preserve"> </w:t>
      </w:r>
      <w:r>
        <w:t>W.G. Lambert, ‘</w:t>
      </w:r>
      <w:proofErr w:type="spellStart"/>
      <w:r>
        <w:t>Enmeduranki</w:t>
      </w:r>
      <w:proofErr w:type="spellEnd"/>
      <w:r>
        <w:t xml:space="preserve"> and Related Matters’, </w:t>
      </w:r>
      <w:r>
        <w:rPr>
          <w:i/>
        </w:rPr>
        <w:t xml:space="preserve">Journal of Cuneiform Studies, </w:t>
      </w:r>
      <w:r>
        <w:t>vol. 21 (1967), ll. 7-8, 13-4, and 16-7 for oil and liver divination and l. 18 for astrology and mathematics, p. 132.</w:t>
      </w:r>
    </w:p>
  </w:footnote>
  <w:footnote w:id="50">
    <w:p w14:paraId="5CDB7C4B" w14:textId="77777777" w:rsidR="00460B33" w:rsidRPr="00915CA0" w:rsidRDefault="00460B33" w:rsidP="006853C5">
      <w:pPr>
        <w:pStyle w:val="FootnoteText"/>
      </w:pPr>
      <w:r>
        <w:rPr>
          <w:rStyle w:val="FootnoteReference"/>
        </w:rPr>
        <w:footnoteRef/>
      </w:r>
      <w:r>
        <w:t xml:space="preserve"> </w:t>
      </w:r>
      <w:proofErr w:type="spellStart"/>
      <w:r w:rsidRPr="00612069">
        <w:t>Zamazalová</w:t>
      </w:r>
      <w:proofErr w:type="spellEnd"/>
      <w:r>
        <w:t>, ‘Education’, ‘L’, ll. 9, 14-18, p. 315.</w:t>
      </w:r>
    </w:p>
  </w:footnote>
  <w:footnote w:id="51">
    <w:p w14:paraId="595AF23A" w14:textId="747E8D75" w:rsidR="00460B33" w:rsidRPr="002849B9" w:rsidRDefault="00460B33">
      <w:pPr>
        <w:pStyle w:val="FootnoteText"/>
      </w:pPr>
      <w:r w:rsidRPr="002849B9">
        <w:rPr>
          <w:rStyle w:val="FootnoteReference"/>
        </w:rPr>
        <w:footnoteRef/>
      </w:r>
      <w:r w:rsidRPr="002849B9">
        <w:t xml:space="preserve"> </w:t>
      </w:r>
      <w:proofErr w:type="spellStart"/>
      <w:r w:rsidRPr="002849B9">
        <w:t>Enmeduranki</w:t>
      </w:r>
      <w:proofErr w:type="spellEnd"/>
      <w:r w:rsidRPr="002849B9">
        <w:t xml:space="preserve"> is</w:t>
      </w:r>
      <w:r>
        <w:t xml:space="preserve"> </w:t>
      </w:r>
      <w:r w:rsidRPr="002849B9">
        <w:t xml:space="preserve">the seventh antediluvian king in: </w:t>
      </w:r>
      <w:proofErr w:type="spellStart"/>
      <w:r w:rsidRPr="002849B9">
        <w:t>Thorkild</w:t>
      </w:r>
      <w:proofErr w:type="spellEnd"/>
      <w:r w:rsidRPr="002849B9">
        <w:t xml:space="preserve"> Jacobsen, </w:t>
      </w:r>
      <w:r w:rsidRPr="002849B9">
        <w:rPr>
          <w:i/>
        </w:rPr>
        <w:t>The Sumerian King List</w:t>
      </w:r>
      <w:r w:rsidRPr="002849B9">
        <w:t xml:space="preserve">, (Chicago: The University of Chicago Press, 1939), col. I 25-9, p. 75 (footnotes pp. 74-5 on </w:t>
      </w:r>
      <w:proofErr w:type="spellStart"/>
      <w:r w:rsidRPr="002849B9">
        <w:t>Enmeduranki</w:t>
      </w:r>
      <w:proofErr w:type="spellEnd"/>
      <w:r w:rsidRPr="002849B9">
        <w:t xml:space="preserve"> as </w:t>
      </w:r>
      <w:proofErr w:type="spellStart"/>
      <w:r w:rsidRPr="002849B9">
        <w:t>En</w:t>
      </w:r>
      <w:proofErr w:type="spellEnd"/>
      <w:r w:rsidRPr="002849B9">
        <w:t xml:space="preserve">-men-dur-Anna(k)); </w:t>
      </w:r>
      <w:r w:rsidRPr="005025B4">
        <w:t xml:space="preserve">Lambert, </w:t>
      </w:r>
      <w:r w:rsidRPr="005025B4">
        <w:rPr>
          <w:i/>
        </w:rPr>
        <w:t>Babylonian Oracle Questions</w:t>
      </w:r>
      <w:r w:rsidRPr="002849B9">
        <w:rPr>
          <w:i/>
        </w:rPr>
        <w:t xml:space="preserve">, </w:t>
      </w:r>
      <w:r w:rsidRPr="002849B9">
        <w:t>pp. 4-5; Lambert, ‘</w:t>
      </w:r>
      <w:proofErr w:type="spellStart"/>
      <w:r w:rsidRPr="002849B9">
        <w:t>Enmeduranki</w:t>
      </w:r>
      <w:proofErr w:type="spellEnd"/>
      <w:r w:rsidRPr="002849B9">
        <w:t xml:space="preserve"> and Related Matters’</w:t>
      </w:r>
      <w:r>
        <w:t xml:space="preserve">, ll. 19-29. p. 132; </w:t>
      </w:r>
      <w:proofErr w:type="spellStart"/>
      <w:r w:rsidRPr="00612069">
        <w:t>Zamazalová</w:t>
      </w:r>
      <w:proofErr w:type="spellEnd"/>
      <w:r>
        <w:t>, ‘Education’, ‘L’, l. 9, p. 315</w:t>
      </w:r>
      <w:r w:rsidRPr="002849B9">
        <w:t>.</w:t>
      </w:r>
    </w:p>
  </w:footnote>
  <w:footnote w:id="52">
    <w:p w14:paraId="712D1FFB" w14:textId="10297000" w:rsidR="00460B33" w:rsidRPr="002849B9" w:rsidRDefault="00460B33">
      <w:pPr>
        <w:pStyle w:val="FootnoteText"/>
      </w:pPr>
      <w:r w:rsidRPr="002849B9">
        <w:rPr>
          <w:rStyle w:val="FootnoteReference"/>
        </w:rPr>
        <w:footnoteRef/>
      </w:r>
      <w:r w:rsidRPr="002849B9">
        <w:t xml:space="preserve"> Lambert, ‘</w:t>
      </w:r>
      <w:proofErr w:type="spellStart"/>
      <w:r w:rsidRPr="002849B9">
        <w:t>Enmeduranki</w:t>
      </w:r>
      <w:proofErr w:type="spellEnd"/>
      <w:r w:rsidRPr="002849B9">
        <w:t xml:space="preserve"> and Related Matters’</w:t>
      </w:r>
      <w:r>
        <w:t xml:space="preserve">, </w:t>
      </w:r>
      <w:r w:rsidRPr="002849B9">
        <w:t>l</w:t>
      </w:r>
      <w:r>
        <w:t>l</w:t>
      </w:r>
      <w:r w:rsidRPr="002849B9">
        <w:t>.</w:t>
      </w:r>
      <w:r>
        <w:t xml:space="preserve"> 7-10,</w:t>
      </w:r>
      <w:r w:rsidRPr="002849B9">
        <w:t xml:space="preserve"> p. 13</w:t>
      </w:r>
      <w:r>
        <w:t>0.</w:t>
      </w:r>
    </w:p>
  </w:footnote>
  <w:footnote w:id="53">
    <w:p w14:paraId="102DCD46" w14:textId="6DB632CB" w:rsidR="00460B33" w:rsidRPr="002849B9" w:rsidRDefault="00460B33">
      <w:pPr>
        <w:pStyle w:val="FootnoteText"/>
      </w:pPr>
      <w:r w:rsidRPr="002849B9">
        <w:rPr>
          <w:rStyle w:val="FootnoteReference"/>
        </w:rPr>
        <w:footnoteRef/>
      </w:r>
      <w:r w:rsidRPr="002849B9">
        <w:t xml:space="preserve"> </w:t>
      </w:r>
      <w:r>
        <w:t xml:space="preserve"> </w:t>
      </w:r>
      <w:r w:rsidRPr="00BB70F6">
        <w:t>‘</w:t>
      </w:r>
      <w:proofErr w:type="spellStart"/>
      <w:r w:rsidRPr="00BB70F6">
        <w:t>En</w:t>
      </w:r>
      <w:proofErr w:type="spellEnd"/>
      <w:r w:rsidRPr="00BB70F6">
        <w:t>’ as title,</w:t>
      </w:r>
      <w:r w:rsidRPr="00BB70F6">
        <w:rPr>
          <w:bCs/>
        </w:rPr>
        <w:t xml:space="preserve"> ‘me’ as the vast collection of tenets through which culture was shared by the gods with humanity, and ‘dur-an-</w:t>
      </w:r>
      <w:proofErr w:type="spellStart"/>
      <w:r w:rsidRPr="00BB70F6">
        <w:rPr>
          <w:bCs/>
        </w:rPr>
        <w:t>ki</w:t>
      </w:r>
      <w:proofErr w:type="spellEnd"/>
      <w:r w:rsidRPr="00BB70F6">
        <w:rPr>
          <w:bCs/>
        </w:rPr>
        <w:t>’ ‘the bond between above and below’</w:t>
      </w:r>
      <w:r w:rsidRPr="00BB70F6">
        <w:t xml:space="preserve"> from </w:t>
      </w:r>
      <w:r>
        <w:t xml:space="preserve">combining A.R. George, </w:t>
      </w:r>
      <w:r>
        <w:rPr>
          <w:i/>
        </w:rPr>
        <w:t xml:space="preserve">Babylonian Topographical Texts </w:t>
      </w:r>
      <w:r>
        <w:t xml:space="preserve">(Leuven: </w:t>
      </w:r>
      <w:proofErr w:type="spellStart"/>
      <w:r>
        <w:t>Uitgeverij</w:t>
      </w:r>
      <w:proofErr w:type="spellEnd"/>
      <w:r>
        <w:t xml:space="preserve"> </w:t>
      </w:r>
      <w:proofErr w:type="spellStart"/>
      <w:r>
        <w:t>Peeters</w:t>
      </w:r>
      <w:proofErr w:type="spellEnd"/>
      <w:r>
        <w:t xml:space="preserve">, 1992), pp. 260-1 and Paul </w:t>
      </w:r>
      <w:proofErr w:type="spellStart"/>
      <w:r>
        <w:t>Carus</w:t>
      </w:r>
      <w:proofErr w:type="spellEnd"/>
      <w:r>
        <w:t xml:space="preserve">, ‘The Oracle of </w:t>
      </w:r>
      <w:proofErr w:type="spellStart"/>
      <w:r>
        <w:t>Yaveh</w:t>
      </w:r>
      <w:proofErr w:type="spellEnd"/>
      <w:r>
        <w:t xml:space="preserve">: The </w:t>
      </w:r>
      <w:proofErr w:type="spellStart"/>
      <w:r>
        <w:t>Urim</w:t>
      </w:r>
      <w:proofErr w:type="spellEnd"/>
      <w:r>
        <w:t xml:space="preserve"> and </w:t>
      </w:r>
      <w:proofErr w:type="spellStart"/>
      <w:r>
        <w:t>Thummin</w:t>
      </w:r>
      <w:proofErr w:type="spellEnd"/>
      <w:r>
        <w:t xml:space="preserve">, the Ephod, and the Breastplate of Judgement’, </w:t>
      </w:r>
      <w:r>
        <w:rPr>
          <w:i/>
        </w:rPr>
        <w:t xml:space="preserve">The Monist, </w:t>
      </w:r>
      <w:r>
        <w:t>vol. 17, no. 3 (1907), p. 381.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A88E7" w14:textId="6A524FC8" w:rsidR="00460B33" w:rsidRPr="00DA3073" w:rsidRDefault="00460B33" w:rsidP="00F640C7">
    <w:pPr>
      <w:pStyle w:val="Header"/>
      <w:tabs>
        <w:tab w:val="clear" w:pos="9026"/>
        <w:tab w:val="right" w:pos="8646"/>
      </w:tabs>
      <w:rPr>
        <w:rFonts w:ascii="Times New Roman" w:hAnsi="Times New Roman"/>
        <w:sz w:val="24"/>
        <w:lang w:val="en-GB"/>
      </w:rPr>
    </w:pPr>
    <w:r w:rsidRPr="00DA3073">
      <w:rPr>
        <w:rFonts w:ascii="Times New Roman" w:hAnsi="Times New Roman"/>
        <w:sz w:val="24"/>
        <w:lang w:val="en-GB"/>
      </w:rPr>
      <w:t>Elizabeth Flynn 1805402</w:t>
    </w:r>
    <w:r w:rsidRPr="00DA3073">
      <w:rPr>
        <w:rFonts w:ascii="Times New Roman" w:hAnsi="Times New Roman"/>
        <w:sz w:val="24"/>
        <w:lang w:val="en-GB"/>
      </w:rPr>
      <w:tab/>
    </w:r>
    <w:r w:rsidRPr="00DA3073">
      <w:rPr>
        <w:rFonts w:ascii="Times New Roman" w:hAnsi="Times New Roman"/>
        <w:sz w:val="24"/>
        <w:lang w:val="en-GB"/>
      </w:rPr>
      <w:tab/>
      <w:t xml:space="preserve">Page </w:t>
    </w:r>
    <w:r w:rsidR="005D3C6D" w:rsidRPr="005D3C6D">
      <w:rPr>
        <w:rFonts w:ascii="Times New Roman" w:hAnsi="Times New Roman"/>
        <w:sz w:val="24"/>
        <w:lang w:val="en-GB"/>
      </w:rPr>
      <w:fldChar w:fldCharType="begin"/>
    </w:r>
    <w:r w:rsidR="005D3C6D" w:rsidRPr="005D3C6D">
      <w:rPr>
        <w:rFonts w:ascii="Times New Roman" w:hAnsi="Times New Roman"/>
        <w:sz w:val="24"/>
        <w:lang w:val="en-GB"/>
      </w:rPr>
      <w:instrText xml:space="preserve"> PAGE   \* MERGEFORMAT </w:instrText>
    </w:r>
    <w:r w:rsidR="005D3C6D" w:rsidRPr="005D3C6D">
      <w:rPr>
        <w:rFonts w:ascii="Times New Roman" w:hAnsi="Times New Roman"/>
        <w:sz w:val="24"/>
        <w:lang w:val="en-GB"/>
      </w:rPr>
      <w:fldChar w:fldCharType="separate"/>
    </w:r>
    <w:r w:rsidR="005D3C6D" w:rsidRPr="005D3C6D">
      <w:rPr>
        <w:rFonts w:ascii="Times New Roman" w:hAnsi="Times New Roman"/>
        <w:noProof/>
        <w:sz w:val="24"/>
        <w:lang w:val="en-GB"/>
      </w:rPr>
      <w:t>1</w:t>
    </w:r>
    <w:r w:rsidR="005D3C6D" w:rsidRPr="005D3C6D">
      <w:rPr>
        <w:rFonts w:ascii="Times New Roman" w:hAnsi="Times New Roman"/>
        <w:noProof/>
        <w:sz w:val="24"/>
        <w:lang w:val="en-GB"/>
      </w:rPr>
      <w:fldChar w:fldCharType="end"/>
    </w:r>
    <w:r w:rsidR="005D3C6D">
      <w:rPr>
        <w:rFonts w:ascii="Times New Roman" w:hAnsi="Times New Roman"/>
        <w:noProof/>
        <w:sz w:val="24"/>
        <w:lang w:val="en-GB"/>
      </w:rPr>
      <w:t xml:space="preserve"> </w:t>
    </w:r>
    <w:r w:rsidRPr="00DA3073">
      <w:rPr>
        <w:rFonts w:ascii="Times New Roman" w:hAnsi="Times New Roman"/>
        <w:sz w:val="24"/>
        <w:lang w:val="en-GB"/>
      </w:rPr>
      <w:t xml:space="preserve">of </w:t>
    </w:r>
    <w:r w:rsidR="005D3C6D">
      <w:rPr>
        <w:rFonts w:ascii="Times New Roman" w:hAnsi="Times New Roman"/>
        <w:sz w:val="24"/>
        <w:lang w:val="en-GB"/>
      </w:rPr>
      <w:t>13</w:t>
    </w:r>
  </w:p>
  <w:p w14:paraId="0602C8FC" w14:textId="77777777" w:rsidR="00460B33" w:rsidRPr="007C14E9" w:rsidRDefault="00460B33">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C509CD"/>
    <w:multiLevelType w:val="hybridMultilevel"/>
    <w:tmpl w:val="E1F62D56"/>
    <w:lvl w:ilvl="0" w:tplc="61C2A61A">
      <w:start w:val="1"/>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D17454"/>
    <w:multiLevelType w:val="hybridMultilevel"/>
    <w:tmpl w:val="09B48012"/>
    <w:lvl w:ilvl="0" w:tplc="F07457F6">
      <w:start w:val="1"/>
      <w:numFmt w:val="bullet"/>
      <w:lvlText w:val="—"/>
      <w:lvlJc w:val="left"/>
      <w:pPr>
        <w:ind w:left="-360" w:hanging="360"/>
      </w:pPr>
      <w:rPr>
        <w:rFonts w:ascii="Times New Roman" w:eastAsia="SimSun" w:hAnsi="Times New Roman" w:cs="Times New Roman"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2" w15:restartNumberingAfterBreak="0">
    <w:nsid w:val="7253322C"/>
    <w:multiLevelType w:val="hybridMultilevel"/>
    <w:tmpl w:val="24CE349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CE"/>
    <w:rsid w:val="00001690"/>
    <w:rsid w:val="00006609"/>
    <w:rsid w:val="00012C7A"/>
    <w:rsid w:val="00015063"/>
    <w:rsid w:val="00015F3B"/>
    <w:rsid w:val="00015F56"/>
    <w:rsid w:val="00016433"/>
    <w:rsid w:val="00023FB7"/>
    <w:rsid w:val="0002650A"/>
    <w:rsid w:val="00030B45"/>
    <w:rsid w:val="00031285"/>
    <w:rsid w:val="0003144F"/>
    <w:rsid w:val="00031C53"/>
    <w:rsid w:val="00031ED4"/>
    <w:rsid w:val="00033289"/>
    <w:rsid w:val="00034BCD"/>
    <w:rsid w:val="00040DED"/>
    <w:rsid w:val="000414F4"/>
    <w:rsid w:val="000417BA"/>
    <w:rsid w:val="00045457"/>
    <w:rsid w:val="000455E6"/>
    <w:rsid w:val="00050484"/>
    <w:rsid w:val="0005078D"/>
    <w:rsid w:val="00051288"/>
    <w:rsid w:val="00051C42"/>
    <w:rsid w:val="00051EFB"/>
    <w:rsid w:val="000523D0"/>
    <w:rsid w:val="000527C7"/>
    <w:rsid w:val="0005291C"/>
    <w:rsid w:val="00054F2C"/>
    <w:rsid w:val="00061DB1"/>
    <w:rsid w:val="00063552"/>
    <w:rsid w:val="0006467A"/>
    <w:rsid w:val="00064827"/>
    <w:rsid w:val="00066A58"/>
    <w:rsid w:val="0006730E"/>
    <w:rsid w:val="000707E5"/>
    <w:rsid w:val="00072AA2"/>
    <w:rsid w:val="00075177"/>
    <w:rsid w:val="00075243"/>
    <w:rsid w:val="00075EBD"/>
    <w:rsid w:val="00076B97"/>
    <w:rsid w:val="00077084"/>
    <w:rsid w:val="00077A03"/>
    <w:rsid w:val="0008311B"/>
    <w:rsid w:val="000841DB"/>
    <w:rsid w:val="00085483"/>
    <w:rsid w:val="00085C8D"/>
    <w:rsid w:val="00087AA7"/>
    <w:rsid w:val="00092736"/>
    <w:rsid w:val="0009296B"/>
    <w:rsid w:val="00093311"/>
    <w:rsid w:val="000940DB"/>
    <w:rsid w:val="000947B0"/>
    <w:rsid w:val="000948BA"/>
    <w:rsid w:val="00094906"/>
    <w:rsid w:val="00095DA2"/>
    <w:rsid w:val="0009684A"/>
    <w:rsid w:val="000A032B"/>
    <w:rsid w:val="000A48D8"/>
    <w:rsid w:val="000B21D4"/>
    <w:rsid w:val="000B2F75"/>
    <w:rsid w:val="000B3945"/>
    <w:rsid w:val="000B4F6E"/>
    <w:rsid w:val="000B4FE9"/>
    <w:rsid w:val="000B6726"/>
    <w:rsid w:val="000C2DB5"/>
    <w:rsid w:val="000C4ADD"/>
    <w:rsid w:val="000C4DAE"/>
    <w:rsid w:val="000C609E"/>
    <w:rsid w:val="000C6975"/>
    <w:rsid w:val="000C6AC3"/>
    <w:rsid w:val="000C7F56"/>
    <w:rsid w:val="000D4E7F"/>
    <w:rsid w:val="000D77EF"/>
    <w:rsid w:val="000E0309"/>
    <w:rsid w:val="000E16BC"/>
    <w:rsid w:val="000E1F09"/>
    <w:rsid w:val="000E221D"/>
    <w:rsid w:val="000E27D1"/>
    <w:rsid w:val="000E5F8E"/>
    <w:rsid w:val="000E6BAE"/>
    <w:rsid w:val="000F0734"/>
    <w:rsid w:val="000F5ECD"/>
    <w:rsid w:val="000F690D"/>
    <w:rsid w:val="001006D7"/>
    <w:rsid w:val="0010563F"/>
    <w:rsid w:val="00106126"/>
    <w:rsid w:val="00106D33"/>
    <w:rsid w:val="0011092F"/>
    <w:rsid w:val="001125A9"/>
    <w:rsid w:val="001148E0"/>
    <w:rsid w:val="00115ECC"/>
    <w:rsid w:val="00115F4B"/>
    <w:rsid w:val="00116F87"/>
    <w:rsid w:val="001200A3"/>
    <w:rsid w:val="00125950"/>
    <w:rsid w:val="00126932"/>
    <w:rsid w:val="00127C15"/>
    <w:rsid w:val="00130F08"/>
    <w:rsid w:val="00131719"/>
    <w:rsid w:val="00133051"/>
    <w:rsid w:val="00141077"/>
    <w:rsid w:val="00142EEE"/>
    <w:rsid w:val="001460F6"/>
    <w:rsid w:val="00150140"/>
    <w:rsid w:val="00151B1E"/>
    <w:rsid w:val="0015360E"/>
    <w:rsid w:val="0015403D"/>
    <w:rsid w:val="00154C50"/>
    <w:rsid w:val="00156AB2"/>
    <w:rsid w:val="00157888"/>
    <w:rsid w:val="001600A9"/>
    <w:rsid w:val="00160D2C"/>
    <w:rsid w:val="00161B49"/>
    <w:rsid w:val="00163CFF"/>
    <w:rsid w:val="00164722"/>
    <w:rsid w:val="001701DA"/>
    <w:rsid w:val="00172DE1"/>
    <w:rsid w:val="0017461D"/>
    <w:rsid w:val="001754BB"/>
    <w:rsid w:val="0017670C"/>
    <w:rsid w:val="001768E1"/>
    <w:rsid w:val="00180908"/>
    <w:rsid w:val="00180B84"/>
    <w:rsid w:val="001831F8"/>
    <w:rsid w:val="00183982"/>
    <w:rsid w:val="00184A90"/>
    <w:rsid w:val="00185D2F"/>
    <w:rsid w:val="00187694"/>
    <w:rsid w:val="00187BA1"/>
    <w:rsid w:val="001913B5"/>
    <w:rsid w:val="00195409"/>
    <w:rsid w:val="00196299"/>
    <w:rsid w:val="00196B7B"/>
    <w:rsid w:val="00197CA6"/>
    <w:rsid w:val="001A06E4"/>
    <w:rsid w:val="001A1772"/>
    <w:rsid w:val="001A1C7B"/>
    <w:rsid w:val="001A477C"/>
    <w:rsid w:val="001A59C5"/>
    <w:rsid w:val="001A5AD4"/>
    <w:rsid w:val="001A6A14"/>
    <w:rsid w:val="001B01A1"/>
    <w:rsid w:val="001B03DE"/>
    <w:rsid w:val="001B0A9F"/>
    <w:rsid w:val="001B3110"/>
    <w:rsid w:val="001B67B4"/>
    <w:rsid w:val="001C0544"/>
    <w:rsid w:val="001C1F5C"/>
    <w:rsid w:val="001C2189"/>
    <w:rsid w:val="001C39F1"/>
    <w:rsid w:val="001C42B7"/>
    <w:rsid w:val="001C4687"/>
    <w:rsid w:val="001C5FE1"/>
    <w:rsid w:val="001C71CE"/>
    <w:rsid w:val="001D02EA"/>
    <w:rsid w:val="001D06AF"/>
    <w:rsid w:val="001D07AD"/>
    <w:rsid w:val="001D2165"/>
    <w:rsid w:val="001D4738"/>
    <w:rsid w:val="001D50EE"/>
    <w:rsid w:val="001E1F63"/>
    <w:rsid w:val="001E26AA"/>
    <w:rsid w:val="001E6F18"/>
    <w:rsid w:val="001F02F2"/>
    <w:rsid w:val="001F145F"/>
    <w:rsid w:val="001F363F"/>
    <w:rsid w:val="001F3F7B"/>
    <w:rsid w:val="001F5A24"/>
    <w:rsid w:val="001F62B9"/>
    <w:rsid w:val="001F7737"/>
    <w:rsid w:val="001F790F"/>
    <w:rsid w:val="002004EC"/>
    <w:rsid w:val="0020066A"/>
    <w:rsid w:val="002009ED"/>
    <w:rsid w:val="00202283"/>
    <w:rsid w:val="002024B3"/>
    <w:rsid w:val="0020516C"/>
    <w:rsid w:val="00205D6B"/>
    <w:rsid w:val="00205ECF"/>
    <w:rsid w:val="00210E90"/>
    <w:rsid w:val="00211B4D"/>
    <w:rsid w:val="00212B69"/>
    <w:rsid w:val="00215D6D"/>
    <w:rsid w:val="00216827"/>
    <w:rsid w:val="00217A7E"/>
    <w:rsid w:val="002224FA"/>
    <w:rsid w:val="0022256D"/>
    <w:rsid w:val="002254F5"/>
    <w:rsid w:val="00240A4D"/>
    <w:rsid w:val="00242E9F"/>
    <w:rsid w:val="00246CEF"/>
    <w:rsid w:val="0024750F"/>
    <w:rsid w:val="002509D1"/>
    <w:rsid w:val="002521D5"/>
    <w:rsid w:val="00253279"/>
    <w:rsid w:val="002558B6"/>
    <w:rsid w:val="00255954"/>
    <w:rsid w:val="0025752C"/>
    <w:rsid w:val="002600F4"/>
    <w:rsid w:val="00265534"/>
    <w:rsid w:val="00265B2C"/>
    <w:rsid w:val="00267766"/>
    <w:rsid w:val="00272712"/>
    <w:rsid w:val="002735AD"/>
    <w:rsid w:val="002747A1"/>
    <w:rsid w:val="0028233B"/>
    <w:rsid w:val="002827D9"/>
    <w:rsid w:val="002836A7"/>
    <w:rsid w:val="002849B9"/>
    <w:rsid w:val="002855A8"/>
    <w:rsid w:val="002878E1"/>
    <w:rsid w:val="00287F82"/>
    <w:rsid w:val="00291BDE"/>
    <w:rsid w:val="00295AD8"/>
    <w:rsid w:val="00297733"/>
    <w:rsid w:val="002978F1"/>
    <w:rsid w:val="002A10D9"/>
    <w:rsid w:val="002A4751"/>
    <w:rsid w:val="002A6FE4"/>
    <w:rsid w:val="002B299B"/>
    <w:rsid w:val="002B2A3F"/>
    <w:rsid w:val="002B5D78"/>
    <w:rsid w:val="002B78DC"/>
    <w:rsid w:val="002C13F4"/>
    <w:rsid w:val="002C177B"/>
    <w:rsid w:val="002C4131"/>
    <w:rsid w:val="002C5331"/>
    <w:rsid w:val="002C6600"/>
    <w:rsid w:val="002C760D"/>
    <w:rsid w:val="002D0A09"/>
    <w:rsid w:val="002D0D75"/>
    <w:rsid w:val="002D32EE"/>
    <w:rsid w:val="002D3360"/>
    <w:rsid w:val="002D4366"/>
    <w:rsid w:val="002D4503"/>
    <w:rsid w:val="002D4D78"/>
    <w:rsid w:val="002D54C4"/>
    <w:rsid w:val="002D56EC"/>
    <w:rsid w:val="002D7483"/>
    <w:rsid w:val="002D7809"/>
    <w:rsid w:val="002E1853"/>
    <w:rsid w:val="002E392C"/>
    <w:rsid w:val="002E398F"/>
    <w:rsid w:val="002E5D32"/>
    <w:rsid w:val="002E7E26"/>
    <w:rsid w:val="002F163B"/>
    <w:rsid w:val="002F3541"/>
    <w:rsid w:val="002F4713"/>
    <w:rsid w:val="002F5E7C"/>
    <w:rsid w:val="002F68DC"/>
    <w:rsid w:val="00301AC3"/>
    <w:rsid w:val="00302B1A"/>
    <w:rsid w:val="00302ED3"/>
    <w:rsid w:val="003079EA"/>
    <w:rsid w:val="00310B17"/>
    <w:rsid w:val="003113D2"/>
    <w:rsid w:val="00315905"/>
    <w:rsid w:val="00316510"/>
    <w:rsid w:val="00317E6B"/>
    <w:rsid w:val="003209A5"/>
    <w:rsid w:val="003213EB"/>
    <w:rsid w:val="0032279B"/>
    <w:rsid w:val="00322FCD"/>
    <w:rsid w:val="003249C4"/>
    <w:rsid w:val="00327A3A"/>
    <w:rsid w:val="00327F6A"/>
    <w:rsid w:val="003326DE"/>
    <w:rsid w:val="00332907"/>
    <w:rsid w:val="0033434A"/>
    <w:rsid w:val="003356F1"/>
    <w:rsid w:val="003374DE"/>
    <w:rsid w:val="00337BBF"/>
    <w:rsid w:val="0034150C"/>
    <w:rsid w:val="00345DD5"/>
    <w:rsid w:val="00347ABD"/>
    <w:rsid w:val="00351F84"/>
    <w:rsid w:val="003522E6"/>
    <w:rsid w:val="0035365D"/>
    <w:rsid w:val="00356522"/>
    <w:rsid w:val="00356C9B"/>
    <w:rsid w:val="003577ED"/>
    <w:rsid w:val="00360678"/>
    <w:rsid w:val="003606CF"/>
    <w:rsid w:val="00360C62"/>
    <w:rsid w:val="003616DC"/>
    <w:rsid w:val="00361ED2"/>
    <w:rsid w:val="0036280A"/>
    <w:rsid w:val="003653BC"/>
    <w:rsid w:val="00365C1C"/>
    <w:rsid w:val="00366F13"/>
    <w:rsid w:val="003707E2"/>
    <w:rsid w:val="00371CFF"/>
    <w:rsid w:val="00371DCB"/>
    <w:rsid w:val="00373C9F"/>
    <w:rsid w:val="00375358"/>
    <w:rsid w:val="0037551D"/>
    <w:rsid w:val="003760A4"/>
    <w:rsid w:val="00380EB0"/>
    <w:rsid w:val="003824B4"/>
    <w:rsid w:val="00386149"/>
    <w:rsid w:val="00393FC1"/>
    <w:rsid w:val="00394661"/>
    <w:rsid w:val="00395061"/>
    <w:rsid w:val="0039521E"/>
    <w:rsid w:val="003A0A7F"/>
    <w:rsid w:val="003A1236"/>
    <w:rsid w:val="003A12CB"/>
    <w:rsid w:val="003A2750"/>
    <w:rsid w:val="003A41FA"/>
    <w:rsid w:val="003A49A8"/>
    <w:rsid w:val="003A4B2F"/>
    <w:rsid w:val="003B1787"/>
    <w:rsid w:val="003C181E"/>
    <w:rsid w:val="003C25E7"/>
    <w:rsid w:val="003C6D55"/>
    <w:rsid w:val="003D0748"/>
    <w:rsid w:val="003D1ABF"/>
    <w:rsid w:val="003D5A35"/>
    <w:rsid w:val="003D6D50"/>
    <w:rsid w:val="003D7DEC"/>
    <w:rsid w:val="003E16B0"/>
    <w:rsid w:val="003E2255"/>
    <w:rsid w:val="003E2EB1"/>
    <w:rsid w:val="003E306D"/>
    <w:rsid w:val="003E47AE"/>
    <w:rsid w:val="003E625B"/>
    <w:rsid w:val="003E73F8"/>
    <w:rsid w:val="003F011F"/>
    <w:rsid w:val="003F0E17"/>
    <w:rsid w:val="003F17F8"/>
    <w:rsid w:val="003F32F2"/>
    <w:rsid w:val="003F524D"/>
    <w:rsid w:val="00405CBA"/>
    <w:rsid w:val="00406452"/>
    <w:rsid w:val="0040692C"/>
    <w:rsid w:val="00406CCC"/>
    <w:rsid w:val="00407679"/>
    <w:rsid w:val="00410A45"/>
    <w:rsid w:val="004119BC"/>
    <w:rsid w:val="0041282D"/>
    <w:rsid w:val="00412F17"/>
    <w:rsid w:val="0042004D"/>
    <w:rsid w:val="00421FB8"/>
    <w:rsid w:val="00422116"/>
    <w:rsid w:val="004223BB"/>
    <w:rsid w:val="0042295E"/>
    <w:rsid w:val="0042478C"/>
    <w:rsid w:val="00425B45"/>
    <w:rsid w:val="004267EE"/>
    <w:rsid w:val="00427D5B"/>
    <w:rsid w:val="00432AA3"/>
    <w:rsid w:val="0043392C"/>
    <w:rsid w:val="00433DA5"/>
    <w:rsid w:val="00436A54"/>
    <w:rsid w:val="004371A2"/>
    <w:rsid w:val="004373B6"/>
    <w:rsid w:val="00440075"/>
    <w:rsid w:val="00440375"/>
    <w:rsid w:val="00443396"/>
    <w:rsid w:val="00443D73"/>
    <w:rsid w:val="00444FA5"/>
    <w:rsid w:val="004462A6"/>
    <w:rsid w:val="004522B1"/>
    <w:rsid w:val="004531CF"/>
    <w:rsid w:val="00453FB9"/>
    <w:rsid w:val="00456F51"/>
    <w:rsid w:val="00457105"/>
    <w:rsid w:val="00457D43"/>
    <w:rsid w:val="00460B33"/>
    <w:rsid w:val="0046104A"/>
    <w:rsid w:val="004615F8"/>
    <w:rsid w:val="00461A2F"/>
    <w:rsid w:val="00464DFF"/>
    <w:rsid w:val="004660A6"/>
    <w:rsid w:val="004671EA"/>
    <w:rsid w:val="004675DC"/>
    <w:rsid w:val="00470C22"/>
    <w:rsid w:val="00470EA4"/>
    <w:rsid w:val="00470EBB"/>
    <w:rsid w:val="00472A6F"/>
    <w:rsid w:val="0047413E"/>
    <w:rsid w:val="0047422B"/>
    <w:rsid w:val="00474677"/>
    <w:rsid w:val="00475406"/>
    <w:rsid w:val="00476A15"/>
    <w:rsid w:val="00476A5A"/>
    <w:rsid w:val="004804E3"/>
    <w:rsid w:val="00482D8E"/>
    <w:rsid w:val="00483B86"/>
    <w:rsid w:val="00483CCB"/>
    <w:rsid w:val="004874E3"/>
    <w:rsid w:val="004906E2"/>
    <w:rsid w:val="00490873"/>
    <w:rsid w:val="0049138A"/>
    <w:rsid w:val="004913DD"/>
    <w:rsid w:val="004917F7"/>
    <w:rsid w:val="004946BC"/>
    <w:rsid w:val="00496420"/>
    <w:rsid w:val="00497728"/>
    <w:rsid w:val="004A0667"/>
    <w:rsid w:val="004A1FAF"/>
    <w:rsid w:val="004A29B6"/>
    <w:rsid w:val="004A2C63"/>
    <w:rsid w:val="004A55B6"/>
    <w:rsid w:val="004A7206"/>
    <w:rsid w:val="004B20EC"/>
    <w:rsid w:val="004B2A74"/>
    <w:rsid w:val="004B42A8"/>
    <w:rsid w:val="004B4BE8"/>
    <w:rsid w:val="004B779E"/>
    <w:rsid w:val="004C225B"/>
    <w:rsid w:val="004C4EBF"/>
    <w:rsid w:val="004D07D4"/>
    <w:rsid w:val="004D18F7"/>
    <w:rsid w:val="004D2003"/>
    <w:rsid w:val="004D23CF"/>
    <w:rsid w:val="004D4743"/>
    <w:rsid w:val="004D59F9"/>
    <w:rsid w:val="004D61EE"/>
    <w:rsid w:val="004D6EE1"/>
    <w:rsid w:val="004D7E9D"/>
    <w:rsid w:val="004E0F36"/>
    <w:rsid w:val="004E706C"/>
    <w:rsid w:val="004F027F"/>
    <w:rsid w:val="004F0903"/>
    <w:rsid w:val="004F1585"/>
    <w:rsid w:val="004F33C9"/>
    <w:rsid w:val="004F4EAC"/>
    <w:rsid w:val="00500EB7"/>
    <w:rsid w:val="005025B4"/>
    <w:rsid w:val="00504039"/>
    <w:rsid w:val="00506CE6"/>
    <w:rsid w:val="00507A9D"/>
    <w:rsid w:val="005146C8"/>
    <w:rsid w:val="0051511E"/>
    <w:rsid w:val="00520749"/>
    <w:rsid w:val="00522126"/>
    <w:rsid w:val="00522177"/>
    <w:rsid w:val="00523530"/>
    <w:rsid w:val="00524C0A"/>
    <w:rsid w:val="00525266"/>
    <w:rsid w:val="005344FE"/>
    <w:rsid w:val="00534518"/>
    <w:rsid w:val="005357EF"/>
    <w:rsid w:val="00536384"/>
    <w:rsid w:val="00536CA3"/>
    <w:rsid w:val="00537C46"/>
    <w:rsid w:val="005452B4"/>
    <w:rsid w:val="00550663"/>
    <w:rsid w:val="00551639"/>
    <w:rsid w:val="005529EA"/>
    <w:rsid w:val="00552CC9"/>
    <w:rsid w:val="005545A9"/>
    <w:rsid w:val="005552FC"/>
    <w:rsid w:val="00556452"/>
    <w:rsid w:val="00560CFC"/>
    <w:rsid w:val="00561180"/>
    <w:rsid w:val="00561425"/>
    <w:rsid w:val="00563F88"/>
    <w:rsid w:val="00563FB9"/>
    <w:rsid w:val="0056520C"/>
    <w:rsid w:val="00565877"/>
    <w:rsid w:val="00570C2A"/>
    <w:rsid w:val="005744CB"/>
    <w:rsid w:val="00574E48"/>
    <w:rsid w:val="00575ECB"/>
    <w:rsid w:val="005815EA"/>
    <w:rsid w:val="005860ED"/>
    <w:rsid w:val="00590204"/>
    <w:rsid w:val="00594D84"/>
    <w:rsid w:val="00594F46"/>
    <w:rsid w:val="0059512B"/>
    <w:rsid w:val="00595D76"/>
    <w:rsid w:val="00596C93"/>
    <w:rsid w:val="005A5BD2"/>
    <w:rsid w:val="005A5CD2"/>
    <w:rsid w:val="005A7F82"/>
    <w:rsid w:val="005B2DD3"/>
    <w:rsid w:val="005B4C99"/>
    <w:rsid w:val="005C02C9"/>
    <w:rsid w:val="005C1522"/>
    <w:rsid w:val="005C1D94"/>
    <w:rsid w:val="005C2C61"/>
    <w:rsid w:val="005C422D"/>
    <w:rsid w:val="005D3C6D"/>
    <w:rsid w:val="005D4920"/>
    <w:rsid w:val="005D6791"/>
    <w:rsid w:val="005E045D"/>
    <w:rsid w:val="005E1040"/>
    <w:rsid w:val="005E177E"/>
    <w:rsid w:val="005E19F3"/>
    <w:rsid w:val="005E202C"/>
    <w:rsid w:val="005E311B"/>
    <w:rsid w:val="005E6D33"/>
    <w:rsid w:val="005E6EBE"/>
    <w:rsid w:val="005F0A30"/>
    <w:rsid w:val="005F1106"/>
    <w:rsid w:val="005F226D"/>
    <w:rsid w:val="005F3185"/>
    <w:rsid w:val="005F3317"/>
    <w:rsid w:val="005F3438"/>
    <w:rsid w:val="005F3AE3"/>
    <w:rsid w:val="005F433C"/>
    <w:rsid w:val="00602ACB"/>
    <w:rsid w:val="00603793"/>
    <w:rsid w:val="006051A9"/>
    <w:rsid w:val="00605919"/>
    <w:rsid w:val="0060692B"/>
    <w:rsid w:val="00607655"/>
    <w:rsid w:val="00610591"/>
    <w:rsid w:val="00612069"/>
    <w:rsid w:val="00612510"/>
    <w:rsid w:val="00612DF6"/>
    <w:rsid w:val="0061431B"/>
    <w:rsid w:val="006174EB"/>
    <w:rsid w:val="00617E3B"/>
    <w:rsid w:val="00623342"/>
    <w:rsid w:val="00623C96"/>
    <w:rsid w:val="006306CC"/>
    <w:rsid w:val="006308AC"/>
    <w:rsid w:val="006309FE"/>
    <w:rsid w:val="006313CB"/>
    <w:rsid w:val="00632B1C"/>
    <w:rsid w:val="006336FA"/>
    <w:rsid w:val="00635279"/>
    <w:rsid w:val="0063578D"/>
    <w:rsid w:val="006379F7"/>
    <w:rsid w:val="0064287C"/>
    <w:rsid w:val="00645A5F"/>
    <w:rsid w:val="0064728E"/>
    <w:rsid w:val="006502CF"/>
    <w:rsid w:val="0065120E"/>
    <w:rsid w:val="00652E87"/>
    <w:rsid w:val="00653DE1"/>
    <w:rsid w:val="006555A4"/>
    <w:rsid w:val="006612A4"/>
    <w:rsid w:val="00661E22"/>
    <w:rsid w:val="00662449"/>
    <w:rsid w:val="00663371"/>
    <w:rsid w:val="00663B47"/>
    <w:rsid w:val="00666224"/>
    <w:rsid w:val="0066726F"/>
    <w:rsid w:val="00667B7B"/>
    <w:rsid w:val="00671058"/>
    <w:rsid w:val="00671105"/>
    <w:rsid w:val="00671496"/>
    <w:rsid w:val="00671C77"/>
    <w:rsid w:val="00675F4D"/>
    <w:rsid w:val="00676AC4"/>
    <w:rsid w:val="00676CA0"/>
    <w:rsid w:val="0068130D"/>
    <w:rsid w:val="00682E39"/>
    <w:rsid w:val="00683E55"/>
    <w:rsid w:val="00684EB6"/>
    <w:rsid w:val="006853C5"/>
    <w:rsid w:val="006874B6"/>
    <w:rsid w:val="00690232"/>
    <w:rsid w:val="00691604"/>
    <w:rsid w:val="00696318"/>
    <w:rsid w:val="006A649F"/>
    <w:rsid w:val="006A6BC9"/>
    <w:rsid w:val="006B1614"/>
    <w:rsid w:val="006B1D68"/>
    <w:rsid w:val="006B57EA"/>
    <w:rsid w:val="006B5AFA"/>
    <w:rsid w:val="006B5F05"/>
    <w:rsid w:val="006C32FC"/>
    <w:rsid w:val="006C3F4D"/>
    <w:rsid w:val="006C440C"/>
    <w:rsid w:val="006D38A1"/>
    <w:rsid w:val="006D6C53"/>
    <w:rsid w:val="006D6C86"/>
    <w:rsid w:val="006D72F3"/>
    <w:rsid w:val="006D7B42"/>
    <w:rsid w:val="006E052F"/>
    <w:rsid w:val="006E1942"/>
    <w:rsid w:val="006E4B74"/>
    <w:rsid w:val="006E4D9C"/>
    <w:rsid w:val="006E66C6"/>
    <w:rsid w:val="006E7342"/>
    <w:rsid w:val="006E75B7"/>
    <w:rsid w:val="006F14A6"/>
    <w:rsid w:val="006F165C"/>
    <w:rsid w:val="006F36E6"/>
    <w:rsid w:val="006F6F6D"/>
    <w:rsid w:val="0070051C"/>
    <w:rsid w:val="0070529D"/>
    <w:rsid w:val="007069BB"/>
    <w:rsid w:val="00712B18"/>
    <w:rsid w:val="00712DF5"/>
    <w:rsid w:val="007165EB"/>
    <w:rsid w:val="00716AD9"/>
    <w:rsid w:val="00720326"/>
    <w:rsid w:val="00720FF5"/>
    <w:rsid w:val="00724E9D"/>
    <w:rsid w:val="00726960"/>
    <w:rsid w:val="00727709"/>
    <w:rsid w:val="00734342"/>
    <w:rsid w:val="007348ED"/>
    <w:rsid w:val="007348FD"/>
    <w:rsid w:val="0073518C"/>
    <w:rsid w:val="0073530C"/>
    <w:rsid w:val="00735464"/>
    <w:rsid w:val="00735D4C"/>
    <w:rsid w:val="00737463"/>
    <w:rsid w:val="00737F19"/>
    <w:rsid w:val="007401F0"/>
    <w:rsid w:val="00740217"/>
    <w:rsid w:val="007435B7"/>
    <w:rsid w:val="00751E13"/>
    <w:rsid w:val="00751E44"/>
    <w:rsid w:val="007522CB"/>
    <w:rsid w:val="00752E87"/>
    <w:rsid w:val="007532D1"/>
    <w:rsid w:val="00757313"/>
    <w:rsid w:val="0076343D"/>
    <w:rsid w:val="00766868"/>
    <w:rsid w:val="00766EAB"/>
    <w:rsid w:val="007704F0"/>
    <w:rsid w:val="00770867"/>
    <w:rsid w:val="007774D6"/>
    <w:rsid w:val="00777F9F"/>
    <w:rsid w:val="00780097"/>
    <w:rsid w:val="00781A50"/>
    <w:rsid w:val="00783756"/>
    <w:rsid w:val="00784E93"/>
    <w:rsid w:val="00787E75"/>
    <w:rsid w:val="00790B77"/>
    <w:rsid w:val="00794F86"/>
    <w:rsid w:val="00795621"/>
    <w:rsid w:val="007968BB"/>
    <w:rsid w:val="007A6CC7"/>
    <w:rsid w:val="007B2986"/>
    <w:rsid w:val="007B7544"/>
    <w:rsid w:val="007B7F93"/>
    <w:rsid w:val="007C063D"/>
    <w:rsid w:val="007C2739"/>
    <w:rsid w:val="007C3FC4"/>
    <w:rsid w:val="007C4337"/>
    <w:rsid w:val="007C5492"/>
    <w:rsid w:val="007C5876"/>
    <w:rsid w:val="007C663B"/>
    <w:rsid w:val="007C7B05"/>
    <w:rsid w:val="007D18E5"/>
    <w:rsid w:val="007D29EA"/>
    <w:rsid w:val="007D3922"/>
    <w:rsid w:val="007D50E5"/>
    <w:rsid w:val="007D6691"/>
    <w:rsid w:val="007D77C1"/>
    <w:rsid w:val="007E1B09"/>
    <w:rsid w:val="007E2F19"/>
    <w:rsid w:val="007E3A25"/>
    <w:rsid w:val="007E4173"/>
    <w:rsid w:val="007E7787"/>
    <w:rsid w:val="007F01D2"/>
    <w:rsid w:val="007F510F"/>
    <w:rsid w:val="007F721E"/>
    <w:rsid w:val="00801288"/>
    <w:rsid w:val="008016E2"/>
    <w:rsid w:val="00802021"/>
    <w:rsid w:val="008051F8"/>
    <w:rsid w:val="00805459"/>
    <w:rsid w:val="008073B6"/>
    <w:rsid w:val="00813C03"/>
    <w:rsid w:val="00815FD5"/>
    <w:rsid w:val="008161F0"/>
    <w:rsid w:val="00816DA2"/>
    <w:rsid w:val="008210DB"/>
    <w:rsid w:val="008233AF"/>
    <w:rsid w:val="00823B08"/>
    <w:rsid w:val="008254FC"/>
    <w:rsid w:val="008276D9"/>
    <w:rsid w:val="008279FA"/>
    <w:rsid w:val="00830CD1"/>
    <w:rsid w:val="00833627"/>
    <w:rsid w:val="00836B9D"/>
    <w:rsid w:val="0083785B"/>
    <w:rsid w:val="00840816"/>
    <w:rsid w:val="00841E08"/>
    <w:rsid w:val="00843584"/>
    <w:rsid w:val="008444B2"/>
    <w:rsid w:val="00847689"/>
    <w:rsid w:val="00847812"/>
    <w:rsid w:val="00851151"/>
    <w:rsid w:val="00851F93"/>
    <w:rsid w:val="008522C6"/>
    <w:rsid w:val="008535B6"/>
    <w:rsid w:val="00853C9A"/>
    <w:rsid w:val="008551F4"/>
    <w:rsid w:val="00856506"/>
    <w:rsid w:val="00857075"/>
    <w:rsid w:val="00860217"/>
    <w:rsid w:val="00862F21"/>
    <w:rsid w:val="00867749"/>
    <w:rsid w:val="00867B26"/>
    <w:rsid w:val="00867E30"/>
    <w:rsid w:val="008708D5"/>
    <w:rsid w:val="00870E48"/>
    <w:rsid w:val="008711C2"/>
    <w:rsid w:val="008741EA"/>
    <w:rsid w:val="00877D6E"/>
    <w:rsid w:val="00880AFC"/>
    <w:rsid w:val="00883FE9"/>
    <w:rsid w:val="00884973"/>
    <w:rsid w:val="008863D2"/>
    <w:rsid w:val="008928BA"/>
    <w:rsid w:val="00892ACC"/>
    <w:rsid w:val="00897312"/>
    <w:rsid w:val="008A18C6"/>
    <w:rsid w:val="008A3CA8"/>
    <w:rsid w:val="008A497C"/>
    <w:rsid w:val="008A65CB"/>
    <w:rsid w:val="008A723A"/>
    <w:rsid w:val="008B5427"/>
    <w:rsid w:val="008B5F92"/>
    <w:rsid w:val="008B6C13"/>
    <w:rsid w:val="008C0012"/>
    <w:rsid w:val="008C227D"/>
    <w:rsid w:val="008C4B3B"/>
    <w:rsid w:val="008C4C06"/>
    <w:rsid w:val="008C67A4"/>
    <w:rsid w:val="008C7D50"/>
    <w:rsid w:val="008D0ED5"/>
    <w:rsid w:val="008D118F"/>
    <w:rsid w:val="008D2487"/>
    <w:rsid w:val="008D3E18"/>
    <w:rsid w:val="008D4DFB"/>
    <w:rsid w:val="008D6779"/>
    <w:rsid w:val="008E014B"/>
    <w:rsid w:val="008E07F2"/>
    <w:rsid w:val="008E1B09"/>
    <w:rsid w:val="008E6BF9"/>
    <w:rsid w:val="008E7149"/>
    <w:rsid w:val="008E71CC"/>
    <w:rsid w:val="008F0327"/>
    <w:rsid w:val="008F2ADC"/>
    <w:rsid w:val="008F37E1"/>
    <w:rsid w:val="00902EC0"/>
    <w:rsid w:val="009030FB"/>
    <w:rsid w:val="00903ECB"/>
    <w:rsid w:val="0090569F"/>
    <w:rsid w:val="00907147"/>
    <w:rsid w:val="00907660"/>
    <w:rsid w:val="0091147D"/>
    <w:rsid w:val="00911B82"/>
    <w:rsid w:val="00911D50"/>
    <w:rsid w:val="00913B8E"/>
    <w:rsid w:val="00914FED"/>
    <w:rsid w:val="0091579C"/>
    <w:rsid w:val="00915CA0"/>
    <w:rsid w:val="00917AD3"/>
    <w:rsid w:val="00921480"/>
    <w:rsid w:val="0092251C"/>
    <w:rsid w:val="00923357"/>
    <w:rsid w:val="00924037"/>
    <w:rsid w:val="00927A98"/>
    <w:rsid w:val="00932D69"/>
    <w:rsid w:val="00932E14"/>
    <w:rsid w:val="00934DD9"/>
    <w:rsid w:val="0093539C"/>
    <w:rsid w:val="00935DDD"/>
    <w:rsid w:val="0093664C"/>
    <w:rsid w:val="00940DF7"/>
    <w:rsid w:val="00941477"/>
    <w:rsid w:val="009454D2"/>
    <w:rsid w:val="009514BB"/>
    <w:rsid w:val="00951887"/>
    <w:rsid w:val="00953E74"/>
    <w:rsid w:val="009574C0"/>
    <w:rsid w:val="0096302F"/>
    <w:rsid w:val="0096339A"/>
    <w:rsid w:val="00963AC7"/>
    <w:rsid w:val="00965D14"/>
    <w:rsid w:val="00966F68"/>
    <w:rsid w:val="009674DE"/>
    <w:rsid w:val="0097220C"/>
    <w:rsid w:val="009727A3"/>
    <w:rsid w:val="0097287D"/>
    <w:rsid w:val="00975DC5"/>
    <w:rsid w:val="00977FC5"/>
    <w:rsid w:val="00982471"/>
    <w:rsid w:val="00984F30"/>
    <w:rsid w:val="009871D1"/>
    <w:rsid w:val="009915F8"/>
    <w:rsid w:val="00994BDD"/>
    <w:rsid w:val="0099512F"/>
    <w:rsid w:val="00995814"/>
    <w:rsid w:val="00995FB4"/>
    <w:rsid w:val="009972D0"/>
    <w:rsid w:val="0099769B"/>
    <w:rsid w:val="009A32DC"/>
    <w:rsid w:val="009A3BFD"/>
    <w:rsid w:val="009A3D55"/>
    <w:rsid w:val="009A437A"/>
    <w:rsid w:val="009A599F"/>
    <w:rsid w:val="009A75B6"/>
    <w:rsid w:val="009A7DEA"/>
    <w:rsid w:val="009B157B"/>
    <w:rsid w:val="009C0098"/>
    <w:rsid w:val="009C01A0"/>
    <w:rsid w:val="009C361C"/>
    <w:rsid w:val="009C3B9C"/>
    <w:rsid w:val="009C735F"/>
    <w:rsid w:val="009C74EC"/>
    <w:rsid w:val="009C77D5"/>
    <w:rsid w:val="009D044C"/>
    <w:rsid w:val="009D15C4"/>
    <w:rsid w:val="009D436D"/>
    <w:rsid w:val="009D5363"/>
    <w:rsid w:val="009E0B74"/>
    <w:rsid w:val="009E1B91"/>
    <w:rsid w:val="009E3E33"/>
    <w:rsid w:val="009F44AA"/>
    <w:rsid w:val="009F4945"/>
    <w:rsid w:val="009F498F"/>
    <w:rsid w:val="009F5964"/>
    <w:rsid w:val="00A00BA8"/>
    <w:rsid w:val="00A00DEC"/>
    <w:rsid w:val="00A0134F"/>
    <w:rsid w:val="00A0233F"/>
    <w:rsid w:val="00A0358E"/>
    <w:rsid w:val="00A048B3"/>
    <w:rsid w:val="00A07157"/>
    <w:rsid w:val="00A07A7B"/>
    <w:rsid w:val="00A11262"/>
    <w:rsid w:val="00A12127"/>
    <w:rsid w:val="00A132D7"/>
    <w:rsid w:val="00A1504E"/>
    <w:rsid w:val="00A16379"/>
    <w:rsid w:val="00A17DD1"/>
    <w:rsid w:val="00A210BC"/>
    <w:rsid w:val="00A24591"/>
    <w:rsid w:val="00A27CFE"/>
    <w:rsid w:val="00A27FB4"/>
    <w:rsid w:val="00A304DD"/>
    <w:rsid w:val="00A30DF4"/>
    <w:rsid w:val="00A32530"/>
    <w:rsid w:val="00A35071"/>
    <w:rsid w:val="00A3611E"/>
    <w:rsid w:val="00A414A9"/>
    <w:rsid w:val="00A41D26"/>
    <w:rsid w:val="00A43808"/>
    <w:rsid w:val="00A50E2A"/>
    <w:rsid w:val="00A519D7"/>
    <w:rsid w:val="00A52FB8"/>
    <w:rsid w:val="00A532C0"/>
    <w:rsid w:val="00A57F32"/>
    <w:rsid w:val="00A65622"/>
    <w:rsid w:val="00A67180"/>
    <w:rsid w:val="00A72247"/>
    <w:rsid w:val="00A7236A"/>
    <w:rsid w:val="00A735BB"/>
    <w:rsid w:val="00A73772"/>
    <w:rsid w:val="00A73E75"/>
    <w:rsid w:val="00A74DA3"/>
    <w:rsid w:val="00A74DB4"/>
    <w:rsid w:val="00A80900"/>
    <w:rsid w:val="00A83A26"/>
    <w:rsid w:val="00A84194"/>
    <w:rsid w:val="00A8625A"/>
    <w:rsid w:val="00A869F5"/>
    <w:rsid w:val="00A87953"/>
    <w:rsid w:val="00A91247"/>
    <w:rsid w:val="00A91D0A"/>
    <w:rsid w:val="00A92B10"/>
    <w:rsid w:val="00A953FB"/>
    <w:rsid w:val="00A96831"/>
    <w:rsid w:val="00A96BF9"/>
    <w:rsid w:val="00A96DAA"/>
    <w:rsid w:val="00A97362"/>
    <w:rsid w:val="00A97A65"/>
    <w:rsid w:val="00AA082D"/>
    <w:rsid w:val="00AA22F8"/>
    <w:rsid w:val="00AA260A"/>
    <w:rsid w:val="00AA2617"/>
    <w:rsid w:val="00AA38A6"/>
    <w:rsid w:val="00AA5951"/>
    <w:rsid w:val="00AA772C"/>
    <w:rsid w:val="00AB39CE"/>
    <w:rsid w:val="00AB484F"/>
    <w:rsid w:val="00AB4D89"/>
    <w:rsid w:val="00AB627F"/>
    <w:rsid w:val="00AB7558"/>
    <w:rsid w:val="00AB7CD3"/>
    <w:rsid w:val="00AB7EE1"/>
    <w:rsid w:val="00AC206A"/>
    <w:rsid w:val="00AC3798"/>
    <w:rsid w:val="00AC3EB0"/>
    <w:rsid w:val="00AC7B4F"/>
    <w:rsid w:val="00AD1B84"/>
    <w:rsid w:val="00AD4C7E"/>
    <w:rsid w:val="00AD4E4F"/>
    <w:rsid w:val="00AD6467"/>
    <w:rsid w:val="00AD7D85"/>
    <w:rsid w:val="00AE0606"/>
    <w:rsid w:val="00AE0A92"/>
    <w:rsid w:val="00AE5D7E"/>
    <w:rsid w:val="00AE69BB"/>
    <w:rsid w:val="00AE6FBE"/>
    <w:rsid w:val="00AE7A86"/>
    <w:rsid w:val="00AF3A78"/>
    <w:rsid w:val="00AF5354"/>
    <w:rsid w:val="00AF5E45"/>
    <w:rsid w:val="00AF638C"/>
    <w:rsid w:val="00AF6D5B"/>
    <w:rsid w:val="00B0184A"/>
    <w:rsid w:val="00B02623"/>
    <w:rsid w:val="00B02BD7"/>
    <w:rsid w:val="00B04BA8"/>
    <w:rsid w:val="00B05B24"/>
    <w:rsid w:val="00B0673B"/>
    <w:rsid w:val="00B07A1D"/>
    <w:rsid w:val="00B12DD6"/>
    <w:rsid w:val="00B15DA3"/>
    <w:rsid w:val="00B15E1D"/>
    <w:rsid w:val="00B22DFB"/>
    <w:rsid w:val="00B25657"/>
    <w:rsid w:val="00B25799"/>
    <w:rsid w:val="00B30609"/>
    <w:rsid w:val="00B3342A"/>
    <w:rsid w:val="00B37D8F"/>
    <w:rsid w:val="00B401A8"/>
    <w:rsid w:val="00B40800"/>
    <w:rsid w:val="00B41B1D"/>
    <w:rsid w:val="00B436C0"/>
    <w:rsid w:val="00B43712"/>
    <w:rsid w:val="00B4448A"/>
    <w:rsid w:val="00B453E4"/>
    <w:rsid w:val="00B45B25"/>
    <w:rsid w:val="00B47176"/>
    <w:rsid w:val="00B476DF"/>
    <w:rsid w:val="00B524DC"/>
    <w:rsid w:val="00B52504"/>
    <w:rsid w:val="00B57A9A"/>
    <w:rsid w:val="00B60022"/>
    <w:rsid w:val="00B627E8"/>
    <w:rsid w:val="00B6543E"/>
    <w:rsid w:val="00B71828"/>
    <w:rsid w:val="00B71830"/>
    <w:rsid w:val="00B73A27"/>
    <w:rsid w:val="00B80EEF"/>
    <w:rsid w:val="00B80FAD"/>
    <w:rsid w:val="00B81967"/>
    <w:rsid w:val="00B831D7"/>
    <w:rsid w:val="00B834D6"/>
    <w:rsid w:val="00B83965"/>
    <w:rsid w:val="00B83975"/>
    <w:rsid w:val="00B839B1"/>
    <w:rsid w:val="00B83BD2"/>
    <w:rsid w:val="00B91456"/>
    <w:rsid w:val="00B91890"/>
    <w:rsid w:val="00B9432E"/>
    <w:rsid w:val="00B954D2"/>
    <w:rsid w:val="00B95A19"/>
    <w:rsid w:val="00B96221"/>
    <w:rsid w:val="00BA0852"/>
    <w:rsid w:val="00BA1113"/>
    <w:rsid w:val="00BA2E8E"/>
    <w:rsid w:val="00BA6849"/>
    <w:rsid w:val="00BA7164"/>
    <w:rsid w:val="00BB066A"/>
    <w:rsid w:val="00BB70F6"/>
    <w:rsid w:val="00BB7476"/>
    <w:rsid w:val="00BC0ED3"/>
    <w:rsid w:val="00BC1A21"/>
    <w:rsid w:val="00BC2B08"/>
    <w:rsid w:val="00BC2F4C"/>
    <w:rsid w:val="00BC4077"/>
    <w:rsid w:val="00BC4923"/>
    <w:rsid w:val="00BC52FF"/>
    <w:rsid w:val="00BC660B"/>
    <w:rsid w:val="00BC6D85"/>
    <w:rsid w:val="00BC7A36"/>
    <w:rsid w:val="00BC7F6F"/>
    <w:rsid w:val="00BD2164"/>
    <w:rsid w:val="00BD384E"/>
    <w:rsid w:val="00BD5B24"/>
    <w:rsid w:val="00BD6C23"/>
    <w:rsid w:val="00BE5E9D"/>
    <w:rsid w:val="00BF31B5"/>
    <w:rsid w:val="00BF375D"/>
    <w:rsid w:val="00BF3A03"/>
    <w:rsid w:val="00BF3D0A"/>
    <w:rsid w:val="00BF4C5A"/>
    <w:rsid w:val="00C00BD3"/>
    <w:rsid w:val="00C035A8"/>
    <w:rsid w:val="00C07B12"/>
    <w:rsid w:val="00C11394"/>
    <w:rsid w:val="00C11B0C"/>
    <w:rsid w:val="00C11FD5"/>
    <w:rsid w:val="00C144B0"/>
    <w:rsid w:val="00C175D5"/>
    <w:rsid w:val="00C17F57"/>
    <w:rsid w:val="00C20A43"/>
    <w:rsid w:val="00C20AA3"/>
    <w:rsid w:val="00C2159A"/>
    <w:rsid w:val="00C221FD"/>
    <w:rsid w:val="00C2328C"/>
    <w:rsid w:val="00C232D2"/>
    <w:rsid w:val="00C252FC"/>
    <w:rsid w:val="00C266B2"/>
    <w:rsid w:val="00C3023F"/>
    <w:rsid w:val="00C3503F"/>
    <w:rsid w:val="00C3586F"/>
    <w:rsid w:val="00C36D53"/>
    <w:rsid w:val="00C370BD"/>
    <w:rsid w:val="00C37D0F"/>
    <w:rsid w:val="00C413E2"/>
    <w:rsid w:val="00C42392"/>
    <w:rsid w:val="00C439AB"/>
    <w:rsid w:val="00C457B6"/>
    <w:rsid w:val="00C47AF0"/>
    <w:rsid w:val="00C504E9"/>
    <w:rsid w:val="00C5096E"/>
    <w:rsid w:val="00C52ADB"/>
    <w:rsid w:val="00C55877"/>
    <w:rsid w:val="00C55ACF"/>
    <w:rsid w:val="00C57185"/>
    <w:rsid w:val="00C62679"/>
    <w:rsid w:val="00C65249"/>
    <w:rsid w:val="00C656A9"/>
    <w:rsid w:val="00C67217"/>
    <w:rsid w:val="00C70D53"/>
    <w:rsid w:val="00C75A0E"/>
    <w:rsid w:val="00C75ACA"/>
    <w:rsid w:val="00C76E0D"/>
    <w:rsid w:val="00C772D2"/>
    <w:rsid w:val="00C801C0"/>
    <w:rsid w:val="00C80518"/>
    <w:rsid w:val="00C809F4"/>
    <w:rsid w:val="00C81D1D"/>
    <w:rsid w:val="00C81E26"/>
    <w:rsid w:val="00C81FD4"/>
    <w:rsid w:val="00C8226A"/>
    <w:rsid w:val="00C82B47"/>
    <w:rsid w:val="00C830C2"/>
    <w:rsid w:val="00C83C6C"/>
    <w:rsid w:val="00C84641"/>
    <w:rsid w:val="00C84F44"/>
    <w:rsid w:val="00C86FEF"/>
    <w:rsid w:val="00C910CE"/>
    <w:rsid w:val="00C921D2"/>
    <w:rsid w:val="00C9229E"/>
    <w:rsid w:val="00C93845"/>
    <w:rsid w:val="00C946A9"/>
    <w:rsid w:val="00C94F18"/>
    <w:rsid w:val="00C960F4"/>
    <w:rsid w:val="00CA0D55"/>
    <w:rsid w:val="00CA2558"/>
    <w:rsid w:val="00CB035F"/>
    <w:rsid w:val="00CB161A"/>
    <w:rsid w:val="00CB36B1"/>
    <w:rsid w:val="00CB544B"/>
    <w:rsid w:val="00CC120D"/>
    <w:rsid w:val="00CC25E4"/>
    <w:rsid w:val="00CC5371"/>
    <w:rsid w:val="00CC602F"/>
    <w:rsid w:val="00CD026D"/>
    <w:rsid w:val="00CD1023"/>
    <w:rsid w:val="00CD1B18"/>
    <w:rsid w:val="00CD2911"/>
    <w:rsid w:val="00CD3EDF"/>
    <w:rsid w:val="00CD617B"/>
    <w:rsid w:val="00CD66DB"/>
    <w:rsid w:val="00CD6E2B"/>
    <w:rsid w:val="00CE1E95"/>
    <w:rsid w:val="00CE2BD2"/>
    <w:rsid w:val="00CE2BF3"/>
    <w:rsid w:val="00CE6792"/>
    <w:rsid w:val="00CF2134"/>
    <w:rsid w:val="00CF221A"/>
    <w:rsid w:val="00D046FA"/>
    <w:rsid w:val="00D04B45"/>
    <w:rsid w:val="00D051C0"/>
    <w:rsid w:val="00D13B0A"/>
    <w:rsid w:val="00D14306"/>
    <w:rsid w:val="00D20B5D"/>
    <w:rsid w:val="00D21EF5"/>
    <w:rsid w:val="00D23868"/>
    <w:rsid w:val="00D2697E"/>
    <w:rsid w:val="00D30587"/>
    <w:rsid w:val="00D31B32"/>
    <w:rsid w:val="00D32AF3"/>
    <w:rsid w:val="00D34201"/>
    <w:rsid w:val="00D34593"/>
    <w:rsid w:val="00D3673A"/>
    <w:rsid w:val="00D372D0"/>
    <w:rsid w:val="00D379E0"/>
    <w:rsid w:val="00D425E2"/>
    <w:rsid w:val="00D438EF"/>
    <w:rsid w:val="00D45E80"/>
    <w:rsid w:val="00D52855"/>
    <w:rsid w:val="00D53583"/>
    <w:rsid w:val="00D54F4C"/>
    <w:rsid w:val="00D55C36"/>
    <w:rsid w:val="00D57A21"/>
    <w:rsid w:val="00D60E48"/>
    <w:rsid w:val="00D612B5"/>
    <w:rsid w:val="00D63297"/>
    <w:rsid w:val="00D63764"/>
    <w:rsid w:val="00D6379F"/>
    <w:rsid w:val="00D65182"/>
    <w:rsid w:val="00D708DF"/>
    <w:rsid w:val="00D7131B"/>
    <w:rsid w:val="00D722CE"/>
    <w:rsid w:val="00D8742C"/>
    <w:rsid w:val="00D878D4"/>
    <w:rsid w:val="00D914D4"/>
    <w:rsid w:val="00D930DE"/>
    <w:rsid w:val="00D9487F"/>
    <w:rsid w:val="00D94A4C"/>
    <w:rsid w:val="00D97965"/>
    <w:rsid w:val="00DA2826"/>
    <w:rsid w:val="00DA284D"/>
    <w:rsid w:val="00DA34F5"/>
    <w:rsid w:val="00DA3832"/>
    <w:rsid w:val="00DA7D75"/>
    <w:rsid w:val="00DB12B1"/>
    <w:rsid w:val="00DB147A"/>
    <w:rsid w:val="00DB1572"/>
    <w:rsid w:val="00DB587E"/>
    <w:rsid w:val="00DB64B9"/>
    <w:rsid w:val="00DC2A4B"/>
    <w:rsid w:val="00DC3EE0"/>
    <w:rsid w:val="00DC4D68"/>
    <w:rsid w:val="00DC61B3"/>
    <w:rsid w:val="00DC7B00"/>
    <w:rsid w:val="00DD14C4"/>
    <w:rsid w:val="00DD335F"/>
    <w:rsid w:val="00DD449F"/>
    <w:rsid w:val="00DD5F8C"/>
    <w:rsid w:val="00DD6856"/>
    <w:rsid w:val="00DD6E82"/>
    <w:rsid w:val="00DE3F67"/>
    <w:rsid w:val="00DE4629"/>
    <w:rsid w:val="00DE489E"/>
    <w:rsid w:val="00DE6645"/>
    <w:rsid w:val="00DF1527"/>
    <w:rsid w:val="00DF33CA"/>
    <w:rsid w:val="00DF368B"/>
    <w:rsid w:val="00DF3C5C"/>
    <w:rsid w:val="00DF3D12"/>
    <w:rsid w:val="00DF3FD9"/>
    <w:rsid w:val="00DF56BC"/>
    <w:rsid w:val="00DF5C0E"/>
    <w:rsid w:val="00E029DC"/>
    <w:rsid w:val="00E064C2"/>
    <w:rsid w:val="00E10F55"/>
    <w:rsid w:val="00E12627"/>
    <w:rsid w:val="00E16A95"/>
    <w:rsid w:val="00E20892"/>
    <w:rsid w:val="00E23557"/>
    <w:rsid w:val="00E24479"/>
    <w:rsid w:val="00E26290"/>
    <w:rsid w:val="00E26DD3"/>
    <w:rsid w:val="00E31F67"/>
    <w:rsid w:val="00E339FE"/>
    <w:rsid w:val="00E343AC"/>
    <w:rsid w:val="00E35D73"/>
    <w:rsid w:val="00E36057"/>
    <w:rsid w:val="00E411B9"/>
    <w:rsid w:val="00E44354"/>
    <w:rsid w:val="00E5051D"/>
    <w:rsid w:val="00E507BA"/>
    <w:rsid w:val="00E50949"/>
    <w:rsid w:val="00E519E6"/>
    <w:rsid w:val="00E528F4"/>
    <w:rsid w:val="00E54EC5"/>
    <w:rsid w:val="00E61C8A"/>
    <w:rsid w:val="00E64BDA"/>
    <w:rsid w:val="00E65616"/>
    <w:rsid w:val="00E702E9"/>
    <w:rsid w:val="00E755B4"/>
    <w:rsid w:val="00E75E52"/>
    <w:rsid w:val="00E75E74"/>
    <w:rsid w:val="00E77499"/>
    <w:rsid w:val="00E8256C"/>
    <w:rsid w:val="00E836A8"/>
    <w:rsid w:val="00E85210"/>
    <w:rsid w:val="00E905A3"/>
    <w:rsid w:val="00E91214"/>
    <w:rsid w:val="00E942CE"/>
    <w:rsid w:val="00E95DE4"/>
    <w:rsid w:val="00EA36CE"/>
    <w:rsid w:val="00EA379D"/>
    <w:rsid w:val="00EA38F9"/>
    <w:rsid w:val="00EA5096"/>
    <w:rsid w:val="00EA53F0"/>
    <w:rsid w:val="00EA6A25"/>
    <w:rsid w:val="00EA7DC3"/>
    <w:rsid w:val="00EB05C5"/>
    <w:rsid w:val="00EB23EE"/>
    <w:rsid w:val="00EB327C"/>
    <w:rsid w:val="00EB732F"/>
    <w:rsid w:val="00EC227B"/>
    <w:rsid w:val="00EC26E4"/>
    <w:rsid w:val="00EC33ED"/>
    <w:rsid w:val="00EC4E00"/>
    <w:rsid w:val="00EC7E7F"/>
    <w:rsid w:val="00ED08F9"/>
    <w:rsid w:val="00ED4D0E"/>
    <w:rsid w:val="00EE389F"/>
    <w:rsid w:val="00EE54A6"/>
    <w:rsid w:val="00EF10DD"/>
    <w:rsid w:val="00EF4B35"/>
    <w:rsid w:val="00EF4C64"/>
    <w:rsid w:val="00EF75E1"/>
    <w:rsid w:val="00EF7D9B"/>
    <w:rsid w:val="00F00736"/>
    <w:rsid w:val="00F07097"/>
    <w:rsid w:val="00F0761D"/>
    <w:rsid w:val="00F121D7"/>
    <w:rsid w:val="00F1325E"/>
    <w:rsid w:val="00F15E60"/>
    <w:rsid w:val="00F16945"/>
    <w:rsid w:val="00F21BD1"/>
    <w:rsid w:val="00F21EA7"/>
    <w:rsid w:val="00F225F0"/>
    <w:rsid w:val="00F26BE0"/>
    <w:rsid w:val="00F30EDF"/>
    <w:rsid w:val="00F356BD"/>
    <w:rsid w:val="00F35F43"/>
    <w:rsid w:val="00F36365"/>
    <w:rsid w:val="00F37FEA"/>
    <w:rsid w:val="00F42059"/>
    <w:rsid w:val="00F42E4E"/>
    <w:rsid w:val="00F44EE0"/>
    <w:rsid w:val="00F51FB6"/>
    <w:rsid w:val="00F52E7B"/>
    <w:rsid w:val="00F54444"/>
    <w:rsid w:val="00F55318"/>
    <w:rsid w:val="00F55A37"/>
    <w:rsid w:val="00F5646F"/>
    <w:rsid w:val="00F5758C"/>
    <w:rsid w:val="00F6078A"/>
    <w:rsid w:val="00F62A98"/>
    <w:rsid w:val="00F640C7"/>
    <w:rsid w:val="00F645B0"/>
    <w:rsid w:val="00F67CD2"/>
    <w:rsid w:val="00F67FFD"/>
    <w:rsid w:val="00F715D5"/>
    <w:rsid w:val="00F71646"/>
    <w:rsid w:val="00F72E55"/>
    <w:rsid w:val="00F74C47"/>
    <w:rsid w:val="00F77702"/>
    <w:rsid w:val="00F81984"/>
    <w:rsid w:val="00F82CFC"/>
    <w:rsid w:val="00F82DA7"/>
    <w:rsid w:val="00F83399"/>
    <w:rsid w:val="00F83F4A"/>
    <w:rsid w:val="00F844DC"/>
    <w:rsid w:val="00F86CBA"/>
    <w:rsid w:val="00F92B63"/>
    <w:rsid w:val="00F939CB"/>
    <w:rsid w:val="00F93E5E"/>
    <w:rsid w:val="00F93F4C"/>
    <w:rsid w:val="00F94C27"/>
    <w:rsid w:val="00F94F92"/>
    <w:rsid w:val="00F95715"/>
    <w:rsid w:val="00F96814"/>
    <w:rsid w:val="00F96F2A"/>
    <w:rsid w:val="00FA0EC6"/>
    <w:rsid w:val="00FA169F"/>
    <w:rsid w:val="00FA4D62"/>
    <w:rsid w:val="00FA57AE"/>
    <w:rsid w:val="00FA6336"/>
    <w:rsid w:val="00FA789C"/>
    <w:rsid w:val="00FB1714"/>
    <w:rsid w:val="00FB53A7"/>
    <w:rsid w:val="00FB6782"/>
    <w:rsid w:val="00FB69AF"/>
    <w:rsid w:val="00FB79CD"/>
    <w:rsid w:val="00FC38CA"/>
    <w:rsid w:val="00FC4F46"/>
    <w:rsid w:val="00FC5911"/>
    <w:rsid w:val="00FC67E0"/>
    <w:rsid w:val="00FC759B"/>
    <w:rsid w:val="00FD04E3"/>
    <w:rsid w:val="00FD0530"/>
    <w:rsid w:val="00FD1A7C"/>
    <w:rsid w:val="00FD3C67"/>
    <w:rsid w:val="00FD50D5"/>
    <w:rsid w:val="00FD601D"/>
    <w:rsid w:val="00FD7839"/>
    <w:rsid w:val="00FD7B04"/>
    <w:rsid w:val="00FE1B2C"/>
    <w:rsid w:val="00FE3B7E"/>
    <w:rsid w:val="00FE3BEA"/>
    <w:rsid w:val="00FE4159"/>
    <w:rsid w:val="00FE51C1"/>
    <w:rsid w:val="00FE55A6"/>
    <w:rsid w:val="00FE5EE4"/>
    <w:rsid w:val="00FE692E"/>
    <w:rsid w:val="00FE7A90"/>
    <w:rsid w:val="00FE7AB7"/>
    <w:rsid w:val="00FF03A0"/>
    <w:rsid w:val="00FF2C40"/>
    <w:rsid w:val="00FF2C5C"/>
    <w:rsid w:val="00FF60B5"/>
    <w:rsid w:val="00FF6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5CE583"/>
  <w15:chartTrackingRefBased/>
  <w15:docId w15:val="{FE363901-0336-4DB2-B501-8EC3B652D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22CE"/>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D722C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722CE"/>
    <w:rPr>
      <w:rFonts w:ascii="Tahoma" w:eastAsia="SimSun" w:hAnsi="Tahoma" w:cs="Tahoma"/>
      <w:b/>
      <w:bCs/>
      <w:sz w:val="20"/>
      <w:szCs w:val="20"/>
      <w:lang w:eastAsia="zh-CN"/>
    </w:rPr>
  </w:style>
  <w:style w:type="paragraph" w:styleId="NormalWeb">
    <w:name w:val="Normal (Web)"/>
    <w:basedOn w:val="Normal"/>
    <w:rsid w:val="00D722CE"/>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D722CE"/>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basedOn w:val="DefaultParagraphFont"/>
    <w:link w:val="Header"/>
    <w:uiPriority w:val="99"/>
    <w:rsid w:val="00D722CE"/>
    <w:rPr>
      <w:rFonts w:ascii="Trebuchet MS" w:eastAsia="Calibri" w:hAnsi="Trebuchet MS" w:cs="Times New Roman"/>
      <w:szCs w:val="20"/>
      <w:lang w:val="x-none"/>
    </w:rPr>
  </w:style>
  <w:style w:type="paragraph" w:styleId="Footer">
    <w:name w:val="footer"/>
    <w:basedOn w:val="Normal"/>
    <w:link w:val="FooterChar"/>
    <w:uiPriority w:val="99"/>
    <w:rsid w:val="00D722CE"/>
    <w:pPr>
      <w:tabs>
        <w:tab w:val="center" w:pos="4513"/>
        <w:tab w:val="right" w:pos="9026"/>
      </w:tabs>
    </w:pPr>
    <w:rPr>
      <w:lang w:val="x-none"/>
    </w:rPr>
  </w:style>
  <w:style w:type="character" w:customStyle="1" w:styleId="FooterChar">
    <w:name w:val="Footer Char"/>
    <w:basedOn w:val="DefaultParagraphFont"/>
    <w:link w:val="Footer"/>
    <w:uiPriority w:val="99"/>
    <w:rsid w:val="00D722CE"/>
    <w:rPr>
      <w:rFonts w:ascii="Times New Roman" w:eastAsia="SimSun" w:hAnsi="Times New Roman" w:cs="Times New Roman"/>
      <w:sz w:val="24"/>
      <w:szCs w:val="24"/>
      <w:lang w:val="x-none" w:eastAsia="zh-CN"/>
    </w:rPr>
  </w:style>
  <w:style w:type="paragraph" w:styleId="FootnoteText">
    <w:name w:val="footnote text"/>
    <w:basedOn w:val="Normal"/>
    <w:link w:val="FootnoteTextChar"/>
    <w:rsid w:val="00D722CE"/>
    <w:rPr>
      <w:sz w:val="20"/>
      <w:szCs w:val="20"/>
    </w:rPr>
  </w:style>
  <w:style w:type="character" w:customStyle="1" w:styleId="FootnoteTextChar">
    <w:name w:val="Footnote Text Char"/>
    <w:basedOn w:val="DefaultParagraphFont"/>
    <w:link w:val="FootnoteText"/>
    <w:rsid w:val="00D722CE"/>
    <w:rPr>
      <w:rFonts w:ascii="Times New Roman" w:eastAsia="SimSun" w:hAnsi="Times New Roman" w:cs="Times New Roman"/>
      <w:sz w:val="20"/>
      <w:szCs w:val="20"/>
      <w:lang w:eastAsia="zh-CN"/>
    </w:rPr>
  </w:style>
  <w:style w:type="character" w:styleId="FootnoteReference">
    <w:name w:val="footnote reference"/>
    <w:basedOn w:val="DefaultParagraphFont"/>
    <w:rsid w:val="00D722CE"/>
    <w:rPr>
      <w:vertAlign w:val="superscript"/>
    </w:rPr>
  </w:style>
  <w:style w:type="paragraph" w:styleId="BalloonText">
    <w:name w:val="Balloon Text"/>
    <w:basedOn w:val="Normal"/>
    <w:link w:val="BalloonTextChar"/>
    <w:uiPriority w:val="99"/>
    <w:semiHidden/>
    <w:unhideWhenUsed/>
    <w:rsid w:val="00453FB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53FB9"/>
    <w:rPr>
      <w:rFonts w:ascii="Segoe UI" w:eastAsia="SimSun" w:hAnsi="Segoe UI" w:cs="Segoe UI"/>
      <w:sz w:val="18"/>
      <w:szCs w:val="18"/>
      <w:lang w:eastAsia="zh-CN"/>
    </w:rPr>
  </w:style>
  <w:style w:type="character" w:customStyle="1" w:styleId="fontstyle01">
    <w:name w:val="fontstyle01"/>
    <w:basedOn w:val="DefaultParagraphFont"/>
    <w:rsid w:val="00444FA5"/>
    <w:rPr>
      <w:rFonts w:ascii="MinionPro-Regular" w:hAnsi="MinionPro-Regular" w:hint="default"/>
      <w:b w:val="0"/>
      <w:bCs w:val="0"/>
      <w:i w:val="0"/>
      <w:iCs w:val="0"/>
      <w:color w:val="000000"/>
      <w:sz w:val="12"/>
      <w:szCs w:val="12"/>
    </w:rPr>
  </w:style>
  <w:style w:type="character" w:customStyle="1" w:styleId="fontstyle21">
    <w:name w:val="fontstyle21"/>
    <w:basedOn w:val="DefaultParagraphFont"/>
    <w:rsid w:val="00444FA5"/>
    <w:rPr>
      <w:rFonts w:ascii="MinionPro-It" w:hAnsi="MinionPro-It" w:hint="default"/>
      <w:b w:val="0"/>
      <w:bCs w:val="0"/>
      <w:i/>
      <w:iCs/>
      <w:color w:val="000000"/>
      <w:sz w:val="20"/>
      <w:szCs w:val="20"/>
    </w:rPr>
  </w:style>
  <w:style w:type="character" w:customStyle="1" w:styleId="fontstyle31">
    <w:name w:val="fontstyle31"/>
    <w:basedOn w:val="DefaultParagraphFont"/>
    <w:rsid w:val="00444FA5"/>
    <w:rPr>
      <w:rFonts w:ascii="GentiumItalic" w:hAnsi="GentiumItalic" w:hint="default"/>
      <w:b w:val="0"/>
      <w:bCs w:val="0"/>
      <w:i/>
      <w:iCs/>
      <w:color w:val="000000"/>
      <w:sz w:val="20"/>
      <w:szCs w:val="20"/>
    </w:rPr>
  </w:style>
  <w:style w:type="character" w:styleId="Hyperlink">
    <w:name w:val="Hyperlink"/>
    <w:basedOn w:val="DefaultParagraphFont"/>
    <w:uiPriority w:val="99"/>
    <w:unhideWhenUsed/>
    <w:rsid w:val="00862F21"/>
    <w:rPr>
      <w:color w:val="0000FF"/>
      <w:u w:val="single"/>
    </w:rPr>
  </w:style>
  <w:style w:type="character" w:styleId="FollowedHyperlink">
    <w:name w:val="FollowedHyperlink"/>
    <w:basedOn w:val="DefaultParagraphFont"/>
    <w:uiPriority w:val="99"/>
    <w:semiHidden/>
    <w:unhideWhenUsed/>
    <w:rsid w:val="004119BC"/>
    <w:rPr>
      <w:color w:val="954F72" w:themeColor="followedHyperlink"/>
      <w:u w:val="single"/>
    </w:rPr>
  </w:style>
  <w:style w:type="character" w:styleId="UnresolvedMention">
    <w:name w:val="Unresolved Mention"/>
    <w:basedOn w:val="DefaultParagraphFont"/>
    <w:uiPriority w:val="99"/>
    <w:semiHidden/>
    <w:unhideWhenUsed/>
    <w:rsid w:val="00405C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367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oracc.iaas.upenn.edu/rinap/rinap5/Q003708/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oracc.iaas.upenn.edu/rinap/rinap5/Q003708/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778988-90F2-47ED-B138-D55646B16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3829</TotalTime>
  <Pages>15</Pages>
  <Words>4074</Words>
  <Characters>23224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Flynn</dc:creator>
  <cp:keywords/>
  <dc:description/>
  <cp:lastModifiedBy>Beth Flynn</cp:lastModifiedBy>
  <cp:revision>825</cp:revision>
  <cp:lastPrinted>2019-07-29T12:45:00Z</cp:lastPrinted>
  <dcterms:created xsi:type="dcterms:W3CDTF">2019-04-25T17:34:00Z</dcterms:created>
  <dcterms:modified xsi:type="dcterms:W3CDTF">2019-07-29T17:33:00Z</dcterms:modified>
</cp:coreProperties>
</file>