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464" w:type="dxa"/>
        <w:tblLook w:val="04A0" w:firstRow="1" w:lastRow="0" w:firstColumn="1" w:lastColumn="0" w:noHBand="0" w:noVBand="1"/>
      </w:tblPr>
      <w:tblGrid>
        <w:gridCol w:w="5464"/>
      </w:tblGrid>
      <w:tr w:rsidR="00B15BE5" w:rsidRPr="00F465A5" w14:paraId="0DAC019C" w14:textId="77777777" w:rsidTr="00B15BE5">
        <w:trPr>
          <w:trHeight w:val="497"/>
        </w:trPr>
        <w:tc>
          <w:tcPr>
            <w:tcW w:w="0" w:type="auto"/>
            <w:hideMark/>
          </w:tcPr>
          <w:p w14:paraId="6136C838" w14:textId="7B69DFE0" w:rsidR="00B15BE5" w:rsidRPr="00F465A5" w:rsidRDefault="00B15BE5">
            <w:pPr>
              <w:spacing w:before="120" w:after="120"/>
              <w:jc w:val="both"/>
              <w:rPr>
                <w:rFonts w:ascii="Times New Roman" w:eastAsia="Arial" w:hAnsi="Times New Roman" w:cs="Times New Roman"/>
                <w:b/>
                <w:sz w:val="24"/>
                <w:szCs w:val="24"/>
              </w:rPr>
            </w:pPr>
            <w:r w:rsidRPr="00F465A5">
              <w:rPr>
                <w:rFonts w:ascii="Times New Roman" w:eastAsia="Arial" w:hAnsi="Times New Roman" w:cs="Times New Roman"/>
                <w:b/>
                <w:sz w:val="24"/>
                <w:szCs w:val="24"/>
              </w:rPr>
              <w:t>Criminal law</w:t>
            </w:r>
            <w:r w:rsidR="00075652" w:rsidRPr="00F465A5">
              <w:rPr>
                <w:rFonts w:ascii="Times New Roman" w:eastAsia="Arial" w:hAnsi="Times New Roman" w:cs="Times New Roman"/>
                <w:b/>
                <w:sz w:val="24"/>
                <w:szCs w:val="24"/>
              </w:rPr>
              <w:t xml:space="preserve"> / </w:t>
            </w:r>
            <w:r w:rsidR="00075652" w:rsidRPr="00F465A5">
              <w:rPr>
                <w:rFonts w:ascii="Times New Roman" w:hAnsi="Times New Roman" w:cs="Times New Roman"/>
                <w:b/>
                <w:color w:val="333333"/>
                <w:sz w:val="24"/>
                <w:szCs w:val="24"/>
                <w:shd w:val="clear" w:color="auto" w:fill="FFFFFF"/>
              </w:rPr>
              <w:t>Zobia Khathun (2129625)</w:t>
            </w:r>
          </w:p>
        </w:tc>
      </w:tr>
      <w:tr w:rsidR="00B15BE5" w:rsidRPr="00F465A5" w14:paraId="4B795EC2" w14:textId="77777777" w:rsidTr="00B15BE5">
        <w:trPr>
          <w:trHeight w:val="497"/>
        </w:trPr>
        <w:tc>
          <w:tcPr>
            <w:tcW w:w="0" w:type="auto"/>
            <w:hideMark/>
          </w:tcPr>
          <w:p w14:paraId="1AC67B6A" w14:textId="77777777" w:rsidR="00B15BE5" w:rsidRPr="00F465A5" w:rsidRDefault="00B15BE5">
            <w:pPr>
              <w:spacing w:before="120" w:after="120"/>
              <w:jc w:val="both"/>
              <w:rPr>
                <w:rFonts w:ascii="Times New Roman" w:eastAsia="Arial" w:hAnsi="Times New Roman" w:cs="Times New Roman"/>
                <w:b/>
                <w:sz w:val="24"/>
                <w:szCs w:val="24"/>
              </w:rPr>
            </w:pPr>
            <w:r w:rsidRPr="00F465A5">
              <w:rPr>
                <w:rFonts w:ascii="Times New Roman" w:eastAsia="Arial" w:hAnsi="Times New Roman" w:cs="Times New Roman"/>
                <w:b/>
                <w:sz w:val="24"/>
                <w:szCs w:val="24"/>
              </w:rPr>
              <w:t>BMLW4005</w:t>
            </w:r>
          </w:p>
        </w:tc>
      </w:tr>
    </w:tbl>
    <w:p w14:paraId="2C35F752" w14:textId="77777777" w:rsidR="00B15BE5" w:rsidRPr="00F465A5" w:rsidRDefault="00B15BE5" w:rsidP="00B15BE5">
      <w:pPr>
        <w:rPr>
          <w:rFonts w:ascii="Times New Roman" w:hAnsi="Times New Roman" w:cs="Times New Roman"/>
          <w:bCs/>
          <w:caps/>
          <w:sz w:val="24"/>
          <w:szCs w:val="24"/>
        </w:rPr>
      </w:pPr>
    </w:p>
    <w:p w14:paraId="504621B4" w14:textId="4CF348A0" w:rsidR="00B15BE5" w:rsidRPr="00F465A5" w:rsidRDefault="00B15BE5">
      <w:pPr>
        <w:rPr>
          <w:rFonts w:ascii="Times New Roman" w:hAnsi="Times New Roman" w:cs="Times New Roman"/>
          <w:bCs/>
          <w:caps/>
          <w:sz w:val="24"/>
          <w:szCs w:val="24"/>
        </w:rPr>
      </w:pPr>
      <w:r w:rsidRPr="00F465A5">
        <w:rPr>
          <w:rFonts w:ascii="Times New Roman" w:hAnsi="Times New Roman" w:cs="Times New Roman"/>
          <w:bCs/>
          <w:caps/>
          <w:sz w:val="24"/>
          <w:szCs w:val="24"/>
        </w:rPr>
        <w:t>A,</w:t>
      </w:r>
    </w:p>
    <w:p w14:paraId="14EDCEA3" w14:textId="783F83CF" w:rsidR="00C53C3C" w:rsidRPr="00F465A5" w:rsidRDefault="001E6BEA">
      <w:pPr>
        <w:rPr>
          <w:rFonts w:ascii="Times New Roman" w:hAnsi="Times New Roman" w:cs="Times New Roman"/>
          <w:bCs/>
          <w:sz w:val="24"/>
          <w:szCs w:val="24"/>
        </w:rPr>
      </w:pPr>
      <w:r w:rsidRPr="00F465A5">
        <w:rPr>
          <w:rFonts w:ascii="Times New Roman" w:hAnsi="Times New Roman" w:cs="Times New Roman"/>
          <w:bCs/>
          <w:sz w:val="24"/>
          <w:szCs w:val="24"/>
        </w:rPr>
        <w:t xml:space="preserve">In my opinion, I would like to discus Hadley criminal liability and any defences that could apply to him. The offence in which relates to Hadley is theft. This is set out under section 1 the theft act1968, dishonestly, appropriates ,property , belonging to another with the intention of permanently depriving the other of it. There are five elements to the theft. Dishonesty, appropriates, property belonging to a another and intention pf permanently depriving. </w:t>
      </w:r>
    </w:p>
    <w:p w14:paraId="191D1482" w14:textId="1DCA62DD" w:rsidR="00B6581D" w:rsidRPr="00F465A5" w:rsidRDefault="00B15BE5" w:rsidP="00B6581D">
      <w:pPr>
        <w:pStyle w:val="NormalWeb"/>
        <w:shd w:val="clear" w:color="auto" w:fill="FFFFFF"/>
        <w:rPr>
          <w:rFonts w:eastAsia="Times New Roman"/>
          <w:bCs/>
          <w:color w:val="212529"/>
          <w:lang w:eastAsia="en-GB"/>
        </w:rPr>
      </w:pPr>
      <w:r w:rsidRPr="00F465A5">
        <w:rPr>
          <w:bCs/>
        </w:rPr>
        <w:t>Section</w:t>
      </w:r>
      <w:r w:rsidR="001E6BEA" w:rsidRPr="00F465A5">
        <w:rPr>
          <w:bCs/>
        </w:rPr>
        <w:t xml:space="preserve"> 3</w:t>
      </w:r>
      <w:r w:rsidR="00376262" w:rsidRPr="00F465A5">
        <w:rPr>
          <w:bCs/>
        </w:rPr>
        <w:t xml:space="preserve">, the theft act 1968, Hadley takes the </w:t>
      </w:r>
      <w:proofErr w:type="spellStart"/>
      <w:r w:rsidR="00376262" w:rsidRPr="00F465A5">
        <w:rPr>
          <w:bCs/>
        </w:rPr>
        <w:t>kolex</w:t>
      </w:r>
      <w:proofErr w:type="spellEnd"/>
      <w:r w:rsidR="00376262" w:rsidRPr="00F465A5">
        <w:rPr>
          <w:bCs/>
        </w:rPr>
        <w:t xml:space="preserve"> watch with intention of him being the owner, as seen in the case </w:t>
      </w:r>
      <w:r w:rsidR="00B6581D" w:rsidRPr="00F465A5">
        <w:rPr>
          <w:rStyle w:val="Strong"/>
          <w:b w:val="0"/>
          <w:color w:val="212529"/>
          <w:shd w:val="clear" w:color="auto" w:fill="FFFFFF"/>
        </w:rPr>
        <w:t>R v Morris [1983] 3 WLR 697</w:t>
      </w:r>
      <w:r w:rsidR="00B6581D" w:rsidRPr="00F465A5">
        <w:rPr>
          <w:rStyle w:val="Strong"/>
          <w:b w:val="0"/>
          <w:color w:val="212529"/>
          <w:shd w:val="clear" w:color="auto" w:fill="FFFFFF"/>
        </w:rPr>
        <w:t xml:space="preserve">. </w:t>
      </w:r>
      <w:r w:rsidR="00B6581D" w:rsidRPr="00F465A5">
        <w:rPr>
          <w:rFonts w:eastAsia="Times New Roman"/>
          <w:bCs/>
          <w:color w:val="212529"/>
          <w:lang w:eastAsia="en-GB"/>
        </w:rPr>
        <w:t>The defendants were convicted of theft under s.1 of the </w:t>
      </w:r>
      <w:hyperlink r:id="rId4" w:history="1">
        <w:r w:rsidR="00B6581D" w:rsidRPr="00F465A5">
          <w:rPr>
            <w:rFonts w:eastAsia="Times New Roman"/>
            <w:bCs/>
            <w:color w:val="003068"/>
            <w:u w:val="single"/>
            <w:lang w:eastAsia="en-GB"/>
          </w:rPr>
          <w:t>Theft Act 1968</w:t>
        </w:r>
      </w:hyperlink>
      <w:r w:rsidR="00B6581D" w:rsidRPr="00F465A5">
        <w:rPr>
          <w:rFonts w:eastAsia="Times New Roman"/>
          <w:bCs/>
          <w:color w:val="212529"/>
          <w:lang w:eastAsia="en-GB"/>
        </w:rPr>
        <w:t> after switching the labels on products in a supermarket to obtain a lower price. One of the defendants was caught before he paid, while the other was only caught afterwards.</w:t>
      </w:r>
    </w:p>
    <w:p w14:paraId="59142BC0" w14:textId="58BCF238" w:rsidR="00B6581D" w:rsidRPr="00F465A5" w:rsidRDefault="00B6581D" w:rsidP="00B6581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B6581D">
        <w:rPr>
          <w:rFonts w:ascii="Times New Roman" w:eastAsia="Times New Roman" w:hAnsi="Times New Roman" w:cs="Times New Roman"/>
          <w:bCs/>
          <w:color w:val="212529"/>
          <w:sz w:val="24"/>
          <w:szCs w:val="24"/>
          <w:lang w:eastAsia="en-GB"/>
        </w:rPr>
        <w:t>S.1 of the Theft Act defines theft as dishonestly appropriating the property of another with intention to permanently deprive. S.3 of the Act defines ‘appropriation’ as ‘[a]</w:t>
      </w:r>
      <w:proofErr w:type="spellStart"/>
      <w:r w:rsidRPr="00B6581D">
        <w:rPr>
          <w:rFonts w:ascii="Times New Roman" w:eastAsia="Times New Roman" w:hAnsi="Times New Roman" w:cs="Times New Roman"/>
          <w:bCs/>
          <w:i/>
          <w:iCs/>
          <w:color w:val="212529"/>
          <w:sz w:val="24"/>
          <w:szCs w:val="24"/>
          <w:lang w:eastAsia="en-GB"/>
        </w:rPr>
        <w:t>ny</w:t>
      </w:r>
      <w:proofErr w:type="spellEnd"/>
      <w:r w:rsidRPr="00B6581D">
        <w:rPr>
          <w:rFonts w:ascii="Times New Roman" w:eastAsia="Times New Roman" w:hAnsi="Times New Roman" w:cs="Times New Roman"/>
          <w:bCs/>
          <w:i/>
          <w:iCs/>
          <w:color w:val="212529"/>
          <w:sz w:val="24"/>
          <w:szCs w:val="24"/>
          <w:lang w:eastAsia="en-GB"/>
        </w:rPr>
        <w:t xml:space="preserve"> assumption by a person of the rights of an owner</w:t>
      </w:r>
      <w:r w:rsidRPr="00B6581D">
        <w:rPr>
          <w:rFonts w:ascii="Times New Roman" w:eastAsia="Times New Roman" w:hAnsi="Times New Roman" w:cs="Times New Roman"/>
          <w:bCs/>
          <w:color w:val="212529"/>
          <w:sz w:val="24"/>
          <w:szCs w:val="24"/>
          <w:lang w:eastAsia="en-GB"/>
        </w:rPr>
        <w:t>’. The defendants argued that switching labels on the products and paying a lower price did not amount to appropriation.</w:t>
      </w:r>
    </w:p>
    <w:p w14:paraId="148FC4A3" w14:textId="59389789" w:rsidR="00B6581D" w:rsidRPr="00F465A5" w:rsidRDefault="00B6581D" w:rsidP="00B6581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 xml:space="preserve">Hadley also trespassed, </w:t>
      </w:r>
      <w:r w:rsidRPr="00F465A5">
        <w:rPr>
          <w:rFonts w:ascii="Times New Roman" w:eastAsia="Times New Roman" w:hAnsi="Times New Roman" w:cs="Times New Roman"/>
          <w:bCs/>
          <w:color w:val="212529"/>
          <w:sz w:val="24"/>
          <w:szCs w:val="24"/>
          <w:lang w:eastAsia="en-GB"/>
        </w:rPr>
        <w:t>burglary actus reus under section 9(1)(a) The actus reus of a burglary under section 9(1)(a) is surprisingly straightforward: unauthorised entry into a building or portion of a building. However, complications have emerged within this: A) Entry: If any part of D's person crosses the threshold, she is said to have "entered" the building or a portion of it.</w:t>
      </w:r>
    </w:p>
    <w:p w14:paraId="0206B8CD" w14:textId="6CAFAAD2" w:rsidR="00B6581D" w:rsidRPr="00F465A5" w:rsidRDefault="00022A11" w:rsidP="00B6581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 xml:space="preserve">The </w:t>
      </w:r>
      <w:proofErr w:type="spellStart"/>
      <w:r w:rsidRPr="00F465A5">
        <w:rPr>
          <w:rFonts w:ascii="Times New Roman" w:eastAsia="Times New Roman" w:hAnsi="Times New Roman" w:cs="Times New Roman"/>
          <w:bCs/>
          <w:color w:val="212529"/>
          <w:sz w:val="24"/>
          <w:szCs w:val="24"/>
          <w:lang w:eastAsia="en-GB"/>
        </w:rPr>
        <w:t>mens</w:t>
      </w:r>
      <w:proofErr w:type="spellEnd"/>
      <w:r w:rsidRPr="00F465A5">
        <w:rPr>
          <w:rFonts w:ascii="Times New Roman" w:eastAsia="Times New Roman" w:hAnsi="Times New Roman" w:cs="Times New Roman"/>
          <w:bCs/>
          <w:color w:val="212529"/>
          <w:sz w:val="24"/>
          <w:szCs w:val="24"/>
          <w:lang w:eastAsia="en-GB"/>
        </w:rPr>
        <w:t xml:space="preserve"> rea of "trespass" under Section 9 of the Theft Act of 1968 may be knowledge or recklessness regarding exceeding authorization. The actus reus of trespass may involve performing access for a purpose outside permission.</w:t>
      </w:r>
      <w:r w:rsidR="00712FB8" w:rsidRPr="00F465A5">
        <w:rPr>
          <w:rFonts w:ascii="Times New Roman" w:eastAsia="Times New Roman" w:hAnsi="Times New Roman" w:cs="Times New Roman"/>
          <w:bCs/>
          <w:color w:val="212529"/>
          <w:sz w:val="24"/>
          <w:szCs w:val="24"/>
          <w:lang w:eastAsia="en-GB"/>
        </w:rPr>
        <w:t xml:space="preserve"> Following case R v Jones &amp; Smith [1976]. The appellants had exceeded their permission by stealing and were thus trespassers.</w:t>
      </w:r>
    </w:p>
    <w:p w14:paraId="76166D72" w14:textId="4B81EB80" w:rsidR="009E2EFD" w:rsidRPr="00F465A5" w:rsidRDefault="00712FB8" w:rsidP="00B6581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Arson</w:t>
      </w:r>
      <w:r w:rsidR="009E2EFD" w:rsidRPr="00F465A5">
        <w:rPr>
          <w:rFonts w:ascii="Times New Roman" w:eastAsia="Times New Roman" w:hAnsi="Times New Roman" w:cs="Times New Roman"/>
          <w:bCs/>
          <w:color w:val="212529"/>
          <w:sz w:val="24"/>
          <w:szCs w:val="24"/>
          <w:lang w:eastAsia="en-GB"/>
        </w:rPr>
        <w:t xml:space="preserve"> section 1 [3] </w:t>
      </w:r>
      <w:proofErr w:type="spellStart"/>
      <w:r w:rsidR="009E2EFD" w:rsidRPr="00F465A5">
        <w:rPr>
          <w:rFonts w:ascii="Times New Roman" w:eastAsia="Times New Roman" w:hAnsi="Times New Roman" w:cs="Times New Roman"/>
          <w:bCs/>
          <w:color w:val="212529"/>
          <w:sz w:val="24"/>
          <w:szCs w:val="24"/>
          <w:lang w:eastAsia="en-GB"/>
        </w:rPr>
        <w:t>Mens</w:t>
      </w:r>
      <w:proofErr w:type="spellEnd"/>
      <w:r w:rsidR="009E2EFD" w:rsidRPr="00F465A5">
        <w:rPr>
          <w:rFonts w:ascii="Times New Roman" w:eastAsia="Times New Roman" w:hAnsi="Times New Roman" w:cs="Times New Roman"/>
          <w:bCs/>
          <w:color w:val="212529"/>
          <w:sz w:val="24"/>
          <w:szCs w:val="24"/>
          <w:lang w:eastAsia="en-GB"/>
        </w:rPr>
        <w:t xml:space="preserve"> rea- \must be shown that d intended to or was reckless as to damage or destroy by fire, simple offence. </w:t>
      </w:r>
      <w:r w:rsidR="00193915" w:rsidRPr="00F465A5">
        <w:rPr>
          <w:rFonts w:ascii="Times New Roman" w:eastAsia="Times New Roman" w:hAnsi="Times New Roman" w:cs="Times New Roman"/>
          <w:bCs/>
          <w:color w:val="212529"/>
          <w:sz w:val="24"/>
          <w:szCs w:val="24"/>
          <w:lang w:eastAsia="en-GB"/>
        </w:rPr>
        <w:t>A person who violates this provision by destroying or injuring property with fire is charged with arson.</w:t>
      </w:r>
    </w:p>
    <w:p w14:paraId="52345C8C" w14:textId="47F4E7F6" w:rsidR="00193915" w:rsidRPr="00F465A5" w:rsidRDefault="00193915" w:rsidP="00B6581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 xml:space="preserve">Following a case- </w:t>
      </w:r>
      <w:r w:rsidR="00EE209F" w:rsidRPr="00F465A5">
        <w:rPr>
          <w:rStyle w:val="Strong"/>
          <w:rFonts w:ascii="Times New Roman" w:hAnsi="Times New Roman" w:cs="Times New Roman"/>
          <w:b w:val="0"/>
          <w:color w:val="212529"/>
          <w:sz w:val="24"/>
          <w:szCs w:val="24"/>
          <w:shd w:val="clear" w:color="auto" w:fill="FFFFFF"/>
        </w:rPr>
        <w:t>R v Sangha [1988] 2 All ER 385</w:t>
      </w:r>
      <w:r w:rsidR="00EE209F" w:rsidRPr="00F465A5">
        <w:rPr>
          <w:rStyle w:val="Strong"/>
          <w:rFonts w:ascii="Times New Roman" w:hAnsi="Times New Roman" w:cs="Times New Roman"/>
          <w:b w:val="0"/>
          <w:color w:val="212529"/>
          <w:sz w:val="24"/>
          <w:szCs w:val="24"/>
          <w:shd w:val="clear" w:color="auto" w:fill="FFFFFF"/>
        </w:rPr>
        <w:t xml:space="preserve">. </w:t>
      </w:r>
      <w:r w:rsidR="00EE209F" w:rsidRPr="00F465A5">
        <w:rPr>
          <w:rStyle w:val="Strong"/>
          <w:rFonts w:ascii="Times New Roman" w:hAnsi="Times New Roman" w:cs="Times New Roman"/>
          <w:b w:val="0"/>
          <w:color w:val="212529"/>
          <w:sz w:val="24"/>
          <w:szCs w:val="24"/>
          <w:shd w:val="clear" w:color="auto" w:fill="FFFFFF"/>
        </w:rPr>
        <w:t>Sangha set fire to two armchairs and a mattress while the apartment was uninhabited and occupied by squatters. According to section 1 of the Criminal Damage Act of 1971, Sangha was prosecuted for arson since he damaged the apartment with the fire and was irresponsible in threatening lives. Sangha's attorney contended that there was no case to answer because his client knew that no one was in the house at the time and so there was no risk to life. This was denied, Sangha was found guilty, and he later appealed the verdict.</w:t>
      </w:r>
    </w:p>
    <w:p w14:paraId="3FA46236" w14:textId="7C7AC06C" w:rsidR="00B6581D" w:rsidRPr="00F465A5" w:rsidRDefault="00E67EAE" w:rsidP="00B6581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 xml:space="preserve">Criminal damage act 1971, </w:t>
      </w:r>
      <w:r w:rsidR="00B15BE5" w:rsidRPr="00F465A5">
        <w:rPr>
          <w:rFonts w:ascii="Times New Roman" w:eastAsia="Times New Roman" w:hAnsi="Times New Roman" w:cs="Times New Roman"/>
          <w:bCs/>
          <w:color w:val="212529"/>
          <w:sz w:val="24"/>
          <w:szCs w:val="24"/>
          <w:lang w:eastAsia="en-GB"/>
        </w:rPr>
        <w:t>A person is guilty of an offence if, without justification, he or she destroys or damages the property of another with the intent to do so or with reckless disregard as to whether the property would be destroyed or damaged.</w:t>
      </w:r>
    </w:p>
    <w:p w14:paraId="0C34FB6E" w14:textId="00BE384F" w:rsidR="00B15BE5" w:rsidRPr="00F465A5" w:rsidRDefault="00B15BE5" w:rsidP="00B6581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lastRenderedPageBreak/>
        <w:t xml:space="preserve">Following case ‘ </w:t>
      </w:r>
      <w:r w:rsidRPr="00F465A5">
        <w:rPr>
          <w:rStyle w:val="Strong"/>
          <w:rFonts w:ascii="Times New Roman" w:hAnsi="Times New Roman" w:cs="Times New Roman"/>
          <w:b w:val="0"/>
          <w:color w:val="212529"/>
          <w:sz w:val="24"/>
          <w:szCs w:val="24"/>
          <w:shd w:val="clear" w:color="auto" w:fill="FFFFFF"/>
        </w:rPr>
        <w:t xml:space="preserve">Roe v </w:t>
      </w:r>
      <w:proofErr w:type="spellStart"/>
      <w:r w:rsidRPr="00F465A5">
        <w:rPr>
          <w:rStyle w:val="Strong"/>
          <w:rFonts w:ascii="Times New Roman" w:hAnsi="Times New Roman" w:cs="Times New Roman"/>
          <w:b w:val="0"/>
          <w:color w:val="212529"/>
          <w:sz w:val="24"/>
          <w:szCs w:val="24"/>
          <w:shd w:val="clear" w:color="auto" w:fill="FFFFFF"/>
        </w:rPr>
        <w:t>Kingerlee</w:t>
      </w:r>
      <w:proofErr w:type="spellEnd"/>
      <w:r w:rsidRPr="00F465A5">
        <w:rPr>
          <w:rStyle w:val="Strong"/>
          <w:rFonts w:ascii="Times New Roman" w:hAnsi="Times New Roman" w:cs="Times New Roman"/>
          <w:b w:val="0"/>
          <w:color w:val="212529"/>
          <w:sz w:val="24"/>
          <w:szCs w:val="24"/>
          <w:shd w:val="clear" w:color="auto" w:fill="FFFFFF"/>
        </w:rPr>
        <w:t xml:space="preserve"> [1986] Crim LR 735</w:t>
      </w:r>
      <w:r w:rsidRPr="00F465A5">
        <w:rPr>
          <w:rStyle w:val="Strong"/>
          <w:rFonts w:ascii="Times New Roman" w:hAnsi="Times New Roman" w:cs="Times New Roman"/>
          <w:b w:val="0"/>
          <w:color w:val="212529"/>
          <w:sz w:val="24"/>
          <w:szCs w:val="24"/>
          <w:shd w:val="clear" w:color="auto" w:fill="FFFFFF"/>
        </w:rPr>
        <w:t xml:space="preserve">. </w:t>
      </w:r>
      <w:r w:rsidRPr="00F465A5">
        <w:rPr>
          <w:rStyle w:val="Strong"/>
          <w:rFonts w:ascii="Times New Roman" w:hAnsi="Times New Roman" w:cs="Times New Roman"/>
          <w:b w:val="0"/>
          <w:color w:val="212529"/>
          <w:sz w:val="24"/>
          <w:szCs w:val="24"/>
          <w:shd w:val="clear" w:color="auto" w:fill="FFFFFF"/>
        </w:rPr>
        <w:t>The level of conduct found to constitute criminal harm was a matter of fact and degree that the justices determined using common sense. In applying the case of Cox v. Riley [1986] Crim LR 460, it was also determined that criminal damage need not be permanent. In the current case, the graffiti on the walls was deemed sufficient to constitute criminal damage; consequently, the initial decision that this was not the case was erroneous. However, taking into account the harm inflicted, it was acceptable to deny the appeal. This case indicates that graffiti can be considered damage under the Criminal Damage Act of 1971, despite the fact that it can be painted over or washed away.</w:t>
      </w:r>
    </w:p>
    <w:p w14:paraId="016EE7B9" w14:textId="1DCED483" w:rsidR="00B6581D" w:rsidRPr="00F465A5" w:rsidRDefault="00363AA5" w:rsidP="00B6581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B,</w:t>
      </w:r>
    </w:p>
    <w:p w14:paraId="58F8F734" w14:textId="45298D7B" w:rsidR="00075652" w:rsidRPr="00F465A5" w:rsidRDefault="00363AA5" w:rsidP="00075652">
      <w:pPr>
        <w:pStyle w:val="NoSpacing"/>
        <w:ind w:left="720"/>
        <w:jc w:val="both"/>
        <w:rPr>
          <w:rFonts w:ascii="Times New Roman" w:hAnsi="Times New Roman" w:cs="Times New Roman"/>
          <w:bCs/>
          <w:sz w:val="24"/>
          <w:szCs w:val="24"/>
        </w:rPr>
      </w:pPr>
      <w:r w:rsidRPr="00F465A5">
        <w:rPr>
          <w:rFonts w:ascii="Times New Roman" w:hAnsi="Times New Roman" w:cs="Times New Roman"/>
          <w:bCs/>
          <w:sz w:val="24"/>
          <w:szCs w:val="24"/>
        </w:rPr>
        <w:t>Freya</w:t>
      </w:r>
      <w:r w:rsidRPr="00F465A5">
        <w:rPr>
          <w:rFonts w:ascii="Times New Roman" w:hAnsi="Times New Roman" w:cs="Times New Roman"/>
          <w:bCs/>
          <w:sz w:val="24"/>
          <w:szCs w:val="24"/>
        </w:rPr>
        <w:t xml:space="preserve"> had no control, it was not her fault as she had </w:t>
      </w:r>
      <w:r w:rsidR="00075652" w:rsidRPr="00F465A5">
        <w:rPr>
          <w:rFonts w:ascii="Times New Roman" w:hAnsi="Times New Roman" w:cs="Times New Roman"/>
          <w:bCs/>
          <w:sz w:val="24"/>
          <w:szCs w:val="24"/>
        </w:rPr>
        <w:t>automatism.</w:t>
      </w:r>
      <w:r w:rsidR="00947FCD" w:rsidRPr="00F465A5">
        <w:rPr>
          <w:rFonts w:ascii="Times New Roman" w:hAnsi="Times New Roman" w:cs="Times New Roman"/>
          <w:bCs/>
          <w:sz w:val="24"/>
          <w:szCs w:val="24"/>
        </w:rPr>
        <w:t xml:space="preserve"> </w:t>
      </w:r>
      <w:r w:rsidR="00947FCD" w:rsidRPr="00F465A5">
        <w:rPr>
          <w:rFonts w:ascii="Times New Roman" w:hAnsi="Times New Roman" w:cs="Times New Roman"/>
          <w:bCs/>
          <w:sz w:val="24"/>
          <w:szCs w:val="24"/>
        </w:rPr>
        <w:t xml:space="preserve">Freya has </w:t>
      </w:r>
      <w:r w:rsidR="00E25B5D" w:rsidRPr="00F465A5">
        <w:rPr>
          <w:rFonts w:ascii="Times New Roman" w:hAnsi="Times New Roman" w:cs="Times New Roman"/>
          <w:bCs/>
          <w:sz w:val="24"/>
          <w:szCs w:val="24"/>
        </w:rPr>
        <w:t>no</w:t>
      </w:r>
      <w:r w:rsidR="00947FCD" w:rsidRPr="00F465A5">
        <w:rPr>
          <w:rFonts w:ascii="Times New Roman" w:hAnsi="Times New Roman" w:cs="Times New Roman"/>
          <w:bCs/>
          <w:sz w:val="24"/>
          <w:szCs w:val="24"/>
        </w:rPr>
        <w:t xml:space="preserve"> defence since she was not in her right mind because she was experiencing a seizure.</w:t>
      </w:r>
      <w:r w:rsidR="00075652" w:rsidRPr="00F465A5">
        <w:rPr>
          <w:rFonts w:ascii="Times New Roman" w:hAnsi="Times New Roman" w:cs="Times New Roman"/>
          <w:bCs/>
          <w:sz w:val="24"/>
          <w:szCs w:val="24"/>
        </w:rPr>
        <w:t xml:space="preserve"> </w:t>
      </w:r>
      <w:r w:rsidR="00075652" w:rsidRPr="00F465A5">
        <w:rPr>
          <w:rFonts w:ascii="Times New Roman" w:hAnsi="Times New Roman" w:cs="Times New Roman"/>
          <w:bCs/>
          <w:sz w:val="24"/>
          <w:szCs w:val="24"/>
        </w:rPr>
        <w:t>D is in fault</w:t>
      </w:r>
      <w:r w:rsidR="00E4119D" w:rsidRPr="00F465A5">
        <w:rPr>
          <w:rFonts w:ascii="Times New Roman" w:hAnsi="Times New Roman" w:cs="Times New Roman"/>
          <w:bCs/>
          <w:sz w:val="24"/>
          <w:szCs w:val="24"/>
        </w:rPr>
        <w:t xml:space="preserve"> as she </w:t>
      </w:r>
      <w:r w:rsidR="00095A52" w:rsidRPr="00F465A5">
        <w:rPr>
          <w:rFonts w:ascii="Times New Roman" w:hAnsi="Times New Roman" w:cs="Times New Roman"/>
          <w:bCs/>
          <w:color w:val="202124"/>
          <w:sz w:val="24"/>
          <w:szCs w:val="24"/>
          <w:shd w:val="clear" w:color="auto" w:fill="FFFFFF"/>
        </w:rPr>
        <w:t>voluntary intoxication</w:t>
      </w:r>
      <w:r w:rsidR="00095A52" w:rsidRPr="00F465A5">
        <w:rPr>
          <w:rFonts w:ascii="Times New Roman" w:hAnsi="Times New Roman" w:cs="Times New Roman"/>
          <w:bCs/>
          <w:color w:val="202124"/>
          <w:sz w:val="24"/>
          <w:szCs w:val="24"/>
          <w:shd w:val="clear" w:color="auto" w:fill="FFFFFF"/>
        </w:rPr>
        <w:t>.</w:t>
      </w:r>
    </w:p>
    <w:p w14:paraId="78E4CAEF" w14:textId="4D383A77" w:rsidR="009E4132" w:rsidRPr="00F465A5" w:rsidRDefault="009E4132" w:rsidP="00075652">
      <w:pPr>
        <w:pStyle w:val="NoSpacing"/>
        <w:ind w:left="720"/>
        <w:jc w:val="both"/>
        <w:rPr>
          <w:rFonts w:ascii="Times New Roman" w:hAnsi="Times New Roman" w:cs="Times New Roman"/>
          <w:bCs/>
          <w:sz w:val="24"/>
          <w:szCs w:val="24"/>
        </w:rPr>
      </w:pPr>
      <w:r w:rsidRPr="00F465A5">
        <w:rPr>
          <w:rFonts w:ascii="Times New Roman" w:hAnsi="Times New Roman" w:cs="Times New Roman"/>
          <w:bCs/>
          <w:sz w:val="24"/>
          <w:szCs w:val="24"/>
        </w:rPr>
        <w:t>The offence is committed when a person assaults another knowingly or recklessly, causing Actual Bodily Harm. The assault (which includes "battery") must have "occasioned" or caused the bodily injury.</w:t>
      </w:r>
    </w:p>
    <w:p w14:paraId="4948976C" w14:textId="757901CE" w:rsidR="00075652" w:rsidRPr="00F465A5" w:rsidRDefault="00075652" w:rsidP="00075652">
      <w:pPr>
        <w:pStyle w:val="NoSpacing"/>
        <w:ind w:left="720"/>
        <w:jc w:val="both"/>
        <w:rPr>
          <w:rStyle w:val="Strong"/>
          <w:rFonts w:ascii="Times New Roman" w:hAnsi="Times New Roman" w:cs="Times New Roman"/>
          <w:b w:val="0"/>
          <w:color w:val="212529"/>
          <w:sz w:val="24"/>
          <w:szCs w:val="24"/>
          <w:shd w:val="clear" w:color="auto" w:fill="FFFFFF"/>
        </w:rPr>
      </w:pPr>
      <w:r w:rsidRPr="00F465A5">
        <w:rPr>
          <w:rStyle w:val="Strong"/>
          <w:rFonts w:ascii="Times New Roman" w:hAnsi="Times New Roman" w:cs="Times New Roman"/>
          <w:b w:val="0"/>
          <w:color w:val="212529"/>
          <w:sz w:val="24"/>
          <w:szCs w:val="24"/>
          <w:shd w:val="clear" w:color="auto" w:fill="FFFFFF"/>
        </w:rPr>
        <w:t>R v Bailey [1983] 1 WLR 760</w:t>
      </w:r>
      <w:r w:rsidRPr="00F465A5">
        <w:rPr>
          <w:rStyle w:val="Strong"/>
          <w:rFonts w:ascii="Times New Roman" w:hAnsi="Times New Roman" w:cs="Times New Roman"/>
          <w:b w:val="0"/>
          <w:color w:val="212529"/>
          <w:sz w:val="24"/>
          <w:szCs w:val="24"/>
          <w:shd w:val="clear" w:color="auto" w:fill="FFFFFF"/>
        </w:rPr>
        <w:t xml:space="preserve">. </w:t>
      </w:r>
      <w:r w:rsidRPr="00F465A5">
        <w:rPr>
          <w:rStyle w:val="Strong"/>
          <w:rFonts w:ascii="Times New Roman" w:hAnsi="Times New Roman" w:cs="Times New Roman"/>
          <w:b w:val="0"/>
          <w:color w:val="212529"/>
          <w:sz w:val="24"/>
          <w:szCs w:val="24"/>
          <w:shd w:val="clear" w:color="auto" w:fill="FFFFFF"/>
        </w:rPr>
        <w:t xml:space="preserve">The appellant (B) was found guilty of intentional wounding. He asserted the defence of </w:t>
      </w:r>
      <w:proofErr w:type="spellStart"/>
      <w:r w:rsidRPr="00F465A5">
        <w:rPr>
          <w:rStyle w:val="Strong"/>
          <w:rFonts w:ascii="Times New Roman" w:hAnsi="Times New Roman" w:cs="Times New Roman"/>
          <w:b w:val="0"/>
          <w:color w:val="212529"/>
          <w:sz w:val="24"/>
          <w:szCs w:val="24"/>
          <w:shd w:val="clear" w:color="auto" w:fill="FFFFFF"/>
        </w:rPr>
        <w:t>hypoglycemia</w:t>
      </w:r>
      <w:proofErr w:type="spellEnd"/>
      <w:r w:rsidRPr="00F465A5">
        <w:rPr>
          <w:rStyle w:val="Strong"/>
          <w:rFonts w:ascii="Times New Roman" w:hAnsi="Times New Roman" w:cs="Times New Roman"/>
          <w:b w:val="0"/>
          <w:color w:val="212529"/>
          <w:sz w:val="24"/>
          <w:szCs w:val="24"/>
          <w:shd w:val="clear" w:color="auto" w:fill="FFFFFF"/>
        </w:rPr>
        <w:t>-induced automatism for failing to consume food following an insulin injection. At trial, the jury was instructed to dismiss the automatism defence since it is inapplicable to self-inflicted incapacity.</w:t>
      </w:r>
    </w:p>
    <w:p w14:paraId="62305A7C" w14:textId="4A8E88A5" w:rsidR="00075652" w:rsidRPr="00F465A5" w:rsidRDefault="00075652" w:rsidP="00075652">
      <w:pPr>
        <w:ind w:left="720"/>
        <w:jc w:val="both"/>
        <w:rPr>
          <w:rFonts w:ascii="Times New Roman" w:eastAsia="Arial" w:hAnsi="Times New Roman" w:cs="Times New Roman"/>
          <w:bCs/>
          <w:sz w:val="24"/>
          <w:szCs w:val="24"/>
        </w:rPr>
      </w:pPr>
    </w:p>
    <w:p w14:paraId="4FA1FD68" w14:textId="77777777" w:rsidR="009E4132" w:rsidRPr="009E4132" w:rsidRDefault="009E4132" w:rsidP="009E4132">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9E4132">
        <w:rPr>
          <w:rFonts w:ascii="Times New Roman" w:eastAsia="Times New Roman" w:hAnsi="Times New Roman" w:cs="Times New Roman"/>
          <w:bCs/>
          <w:color w:val="212529"/>
          <w:sz w:val="24"/>
          <w:szCs w:val="24"/>
          <w:lang w:eastAsia="en-GB"/>
        </w:rPr>
        <w:t>R v Majewski [1977] AC 443</w:t>
      </w:r>
    </w:p>
    <w:p w14:paraId="148363A4" w14:textId="77777777" w:rsidR="009E4132" w:rsidRPr="009E4132" w:rsidRDefault="009E4132" w:rsidP="009E4132">
      <w:pPr>
        <w:pBdr>
          <w:top w:val="single" w:sz="6" w:space="0" w:color="BEE5EB"/>
          <w:left w:val="single" w:sz="6" w:space="0" w:color="BEE5EB"/>
          <w:bottom w:val="single" w:sz="6" w:space="0" w:color="BEE5EB"/>
          <w:right w:val="single" w:sz="6" w:space="0" w:color="BEE5EB"/>
        </w:pBdr>
        <w:shd w:val="clear" w:color="auto" w:fill="D1ECF1"/>
        <w:spacing w:before="100" w:beforeAutospacing="1" w:after="100" w:afterAutospacing="1" w:line="240" w:lineRule="auto"/>
        <w:rPr>
          <w:rFonts w:ascii="Times New Roman" w:eastAsia="Times New Roman" w:hAnsi="Times New Roman" w:cs="Times New Roman"/>
          <w:bCs/>
          <w:color w:val="0C5460"/>
          <w:sz w:val="24"/>
          <w:szCs w:val="24"/>
          <w:lang w:eastAsia="en-GB"/>
        </w:rPr>
      </w:pPr>
      <w:r w:rsidRPr="009E4132">
        <w:rPr>
          <w:rFonts w:ascii="Times New Roman" w:eastAsia="Times New Roman" w:hAnsi="Times New Roman" w:cs="Times New Roman"/>
          <w:bCs/>
          <w:color w:val="0C5460"/>
          <w:sz w:val="24"/>
          <w:szCs w:val="24"/>
          <w:lang w:eastAsia="en-GB"/>
        </w:rPr>
        <w:t>Voluntary intoxication no defence to offences of “basic intent” such as assault</w:t>
      </w:r>
    </w:p>
    <w:p w14:paraId="591D0F1C" w14:textId="36F3BF87" w:rsidR="009E4132" w:rsidRPr="00F465A5" w:rsidRDefault="00947FCD" w:rsidP="00947FCD">
      <w:pPr>
        <w:jc w:val="both"/>
        <w:rPr>
          <w:rFonts w:ascii="Times New Roman" w:eastAsia="Arial" w:hAnsi="Times New Roman" w:cs="Times New Roman"/>
          <w:bCs/>
          <w:sz w:val="24"/>
          <w:szCs w:val="24"/>
        </w:rPr>
      </w:pPr>
      <w:r w:rsidRPr="00F465A5">
        <w:rPr>
          <w:rFonts w:ascii="Times New Roman" w:eastAsia="Arial" w:hAnsi="Times New Roman" w:cs="Times New Roman"/>
          <w:bCs/>
          <w:sz w:val="24"/>
          <w:szCs w:val="24"/>
        </w:rPr>
        <w:t xml:space="preserve"> Automatism is the general defence against liability based on the fact that D did not act with the volition typically required for criminal liability, although it cannot be used if D's condition was self-inflicted (e.g., by the voluntary use of alcohol).</w:t>
      </w:r>
    </w:p>
    <w:p w14:paraId="5684D3A9" w14:textId="77777777" w:rsidR="004C05F3" w:rsidRPr="00F465A5" w:rsidRDefault="004C05F3" w:rsidP="004C05F3">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To establish that D's conduct was actually his, the prosecution must prove that D's action was voluntary (he was in adequate control of his bodily movements).</w:t>
      </w:r>
    </w:p>
    <w:p w14:paraId="22BB7504" w14:textId="0E6DAB11" w:rsidR="00363AA5" w:rsidRPr="00F465A5" w:rsidRDefault="004C05F3" w:rsidP="004C05F3">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A D's claim that they acted unconsciously is known as a plea of automatism.</w:t>
      </w:r>
    </w:p>
    <w:p w14:paraId="6867D34D" w14:textId="77777777" w:rsidR="004C05F3" w:rsidRPr="00F465A5" w:rsidRDefault="004C05F3" w:rsidP="004C05F3">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Automatism R v Falconer (1990) 171 CLR 30</w:t>
      </w:r>
    </w:p>
    <w:p w14:paraId="72221C31" w14:textId="77777777" w:rsidR="004C05F3" w:rsidRPr="00F465A5" w:rsidRDefault="004C05F3" w:rsidP="004C05F3">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Did not to the actus Reus because they were unwilled or unconscious</w:t>
      </w:r>
      <w:r w:rsidRPr="00F465A5">
        <w:rPr>
          <w:rFonts w:ascii="Times New Roman" w:eastAsia="Times New Roman" w:hAnsi="Times New Roman" w:cs="Times New Roman"/>
          <w:bCs/>
          <w:color w:val="212529"/>
          <w:sz w:val="24"/>
          <w:szCs w:val="24"/>
          <w:lang w:eastAsia="en-GB"/>
        </w:rPr>
        <w:t>involuntary</w:t>
      </w:r>
    </w:p>
    <w:p w14:paraId="21A0813C" w14:textId="77777777" w:rsidR="004C05F3" w:rsidRPr="00F465A5" w:rsidRDefault="004C05F3" w:rsidP="004C05F3">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This is caused by trauma, that the ordinary person is not likely to withstand.</w:t>
      </w:r>
    </w:p>
    <w:p w14:paraId="258A90F9" w14:textId="77777777" w:rsidR="004C05F3" w:rsidRPr="00F465A5" w:rsidRDefault="004C05F3" w:rsidP="004C05F3">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Transient, and due to some external cause</w:t>
      </w:r>
    </w:p>
    <w:p w14:paraId="4FE86072" w14:textId="77777777" w:rsidR="004C05F3" w:rsidRPr="00F465A5" w:rsidRDefault="004C05F3" w:rsidP="004C05F3">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‘Disease of the mind’: Legal not medical concept (Porter (1933))</w:t>
      </w:r>
    </w:p>
    <w:p w14:paraId="20485EE1" w14:textId="5375FA44" w:rsidR="004C05F3" w:rsidRPr="00F465A5" w:rsidRDefault="004C05F3" w:rsidP="004C05F3">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Now, the courts will frequently rely on the Mental health Act 2008 (NSW) definition of mental illness.</w:t>
      </w:r>
    </w:p>
    <w:p w14:paraId="700EE921" w14:textId="4C8B9BCA" w:rsidR="004C05F3" w:rsidRPr="00F465A5" w:rsidRDefault="004C05F3" w:rsidP="004C05F3">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lastRenderedPageBreak/>
        <w:t>It requires a medical expert's judgement to establish</w:t>
      </w:r>
      <w:r w:rsidR="00E25B5D" w:rsidRPr="00F465A5">
        <w:rPr>
          <w:rFonts w:ascii="Times New Roman" w:eastAsia="Times New Roman" w:hAnsi="Times New Roman" w:cs="Times New Roman"/>
          <w:bCs/>
          <w:color w:val="212529"/>
          <w:sz w:val="24"/>
          <w:szCs w:val="24"/>
          <w:lang w:eastAsia="en-GB"/>
        </w:rPr>
        <w:t>.</w:t>
      </w:r>
    </w:p>
    <w:p w14:paraId="3455393E" w14:textId="77777777" w:rsidR="00E25B5D" w:rsidRPr="00F465A5" w:rsidRDefault="00E25B5D" w:rsidP="00E25B5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D voluntarily consumes alcoholic beverages or illicit drugs</w:t>
      </w:r>
    </w:p>
    <w:p w14:paraId="4481C37C" w14:textId="77777777" w:rsidR="00E25B5D" w:rsidRPr="00F465A5" w:rsidRDefault="00E25B5D" w:rsidP="00E25B5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Self-induced automatism is not a defence for basic intent crimes (i.e., crimes that can be committed irresponsibly) – Quick 1973</w:t>
      </w:r>
    </w:p>
    <w:p w14:paraId="41353C38" w14:textId="77777777" w:rsidR="00E25B5D" w:rsidRPr="00F465A5" w:rsidRDefault="00E25B5D" w:rsidP="00E25B5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When D is responsible for deliberately inducing a state, he may have a defence to a crime with specific purpose.</w:t>
      </w:r>
    </w:p>
    <w:p w14:paraId="325417D2" w14:textId="77777777" w:rsidR="00E25B5D" w:rsidRPr="00F465A5" w:rsidRDefault="00E25B5D" w:rsidP="00E25B5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Bailey [1983]</w:t>
      </w:r>
    </w:p>
    <w:p w14:paraId="22E46C80" w14:textId="6C9DE63A" w:rsidR="00E25B5D" w:rsidRPr="00F465A5" w:rsidRDefault="00E25B5D" w:rsidP="00E25B5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Lipman [1970]</w:t>
      </w:r>
    </w:p>
    <w:p w14:paraId="00964319" w14:textId="3D646B0B" w:rsidR="00E4119D" w:rsidRPr="00F465A5" w:rsidRDefault="00E4119D" w:rsidP="00E25B5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The defence of automatism will not be viable if the defendant's own actions created the automatism, such as excessive alcohol use or drug usage. As a general rule, defendants are found not guilty of either specific and basic intent offences. The only time the specific/basic distinction is relevant is when the defendant has acted recklessly in becoming a robot. Whether or whether the defendant was careless depends on the circumstances of each individual case in relation to the defendant's awareness of the risk involved.</w:t>
      </w:r>
    </w:p>
    <w:p w14:paraId="506B535F" w14:textId="096825A4" w:rsidR="00F465A5" w:rsidRPr="00F465A5" w:rsidRDefault="00F465A5" w:rsidP="00E25B5D">
      <w:pPr>
        <w:shd w:val="clear" w:color="auto" w:fill="FFFFFF"/>
        <w:spacing w:after="100" w:afterAutospacing="1" w:line="240" w:lineRule="auto"/>
        <w:rPr>
          <w:rFonts w:ascii="Times New Roman" w:eastAsia="Times New Roman" w:hAnsi="Times New Roman" w:cs="Times New Roman"/>
          <w:bCs/>
          <w:color w:val="212529"/>
          <w:sz w:val="24"/>
          <w:szCs w:val="24"/>
          <w:lang w:eastAsia="en-GB"/>
        </w:rPr>
      </w:pPr>
      <w:r w:rsidRPr="00F465A5">
        <w:rPr>
          <w:rFonts w:ascii="Times New Roman" w:eastAsia="Times New Roman" w:hAnsi="Times New Roman" w:cs="Times New Roman"/>
          <w:bCs/>
          <w:color w:val="212529"/>
          <w:sz w:val="24"/>
          <w:szCs w:val="24"/>
          <w:lang w:eastAsia="en-GB"/>
        </w:rPr>
        <w:t>Criminal Incompetence, Drunkenness, Automatism, and Insanity In the vast majority of voluntary drunkenness instances, no specific rules are necessary to condemn D. This is because the most common effect of alcohol is that D intentionally commits an act he would not have committed if sober:" the fact that the defendant's mind was affected by alcohol to the extent that he acted in a way he would not have acted had he been sober is of no help to him, provided the requisite intent was present. A intoxicated intent is nevertheless an intent". (Sheehan &amp; Moore [1975] 2 All ER 960 in accordance with Lane LJ) Note that this is an excellent starting place for analysing a problem question! Intoxication is not a valid "</w:t>
      </w:r>
      <w:r w:rsidRPr="00F465A5">
        <w:rPr>
          <w:rFonts w:ascii="Times New Roman" w:eastAsia="Times New Roman" w:hAnsi="Times New Roman" w:cs="Times New Roman"/>
          <w:bCs/>
          <w:color w:val="212529"/>
          <w:sz w:val="24"/>
          <w:szCs w:val="24"/>
          <w:lang w:eastAsia="en-GB"/>
        </w:rPr>
        <w:t>Defence</w:t>
      </w:r>
      <w:r w:rsidRPr="00F465A5">
        <w:rPr>
          <w:rFonts w:ascii="Times New Roman" w:eastAsia="Times New Roman" w:hAnsi="Times New Roman" w:cs="Times New Roman"/>
          <w:bCs/>
          <w:color w:val="212529"/>
          <w:sz w:val="24"/>
          <w:szCs w:val="24"/>
          <w:lang w:eastAsia="en-GB"/>
        </w:rPr>
        <w:t>"</w:t>
      </w:r>
    </w:p>
    <w:p w14:paraId="4F88A842" w14:textId="48ABDA88" w:rsidR="00B6581D" w:rsidRPr="009E2EFD" w:rsidRDefault="00B6581D" w:rsidP="00B6581D">
      <w:pPr>
        <w:shd w:val="clear" w:color="auto" w:fill="FFFFFF"/>
        <w:spacing w:after="100" w:afterAutospacing="1" w:line="240" w:lineRule="auto"/>
        <w:rPr>
          <w:rFonts w:ascii="Segoe UI" w:eastAsia="Times New Roman" w:hAnsi="Segoe UI" w:cs="Segoe UI"/>
          <w:color w:val="212529"/>
          <w:sz w:val="24"/>
          <w:szCs w:val="24"/>
          <w:lang w:eastAsia="en-GB"/>
        </w:rPr>
      </w:pPr>
    </w:p>
    <w:p w14:paraId="03EB80CE" w14:textId="7CB919CD" w:rsidR="00B6581D" w:rsidRPr="009E2EFD" w:rsidRDefault="00B6581D" w:rsidP="00B6581D">
      <w:pPr>
        <w:shd w:val="clear" w:color="auto" w:fill="FFFFFF"/>
        <w:spacing w:after="100" w:afterAutospacing="1" w:line="240" w:lineRule="auto"/>
        <w:rPr>
          <w:rFonts w:ascii="Segoe UI" w:eastAsia="Times New Roman" w:hAnsi="Segoe UI" w:cs="Segoe UI"/>
          <w:color w:val="212529"/>
          <w:sz w:val="24"/>
          <w:szCs w:val="24"/>
          <w:lang w:eastAsia="en-GB"/>
        </w:rPr>
      </w:pPr>
    </w:p>
    <w:p w14:paraId="641FCBCD" w14:textId="32DA5AE7" w:rsidR="00B6581D" w:rsidRPr="009E2EFD" w:rsidRDefault="00B6581D" w:rsidP="00B6581D">
      <w:pPr>
        <w:shd w:val="clear" w:color="auto" w:fill="FFFFFF"/>
        <w:spacing w:after="100" w:afterAutospacing="1" w:line="240" w:lineRule="auto"/>
        <w:rPr>
          <w:rFonts w:ascii="Segoe UI" w:eastAsia="Times New Roman" w:hAnsi="Segoe UI" w:cs="Segoe UI"/>
          <w:color w:val="212529"/>
          <w:sz w:val="24"/>
          <w:szCs w:val="24"/>
          <w:lang w:eastAsia="en-GB"/>
        </w:rPr>
      </w:pPr>
    </w:p>
    <w:p w14:paraId="7DDE2B2D" w14:textId="4F2B66B1" w:rsidR="00B6581D" w:rsidRPr="009E2EFD" w:rsidRDefault="00B6581D" w:rsidP="00B6581D">
      <w:pPr>
        <w:shd w:val="clear" w:color="auto" w:fill="FFFFFF"/>
        <w:spacing w:after="100" w:afterAutospacing="1" w:line="240" w:lineRule="auto"/>
        <w:rPr>
          <w:rFonts w:ascii="Segoe UI" w:eastAsia="Times New Roman" w:hAnsi="Segoe UI" w:cs="Segoe UI"/>
          <w:color w:val="212529"/>
          <w:sz w:val="24"/>
          <w:szCs w:val="24"/>
          <w:lang w:eastAsia="en-GB"/>
        </w:rPr>
      </w:pPr>
    </w:p>
    <w:p w14:paraId="4F0F6C31" w14:textId="1DB6701D" w:rsidR="00B6581D" w:rsidRPr="009E2EFD" w:rsidRDefault="00B6581D" w:rsidP="00B6581D">
      <w:pPr>
        <w:shd w:val="clear" w:color="auto" w:fill="FFFFFF"/>
        <w:spacing w:after="100" w:afterAutospacing="1" w:line="240" w:lineRule="auto"/>
        <w:rPr>
          <w:rFonts w:ascii="Segoe UI" w:eastAsia="Times New Roman" w:hAnsi="Segoe UI" w:cs="Segoe UI"/>
          <w:color w:val="212529"/>
          <w:sz w:val="24"/>
          <w:szCs w:val="24"/>
          <w:lang w:eastAsia="en-GB"/>
        </w:rPr>
      </w:pPr>
    </w:p>
    <w:p w14:paraId="7AF7D9FB" w14:textId="11725D09" w:rsidR="00B6581D" w:rsidRPr="009E2EFD" w:rsidRDefault="00B6581D" w:rsidP="00B6581D">
      <w:pPr>
        <w:shd w:val="clear" w:color="auto" w:fill="FFFFFF"/>
        <w:spacing w:after="100" w:afterAutospacing="1" w:line="240" w:lineRule="auto"/>
        <w:rPr>
          <w:rFonts w:ascii="Segoe UI" w:eastAsia="Times New Roman" w:hAnsi="Segoe UI" w:cs="Segoe UI"/>
          <w:color w:val="212529"/>
          <w:sz w:val="24"/>
          <w:szCs w:val="24"/>
          <w:lang w:eastAsia="en-GB"/>
        </w:rPr>
      </w:pPr>
    </w:p>
    <w:p w14:paraId="6B67D6A4" w14:textId="09A25083" w:rsidR="00B6581D" w:rsidRPr="009E2EFD" w:rsidRDefault="00B6581D" w:rsidP="00B6581D">
      <w:pPr>
        <w:shd w:val="clear" w:color="auto" w:fill="FFFFFF"/>
        <w:spacing w:after="100" w:afterAutospacing="1" w:line="240" w:lineRule="auto"/>
        <w:rPr>
          <w:rFonts w:ascii="Segoe UI" w:eastAsia="Times New Roman" w:hAnsi="Segoe UI" w:cs="Segoe UI"/>
          <w:color w:val="212529"/>
          <w:sz w:val="24"/>
          <w:szCs w:val="24"/>
          <w:lang w:eastAsia="en-GB"/>
        </w:rPr>
      </w:pPr>
    </w:p>
    <w:p w14:paraId="32F759AD" w14:textId="56382281" w:rsidR="00B6581D" w:rsidRPr="009E2EFD" w:rsidRDefault="00B6581D" w:rsidP="00B6581D">
      <w:pPr>
        <w:shd w:val="clear" w:color="auto" w:fill="FFFFFF"/>
        <w:spacing w:after="100" w:afterAutospacing="1" w:line="240" w:lineRule="auto"/>
        <w:rPr>
          <w:rFonts w:ascii="Segoe UI" w:eastAsia="Times New Roman" w:hAnsi="Segoe UI" w:cs="Segoe UI"/>
          <w:color w:val="212529"/>
          <w:sz w:val="24"/>
          <w:szCs w:val="24"/>
          <w:lang w:eastAsia="en-GB"/>
        </w:rPr>
      </w:pPr>
    </w:p>
    <w:p w14:paraId="429094D7" w14:textId="3FAADE1D" w:rsidR="00B6581D" w:rsidRPr="009E2EFD" w:rsidRDefault="00B6581D" w:rsidP="00B6581D">
      <w:pPr>
        <w:shd w:val="clear" w:color="auto" w:fill="FFFFFF"/>
        <w:spacing w:after="100" w:afterAutospacing="1" w:line="240" w:lineRule="auto"/>
        <w:rPr>
          <w:rFonts w:ascii="Segoe UI" w:eastAsia="Times New Roman" w:hAnsi="Segoe UI" w:cs="Segoe UI"/>
          <w:color w:val="212529"/>
          <w:sz w:val="24"/>
          <w:szCs w:val="24"/>
          <w:lang w:eastAsia="en-GB"/>
        </w:rPr>
      </w:pPr>
    </w:p>
    <w:p w14:paraId="1917C87E" w14:textId="3C12F7A0" w:rsidR="00B6581D" w:rsidRPr="009E2EFD" w:rsidRDefault="00DF59C3" w:rsidP="00B6581D">
      <w:pPr>
        <w:shd w:val="clear" w:color="auto" w:fill="FFFFFF"/>
        <w:spacing w:after="100" w:afterAutospacing="1" w:line="240" w:lineRule="auto"/>
        <w:rPr>
          <w:rFonts w:ascii="Segoe UI" w:eastAsia="Times New Roman" w:hAnsi="Segoe UI" w:cs="Segoe UI"/>
          <w:color w:val="212529"/>
          <w:sz w:val="24"/>
          <w:szCs w:val="24"/>
          <w:lang w:eastAsia="en-GB"/>
        </w:rPr>
      </w:pPr>
      <w:proofErr w:type="spellStart"/>
      <w:r w:rsidRPr="00DF59C3">
        <w:rPr>
          <w:rFonts w:ascii="Segoe UI" w:eastAsia="Times New Roman" w:hAnsi="Segoe UI" w:cs="Segoe UI"/>
          <w:color w:val="212529"/>
          <w:sz w:val="24"/>
          <w:szCs w:val="24"/>
          <w:lang w:eastAsia="en-GB"/>
        </w:rPr>
        <w:lastRenderedPageBreak/>
        <w:t>LawTeacher</w:t>
      </w:r>
      <w:proofErr w:type="spellEnd"/>
      <w:r w:rsidRPr="00DF59C3">
        <w:rPr>
          <w:rFonts w:ascii="Segoe UI" w:eastAsia="Times New Roman" w:hAnsi="Segoe UI" w:cs="Segoe UI"/>
          <w:color w:val="212529"/>
          <w:sz w:val="24"/>
          <w:szCs w:val="24"/>
          <w:lang w:eastAsia="en-GB"/>
        </w:rPr>
        <w:t>. November 2013. R v Sangha. [online]. Available from: https://www.lawteacher.net/cases/r-v-sangha.php?vref=1 [Accessed 12 January 2023].</w:t>
      </w:r>
    </w:p>
    <w:p w14:paraId="219C9F6E" w14:textId="74C8165B" w:rsidR="00B6581D" w:rsidRPr="00193915" w:rsidRDefault="00193915" w:rsidP="0019391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193915">
        <w:rPr>
          <w:rFonts w:ascii="Times New Roman" w:eastAsia="Times New Roman" w:hAnsi="Times New Roman" w:cs="Times New Roman"/>
          <w:sz w:val="24"/>
          <w:szCs w:val="24"/>
          <w:lang w:eastAsia="en-GB"/>
        </w:rPr>
        <w:t xml:space="preserve">Chen, W. (2021) </w:t>
      </w:r>
      <w:r w:rsidRPr="00193915">
        <w:rPr>
          <w:rFonts w:ascii="Times New Roman" w:eastAsia="Times New Roman" w:hAnsi="Times New Roman" w:cs="Times New Roman"/>
          <w:i/>
          <w:iCs/>
          <w:sz w:val="24"/>
          <w:szCs w:val="24"/>
          <w:lang w:eastAsia="en-GB"/>
        </w:rPr>
        <w:t>Jones and smith [1976] 1 WLR 672 - case summary</w:t>
      </w:r>
      <w:r w:rsidRPr="00193915">
        <w:rPr>
          <w:rFonts w:ascii="Times New Roman" w:eastAsia="Times New Roman" w:hAnsi="Times New Roman" w:cs="Times New Roman"/>
          <w:sz w:val="24"/>
          <w:szCs w:val="24"/>
          <w:lang w:eastAsia="en-GB"/>
        </w:rPr>
        <w:t xml:space="preserve">, </w:t>
      </w:r>
      <w:r w:rsidRPr="00193915">
        <w:rPr>
          <w:rFonts w:ascii="Times New Roman" w:eastAsia="Times New Roman" w:hAnsi="Times New Roman" w:cs="Times New Roman"/>
          <w:i/>
          <w:iCs/>
          <w:sz w:val="24"/>
          <w:szCs w:val="24"/>
          <w:lang w:eastAsia="en-GB"/>
        </w:rPr>
        <w:t>lawprof.co</w:t>
      </w:r>
      <w:r w:rsidRPr="00193915">
        <w:rPr>
          <w:rFonts w:ascii="Times New Roman" w:eastAsia="Times New Roman" w:hAnsi="Times New Roman" w:cs="Times New Roman"/>
          <w:sz w:val="24"/>
          <w:szCs w:val="24"/>
          <w:lang w:eastAsia="en-GB"/>
        </w:rPr>
        <w:t xml:space="preserve">. Available at: https://lawprof.co/criminal-law/property-offences-cases/jones-and-smith-1976-1-wlr-672/ (Accessed: January 12, 2023). </w:t>
      </w:r>
    </w:p>
    <w:p w14:paraId="73A83AD8" w14:textId="33991C6D" w:rsidR="00B6581D" w:rsidRDefault="00B6581D" w:rsidP="00B6581D">
      <w:pPr>
        <w:shd w:val="clear" w:color="auto" w:fill="FFFFFF"/>
        <w:spacing w:after="100" w:afterAutospacing="1" w:line="240" w:lineRule="auto"/>
        <w:rPr>
          <w:rFonts w:ascii="Segoe UI" w:eastAsia="Times New Roman" w:hAnsi="Segoe UI" w:cs="Segoe UI"/>
          <w:color w:val="212529"/>
          <w:sz w:val="24"/>
          <w:szCs w:val="24"/>
          <w:lang w:eastAsia="en-GB"/>
        </w:rPr>
      </w:pPr>
      <w:proofErr w:type="spellStart"/>
      <w:r w:rsidRPr="00B6581D">
        <w:rPr>
          <w:rFonts w:ascii="Segoe UI" w:eastAsia="Times New Roman" w:hAnsi="Segoe UI" w:cs="Segoe UI"/>
          <w:color w:val="212529"/>
          <w:sz w:val="24"/>
          <w:szCs w:val="24"/>
          <w:lang w:eastAsia="en-GB"/>
        </w:rPr>
        <w:t>LawTeacher</w:t>
      </w:r>
      <w:proofErr w:type="spellEnd"/>
      <w:r w:rsidRPr="00B6581D">
        <w:rPr>
          <w:rFonts w:ascii="Segoe UI" w:eastAsia="Times New Roman" w:hAnsi="Segoe UI" w:cs="Segoe UI"/>
          <w:color w:val="212529"/>
          <w:sz w:val="24"/>
          <w:szCs w:val="24"/>
          <w:lang w:eastAsia="en-GB"/>
        </w:rPr>
        <w:t>. November 2013. R v Morris - 1983. [online]. Available from: https://www.lawteacher.net/cases/r-v-morris.php?vref=1 [Accessed 12 January 2023].</w:t>
      </w:r>
    </w:p>
    <w:p w14:paraId="7BA60906" w14:textId="73059BF6" w:rsidR="00B6581D" w:rsidRPr="00B6581D" w:rsidRDefault="00B15BE5" w:rsidP="00B6581D">
      <w:pPr>
        <w:shd w:val="clear" w:color="auto" w:fill="FFFFFF"/>
        <w:spacing w:after="100" w:afterAutospacing="1" w:line="240" w:lineRule="auto"/>
        <w:rPr>
          <w:rFonts w:ascii="Segoe UI" w:eastAsia="Times New Roman" w:hAnsi="Segoe UI" w:cs="Segoe UI"/>
          <w:color w:val="212529"/>
          <w:sz w:val="24"/>
          <w:szCs w:val="24"/>
          <w:lang w:eastAsia="en-GB"/>
        </w:rPr>
      </w:pPr>
      <w:proofErr w:type="spellStart"/>
      <w:r w:rsidRPr="00B15BE5">
        <w:rPr>
          <w:rFonts w:ascii="Segoe UI" w:eastAsia="Times New Roman" w:hAnsi="Segoe UI" w:cs="Segoe UI"/>
          <w:color w:val="212529"/>
          <w:sz w:val="24"/>
          <w:szCs w:val="24"/>
          <w:lang w:eastAsia="en-GB"/>
        </w:rPr>
        <w:t>LawTeacher</w:t>
      </w:r>
      <w:proofErr w:type="spellEnd"/>
      <w:r w:rsidRPr="00B15BE5">
        <w:rPr>
          <w:rFonts w:ascii="Segoe UI" w:eastAsia="Times New Roman" w:hAnsi="Segoe UI" w:cs="Segoe UI"/>
          <w:color w:val="212529"/>
          <w:sz w:val="24"/>
          <w:szCs w:val="24"/>
          <w:lang w:eastAsia="en-GB"/>
        </w:rPr>
        <w:t xml:space="preserve">. November 2013. Roe v </w:t>
      </w:r>
      <w:proofErr w:type="spellStart"/>
      <w:r w:rsidRPr="00B15BE5">
        <w:rPr>
          <w:rFonts w:ascii="Segoe UI" w:eastAsia="Times New Roman" w:hAnsi="Segoe UI" w:cs="Segoe UI"/>
          <w:color w:val="212529"/>
          <w:sz w:val="24"/>
          <w:szCs w:val="24"/>
          <w:lang w:eastAsia="en-GB"/>
        </w:rPr>
        <w:t>Kingerlee</w:t>
      </w:r>
      <w:proofErr w:type="spellEnd"/>
      <w:r w:rsidRPr="00B15BE5">
        <w:rPr>
          <w:rFonts w:ascii="Segoe UI" w:eastAsia="Times New Roman" w:hAnsi="Segoe UI" w:cs="Segoe UI"/>
          <w:color w:val="212529"/>
          <w:sz w:val="24"/>
          <w:szCs w:val="24"/>
          <w:lang w:eastAsia="en-GB"/>
        </w:rPr>
        <w:t>. [online]. Available from: https://www.lawteacher.net/cases/roe-v-kingerlee.php?vref=1 [Accessed 12 January 2023].</w:t>
      </w:r>
    </w:p>
    <w:p w14:paraId="335F5BF7" w14:textId="18330C00" w:rsidR="001E6BEA" w:rsidRPr="001E6BEA" w:rsidRDefault="00F51562">
      <w:pPr>
        <w:rPr>
          <w:sz w:val="24"/>
          <w:szCs w:val="24"/>
        </w:rPr>
      </w:pPr>
      <w:proofErr w:type="spellStart"/>
      <w:r w:rsidRPr="00F51562">
        <w:rPr>
          <w:sz w:val="24"/>
          <w:szCs w:val="24"/>
        </w:rPr>
        <w:t>LawTeacher</w:t>
      </w:r>
      <w:proofErr w:type="spellEnd"/>
      <w:r w:rsidRPr="00F51562">
        <w:rPr>
          <w:sz w:val="24"/>
          <w:szCs w:val="24"/>
        </w:rPr>
        <w:t>. November 2013. R v Bailey - 1983. [online]. Available from: https://www.lawteacher.net/cases/r-v-bailey.php?vref=1 [Accessed 13 January 2023].</w:t>
      </w:r>
    </w:p>
    <w:sectPr w:rsidR="001E6BEA" w:rsidRPr="001E6B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BEA"/>
    <w:rsid w:val="00022A11"/>
    <w:rsid w:val="00075652"/>
    <w:rsid w:val="00095A52"/>
    <w:rsid w:val="00193915"/>
    <w:rsid w:val="001E6BEA"/>
    <w:rsid w:val="00206124"/>
    <w:rsid w:val="00363AA5"/>
    <w:rsid w:val="00376262"/>
    <w:rsid w:val="004C05F3"/>
    <w:rsid w:val="00712FB8"/>
    <w:rsid w:val="00947FCD"/>
    <w:rsid w:val="009E2EFD"/>
    <w:rsid w:val="009E4132"/>
    <w:rsid w:val="00B15BE5"/>
    <w:rsid w:val="00B6581D"/>
    <w:rsid w:val="00C520C4"/>
    <w:rsid w:val="00C53C3C"/>
    <w:rsid w:val="00D072E4"/>
    <w:rsid w:val="00DF59C3"/>
    <w:rsid w:val="00E25B5D"/>
    <w:rsid w:val="00E4119D"/>
    <w:rsid w:val="00E67EAE"/>
    <w:rsid w:val="00EE209F"/>
    <w:rsid w:val="00F465A5"/>
    <w:rsid w:val="00F51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6A57A"/>
  <w15:chartTrackingRefBased/>
  <w15:docId w15:val="{0C98C345-01A1-45B2-BF51-06BE4EEA3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6581D"/>
    <w:rPr>
      <w:b/>
      <w:bCs/>
    </w:rPr>
  </w:style>
  <w:style w:type="paragraph" w:styleId="NormalWeb">
    <w:name w:val="Normal (Web)"/>
    <w:basedOn w:val="Normal"/>
    <w:uiPriority w:val="99"/>
    <w:semiHidden/>
    <w:unhideWhenUsed/>
    <w:rsid w:val="00B6581D"/>
    <w:rPr>
      <w:rFonts w:ascii="Times New Roman" w:hAnsi="Times New Roman" w:cs="Times New Roman"/>
      <w:sz w:val="24"/>
      <w:szCs w:val="24"/>
    </w:rPr>
  </w:style>
  <w:style w:type="paragraph" w:styleId="NoSpacing">
    <w:name w:val="No Spacing"/>
    <w:uiPriority w:val="1"/>
    <w:qFormat/>
    <w:rsid w:val="00075652"/>
    <w:pPr>
      <w:spacing w:after="0" w:line="240" w:lineRule="auto"/>
    </w:pPr>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2981">
      <w:bodyDiv w:val="1"/>
      <w:marLeft w:val="0"/>
      <w:marRight w:val="0"/>
      <w:marTop w:val="0"/>
      <w:marBottom w:val="0"/>
      <w:divBdr>
        <w:top w:val="none" w:sz="0" w:space="0" w:color="auto"/>
        <w:left w:val="none" w:sz="0" w:space="0" w:color="auto"/>
        <w:bottom w:val="none" w:sz="0" w:space="0" w:color="auto"/>
        <w:right w:val="none" w:sz="0" w:space="0" w:color="auto"/>
      </w:divBdr>
    </w:div>
    <w:div w:id="688996004">
      <w:bodyDiv w:val="1"/>
      <w:marLeft w:val="0"/>
      <w:marRight w:val="0"/>
      <w:marTop w:val="0"/>
      <w:marBottom w:val="0"/>
      <w:divBdr>
        <w:top w:val="none" w:sz="0" w:space="0" w:color="auto"/>
        <w:left w:val="none" w:sz="0" w:space="0" w:color="auto"/>
        <w:bottom w:val="none" w:sz="0" w:space="0" w:color="auto"/>
        <w:right w:val="none" w:sz="0" w:space="0" w:color="auto"/>
      </w:divBdr>
    </w:div>
    <w:div w:id="1134561155">
      <w:bodyDiv w:val="1"/>
      <w:marLeft w:val="0"/>
      <w:marRight w:val="0"/>
      <w:marTop w:val="0"/>
      <w:marBottom w:val="0"/>
      <w:divBdr>
        <w:top w:val="none" w:sz="0" w:space="0" w:color="auto"/>
        <w:left w:val="none" w:sz="0" w:space="0" w:color="auto"/>
        <w:bottom w:val="none" w:sz="0" w:space="0" w:color="auto"/>
        <w:right w:val="none" w:sz="0" w:space="0" w:color="auto"/>
      </w:divBdr>
    </w:div>
    <w:div w:id="1825470755">
      <w:bodyDiv w:val="1"/>
      <w:marLeft w:val="0"/>
      <w:marRight w:val="0"/>
      <w:marTop w:val="0"/>
      <w:marBottom w:val="0"/>
      <w:divBdr>
        <w:top w:val="none" w:sz="0" w:space="0" w:color="auto"/>
        <w:left w:val="none" w:sz="0" w:space="0" w:color="auto"/>
        <w:bottom w:val="none" w:sz="0" w:space="0" w:color="auto"/>
        <w:right w:val="none" w:sz="0" w:space="0" w:color="auto"/>
      </w:divBdr>
    </w:div>
    <w:div w:id="1992371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lawteacher.net/acts/theft-act-1968.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1205</Words>
  <Characters>6872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dc:creator>
  <cp:keywords/>
  <dc:description/>
  <cp:lastModifiedBy>zobia</cp:lastModifiedBy>
  <cp:revision>1</cp:revision>
  <dcterms:created xsi:type="dcterms:W3CDTF">2023-01-12T19:22:00Z</dcterms:created>
  <dcterms:modified xsi:type="dcterms:W3CDTF">2023-01-13T23:24:00Z</dcterms:modified>
</cp:coreProperties>
</file>