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BA0A24" w14:textId="77777777" w:rsidR="00403F67" w:rsidRDefault="00000000">
      <w:bookmarkStart w:id="0" w:name="_heading=h.giipb26ci1h3" w:colFirst="0" w:colLast="0"/>
      <w:bookmarkEnd w:id="0"/>
      <w:r>
        <w:rPr>
          <w:noProof/>
        </w:rPr>
        <w:drawing>
          <wp:inline distT="114300" distB="114300" distL="114300" distR="114300" wp14:anchorId="40D5EEC4" wp14:editId="6A35BB2E">
            <wp:extent cx="1905357" cy="8002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905357" cy="800250"/>
                    </a:xfrm>
                    <a:prstGeom prst="rect">
                      <a:avLst/>
                    </a:prstGeom>
                    <a:ln/>
                  </pic:spPr>
                </pic:pic>
              </a:graphicData>
            </a:graphic>
          </wp:inline>
        </w:drawing>
      </w:r>
    </w:p>
    <w:p w14:paraId="4323E99C" w14:textId="77777777" w:rsidR="00403F67" w:rsidRDefault="00403F67">
      <w:pPr>
        <w:jc w:val="center"/>
        <w:rPr>
          <w:b/>
          <w:sz w:val="28"/>
          <w:szCs w:val="28"/>
        </w:rPr>
      </w:pPr>
    </w:p>
    <w:p w14:paraId="53C5DA1D" w14:textId="77777777" w:rsidR="00403F67" w:rsidRDefault="00403F67">
      <w:pPr>
        <w:jc w:val="center"/>
        <w:rPr>
          <w:b/>
          <w:sz w:val="28"/>
          <w:szCs w:val="28"/>
        </w:rPr>
      </w:pPr>
    </w:p>
    <w:p w14:paraId="684D7F92" w14:textId="77777777" w:rsidR="00403F67" w:rsidRDefault="00000000">
      <w:pPr>
        <w:jc w:val="center"/>
        <w:rPr>
          <w:sz w:val="28"/>
          <w:szCs w:val="28"/>
        </w:rPr>
      </w:pPr>
      <w:r>
        <w:rPr>
          <w:b/>
          <w:sz w:val="28"/>
          <w:szCs w:val="28"/>
        </w:rPr>
        <w:t>Student Name:</w:t>
      </w:r>
      <w:r>
        <w:rPr>
          <w:sz w:val="28"/>
          <w:szCs w:val="28"/>
        </w:rPr>
        <w:t xml:space="preserve"> Zubeda Sembagare Umurerwa</w:t>
      </w:r>
    </w:p>
    <w:p w14:paraId="0023F99B" w14:textId="77777777" w:rsidR="00403F67" w:rsidRDefault="00000000">
      <w:pPr>
        <w:jc w:val="center"/>
        <w:rPr>
          <w:b/>
          <w:sz w:val="28"/>
          <w:szCs w:val="28"/>
        </w:rPr>
      </w:pPr>
      <w:r>
        <w:rPr>
          <w:b/>
          <w:sz w:val="28"/>
          <w:szCs w:val="28"/>
        </w:rPr>
        <w:t>Student ID:2423193</w:t>
      </w:r>
    </w:p>
    <w:p w14:paraId="7F2B628E" w14:textId="77777777" w:rsidR="00403F67" w:rsidRDefault="00403F67">
      <w:pPr>
        <w:jc w:val="center"/>
        <w:rPr>
          <w:b/>
          <w:sz w:val="28"/>
          <w:szCs w:val="28"/>
        </w:rPr>
      </w:pPr>
    </w:p>
    <w:p w14:paraId="3E70EB15" w14:textId="77777777" w:rsidR="00403F67" w:rsidRDefault="00000000">
      <w:pPr>
        <w:jc w:val="center"/>
        <w:rPr>
          <w:sz w:val="28"/>
          <w:szCs w:val="28"/>
        </w:rPr>
      </w:pPr>
      <w:r>
        <w:rPr>
          <w:b/>
          <w:sz w:val="28"/>
          <w:szCs w:val="28"/>
        </w:rPr>
        <w:t xml:space="preserve">Lecturer’s name: </w:t>
      </w:r>
      <w:r>
        <w:rPr>
          <w:sz w:val="28"/>
          <w:szCs w:val="28"/>
        </w:rPr>
        <w:t xml:space="preserve">Dr Azora Hurd </w:t>
      </w:r>
    </w:p>
    <w:p w14:paraId="0CF7527C" w14:textId="77777777" w:rsidR="00403F67" w:rsidRDefault="00403F67">
      <w:pPr>
        <w:jc w:val="center"/>
        <w:rPr>
          <w:b/>
          <w:sz w:val="28"/>
          <w:szCs w:val="28"/>
        </w:rPr>
      </w:pPr>
    </w:p>
    <w:p w14:paraId="072407F6" w14:textId="77777777" w:rsidR="00403F67" w:rsidRDefault="00000000">
      <w:pPr>
        <w:jc w:val="center"/>
        <w:rPr>
          <w:sz w:val="28"/>
          <w:szCs w:val="28"/>
        </w:rPr>
      </w:pPr>
      <w:r>
        <w:rPr>
          <w:b/>
          <w:sz w:val="28"/>
          <w:szCs w:val="28"/>
        </w:rPr>
        <w:t>Module Code:</w:t>
      </w:r>
      <w:r>
        <w:rPr>
          <w:sz w:val="28"/>
          <w:szCs w:val="28"/>
        </w:rPr>
        <w:t xml:space="preserve"> LCHS4003</w:t>
      </w:r>
    </w:p>
    <w:p w14:paraId="0C522297" w14:textId="77777777" w:rsidR="00403F67" w:rsidRDefault="00000000">
      <w:pPr>
        <w:jc w:val="center"/>
        <w:rPr>
          <w:sz w:val="28"/>
          <w:szCs w:val="28"/>
        </w:rPr>
      </w:pPr>
      <w:r>
        <w:rPr>
          <w:b/>
          <w:sz w:val="28"/>
          <w:szCs w:val="28"/>
        </w:rPr>
        <w:t xml:space="preserve">Module Title: </w:t>
      </w:r>
      <w:r>
        <w:rPr>
          <w:sz w:val="28"/>
          <w:szCs w:val="28"/>
        </w:rPr>
        <w:t>Introduction to Health and Social Care</w:t>
      </w:r>
    </w:p>
    <w:p w14:paraId="4605B380" w14:textId="77777777" w:rsidR="00403F67" w:rsidRDefault="00403F67">
      <w:pPr>
        <w:jc w:val="center"/>
        <w:rPr>
          <w:b/>
          <w:sz w:val="28"/>
          <w:szCs w:val="28"/>
        </w:rPr>
      </w:pPr>
    </w:p>
    <w:p w14:paraId="63C41BA0" w14:textId="77777777" w:rsidR="00403F67" w:rsidRDefault="00000000">
      <w:pPr>
        <w:jc w:val="center"/>
      </w:pPr>
      <w:r>
        <w:rPr>
          <w:b/>
          <w:sz w:val="28"/>
          <w:szCs w:val="28"/>
        </w:rPr>
        <w:t>Assignment Title:</w:t>
      </w:r>
      <w:r>
        <w:rPr>
          <w:sz w:val="28"/>
          <w:szCs w:val="28"/>
        </w:rPr>
        <w:t xml:space="preserve"> Written Assignment  </w:t>
      </w:r>
      <w:r>
        <w:br w:type="page"/>
      </w:r>
    </w:p>
    <w:p w14:paraId="7564B911" w14:textId="77777777" w:rsidR="00403F67" w:rsidRDefault="00000000">
      <w:pPr>
        <w:keepNext/>
        <w:keepLines/>
        <w:pBdr>
          <w:top w:val="nil"/>
          <w:left w:val="nil"/>
          <w:bottom w:val="nil"/>
          <w:right w:val="nil"/>
          <w:between w:val="nil"/>
        </w:pBdr>
        <w:spacing w:before="240" w:line="259" w:lineRule="auto"/>
        <w:jc w:val="center"/>
        <w:rPr>
          <w:b/>
          <w:color w:val="000000"/>
          <w:sz w:val="28"/>
          <w:szCs w:val="28"/>
        </w:rPr>
      </w:pPr>
      <w:r>
        <w:rPr>
          <w:b/>
          <w:color w:val="000000"/>
          <w:sz w:val="28"/>
          <w:szCs w:val="28"/>
        </w:rPr>
        <w:lastRenderedPageBreak/>
        <w:t>Table of Contents</w:t>
      </w:r>
    </w:p>
    <w:sdt>
      <w:sdtPr>
        <w:id w:val="660348629"/>
        <w:docPartObj>
          <w:docPartGallery w:val="Table of Contents"/>
          <w:docPartUnique/>
        </w:docPartObj>
      </w:sdtPr>
      <w:sdtContent>
        <w:p w14:paraId="341CA941" w14:textId="77777777" w:rsidR="00403F67" w:rsidRDefault="00000000">
          <w:pPr>
            <w:pBdr>
              <w:top w:val="nil"/>
              <w:left w:val="nil"/>
              <w:bottom w:val="nil"/>
              <w:right w:val="nil"/>
              <w:between w:val="nil"/>
            </w:pBdr>
            <w:tabs>
              <w:tab w:val="right" w:leader="dot" w:pos="9019"/>
            </w:tabs>
            <w:spacing w:after="100"/>
            <w:rPr>
              <w:color w:val="000000"/>
            </w:rPr>
          </w:pPr>
          <w:r>
            <w:fldChar w:fldCharType="begin"/>
          </w:r>
          <w:r>
            <w:instrText xml:space="preserve"> TOC \h \u \z \t "Heading 1,1,Heading 2,2,Heading 3,3,"</w:instrText>
          </w:r>
          <w:r>
            <w:fldChar w:fldCharType="separate"/>
          </w:r>
          <w:hyperlink w:anchor="_heading=h.f9ab9q3aidxb">
            <w:r>
              <w:rPr>
                <w:color w:val="000000"/>
              </w:rPr>
              <w:t>1. Introduction</w:t>
            </w:r>
            <w:r>
              <w:rPr>
                <w:color w:val="000000"/>
              </w:rPr>
              <w:tab/>
              <w:t>3</w:t>
            </w:r>
          </w:hyperlink>
        </w:p>
        <w:p w14:paraId="4A95E1A1" w14:textId="77777777" w:rsidR="00403F67" w:rsidRDefault="00000000">
          <w:pPr>
            <w:pBdr>
              <w:top w:val="nil"/>
              <w:left w:val="nil"/>
              <w:bottom w:val="nil"/>
              <w:right w:val="nil"/>
              <w:between w:val="nil"/>
            </w:pBdr>
            <w:tabs>
              <w:tab w:val="right" w:leader="dot" w:pos="9019"/>
            </w:tabs>
            <w:spacing w:after="100"/>
            <w:rPr>
              <w:color w:val="000000"/>
            </w:rPr>
          </w:pPr>
          <w:hyperlink w:anchor="_heading=h.tzton9fl5yy0">
            <w:r>
              <w:rPr>
                <w:color w:val="000000"/>
              </w:rPr>
              <w:t>2. Effective Communication with Service Users and Families under the Equality Act 2010</w:t>
            </w:r>
            <w:r>
              <w:rPr>
                <w:color w:val="000000"/>
              </w:rPr>
              <w:tab/>
              <w:t>3</w:t>
            </w:r>
          </w:hyperlink>
        </w:p>
        <w:p w14:paraId="72FDAE1C" w14:textId="77777777" w:rsidR="00403F67" w:rsidRDefault="00000000">
          <w:pPr>
            <w:pBdr>
              <w:top w:val="nil"/>
              <w:left w:val="nil"/>
              <w:bottom w:val="nil"/>
              <w:right w:val="nil"/>
              <w:between w:val="nil"/>
            </w:pBdr>
            <w:tabs>
              <w:tab w:val="right" w:leader="dot" w:pos="9019"/>
            </w:tabs>
            <w:spacing w:after="100"/>
            <w:rPr>
              <w:color w:val="000000"/>
            </w:rPr>
          </w:pPr>
          <w:hyperlink w:anchor="_heading=h.ntewihp2n75i">
            <w:r>
              <w:rPr>
                <w:color w:val="000000"/>
              </w:rPr>
              <w:t>3. Good Administrative Practice and Record-Keeping under the Data Protection Act 2018</w:t>
            </w:r>
            <w:r>
              <w:rPr>
                <w:color w:val="000000"/>
              </w:rPr>
              <w:tab/>
              <w:t>4</w:t>
            </w:r>
          </w:hyperlink>
        </w:p>
        <w:p w14:paraId="090D5319" w14:textId="77777777" w:rsidR="00403F67" w:rsidRDefault="00000000">
          <w:pPr>
            <w:pBdr>
              <w:top w:val="nil"/>
              <w:left w:val="nil"/>
              <w:bottom w:val="nil"/>
              <w:right w:val="nil"/>
              <w:between w:val="nil"/>
            </w:pBdr>
            <w:tabs>
              <w:tab w:val="right" w:leader="dot" w:pos="9019"/>
            </w:tabs>
            <w:spacing w:after="100"/>
            <w:rPr>
              <w:color w:val="000000"/>
            </w:rPr>
          </w:pPr>
          <w:hyperlink w:anchor="_heading=h.rzjlj64lg72g">
            <w:r>
              <w:rPr>
                <w:color w:val="000000"/>
              </w:rPr>
              <w:t>4. Reflection on Continuing Professional Development (CPD) and Collaborative Practice</w:t>
            </w:r>
            <w:r>
              <w:rPr>
                <w:color w:val="000000"/>
              </w:rPr>
              <w:tab/>
              <w:t>5</w:t>
            </w:r>
          </w:hyperlink>
        </w:p>
        <w:p w14:paraId="5F39A159" w14:textId="77777777" w:rsidR="00403F67" w:rsidRDefault="00000000">
          <w:pPr>
            <w:pBdr>
              <w:top w:val="nil"/>
              <w:left w:val="nil"/>
              <w:bottom w:val="nil"/>
              <w:right w:val="nil"/>
              <w:between w:val="nil"/>
            </w:pBdr>
            <w:tabs>
              <w:tab w:val="right" w:leader="dot" w:pos="9019"/>
            </w:tabs>
            <w:spacing w:after="100"/>
            <w:rPr>
              <w:color w:val="000000"/>
            </w:rPr>
          </w:pPr>
          <w:hyperlink w:anchor="_heading=h.kq8rlw61thb3">
            <w:r>
              <w:rPr>
                <w:color w:val="000000"/>
              </w:rPr>
              <w:t>5. Conclusion</w:t>
            </w:r>
            <w:r>
              <w:rPr>
                <w:color w:val="000000"/>
              </w:rPr>
              <w:tab/>
              <w:t>6</w:t>
            </w:r>
          </w:hyperlink>
        </w:p>
        <w:p w14:paraId="40EFC72C" w14:textId="77777777" w:rsidR="00403F67" w:rsidRDefault="00000000">
          <w:pPr>
            <w:pBdr>
              <w:top w:val="nil"/>
              <w:left w:val="nil"/>
              <w:bottom w:val="nil"/>
              <w:right w:val="nil"/>
              <w:between w:val="nil"/>
            </w:pBdr>
            <w:tabs>
              <w:tab w:val="right" w:leader="dot" w:pos="9019"/>
            </w:tabs>
            <w:spacing w:after="100"/>
            <w:rPr>
              <w:color w:val="000000"/>
            </w:rPr>
          </w:pPr>
          <w:hyperlink w:anchor="_heading=h.jnovjfh6bg4l">
            <w:r>
              <w:rPr>
                <w:color w:val="000000"/>
              </w:rPr>
              <w:t>Reference List</w:t>
            </w:r>
            <w:r>
              <w:rPr>
                <w:color w:val="000000"/>
              </w:rPr>
              <w:tab/>
              <w:t>7</w:t>
            </w:r>
          </w:hyperlink>
        </w:p>
        <w:p w14:paraId="49B8B5C8" w14:textId="77777777" w:rsidR="00403F67" w:rsidRDefault="00000000">
          <w:r>
            <w:fldChar w:fldCharType="end"/>
          </w:r>
        </w:p>
      </w:sdtContent>
    </w:sdt>
    <w:p w14:paraId="4E22887B" w14:textId="77777777" w:rsidR="00403F67" w:rsidRDefault="00000000">
      <w:pPr>
        <w:rPr>
          <w:b/>
          <w:sz w:val="26"/>
          <w:szCs w:val="26"/>
        </w:rPr>
      </w:pPr>
      <w:r>
        <w:br w:type="page"/>
      </w:r>
    </w:p>
    <w:p w14:paraId="1DDAB3D2" w14:textId="77777777" w:rsidR="00403F67" w:rsidRDefault="00000000">
      <w:pPr>
        <w:jc w:val="center"/>
        <w:rPr>
          <w:b/>
          <w:sz w:val="26"/>
          <w:szCs w:val="26"/>
        </w:rPr>
      </w:pPr>
      <w:r>
        <w:rPr>
          <w:b/>
          <w:sz w:val="26"/>
          <w:szCs w:val="26"/>
        </w:rPr>
        <w:lastRenderedPageBreak/>
        <w:t>Introduction to Health and Social Care</w:t>
      </w:r>
    </w:p>
    <w:p w14:paraId="6A3150A9" w14:textId="77777777" w:rsidR="00403F67" w:rsidRDefault="00403F67">
      <w:pPr>
        <w:jc w:val="center"/>
        <w:rPr>
          <w:b/>
          <w:sz w:val="26"/>
          <w:szCs w:val="26"/>
        </w:rPr>
      </w:pPr>
    </w:p>
    <w:p w14:paraId="00F04747" w14:textId="77777777" w:rsidR="00403F67" w:rsidRDefault="00000000">
      <w:pPr>
        <w:pStyle w:val="Heading1"/>
      </w:pPr>
      <w:bookmarkStart w:id="1" w:name="_heading=h.f9ab9q3aidxb" w:colFirst="0" w:colLast="0"/>
      <w:bookmarkEnd w:id="1"/>
      <w:r>
        <w:t xml:space="preserve">1. Introduction </w:t>
      </w:r>
    </w:p>
    <w:p w14:paraId="1CEB2724" w14:textId="77777777" w:rsidR="00403F67" w:rsidRDefault="00000000">
      <w:r>
        <w:t>The report aims to cover important issues of professional practice in the UK health and social care system. It will start by analysing the manner in which a practitioner will communicate effectively with the service users and their families in the process of applying the core principles of the Equality Act 2010 and a communication model. The report will subsequently seek to investigate how good administrative and record-keeping practices will be undertaken with respect to the Data Protection Act 2018 and associated laws. This section will critically examine communication practices grounded in equality, inclusivity, and professional competence. Lastly, it will consider the ongoing needs of the practitioner in terms of professional development so that he or she can collaborate effectively in multi-professional teams. In general, the report will demonstrate that communication, legislation, and ethical collaboration are significant towards quality care delivery.</w:t>
      </w:r>
    </w:p>
    <w:p w14:paraId="04495A56" w14:textId="77777777" w:rsidR="00403F67" w:rsidRDefault="00000000">
      <w:pPr>
        <w:pStyle w:val="Heading1"/>
      </w:pPr>
      <w:bookmarkStart w:id="2" w:name="_heading=h.tzton9fl5yy0" w:colFirst="0" w:colLast="0"/>
      <w:bookmarkEnd w:id="2"/>
      <w:r>
        <w:t>2. Effective Communication with Service Users and Families under the Equality Act 2010</w:t>
      </w:r>
    </w:p>
    <w:p w14:paraId="0D1B5473" w14:textId="77777777" w:rsidR="00403F67" w:rsidRDefault="00000000">
      <w:pPr>
        <w:rPr>
          <w:b/>
          <w:i/>
        </w:rPr>
      </w:pPr>
      <w:r>
        <w:rPr>
          <w:b/>
          <w:i/>
        </w:rPr>
        <w:t>Application of the Equality Act 2010 in Health and Social Care Communication</w:t>
      </w:r>
    </w:p>
    <w:p w14:paraId="6C836846" w14:textId="77777777" w:rsidR="00403F67" w:rsidRDefault="00000000">
      <w:r>
        <w:t xml:space="preserve">The Equality Act 2010 guarantees that there is no discrimination and prejudice in communication by defining nine characteristics, such as age, disability, race, and religion (Foster, 2023). A British Sign Language interpreter in a hospital environment, when attending to a deaf patient, would be used by the practitioner to maintain inclusiveness. The implementation of this legislation reinforces justice, minimises the obstacles to comprehensiveness, and fosters the professional-family trust (Ansloos </w:t>
      </w:r>
      <w:r>
        <w:rPr>
          <w:i/>
        </w:rPr>
        <w:t>et al.</w:t>
      </w:r>
      <w:r>
        <w:t>, 2024). Nonetheless, staffing and time constraints can restrict implementation, especially in busy NHS settings that offer patient care to more than 1.2 million patients a day.</w:t>
      </w:r>
    </w:p>
    <w:p w14:paraId="0844393C" w14:textId="77777777" w:rsidR="00403F67" w:rsidRDefault="00000000">
      <w:pPr>
        <w:rPr>
          <w:b/>
          <w:i/>
        </w:rPr>
      </w:pPr>
      <w:r>
        <w:rPr>
          <w:b/>
          <w:i/>
        </w:rPr>
        <w:t>Importance of Effective and Inclusive Communication in Care Settings</w:t>
      </w:r>
    </w:p>
    <w:p w14:paraId="3C546EF7" w14:textId="77777777" w:rsidR="00403F67" w:rsidRDefault="00000000">
      <w:r>
        <w:t xml:space="preserve">The good and inclusive communication promotes dignity, respect and cooperation between the practitioners and the service users. To illustrate, one of the care homes in which practitioners work has multilingual patients who speak various dialects and handle information through visual means should treat them using visual aids and translators to make sure that they grasp the treatment plans properly. This practice will encourage emotional stability and adherence to care interventions (Kwok </w:t>
      </w:r>
      <w:r>
        <w:rPr>
          <w:i/>
        </w:rPr>
        <w:t>et al.</w:t>
      </w:r>
      <w:r>
        <w:t xml:space="preserve">, 2022). Effective communication reinforces collaboration, especially within the multi-agency setting that encompasses the services of nurses, social workers, and therapists. Nevertheless, it is not always smooth when understanding is influenced by cultural differences or cognitive impairment, and specific </w:t>
      </w:r>
      <w:r>
        <w:lastRenderedPageBreak/>
        <w:t>approaches must be employed to ensure that equality is achieved and the patient-centred approach is upheld.</w:t>
      </w:r>
    </w:p>
    <w:p w14:paraId="0E31CE1A" w14:textId="77777777" w:rsidR="00403F67" w:rsidRDefault="00000000">
      <w:pPr>
        <w:rPr>
          <w:b/>
          <w:i/>
        </w:rPr>
      </w:pPr>
      <w:r>
        <w:rPr>
          <w:b/>
          <w:i/>
        </w:rPr>
        <w:t>Use of a Communication Model to Enhance Understanding and Interaction</w:t>
      </w:r>
    </w:p>
    <w:p w14:paraId="27BC8327" w14:textId="77777777" w:rsidR="00403F67" w:rsidRDefault="00000000">
      <w:r>
        <w:t xml:space="preserve">The SMCR Model by Berlo is based on a structured exchange of information that includes Source, Message, Channel and Receiver, and it helps in the exchange of information within a healthcare setting. As an example, when a practitioner (Source) and a patient (Receiver) are on discharge planning, the former has to deliver the medication instructions (Message) in the verbal and written formats of communication (Channel) (Ocaña </w:t>
      </w:r>
      <w:r>
        <w:rPr>
          <w:i/>
        </w:rPr>
        <w:t>et al.</w:t>
      </w:r>
      <w:r>
        <w:t>, 2023). The implementation of this model will make things clear, minimise medical errors, and facilitate shared decision-making. The advantages of the model are that it is keen on effective encoding and decoding of messages, but there is a weakness in the model because it does not put much emphasis on emotions and environmental aspects that affect patient understanding.</w:t>
      </w:r>
    </w:p>
    <w:p w14:paraId="0600427E" w14:textId="77777777" w:rsidR="00403F67" w:rsidRDefault="00000000">
      <w:pPr>
        <w:rPr>
          <w:b/>
          <w:i/>
        </w:rPr>
      </w:pPr>
      <w:r>
        <w:rPr>
          <w:b/>
          <w:i/>
        </w:rPr>
        <w:t>Consequences of Poor Communication and the Need for Openness and Transparency</w:t>
      </w:r>
    </w:p>
    <w:p w14:paraId="53038EA6" w14:textId="77777777" w:rsidR="00403F67" w:rsidRDefault="00000000">
      <w:r>
        <w:t xml:space="preserve">Lack of effective communication may lead to medication errors, delayed treatment and emotional distress. It was found that a lack of proper communication at Mid Staffordshire Hospital led to more than 400 deaths that could have been avoided (Tiwary </w:t>
      </w:r>
      <w:r>
        <w:rPr>
          <w:i/>
        </w:rPr>
        <w:t>et al.</w:t>
      </w:r>
      <w:r>
        <w:t>, 2021). On the contrary, open and transparent communication can empower patients, increase trust in their families and guarantee ethical responsibility. As an example, anxiety can be decreased by timely notifications regarding the progress of a patient in intensive care. Although transparency promotes trust, it has to be delivered sensitively and trained to create a balance between confidentiality and care in complicated care environments.</w:t>
      </w:r>
    </w:p>
    <w:p w14:paraId="4A845CF5" w14:textId="77777777" w:rsidR="00403F67" w:rsidRDefault="00000000">
      <w:pPr>
        <w:pStyle w:val="Heading1"/>
      </w:pPr>
      <w:bookmarkStart w:id="3" w:name="_heading=h.ntewihp2n75i" w:colFirst="0" w:colLast="0"/>
      <w:bookmarkEnd w:id="3"/>
      <w:r>
        <w:t>3. Good Administrative Practice and Record-Keeping under the Data Protection Act 2018</w:t>
      </w:r>
    </w:p>
    <w:p w14:paraId="52EEF6FF" w14:textId="77777777" w:rsidR="00403F67" w:rsidRDefault="00000000">
      <w:pPr>
        <w:rPr>
          <w:b/>
          <w:i/>
        </w:rPr>
      </w:pPr>
      <w:r>
        <w:rPr>
          <w:b/>
          <w:i/>
        </w:rPr>
        <w:t>Importance of Accurate and Professional Record-Keeping in Health and Social Care</w:t>
      </w:r>
    </w:p>
    <w:p w14:paraId="3486863B" w14:textId="77777777" w:rsidR="00403F67" w:rsidRDefault="00000000">
      <w:r>
        <w:t>The quality of care continuity, clinical safety and accountability in the healthcare services of over 1.3 million patients maintained each day in the NHS can be ensured by the quality of record keeping of records. As an illustration, the use of elaborate medication records prevents redundancy and negative reactions to drugs. Legal protection and professional credibility are also well supported by effective documentation (Vukmir, 2024). Nevertheless, accuracy can be sacrificed due to time-based and digitised overload, and practitioners will have to consider efficiency and accuracy to ensure the reliability of data and the responsibility imposed by ethical obligations.</w:t>
      </w:r>
    </w:p>
    <w:p w14:paraId="27D846FF" w14:textId="77777777" w:rsidR="00403F67" w:rsidRDefault="00000000">
      <w:pPr>
        <w:rPr>
          <w:b/>
          <w:i/>
        </w:rPr>
      </w:pPr>
      <w:r>
        <w:rPr>
          <w:b/>
          <w:i/>
        </w:rPr>
        <w:t>Applying the Principles of the Data Protection Act 2018 in Administrative Practice</w:t>
      </w:r>
    </w:p>
    <w:p w14:paraId="2F287C01" w14:textId="77777777" w:rsidR="00403F67" w:rsidRDefault="00000000">
      <w:pPr>
        <w:rPr>
          <w:b/>
          <w:i/>
        </w:rPr>
      </w:pPr>
      <w:r>
        <w:t xml:space="preserve">The Data Protection Act 2018 offers seven principles, such as lawfulness, accuracy and integrity, making the information of the service users confidential and securely processed (Ocks and Salubi, 2024). An example of such is the use of encrypted electronic health records </w:t>
      </w:r>
      <w:r>
        <w:lastRenderedPageBreak/>
        <w:t>that eliminates unauthorised accessibility in hospital systems that deal with thousands of patient files per day. Informed consent should be acquired by practitioners to share data, as it respects the rights of the persons. Despite the fact that digital compliance enhances trust and transparency, system failure and cyber risks are the challenges that demand effective staff training and surveillance.</w:t>
      </w:r>
    </w:p>
    <w:p w14:paraId="3F2A0443" w14:textId="77777777" w:rsidR="00403F67" w:rsidRDefault="00000000">
      <w:pPr>
        <w:rPr>
          <w:b/>
          <w:i/>
        </w:rPr>
      </w:pPr>
      <w:r>
        <w:rPr>
          <w:b/>
          <w:i/>
        </w:rPr>
        <w:t>Integration of Legislative and Policy Frameworks: The Care Act 2014 and Health and Care Act 2022</w:t>
      </w:r>
    </w:p>
    <w:p w14:paraId="49F24645" w14:textId="77777777" w:rsidR="00403F67" w:rsidRDefault="00000000">
      <w:pPr>
        <w:rPr>
          <w:b/>
          <w:i/>
        </w:rPr>
      </w:pPr>
      <w:r>
        <w:t>The Care Act 2014 advocates the sharing of information among agencies towards improved safeguarding and coordinated service, whereas the Health and Care Act 2022 strengthens integrated care systems that control more than 42 regional networks in England (Thomson, 2024). These frameworks, when combined, help practitioners in reporting ethical records and inter-professional communication. As a case in point, providing the correct care plans to social workers and GPs enhances patient outcomes. Limitations are experienced when inappropriate IT systems inhibit seamless transfer and cooperation of data.</w:t>
      </w:r>
    </w:p>
    <w:p w14:paraId="6E7EAD4A" w14:textId="77777777" w:rsidR="00403F67" w:rsidRDefault="00000000">
      <w:pPr>
        <w:rPr>
          <w:b/>
          <w:i/>
        </w:rPr>
      </w:pPr>
      <w:r>
        <w:rPr>
          <w:b/>
          <w:i/>
        </w:rPr>
        <w:t>Consequences of Poor Record-Keeping and the Need for Continuous Administrative Competence</w:t>
      </w:r>
    </w:p>
    <w:p w14:paraId="0CCAE320" w14:textId="77777777" w:rsidR="00403F67" w:rsidRDefault="00000000">
      <w:pPr>
        <w:rPr>
          <w:b/>
          <w:i/>
        </w:rPr>
      </w:pPr>
      <w:r>
        <w:t>Poor record-keeping may result in misdiagnosis, treatment misses and lawsuits. In one year, the NHS reported more than 10,000 incidents that were attributed to documentation errors, which are indicative of the necessity of administrative training. The ongoing search towards professionalism improves the precision and responsibility of practitioners in their treatment of sensitive information (Xu, Li and Li, 2024). Even though the efficiency of modern digital systems is simplified, these systems need to be audited and skills updated on a regular basis to avoid mistakes, ensure compliance or protect the image of care organisations.</w:t>
      </w:r>
    </w:p>
    <w:p w14:paraId="5E780430" w14:textId="77777777" w:rsidR="00403F67" w:rsidRDefault="00000000">
      <w:pPr>
        <w:pStyle w:val="Heading1"/>
      </w:pPr>
      <w:bookmarkStart w:id="4" w:name="_heading=h.rzjlj64lg72g" w:colFirst="0" w:colLast="0"/>
      <w:bookmarkEnd w:id="4"/>
      <w:r>
        <w:t>4. Reflection on Continuing Professional Development (CPD) and Collaborative Practice</w:t>
      </w:r>
    </w:p>
    <w:p w14:paraId="3D457CCE" w14:textId="77777777" w:rsidR="00403F67" w:rsidRDefault="00000000">
      <w:pPr>
        <w:rPr>
          <w:b/>
          <w:i/>
        </w:rPr>
      </w:pPr>
      <w:r>
        <w:rPr>
          <w:b/>
          <w:i/>
        </w:rPr>
        <w:t>Identifying Continuing Professional Development (CPD) Needs for Collaborative Practice</w:t>
      </w:r>
    </w:p>
    <w:p w14:paraId="2DD1BCBC" w14:textId="77777777" w:rsidR="00403F67" w:rsidRDefault="00000000">
      <w:pPr>
        <w:rPr>
          <w:b/>
          <w:i/>
        </w:rPr>
      </w:pPr>
      <w:r>
        <w:t>As part of my professional goals, I understand that I should reinforce my leadership, digital literacy, and clinical communication capabilities to improve teamwork. Operating in a team of more than 1.5 million employees in the NHS is demanding in terms of flexibility and evidence-based decision-making (NHS England, 2024). I will also be enrolled in interprofessional workshops and reflective supervision in order to be competent enough to handle multidisciplinary care plans. Even though time is a limiting factor, professionally organised CPD will enable me to always keep up with the changing healthcare standards and patient-centred collaboration practices.</w:t>
      </w:r>
    </w:p>
    <w:p w14:paraId="6242403A" w14:textId="77777777" w:rsidR="00403F67" w:rsidRDefault="00000000">
      <w:pPr>
        <w:rPr>
          <w:b/>
          <w:i/>
        </w:rPr>
      </w:pPr>
      <w:r>
        <w:rPr>
          <w:b/>
          <w:i/>
        </w:rPr>
        <w:t>Enhancing Interprofessional Collaboration and Overcoming Teamwork Challenges</w:t>
      </w:r>
    </w:p>
    <w:p w14:paraId="22A6D94C" w14:textId="77777777" w:rsidR="00403F67" w:rsidRDefault="00000000">
      <w:pPr>
        <w:rPr>
          <w:b/>
          <w:i/>
        </w:rPr>
      </w:pPr>
      <w:r>
        <w:lastRenderedPageBreak/>
        <w:t xml:space="preserve">I realise that teamwork should be based on respect and open communication as well as joint responsibility. When participating in the multidisciplinary meetings, which include nurses, social workers, and physiotherapists, I want to be an active listener and speaker with the ability to make evidence-based contributions. I will use organised feedback and online coordination tools to address such barriers as communication failures or role confusion. Though the existence of large teams of 10-15 professionals may introduce some coordination problems, the high level of professionalism and empathy will assist in preserving the harmony, providing the delivery of care of constant quality and quality (Emilsson </w:t>
      </w:r>
      <w:r>
        <w:rPr>
          <w:i/>
        </w:rPr>
        <w:t>et al.,</w:t>
      </w:r>
      <w:r>
        <w:t xml:space="preserve"> 2020).</w:t>
      </w:r>
    </w:p>
    <w:p w14:paraId="75EB057C" w14:textId="77777777" w:rsidR="00403F67" w:rsidRDefault="00000000">
      <w:pPr>
        <w:rPr>
          <w:b/>
          <w:i/>
        </w:rPr>
      </w:pPr>
      <w:r>
        <w:rPr>
          <w:b/>
          <w:i/>
        </w:rPr>
        <w:t>Ethical Principles and Strategies for Ongoing Professional Growth</w:t>
      </w:r>
    </w:p>
    <w:p w14:paraId="543E4DD2" w14:textId="77777777" w:rsidR="00403F67" w:rsidRDefault="00000000">
      <w:pPr>
        <w:rPr>
          <w:b/>
          <w:i/>
        </w:rPr>
      </w:pPr>
      <w:r>
        <w:t>Some of the ethical principles that I will maintain towards any professional interaction include beneficence, confidentiality, and autonomy. As an illustration, in handling sensitive patient information in hospital networks, I will be conscious of the policies of confidentiality. I have planned to apply a constant self-reflection, train in ethics, and mentoring by colleagues to use better judgment and empathy. The ethical dilemmas can also be experienced in a resource-limited setting, but ethical conduct and emotional intelligence can lead me to a balanced and person-centred decision-making process.</w:t>
      </w:r>
    </w:p>
    <w:p w14:paraId="753C6127" w14:textId="77777777" w:rsidR="00403F67" w:rsidRDefault="00000000">
      <w:pPr>
        <w:pStyle w:val="Heading1"/>
      </w:pPr>
      <w:bookmarkStart w:id="5" w:name="_heading=h.kq8rlw61thb3" w:colFirst="0" w:colLast="0"/>
      <w:bookmarkEnd w:id="5"/>
      <w:r>
        <w:t xml:space="preserve">5. Conclusion </w:t>
      </w:r>
    </w:p>
    <w:p w14:paraId="28681CA4" w14:textId="77777777" w:rsidR="00403F67" w:rsidRDefault="00000000">
      <w:r>
        <w:t>In this report, the main practices of the profession that are vital in the provision of quality care in the health and social care system in the UK have been critically analysed. It showed how effective communication based on the Equality Act 2010 can help bring inclusiveness, trust and fairness among service users and their families. The administrative competence was discussed, with the focus on correct record-keeping and the alignment with the Data Protection Act 2018, Care Act 2014 and Health and Care Act 2022. Moreover, the consideration of further professional development highlighted teamwork, professional ethics, and resilience as the sources of effective teamwork. The competencies, in combination, enhance accountability, patient dignity, and safety and person-centred care in a changing health and social care environment.</w:t>
      </w:r>
    </w:p>
    <w:p w14:paraId="3D1F82A4" w14:textId="77777777" w:rsidR="00403F67" w:rsidRDefault="00000000">
      <w:r>
        <w:br w:type="page"/>
      </w:r>
    </w:p>
    <w:p w14:paraId="7CE396DB" w14:textId="77777777" w:rsidR="00403F67" w:rsidRDefault="00000000">
      <w:pPr>
        <w:pStyle w:val="Heading1"/>
      </w:pPr>
      <w:bookmarkStart w:id="6" w:name="_heading=h.jnovjfh6bg4l" w:colFirst="0" w:colLast="0"/>
      <w:bookmarkEnd w:id="6"/>
      <w:r>
        <w:lastRenderedPageBreak/>
        <w:t>Reference List</w:t>
      </w:r>
    </w:p>
    <w:p w14:paraId="421F4220" w14:textId="77777777" w:rsidR="00403F67" w:rsidRDefault="00000000">
      <w:pPr>
        <w:widowControl w:val="0"/>
        <w:spacing w:after="240"/>
      </w:pPr>
      <w:r>
        <w:t xml:space="preserve">Ansloos, J., Samuel, C., Makkik, R., Rowe, S., Musani, I., Hey, B., Clark, S., Tootoo, T., Kunuk, C., Akalukjuk-Hackett, E., Crowley, A., Williams, B. and Afram, D. (2024) </w:t>
      </w:r>
      <w:r>
        <w:rPr>
          <w:i/>
        </w:rPr>
        <w:t>Care for Caregivers: Understanding the experiences &amp; opportunities for enhanced support for caregivers with the Arctic Children and Youth Foundation</w:t>
      </w:r>
      <w:r>
        <w:t xml:space="preserve">, </w:t>
      </w:r>
      <w:r>
        <w:rPr>
          <w:i/>
        </w:rPr>
        <w:t>Scholaris.ca</w:t>
      </w:r>
      <w:r>
        <w:t xml:space="preserve">. Available at: </w:t>
      </w:r>
      <w:hyperlink r:id="rId8">
        <w:r>
          <w:t>https://utoronto.scholaris.ca/items/da625eb2-9ff6-419a-a364-aef2443af17d</w:t>
        </w:r>
      </w:hyperlink>
      <w:r>
        <w:t xml:space="preserve"> (Accessed: 28 October 2025).</w:t>
      </w:r>
    </w:p>
    <w:p w14:paraId="44389520" w14:textId="77777777" w:rsidR="00403F67" w:rsidRDefault="00000000">
      <w:pPr>
        <w:widowControl w:val="0"/>
        <w:spacing w:after="240"/>
      </w:pPr>
      <w:r>
        <w:t xml:space="preserve">Emilsson, U.M., Strid, A.-L. and Söderberg, M. (2020) ‘Lack of Coordination between Health Care and Social Care in Multi-Professional Teamwork - the Obstacle for Coherent Care of Older People Suffering from Multi-Morbidity’, </w:t>
      </w:r>
      <w:r>
        <w:rPr>
          <w:i/>
        </w:rPr>
        <w:t>Journal of Population Ageing</w:t>
      </w:r>
      <w:r>
        <w:t xml:space="preserve"> [Preprint]. Available at: </w:t>
      </w:r>
      <w:hyperlink r:id="rId9">
        <w:r>
          <w:t>https://doi.org/10.1007/s12062-020-09300-8</w:t>
        </w:r>
      </w:hyperlink>
      <w:r>
        <w:t>.</w:t>
      </w:r>
    </w:p>
    <w:p w14:paraId="49BDBBC0" w14:textId="77777777" w:rsidR="00403F67" w:rsidRDefault="00000000">
      <w:pPr>
        <w:widowControl w:val="0"/>
        <w:spacing w:after="240"/>
      </w:pPr>
      <w:r>
        <w:t xml:space="preserve">Foster, S. (2023) ‘Free speech, equality and diversity: the legitimacy of controlling content-based expression under the ECHR and in domestic law’, </w:t>
      </w:r>
      <w:r>
        <w:rPr>
          <w:i/>
        </w:rPr>
        <w:t>Tolley’s Communications Law</w:t>
      </w:r>
      <w:r>
        <w:t xml:space="preserve">, 28(3), pp. 102–118. Available at: </w:t>
      </w:r>
      <w:hyperlink r:id="rId10">
        <w:r>
          <w:t>https://pureportal.coventry.ac.uk/en/publications/free-speech-equality-and-diversity-the-legitimacy-of-controlling-</w:t>
        </w:r>
      </w:hyperlink>
      <w:r>
        <w:t xml:space="preserve"> (Accessed: 28 October 2025).</w:t>
      </w:r>
    </w:p>
    <w:p w14:paraId="0ED88766" w14:textId="77777777" w:rsidR="00403F67" w:rsidRDefault="00000000">
      <w:pPr>
        <w:widowControl w:val="0"/>
        <w:spacing w:after="240"/>
      </w:pPr>
      <w:r>
        <w:t xml:space="preserve">Kwok, J.Y.Y., Lee, J.J., Choi, E.P.H., Chau, P.H. and Auyeung, M. (2022) ‘Stay mindfully active during the coronavirus pandemic: a feasibility study of mHealth-delivered mindfulness yoga program for people with Parkinson’s disease’, </w:t>
      </w:r>
      <w:r>
        <w:rPr>
          <w:i/>
        </w:rPr>
        <w:t>BMC Complementary Medicine and Therapies</w:t>
      </w:r>
      <w:r>
        <w:t xml:space="preserve">, 22(1). Available at: </w:t>
      </w:r>
      <w:hyperlink r:id="rId11">
        <w:r>
          <w:t>https://doi.org/10.1186/s12906-022-03519-y</w:t>
        </w:r>
      </w:hyperlink>
      <w:r>
        <w:t>.</w:t>
      </w:r>
    </w:p>
    <w:p w14:paraId="23CF14F2" w14:textId="77777777" w:rsidR="00403F67" w:rsidRDefault="00000000">
      <w:pPr>
        <w:widowControl w:val="0"/>
        <w:spacing w:after="240"/>
      </w:pPr>
      <w:r>
        <w:t xml:space="preserve">NHS England (2024) </w:t>
      </w:r>
      <w:r>
        <w:rPr>
          <w:i/>
        </w:rPr>
        <w:t>NHS England - NHS Long Term Workforce Plan</w:t>
      </w:r>
      <w:r>
        <w:t xml:space="preserve">, </w:t>
      </w:r>
      <w:r>
        <w:rPr>
          <w:i/>
        </w:rPr>
        <w:t>NHS England</w:t>
      </w:r>
      <w:r>
        <w:t xml:space="preserve">. NHS England. Available at: </w:t>
      </w:r>
      <w:hyperlink r:id="rId12">
        <w:r>
          <w:t>https://www.england.nhs.uk/long-read/nhs-long-term-workforce-plan-2/</w:t>
        </w:r>
      </w:hyperlink>
      <w:r>
        <w:t>.</w:t>
      </w:r>
    </w:p>
    <w:p w14:paraId="5A6346ED" w14:textId="77777777" w:rsidR="00403F67" w:rsidRDefault="00000000">
      <w:pPr>
        <w:widowControl w:val="0"/>
        <w:spacing w:after="240"/>
      </w:pPr>
      <w:r>
        <w:t xml:space="preserve">Ocaña, M.J.R., Morales, C.T., Pichardo, J.D.R. and Hernández, M.A. (2023) ‘Barriers and facilitators of communication in the medication reconciliation process during hospital discharge: Primary healthcare professionals’ perspectives’, </w:t>
      </w:r>
      <w:r>
        <w:rPr>
          <w:i/>
        </w:rPr>
        <w:t>Healthcare</w:t>
      </w:r>
      <w:r>
        <w:t xml:space="preserve">, 11(10), p. 1495. Available at: </w:t>
      </w:r>
      <w:hyperlink r:id="rId13">
        <w:r>
          <w:t>https://doi.org/10.3390/healthcare11101495</w:t>
        </w:r>
      </w:hyperlink>
      <w:r>
        <w:t>.</w:t>
      </w:r>
    </w:p>
    <w:p w14:paraId="2DA4E916" w14:textId="77777777" w:rsidR="00403F67" w:rsidRDefault="00000000">
      <w:pPr>
        <w:widowControl w:val="0"/>
        <w:spacing w:after="240"/>
      </w:pPr>
      <w:r>
        <w:t xml:space="preserve">Ocks, Y. and Salubi, O.G. (2024) ‘Privacy Paradox in Industry 4.0: A review of library information services and data protection’, </w:t>
      </w:r>
      <w:r>
        <w:rPr>
          <w:i/>
        </w:rPr>
        <w:t>South African Journal of Information Management</w:t>
      </w:r>
      <w:r>
        <w:t xml:space="preserve">, 26(1). Available at: </w:t>
      </w:r>
      <w:hyperlink r:id="rId14">
        <w:r>
          <w:t>https://doi.org/10.4102/sajim.v26i1.1845</w:t>
        </w:r>
      </w:hyperlink>
      <w:r>
        <w:t>.</w:t>
      </w:r>
    </w:p>
    <w:p w14:paraId="2A8EB58E" w14:textId="77777777" w:rsidR="00403F67" w:rsidRDefault="00000000">
      <w:pPr>
        <w:widowControl w:val="0"/>
        <w:spacing w:after="240"/>
      </w:pPr>
      <w:r>
        <w:t xml:space="preserve">Thomson, L. (2024) ‘Barriers and Enablers of Integrated Care in the UK: a Rapid Evidence Review of Review Articles and Grey Literature 2018–2022’, </w:t>
      </w:r>
      <w:r>
        <w:rPr>
          <w:i/>
        </w:rPr>
        <w:t>Frontiers in Public Health</w:t>
      </w:r>
      <w:r>
        <w:t xml:space="preserve">, 11(1). Available at: </w:t>
      </w:r>
      <w:hyperlink r:id="rId15">
        <w:r>
          <w:t>https://doi.org/10.3389/fpubh.2023.1286479</w:t>
        </w:r>
      </w:hyperlink>
      <w:r>
        <w:t>.</w:t>
      </w:r>
    </w:p>
    <w:p w14:paraId="3FD7C3C8" w14:textId="77777777" w:rsidR="00403F67" w:rsidRDefault="00000000">
      <w:pPr>
        <w:widowControl w:val="0"/>
        <w:spacing w:after="240"/>
      </w:pPr>
      <w:r>
        <w:lastRenderedPageBreak/>
        <w:t xml:space="preserve">Tiwary, A., Rimal, A., Paudyal, B., Sigdel, K.R. and Basnyat, B. (2021) ‘Poor Communication by Health Care Professionals May Lead to life-threatening complications: Examples from Two Case Reports’, </w:t>
      </w:r>
      <w:r>
        <w:rPr>
          <w:i/>
        </w:rPr>
        <w:t>Wellcome Open Research</w:t>
      </w:r>
      <w:r>
        <w:t xml:space="preserve">, 4(1), pp. 1–8. Available at: </w:t>
      </w:r>
      <w:hyperlink r:id="rId16">
        <w:r>
          <w:t>https://doi.org/10.12688/wellcomeopenres.15042.1</w:t>
        </w:r>
      </w:hyperlink>
      <w:r>
        <w:t>.</w:t>
      </w:r>
    </w:p>
    <w:p w14:paraId="537E962A" w14:textId="77777777" w:rsidR="00403F67" w:rsidRDefault="00000000">
      <w:pPr>
        <w:widowControl w:val="0"/>
        <w:spacing w:after="240"/>
      </w:pPr>
      <w:r>
        <w:t xml:space="preserve">Vukmir, R.B. (2024) ‘Medicolegal aspects of documentation and the electronic health record’, </w:t>
      </w:r>
      <w:r>
        <w:rPr>
          <w:i/>
        </w:rPr>
        <w:t>Medicina Clínica (English Edition)</w:t>
      </w:r>
      <w:r>
        <w:t xml:space="preserve">, 162(8), pp. e9–e14. Available at: </w:t>
      </w:r>
      <w:hyperlink r:id="rId17">
        <w:r>
          <w:t>https://doi.org/10.1016/j.medcle.2024.01.004</w:t>
        </w:r>
      </w:hyperlink>
      <w:r>
        <w:t>.</w:t>
      </w:r>
    </w:p>
    <w:p w14:paraId="3A53A02D" w14:textId="77777777" w:rsidR="00403F67" w:rsidRDefault="00000000">
      <w:pPr>
        <w:widowControl w:val="0"/>
        <w:spacing w:after="240"/>
      </w:pPr>
      <w:r>
        <w:t xml:space="preserve">Xu, J., Li, Z. and Li, S. (2024) ‘Legal Ethics and Professional Responsibility in the Legal Profession’, </w:t>
      </w:r>
      <w:r>
        <w:rPr>
          <w:i/>
        </w:rPr>
        <w:t>SHS web of conferences</w:t>
      </w:r>
      <w:r>
        <w:t xml:space="preserve">, 190, pp. 02006–02006. Available at: </w:t>
      </w:r>
      <w:hyperlink r:id="rId18">
        <w:r>
          <w:t>https://doi.org/10.1051/shsconf/202419002006</w:t>
        </w:r>
      </w:hyperlink>
      <w:r>
        <w:t>.</w:t>
      </w:r>
    </w:p>
    <w:p w14:paraId="3534ACCC" w14:textId="77777777" w:rsidR="00403F67" w:rsidRDefault="00403F67"/>
    <w:sectPr w:rsidR="00403F67">
      <w:footerReference w:type="default" r:id="rId1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AF4E26" w14:textId="77777777" w:rsidR="003F3A78" w:rsidRDefault="003F3A78">
      <w:pPr>
        <w:spacing w:line="240" w:lineRule="auto"/>
      </w:pPr>
      <w:r>
        <w:separator/>
      </w:r>
    </w:p>
  </w:endnote>
  <w:endnote w:type="continuationSeparator" w:id="0">
    <w:p w14:paraId="05DB3E4C" w14:textId="77777777" w:rsidR="003F3A78" w:rsidRDefault="003F3A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embedRegular r:id="rId1" w:fontKey="{2F89BBC0-439B-E240-B99A-64633B495B63}"/>
    <w:embedBold r:id="rId2" w:fontKey="{CAB8DB5D-E9FC-7B49-9D65-E889E630C096}"/>
    <w:embedItalic r:id="rId3" w:fontKey="{C9F927E2-52B5-154C-A290-C59490360BA7}"/>
    <w:embedBoldItalic r:id="rId4" w:fontKey="{AE70A254-E9DE-034A-B2D7-ADB275A5FB88}"/>
  </w:font>
  <w:font w:name="Times New Roman">
    <w:panose1 w:val="02020603050405020304"/>
    <w:charset w:val="00"/>
    <w:family w:val="roman"/>
    <w:pitch w:val="variable"/>
    <w:sig w:usb0="E0002EFF" w:usb1="C000785B" w:usb2="00000009" w:usb3="00000000" w:csb0="000001FF" w:csb1="00000000"/>
    <w:embedRegular r:id="rId5" w:fontKey="{F43B0DA4-B92A-9F46-B884-EEF1B4F5F0C8}"/>
  </w:font>
  <w:font w:name="Segoe UI">
    <w:panose1 w:val="020B0604020202020204"/>
    <w:charset w:val="00"/>
    <w:family w:val="roman"/>
    <w:notTrueType/>
    <w:pitch w:val="default"/>
    <w:embedRegular r:id="rId6" w:fontKey="{98EDDEF9-E148-C448-8865-8660A4765ACA}"/>
  </w:font>
  <w:font w:name="Calibri">
    <w:panose1 w:val="020F0502020204030204"/>
    <w:charset w:val="00"/>
    <w:family w:val="swiss"/>
    <w:pitch w:val="variable"/>
    <w:sig w:usb0="E0002AFF" w:usb1="C000ACFF" w:usb2="00000009" w:usb3="00000000" w:csb0="000001FF" w:csb1="00000000"/>
    <w:embedRegular r:id="rId7" w:fontKey="{5BD6E521-B1CB-624A-A8EC-EE357D89383A}"/>
  </w:font>
  <w:font w:name="Cambria">
    <w:panose1 w:val="02040503050406030204"/>
    <w:charset w:val="00"/>
    <w:family w:val="roman"/>
    <w:notTrueType/>
    <w:pitch w:val="default"/>
    <w:embedRegular r:id="rId8" w:fontKey="{37D25CA0-0927-3540-AA55-D8B5B660BDF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23A85" w14:textId="19CB0E46" w:rsidR="00403F67" w:rsidRDefault="00000000">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t xml:space="preserve">Page </w:t>
    </w:r>
    <w:r>
      <w:rPr>
        <w:b/>
        <w:color w:val="000000"/>
        <w:sz w:val="20"/>
        <w:szCs w:val="20"/>
      </w:rPr>
      <w:fldChar w:fldCharType="begin"/>
    </w:r>
    <w:r>
      <w:rPr>
        <w:b/>
        <w:color w:val="000000"/>
        <w:sz w:val="20"/>
        <w:szCs w:val="20"/>
      </w:rPr>
      <w:instrText>PAGE</w:instrText>
    </w:r>
    <w:r>
      <w:rPr>
        <w:b/>
        <w:color w:val="000000"/>
        <w:sz w:val="20"/>
        <w:szCs w:val="20"/>
      </w:rPr>
      <w:fldChar w:fldCharType="separate"/>
    </w:r>
    <w:r w:rsidR="00320BB4">
      <w:rPr>
        <w:b/>
        <w:noProof/>
        <w:color w:val="000000"/>
        <w:sz w:val="20"/>
        <w:szCs w:val="20"/>
      </w:rPr>
      <w:t>2</w:t>
    </w:r>
    <w:r>
      <w:rPr>
        <w:b/>
        <w:color w:val="000000"/>
        <w:sz w:val="20"/>
        <w:szCs w:val="20"/>
      </w:rPr>
      <w:fldChar w:fldCharType="end"/>
    </w:r>
    <w:r>
      <w:rPr>
        <w:color w:val="000000"/>
        <w:sz w:val="20"/>
        <w:szCs w:val="20"/>
      </w:rPr>
      <w:t xml:space="preserve"> of </w:t>
    </w:r>
    <w:r>
      <w:rPr>
        <w:b/>
        <w:color w:val="000000"/>
        <w:sz w:val="20"/>
        <w:szCs w:val="20"/>
      </w:rPr>
      <w:fldChar w:fldCharType="begin"/>
    </w:r>
    <w:r>
      <w:rPr>
        <w:b/>
        <w:color w:val="000000"/>
        <w:sz w:val="20"/>
        <w:szCs w:val="20"/>
      </w:rPr>
      <w:instrText>NUMPAGES</w:instrText>
    </w:r>
    <w:r>
      <w:rPr>
        <w:b/>
        <w:color w:val="000000"/>
        <w:sz w:val="20"/>
        <w:szCs w:val="20"/>
      </w:rPr>
      <w:fldChar w:fldCharType="separate"/>
    </w:r>
    <w:r w:rsidR="00320BB4">
      <w:rPr>
        <w:b/>
        <w:noProof/>
        <w:color w:val="000000"/>
        <w:sz w:val="20"/>
        <w:szCs w:val="20"/>
      </w:rPr>
      <w:t>3</w:t>
    </w:r>
    <w:r>
      <w:rPr>
        <w:b/>
        <w:color w:val="000000"/>
        <w:sz w:val="20"/>
        <w:szCs w:val="20"/>
      </w:rPr>
      <w:fldChar w:fldCharType="end"/>
    </w:r>
  </w:p>
  <w:p w14:paraId="5A8BFA39" w14:textId="77777777" w:rsidR="00403F67" w:rsidRDefault="00403F67">
    <w:pPr>
      <w:pBdr>
        <w:top w:val="nil"/>
        <w:left w:val="nil"/>
        <w:bottom w:val="nil"/>
        <w:right w:val="nil"/>
        <w:between w:val="nil"/>
      </w:pBdr>
      <w:tabs>
        <w:tab w:val="center" w:pos="4513"/>
        <w:tab w:val="right" w:pos="9026"/>
      </w:tabs>
      <w:spacing w:line="240" w:lineRule="auto"/>
      <w:rPr>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CF7D2" w14:textId="77777777" w:rsidR="003F3A78" w:rsidRDefault="003F3A78">
      <w:pPr>
        <w:spacing w:line="240" w:lineRule="auto"/>
      </w:pPr>
      <w:r>
        <w:separator/>
      </w:r>
    </w:p>
  </w:footnote>
  <w:footnote w:type="continuationSeparator" w:id="0">
    <w:p w14:paraId="513BE130" w14:textId="77777777" w:rsidR="003F3A78" w:rsidRDefault="003F3A7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3F67"/>
    <w:rsid w:val="00320BB4"/>
    <w:rsid w:val="003F3A78"/>
    <w:rsid w:val="00403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7BE37E"/>
  <w15:docId w15:val="{7FDF9D82-641D-4249-A5EC-66ED0ECAD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6"/>
      <w:szCs w:val="26"/>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54629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629F"/>
    <w:rPr>
      <w:rFonts w:ascii="Segoe UI" w:hAnsi="Segoe UI" w:cs="Segoe UI"/>
      <w:sz w:val="18"/>
      <w:szCs w:val="18"/>
    </w:rPr>
  </w:style>
  <w:style w:type="paragraph" w:styleId="Header">
    <w:name w:val="header"/>
    <w:basedOn w:val="Normal"/>
    <w:link w:val="HeaderChar"/>
    <w:uiPriority w:val="99"/>
    <w:unhideWhenUsed/>
    <w:rsid w:val="0054629F"/>
    <w:pPr>
      <w:tabs>
        <w:tab w:val="center" w:pos="4513"/>
        <w:tab w:val="right" w:pos="9026"/>
      </w:tabs>
      <w:spacing w:line="240" w:lineRule="auto"/>
    </w:pPr>
  </w:style>
  <w:style w:type="character" w:customStyle="1" w:styleId="HeaderChar">
    <w:name w:val="Header Char"/>
    <w:basedOn w:val="DefaultParagraphFont"/>
    <w:link w:val="Header"/>
    <w:uiPriority w:val="99"/>
    <w:rsid w:val="0054629F"/>
  </w:style>
  <w:style w:type="paragraph" w:styleId="Footer">
    <w:name w:val="footer"/>
    <w:basedOn w:val="Normal"/>
    <w:link w:val="FooterChar"/>
    <w:uiPriority w:val="99"/>
    <w:unhideWhenUsed/>
    <w:rsid w:val="0054629F"/>
    <w:pPr>
      <w:tabs>
        <w:tab w:val="center" w:pos="4513"/>
        <w:tab w:val="right" w:pos="9026"/>
      </w:tabs>
      <w:spacing w:line="240" w:lineRule="auto"/>
    </w:pPr>
  </w:style>
  <w:style w:type="character" w:customStyle="1" w:styleId="FooterChar">
    <w:name w:val="Footer Char"/>
    <w:basedOn w:val="DefaultParagraphFont"/>
    <w:link w:val="Footer"/>
    <w:uiPriority w:val="99"/>
    <w:rsid w:val="0054629F"/>
  </w:style>
  <w:style w:type="paragraph" w:styleId="TOCHeading">
    <w:name w:val="TOC Heading"/>
    <w:basedOn w:val="Heading1"/>
    <w:next w:val="Normal"/>
    <w:uiPriority w:val="39"/>
    <w:unhideWhenUsed/>
    <w:qFormat/>
    <w:rsid w:val="000C095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C095A"/>
    <w:pPr>
      <w:spacing w:after="100"/>
    </w:pPr>
  </w:style>
  <w:style w:type="character" w:styleId="Hyperlink">
    <w:name w:val="Hyperlink"/>
    <w:basedOn w:val="DefaultParagraphFont"/>
    <w:uiPriority w:val="99"/>
    <w:unhideWhenUsed/>
    <w:rsid w:val="000C095A"/>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utoronto.scholaris.ca/items/da625eb2-9ff6-419a-a364-aef2443af17d" TargetMode="External"/><Relationship Id="rId13" Type="http://schemas.openxmlformats.org/officeDocument/2006/relationships/hyperlink" Target="https://doi.org/10.3390/healthcare11101495" TargetMode="External"/><Relationship Id="rId18" Type="http://schemas.openxmlformats.org/officeDocument/2006/relationships/hyperlink" Target="https://doi.org/10.1051/shsconf/202419002006"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england.nhs.uk/long-read/nhs-long-term-workforce-plan-2/" TargetMode="External"/><Relationship Id="rId17" Type="http://schemas.openxmlformats.org/officeDocument/2006/relationships/hyperlink" Target="https://doi.org/10.1016/j.medcle.2024.01.004" TargetMode="External"/><Relationship Id="rId2" Type="http://schemas.openxmlformats.org/officeDocument/2006/relationships/styles" Target="styles.xml"/><Relationship Id="rId16" Type="http://schemas.openxmlformats.org/officeDocument/2006/relationships/hyperlink" Target="https://doi.org/10.12688/wellcomeopenres.15042.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86/s12906-022-03519-y" TargetMode="External"/><Relationship Id="rId5" Type="http://schemas.openxmlformats.org/officeDocument/2006/relationships/footnotes" Target="footnotes.xml"/><Relationship Id="rId15" Type="http://schemas.openxmlformats.org/officeDocument/2006/relationships/hyperlink" Target="https://doi.org/10.3389/fpubh.2023.1286479" TargetMode="External"/><Relationship Id="rId10" Type="http://schemas.openxmlformats.org/officeDocument/2006/relationships/hyperlink" Target="https://pureportal.coventry.ac.uk/en/publications/free-speech-equality-and-diversity-the-legitimacy-of-controlling-"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07/s12062-020-09300-8" TargetMode="External"/><Relationship Id="rId14" Type="http://schemas.openxmlformats.org/officeDocument/2006/relationships/hyperlink" Target="https://doi.org/10.4102/sajim.v26i1.1845"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OTgkTbUbsNA6V8GE0aUX+euE9Q==">CgMxLjAyDmguZ2lpcGIyNmNpMWgzMg5oLmY5YWI5cTNhaWR4YjIOaC50enRvbjlmbDV5eTAyDmgubnRld2locDJuNzVpMg5oLnJ6amxqNjRsZzcyZzIOaC5rcThybHc2MXRoYjMyDmguam5vdmpmaDZiZzRsOAByITFmSTlFVnI5N2llSG0xa19peWg2YXFTWi1nRGNXcVpaUw==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2326</Words>
  <Characters>13264</Characters>
  <Application>Microsoft Office Word</Application>
  <DocSecurity>0</DocSecurity>
  <Lines>110</Lines>
  <Paragraphs>31</Paragraphs>
  <ScaleCrop>false</ScaleCrop>
  <Company/>
  <LinksUpToDate>false</LinksUpToDate>
  <CharactersWithSpaces>15559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Destiny Bishweka</cp:lastModifiedBy>
  <cp:revision>2</cp:revision>
  <dcterms:created xsi:type="dcterms:W3CDTF">2025-11-12T20:39:00Z</dcterms:created>
  <dcterms:modified xsi:type="dcterms:W3CDTF">2025-11-12T20:39:00Z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d9f96a0c-784b-4f1b-8c18-d2b12f340b90</vt:lpwstr>
  </property>
</Properties>
</file>