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4B5896" w14:textId="7EB0D9B3" w:rsidR="007E7745" w:rsidRPr="00C03A91" w:rsidRDefault="007E7745" w:rsidP="00C03A91">
      <w:pPr>
        <w:spacing w:line="360" w:lineRule="auto"/>
        <w:rPr>
          <w:rFonts w:ascii="Arial" w:hAnsi="Arial" w:cs="Arial"/>
        </w:rPr>
      </w:pPr>
    </w:p>
    <w:p w14:paraId="365DE405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  <w:r w:rsidRPr="00C03A91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2F049D74" wp14:editId="5F1928BB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B015D8C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0E6E9383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31DBF4A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67404449" w14:textId="77777777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7888C86" w14:textId="51FDBD39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8F084C">
        <w:rPr>
          <w:rFonts w:ascii="Arial" w:hAnsi="Arial" w:cs="Arial"/>
          <w:sz w:val="28"/>
          <w:szCs w:val="28"/>
          <w:lang w:val="nl-NL"/>
        </w:rPr>
        <w:t>IJEOMA ANITA OFORBIKE</w:t>
      </w:r>
    </w:p>
    <w:p w14:paraId="3C83A8A7" w14:textId="3BC47DE4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8F084C">
        <w:rPr>
          <w:rFonts w:ascii="Arial" w:hAnsi="Arial" w:cs="Arial"/>
          <w:sz w:val="28"/>
          <w:szCs w:val="28"/>
          <w:lang w:val="nl-NL"/>
        </w:rPr>
        <w:t xml:space="preserve"> 2418670</w:t>
      </w:r>
    </w:p>
    <w:p w14:paraId="21E9DC72" w14:textId="77777777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23BAC9B9" w14:textId="24418014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076AC0">
        <w:rPr>
          <w:rFonts w:ascii="Arial" w:hAnsi="Arial" w:cs="Arial"/>
          <w:sz w:val="28"/>
          <w:szCs w:val="28"/>
          <w:lang w:val="nl-NL"/>
        </w:rPr>
        <w:t xml:space="preserve">: </w:t>
      </w:r>
      <w:r w:rsidR="008F084C">
        <w:rPr>
          <w:rFonts w:ascii="Arial" w:hAnsi="Arial" w:cs="Arial"/>
          <w:sz w:val="28"/>
          <w:szCs w:val="28"/>
          <w:lang w:val="nl-NL"/>
        </w:rPr>
        <w:t>Protecting and supporting families in Health and social care</w:t>
      </w:r>
    </w:p>
    <w:p w14:paraId="4FD97C8C" w14:textId="32E4357E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Module code</w:t>
      </w:r>
      <w:r w:rsidRPr="00C03A91">
        <w:rPr>
          <w:rFonts w:ascii="Arial" w:hAnsi="Arial" w:cs="Arial"/>
          <w:sz w:val="28"/>
          <w:szCs w:val="28"/>
        </w:rPr>
        <w:t>:</w:t>
      </w:r>
      <w:r w:rsidR="008F084C">
        <w:rPr>
          <w:rFonts w:ascii="Arial" w:hAnsi="Arial" w:cs="Arial"/>
          <w:sz w:val="28"/>
          <w:szCs w:val="28"/>
        </w:rPr>
        <w:t xml:space="preserve"> BMHP021_LON</w:t>
      </w:r>
    </w:p>
    <w:p w14:paraId="658BE57E" w14:textId="35249A64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Lecturer name</w:t>
      </w:r>
      <w:r w:rsidR="005B416D">
        <w:rPr>
          <w:rFonts w:ascii="Arial" w:hAnsi="Arial" w:cs="Arial"/>
          <w:b/>
          <w:bCs/>
          <w:sz w:val="28"/>
          <w:szCs w:val="28"/>
        </w:rPr>
        <w:t xml:space="preserve"> </w:t>
      </w:r>
      <w:r w:rsidRPr="00C03A91">
        <w:rPr>
          <w:rFonts w:ascii="Arial" w:hAnsi="Arial" w:cs="Arial"/>
          <w:sz w:val="28"/>
          <w:szCs w:val="28"/>
        </w:rPr>
        <w:t>:</w:t>
      </w:r>
      <w:r w:rsidR="00CE7777">
        <w:rPr>
          <w:rFonts w:ascii="Arial" w:hAnsi="Arial" w:cs="Arial"/>
          <w:sz w:val="28"/>
          <w:szCs w:val="28"/>
        </w:rPr>
        <w:t>S</w:t>
      </w:r>
      <w:r w:rsidR="005B416D">
        <w:rPr>
          <w:rFonts w:ascii="Arial" w:hAnsi="Arial" w:cs="Arial"/>
          <w:sz w:val="28"/>
          <w:szCs w:val="28"/>
        </w:rPr>
        <w:t>HAILA HUSSAIN</w:t>
      </w:r>
    </w:p>
    <w:p w14:paraId="5AFF31F9" w14:textId="3EEFF0AE" w:rsidR="001B7A40" w:rsidRPr="00C03A91" w:rsidRDefault="00E75607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Assignment </w:t>
      </w:r>
      <w:r w:rsidR="00327C68">
        <w:rPr>
          <w:rFonts w:ascii="Arial" w:hAnsi="Arial" w:cs="Arial"/>
          <w:b/>
          <w:bCs/>
          <w:sz w:val="28"/>
          <w:szCs w:val="28"/>
        </w:rPr>
        <w:t>1:</w:t>
      </w:r>
      <w:r>
        <w:rPr>
          <w:rFonts w:ascii="Arial" w:hAnsi="Arial" w:cs="Arial"/>
          <w:b/>
          <w:bCs/>
          <w:sz w:val="28"/>
          <w:szCs w:val="28"/>
        </w:rPr>
        <w:t xml:space="preserve"> Group presentation(meeting)</w:t>
      </w:r>
    </w:p>
    <w:p w14:paraId="22D391B7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8B08BD9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128CB51" w14:textId="20A52B22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Submission date: 24/07/2026</w:t>
      </w:r>
    </w:p>
    <w:p w14:paraId="54AACDDB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BBF49BD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0393B95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4534EAD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279D3C8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34ADA30" w14:textId="01635C7C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Table of content</w:t>
      </w:r>
      <w:r w:rsidR="00E75607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434242D" w14:textId="06FE37FA" w:rsidR="00E75607" w:rsidRDefault="00E75607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Reference list of Child safeguarding Practice Review of child F</w:t>
      </w:r>
    </w:p>
    <w:p w14:paraId="335667BF" w14:textId="7C5F8016" w:rsidR="008F084C" w:rsidRDefault="00E75607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3C42413D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D16B3CF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82AE4AA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AB02FBE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333C327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38D8D78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8481D31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3D41FB7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D5205B5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548BFCE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3E108DD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4DE3548" w14:textId="77777777" w:rsidR="008F084C" w:rsidRDefault="008F084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36B6A2A" w14:textId="77777777" w:rsidR="00E75607" w:rsidRDefault="00E75607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691F000" w14:textId="77777777" w:rsidR="00E75607" w:rsidRDefault="00E75607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01234FD" w14:textId="77777777" w:rsidR="00E75607" w:rsidRDefault="00E75607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E6C773F" w14:textId="77777777" w:rsidR="00E75607" w:rsidRDefault="00E75607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D2311B4" w14:textId="77777777" w:rsidR="00E75607" w:rsidRDefault="00E75607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7560DC4" w14:textId="77777777" w:rsidR="00E75607" w:rsidRDefault="00E75607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78F0980" w14:textId="77777777" w:rsidR="00E75607" w:rsidRDefault="00E75607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0E34EF8" w14:textId="77777777" w:rsidR="000C66FC" w:rsidRDefault="00E75607" w:rsidP="000C66F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Reference list</w:t>
      </w:r>
    </w:p>
    <w:p w14:paraId="3282142F" w14:textId="7AFA8F06" w:rsidR="0041480C" w:rsidRPr="0041480C" w:rsidRDefault="0041480C" w:rsidP="000C66F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41480C">
        <w:rPr>
          <w:rFonts w:ascii="Arial" w:hAnsi="Arial" w:cs="Arial"/>
          <w:sz w:val="22"/>
        </w:rPr>
        <w:t>Bing. (2023). working together to safeguard children 2023 - Bing. [online] Available at: https://www.bing.com/search?q=working+together+to+safeguard+children+2023&amp;form=r5fd1 [Accessed 15 July 2026].</w:t>
      </w:r>
    </w:p>
    <w:p w14:paraId="17720A05" w14:textId="101F5D5C" w:rsidR="008A51AD" w:rsidRPr="0041480C" w:rsidRDefault="008A51AD" w:rsidP="000C66FC">
      <w:pPr>
        <w:tabs>
          <w:tab w:val="left" w:pos="6540"/>
        </w:tabs>
        <w:spacing w:line="360" w:lineRule="auto"/>
        <w:rPr>
          <w:rFonts w:asciiTheme="minorHAnsi" w:hAnsiTheme="minorHAnsi" w:cstheme="minorHAnsi"/>
          <w:sz w:val="22"/>
        </w:rPr>
      </w:pPr>
      <w:r w:rsidRPr="0041480C">
        <w:rPr>
          <w:rFonts w:asciiTheme="minorHAnsi" w:hAnsiTheme="minorHAnsi" w:cstheme="minorHAnsi"/>
          <w:sz w:val="22"/>
        </w:rPr>
        <w:t xml:space="preserve">Bowlby, J. (1988). A secure base: parent-child attachment and healthy human </w:t>
      </w:r>
      <w:r w:rsidR="00F02039" w:rsidRPr="0041480C">
        <w:rPr>
          <w:rFonts w:asciiTheme="minorHAnsi" w:hAnsiTheme="minorHAnsi" w:cstheme="minorHAnsi"/>
          <w:sz w:val="22"/>
        </w:rPr>
        <w:t>development:</w:t>
      </w:r>
      <w:r w:rsidRPr="0041480C">
        <w:rPr>
          <w:rFonts w:asciiTheme="minorHAnsi" w:hAnsiTheme="minorHAnsi" w:cstheme="minorHAnsi"/>
          <w:sz w:val="22"/>
        </w:rPr>
        <w:t xml:space="preserve"> Bowlby, </w:t>
      </w:r>
      <w:r w:rsidR="00F02039" w:rsidRPr="0041480C">
        <w:rPr>
          <w:rFonts w:asciiTheme="minorHAnsi" w:hAnsiTheme="minorHAnsi" w:cstheme="minorHAnsi"/>
          <w:sz w:val="22"/>
        </w:rPr>
        <w:t>John:</w:t>
      </w:r>
      <w:r w:rsidRPr="0041480C">
        <w:rPr>
          <w:rFonts w:asciiTheme="minorHAnsi" w:hAnsiTheme="minorHAnsi" w:cstheme="minorHAnsi"/>
          <w:sz w:val="22"/>
        </w:rPr>
        <w:t xml:space="preserve"> Free Download, Borrow, and </w:t>
      </w:r>
      <w:r w:rsidR="00F02039" w:rsidRPr="0041480C">
        <w:rPr>
          <w:rFonts w:asciiTheme="minorHAnsi" w:hAnsiTheme="minorHAnsi" w:cstheme="minorHAnsi"/>
          <w:sz w:val="22"/>
        </w:rPr>
        <w:t>Streaming:</w:t>
      </w:r>
      <w:r w:rsidRPr="0041480C">
        <w:rPr>
          <w:rFonts w:asciiTheme="minorHAnsi" w:hAnsiTheme="minorHAnsi" w:cstheme="minorHAnsi"/>
          <w:sz w:val="22"/>
        </w:rPr>
        <w:t xml:space="preserve"> Internet Archive. [online] Internet Archive. Available at: https://archive.org/details/securebase00john [Accessed 15 July 2026].</w:t>
      </w:r>
    </w:p>
    <w:p w14:paraId="6163C769" w14:textId="6DDC37D9" w:rsidR="0041480C" w:rsidRPr="0041480C" w:rsidRDefault="0041480C" w:rsidP="000C66FC">
      <w:pPr>
        <w:tabs>
          <w:tab w:val="left" w:pos="6540"/>
        </w:tabs>
        <w:spacing w:line="360" w:lineRule="auto"/>
        <w:rPr>
          <w:rFonts w:asciiTheme="minorHAnsi" w:hAnsiTheme="minorHAnsi" w:cstheme="minorHAnsi"/>
          <w:sz w:val="22"/>
        </w:rPr>
      </w:pPr>
      <w:r w:rsidRPr="0041480C">
        <w:rPr>
          <w:rFonts w:asciiTheme="minorHAnsi" w:hAnsiTheme="minorHAnsi" w:cstheme="minorHAnsi"/>
          <w:sz w:val="22"/>
        </w:rPr>
        <w:t>Felitti, V. (1998) ‘Relationship of childhood abuse and household dysfunction to many of the leading causes of death in adults’, London Journal of Preventive Medicine, 14(4), pp.245–258.</w:t>
      </w:r>
    </w:p>
    <w:p w14:paraId="01A1C5C3" w14:textId="5A5101E8" w:rsidR="008A51AD" w:rsidRDefault="0041480C" w:rsidP="000C66FC">
      <w:pPr>
        <w:tabs>
          <w:tab w:val="left" w:pos="6540"/>
        </w:tabs>
        <w:spacing w:line="360" w:lineRule="auto"/>
        <w:rPr>
          <w:rFonts w:asciiTheme="minorHAnsi" w:hAnsiTheme="minorHAnsi" w:cstheme="minorHAnsi"/>
          <w:sz w:val="22"/>
        </w:rPr>
      </w:pPr>
      <w:r w:rsidRPr="0041480C">
        <w:rPr>
          <w:rFonts w:asciiTheme="minorHAnsi" w:hAnsiTheme="minorHAnsi" w:cstheme="minorHAnsi"/>
          <w:sz w:val="22"/>
        </w:rPr>
        <w:t>Firmin, C. (2017) Contextual Safeguarding: An overview of the operational, strategic and conceptual framework. Luton: University of Bedfordshire.</w:t>
      </w:r>
    </w:p>
    <w:p w14:paraId="07BCA76C" w14:textId="7D3E9055" w:rsidR="0041480C" w:rsidRDefault="0041480C" w:rsidP="000C66FC">
      <w:pPr>
        <w:tabs>
          <w:tab w:val="left" w:pos="6540"/>
        </w:tabs>
        <w:spacing w:line="360" w:lineRule="auto"/>
        <w:rPr>
          <w:rFonts w:asciiTheme="minorHAnsi" w:hAnsiTheme="minorHAnsi" w:cstheme="minorHAnsi"/>
          <w:sz w:val="22"/>
        </w:rPr>
      </w:pPr>
      <w:r w:rsidRPr="0041480C">
        <w:rPr>
          <w:rFonts w:asciiTheme="minorHAnsi" w:hAnsiTheme="minorHAnsi" w:cstheme="minorHAnsi"/>
          <w:sz w:val="22"/>
        </w:rPr>
        <w:t>Home Office (2019). Child exploitation disruption toolkit. [online] GOV.UK. Available at: https://www.gov.uk/government/publications/child-exploitation-disruption-toolkit [Accessed 15 July 2026].</w:t>
      </w:r>
    </w:p>
    <w:p w14:paraId="33F1365D" w14:textId="20C7B591" w:rsidR="007A6F90" w:rsidRDefault="007A6F90" w:rsidP="000C66FC">
      <w:pPr>
        <w:tabs>
          <w:tab w:val="left" w:pos="6540"/>
        </w:tabs>
        <w:spacing w:line="360" w:lineRule="auto"/>
        <w:rPr>
          <w:rFonts w:asciiTheme="minorHAnsi" w:hAnsiTheme="minorHAnsi" w:cstheme="minorHAnsi"/>
          <w:sz w:val="22"/>
        </w:rPr>
      </w:pPr>
      <w:r w:rsidRPr="007A6F90">
        <w:rPr>
          <w:rFonts w:asciiTheme="minorHAnsi" w:hAnsiTheme="minorHAnsi" w:cstheme="minorHAnsi"/>
          <w:sz w:val="22"/>
        </w:rPr>
        <w:t>Home Office (2023). County lines: criminal exploitation of children and vulnerable adults. [online] GOV.UK. Available at: https://www.gov.uk/government/collections/county-lines-criminal-exploitation-of-children-and-vulnerable-adults [Accessed 15 July 2026].</w:t>
      </w:r>
    </w:p>
    <w:p w14:paraId="464A0035" w14:textId="0A4ED7A4" w:rsidR="0054632F" w:rsidRDefault="001529F9" w:rsidP="000C66FC">
      <w:pPr>
        <w:tabs>
          <w:tab w:val="left" w:pos="6540"/>
        </w:tabs>
        <w:spacing w:line="360" w:lineRule="auto"/>
        <w:rPr>
          <w:rFonts w:asciiTheme="minorHAnsi" w:hAnsiTheme="minorHAnsi" w:cstheme="minorHAnsi"/>
          <w:sz w:val="22"/>
        </w:rPr>
      </w:pPr>
      <w:r w:rsidRPr="0054632F">
        <w:rPr>
          <w:rFonts w:asciiTheme="minorHAnsi" w:hAnsiTheme="minorHAnsi" w:cstheme="minorHAnsi"/>
          <w:sz w:val="22"/>
        </w:rPr>
        <w:t>Lancashire</w:t>
      </w:r>
      <w:r w:rsidR="0054632F" w:rsidRPr="0054632F">
        <w:rPr>
          <w:rFonts w:asciiTheme="minorHAnsi" w:hAnsiTheme="minorHAnsi" w:cstheme="minorHAnsi"/>
          <w:sz w:val="22"/>
        </w:rPr>
        <w:t xml:space="preserve"> safeguarding children partnership (</w:t>
      </w:r>
      <w:r>
        <w:rPr>
          <w:rFonts w:asciiTheme="minorHAnsi" w:hAnsiTheme="minorHAnsi" w:cstheme="minorHAnsi"/>
          <w:sz w:val="22"/>
        </w:rPr>
        <w:t>LSCP</w:t>
      </w:r>
      <w:r w:rsidR="0054632F" w:rsidRPr="0054632F">
        <w:rPr>
          <w:rFonts w:asciiTheme="minorHAnsi" w:hAnsiTheme="minorHAnsi" w:cstheme="minorHAnsi"/>
          <w:sz w:val="22"/>
        </w:rPr>
        <w:t>) (2023</w:t>
      </w:r>
      <w:r w:rsidR="00F02039" w:rsidRPr="0054632F">
        <w:rPr>
          <w:rFonts w:asciiTheme="minorHAnsi" w:hAnsiTheme="minorHAnsi" w:cstheme="minorHAnsi"/>
          <w:sz w:val="22"/>
        </w:rPr>
        <w:t xml:space="preserve">) </w:t>
      </w:r>
      <w:r w:rsidR="00F02039" w:rsidRPr="0054632F">
        <w:t>Safeguarding</w:t>
      </w:r>
      <w:r w:rsidR="0054632F" w:rsidRPr="0054632F">
        <w:rPr>
          <w:rFonts w:asciiTheme="minorHAnsi" w:hAnsiTheme="minorHAnsi" w:cstheme="minorHAnsi"/>
          <w:sz w:val="22"/>
        </w:rPr>
        <w:t xml:space="preserve"> Practice Review: F, G, H and J. [online] Available at: https://www.bing.com/search?pglt=41&amp;q=lancashire+safeguarding+children+partnership+(lscp)+(2023)+child+safeguarding+practice+review%3a+f% [Accessed 15 July 2026].</w:t>
      </w:r>
    </w:p>
    <w:p w14:paraId="5A318197" w14:textId="24EEC08F" w:rsidR="009F2F00" w:rsidRDefault="009F2F00" w:rsidP="000C66FC">
      <w:pPr>
        <w:tabs>
          <w:tab w:val="left" w:pos="6540"/>
        </w:tabs>
        <w:spacing w:line="360" w:lineRule="auto"/>
        <w:rPr>
          <w:rFonts w:asciiTheme="minorHAnsi" w:hAnsiTheme="minorHAnsi" w:cstheme="minorHAnsi"/>
          <w:sz w:val="22"/>
        </w:rPr>
      </w:pPr>
      <w:r>
        <w:rPr>
          <w:rFonts w:asciiTheme="minorHAnsi" w:hAnsiTheme="minorHAnsi" w:cstheme="minorHAnsi"/>
          <w:sz w:val="22"/>
        </w:rPr>
        <w:t>M</w:t>
      </w:r>
      <w:r w:rsidRPr="009F2F00">
        <w:rPr>
          <w:rFonts w:asciiTheme="minorHAnsi" w:hAnsiTheme="minorHAnsi" w:cstheme="minorHAnsi"/>
          <w:sz w:val="22"/>
        </w:rPr>
        <w:t xml:space="preserve">asten, </w:t>
      </w:r>
      <w:r>
        <w:rPr>
          <w:rFonts w:asciiTheme="minorHAnsi" w:hAnsiTheme="minorHAnsi" w:cstheme="minorHAnsi"/>
          <w:sz w:val="22"/>
        </w:rPr>
        <w:t>A</w:t>
      </w:r>
      <w:r w:rsidRPr="009F2F00">
        <w:rPr>
          <w:rFonts w:asciiTheme="minorHAnsi" w:hAnsiTheme="minorHAnsi" w:cstheme="minorHAnsi"/>
          <w:sz w:val="22"/>
        </w:rPr>
        <w:t xml:space="preserve"> (</w:t>
      </w:r>
      <w:r>
        <w:rPr>
          <w:rFonts w:asciiTheme="minorHAnsi" w:hAnsiTheme="minorHAnsi" w:cstheme="minorHAnsi"/>
          <w:sz w:val="22"/>
        </w:rPr>
        <w:t>2025</w:t>
      </w:r>
      <w:r w:rsidRPr="009F2F00">
        <w:rPr>
          <w:rFonts w:asciiTheme="minorHAnsi" w:hAnsiTheme="minorHAnsi" w:cstheme="minorHAnsi"/>
          <w:sz w:val="22"/>
        </w:rPr>
        <w:t xml:space="preserve">) </w:t>
      </w:r>
      <w:r>
        <w:rPr>
          <w:rFonts w:asciiTheme="minorHAnsi" w:hAnsiTheme="minorHAnsi" w:cstheme="minorHAnsi"/>
          <w:sz w:val="22"/>
        </w:rPr>
        <w:t>O</w:t>
      </w:r>
      <w:r w:rsidRPr="009F2F00">
        <w:rPr>
          <w:rFonts w:asciiTheme="minorHAnsi" w:hAnsiTheme="minorHAnsi" w:cstheme="minorHAnsi"/>
          <w:sz w:val="22"/>
        </w:rPr>
        <w:t>rdinary magic: resilience in development.</w:t>
      </w:r>
      <w:r>
        <w:rPr>
          <w:rFonts w:asciiTheme="minorHAnsi" w:hAnsiTheme="minorHAnsi" w:cstheme="minorHAnsi"/>
          <w:sz w:val="22"/>
        </w:rPr>
        <w:t xml:space="preserve"> London</w:t>
      </w:r>
      <w:r w:rsidRPr="009F2F00">
        <w:rPr>
          <w:rFonts w:asciiTheme="minorHAnsi" w:hAnsiTheme="minorHAnsi" w:cstheme="minorHAnsi"/>
          <w:sz w:val="22"/>
        </w:rPr>
        <w:t xml:space="preserve">: </w:t>
      </w:r>
      <w:r w:rsidR="001529F9" w:rsidRPr="009F2F00">
        <w:rPr>
          <w:rFonts w:asciiTheme="minorHAnsi" w:hAnsiTheme="minorHAnsi" w:cstheme="minorHAnsi"/>
          <w:sz w:val="22"/>
        </w:rPr>
        <w:t>Guilford</w:t>
      </w:r>
      <w:r w:rsidRPr="009F2F00">
        <w:rPr>
          <w:rFonts w:asciiTheme="minorHAnsi" w:hAnsiTheme="minorHAnsi" w:cstheme="minorHAnsi"/>
          <w:sz w:val="22"/>
        </w:rPr>
        <w:t xml:space="preserve"> press. - Bing. [online] Available at: https://www.bing.com/search?q=masten%2c+a.s.+(2014)+ordinary+magic%3a+resilience+in+development.+new+york%3a+guilford+press.&amp;form=anab01&amp;pc=hcts [Accessed 15 July 2026].</w:t>
      </w:r>
    </w:p>
    <w:p w14:paraId="2657FC95" w14:textId="0F60AD70" w:rsidR="001529F9" w:rsidRDefault="001529F9" w:rsidP="000C66FC">
      <w:pPr>
        <w:tabs>
          <w:tab w:val="left" w:pos="6540"/>
        </w:tabs>
        <w:spacing w:line="360" w:lineRule="auto"/>
        <w:rPr>
          <w:rFonts w:asciiTheme="minorHAnsi" w:hAnsiTheme="minorHAnsi" w:cstheme="minorHAnsi"/>
          <w:sz w:val="22"/>
        </w:rPr>
      </w:pPr>
      <w:r w:rsidRPr="001529F9">
        <w:rPr>
          <w:rFonts w:asciiTheme="minorHAnsi" w:hAnsiTheme="minorHAnsi" w:cstheme="minorHAnsi"/>
          <w:sz w:val="22"/>
        </w:rPr>
        <w:t>Marmot, M. (2010). Fair society, healthy lives: the Marmot Review: strategic review of health inequalities in England post-2010. [online] GOV.UK. Available at: https://www.gov.uk/research-for-development-outputs/fair-society-healthy-lives-the-marmot-review-strategic-review-of-health-inequalities-in-england-post-2010 [Accessed 15 July 2026].</w:t>
      </w:r>
    </w:p>
    <w:p w14:paraId="3F8F6164" w14:textId="77777777" w:rsidR="001529F9" w:rsidRDefault="001529F9" w:rsidP="000C66FC">
      <w:pPr>
        <w:tabs>
          <w:tab w:val="left" w:pos="6540"/>
        </w:tabs>
        <w:spacing w:line="360" w:lineRule="auto"/>
        <w:rPr>
          <w:rFonts w:asciiTheme="minorHAnsi" w:hAnsiTheme="minorHAnsi" w:cstheme="minorHAnsi"/>
          <w:sz w:val="22"/>
        </w:rPr>
      </w:pPr>
    </w:p>
    <w:p w14:paraId="3951D134" w14:textId="77777777" w:rsidR="001529F9" w:rsidRDefault="001529F9" w:rsidP="000C66FC">
      <w:pPr>
        <w:tabs>
          <w:tab w:val="left" w:pos="6540"/>
        </w:tabs>
        <w:spacing w:line="360" w:lineRule="auto"/>
        <w:rPr>
          <w:rFonts w:asciiTheme="minorHAnsi" w:hAnsiTheme="minorHAnsi" w:cstheme="minorHAnsi"/>
          <w:sz w:val="22"/>
        </w:rPr>
      </w:pPr>
    </w:p>
    <w:p w14:paraId="561E68AD" w14:textId="7A9821B3" w:rsidR="009F2F00" w:rsidRDefault="009F2F00" w:rsidP="000C66FC">
      <w:pPr>
        <w:tabs>
          <w:tab w:val="left" w:pos="6540"/>
        </w:tabs>
        <w:spacing w:line="360" w:lineRule="auto"/>
        <w:rPr>
          <w:rFonts w:asciiTheme="minorHAnsi" w:hAnsiTheme="minorHAnsi" w:cstheme="minorHAnsi"/>
          <w:sz w:val="22"/>
        </w:rPr>
      </w:pPr>
      <w:r w:rsidRPr="009F2F00">
        <w:rPr>
          <w:rFonts w:asciiTheme="minorHAnsi" w:hAnsiTheme="minorHAnsi" w:cstheme="minorHAnsi"/>
          <w:sz w:val="22"/>
        </w:rPr>
        <w:t>NICE (2018). Decision-making and Mental Capacity. [online] NICE. Available at: https://www.nice.org.uk/guidance/ng108 [Accessed 15 July 2026].</w:t>
      </w:r>
    </w:p>
    <w:p w14:paraId="0AF7DCA7" w14:textId="0C12A5C1" w:rsidR="007A6F90" w:rsidRDefault="007A6F90" w:rsidP="000C66FC">
      <w:pPr>
        <w:tabs>
          <w:tab w:val="left" w:pos="6540"/>
        </w:tabs>
        <w:spacing w:line="360" w:lineRule="auto"/>
        <w:rPr>
          <w:rFonts w:asciiTheme="minorHAnsi" w:hAnsiTheme="minorHAnsi" w:cstheme="minorHAnsi"/>
          <w:sz w:val="22"/>
        </w:rPr>
      </w:pPr>
      <w:r w:rsidRPr="007A6F90">
        <w:rPr>
          <w:rFonts w:asciiTheme="minorHAnsi" w:hAnsiTheme="minorHAnsi" w:cstheme="minorHAnsi"/>
          <w:sz w:val="22"/>
        </w:rPr>
        <w:t>National Crime Agency (2018). County Lines. [online] National Crime Agency. Available at: https://www.nationalcrimeagency.gov.uk/what-we-do/crime-threats/drug-trafficking/county-lines [Accessed 15 July 2026].</w:t>
      </w:r>
    </w:p>
    <w:p w14:paraId="32717F1F" w14:textId="4718B551" w:rsidR="001529F9" w:rsidRDefault="001529F9" w:rsidP="000C66FC">
      <w:pPr>
        <w:tabs>
          <w:tab w:val="left" w:pos="6540"/>
        </w:tabs>
        <w:spacing w:line="360" w:lineRule="auto"/>
        <w:rPr>
          <w:rFonts w:asciiTheme="minorHAnsi" w:hAnsiTheme="minorHAnsi" w:cstheme="minorHAnsi"/>
          <w:sz w:val="22"/>
        </w:rPr>
      </w:pPr>
      <w:r w:rsidRPr="001529F9">
        <w:rPr>
          <w:rFonts w:asciiTheme="minorHAnsi" w:hAnsiTheme="minorHAnsi" w:cstheme="minorHAnsi"/>
          <w:sz w:val="22"/>
        </w:rPr>
        <w:t>National Society for the Prevention of Cruelty to Children (NSPCC) (2023) Child criminal exploitation and county lines. London: NSPCC.</w:t>
      </w:r>
    </w:p>
    <w:p w14:paraId="1E76D7E9" w14:textId="7A5CF82E" w:rsidR="007A6F90" w:rsidRDefault="007A6F90" w:rsidP="000C66FC">
      <w:pPr>
        <w:tabs>
          <w:tab w:val="left" w:pos="6540"/>
        </w:tabs>
        <w:spacing w:line="360" w:lineRule="auto"/>
        <w:rPr>
          <w:rFonts w:asciiTheme="minorHAnsi" w:hAnsiTheme="minorHAnsi" w:cstheme="minorHAnsi"/>
          <w:sz w:val="22"/>
        </w:rPr>
      </w:pPr>
      <w:r w:rsidRPr="007A6F90">
        <w:rPr>
          <w:rFonts w:asciiTheme="minorHAnsi" w:hAnsiTheme="minorHAnsi" w:cstheme="minorHAnsi"/>
          <w:sz w:val="22"/>
        </w:rPr>
        <w:t>Teicher, M.H. and Samson, J.A. (2016) ‘Annual Research Review: Enduring neurobiological effects of childhood abuse and neglect’, Journal of</w:t>
      </w:r>
    </w:p>
    <w:p w14:paraId="03531FDF" w14:textId="77777777" w:rsidR="007A6F90" w:rsidRDefault="007A6F90" w:rsidP="000C66FC">
      <w:pPr>
        <w:tabs>
          <w:tab w:val="left" w:pos="6540"/>
        </w:tabs>
        <w:spacing w:line="360" w:lineRule="auto"/>
        <w:rPr>
          <w:rFonts w:asciiTheme="minorHAnsi" w:hAnsiTheme="minorHAnsi" w:cstheme="minorHAnsi"/>
          <w:sz w:val="22"/>
        </w:rPr>
      </w:pPr>
    </w:p>
    <w:p w14:paraId="406242ED" w14:textId="77777777" w:rsidR="009F2F00" w:rsidRPr="0041480C" w:rsidRDefault="009F2F00" w:rsidP="000C66FC">
      <w:pPr>
        <w:tabs>
          <w:tab w:val="left" w:pos="6540"/>
        </w:tabs>
        <w:spacing w:line="360" w:lineRule="auto"/>
        <w:rPr>
          <w:rFonts w:asciiTheme="minorHAnsi" w:hAnsiTheme="minorHAnsi" w:cstheme="minorHAnsi"/>
          <w:sz w:val="22"/>
        </w:rPr>
      </w:pPr>
    </w:p>
    <w:p w14:paraId="7AC71894" w14:textId="77777777" w:rsidR="0041480C" w:rsidRDefault="0041480C" w:rsidP="00E4766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EE0000"/>
          <w:sz w:val="28"/>
          <w:szCs w:val="28"/>
        </w:rPr>
      </w:pPr>
    </w:p>
    <w:p w14:paraId="77B48F3D" w14:textId="77777777" w:rsidR="0041480C" w:rsidRDefault="0041480C" w:rsidP="00E4766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EE0000"/>
          <w:sz w:val="28"/>
          <w:szCs w:val="28"/>
        </w:rPr>
      </w:pPr>
    </w:p>
    <w:p w14:paraId="355C8D66" w14:textId="77777777" w:rsidR="0041480C" w:rsidRDefault="0041480C" w:rsidP="00E4766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EE0000"/>
          <w:sz w:val="28"/>
          <w:szCs w:val="28"/>
        </w:rPr>
      </w:pPr>
    </w:p>
    <w:p w14:paraId="0E904DDC" w14:textId="77777777" w:rsidR="0041480C" w:rsidRDefault="0041480C" w:rsidP="00E4766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EE0000"/>
          <w:sz w:val="28"/>
          <w:szCs w:val="28"/>
        </w:rPr>
      </w:pPr>
    </w:p>
    <w:p w14:paraId="2B43A55C" w14:textId="77777777" w:rsidR="0041480C" w:rsidRDefault="0041480C" w:rsidP="00E4766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EE0000"/>
          <w:sz w:val="28"/>
          <w:szCs w:val="28"/>
        </w:rPr>
      </w:pPr>
    </w:p>
    <w:p w14:paraId="6AAA4E1B" w14:textId="77777777" w:rsidR="0041480C" w:rsidRDefault="0041480C" w:rsidP="00E4766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EE0000"/>
          <w:sz w:val="28"/>
          <w:szCs w:val="28"/>
        </w:rPr>
      </w:pPr>
    </w:p>
    <w:p w14:paraId="239652CF" w14:textId="77777777" w:rsidR="0041480C" w:rsidRDefault="0041480C" w:rsidP="00E4766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EE0000"/>
          <w:sz w:val="28"/>
          <w:szCs w:val="28"/>
        </w:rPr>
      </w:pPr>
    </w:p>
    <w:p w14:paraId="1494EE3C" w14:textId="77777777" w:rsidR="0041480C" w:rsidRDefault="0041480C" w:rsidP="00E4766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EE0000"/>
          <w:sz w:val="28"/>
          <w:szCs w:val="28"/>
        </w:rPr>
      </w:pPr>
    </w:p>
    <w:p w14:paraId="11547B21" w14:textId="77777777" w:rsidR="003E03CB" w:rsidRPr="003E03CB" w:rsidRDefault="003E03CB" w:rsidP="003E03CB"/>
    <w:p w14:paraId="15D654F8" w14:textId="77777777" w:rsidR="001B7A40" w:rsidRPr="00C03A91" w:rsidRDefault="001B7A40" w:rsidP="00C03A91">
      <w:pPr>
        <w:spacing w:line="360" w:lineRule="auto"/>
        <w:rPr>
          <w:rFonts w:ascii="Arial" w:hAnsi="Arial" w:cs="Arial"/>
        </w:rPr>
      </w:pPr>
    </w:p>
    <w:p w14:paraId="1C1B5B6E" w14:textId="77777777" w:rsidR="001B7A40" w:rsidRPr="00C03A91" w:rsidRDefault="001B7A40" w:rsidP="00C03A91">
      <w:pPr>
        <w:spacing w:line="360" w:lineRule="auto"/>
        <w:rPr>
          <w:rFonts w:ascii="Arial" w:hAnsi="Arial" w:cs="Arial"/>
        </w:rPr>
      </w:pPr>
    </w:p>
    <w:sectPr w:rsidR="001B7A40" w:rsidRPr="00C03A91" w:rsidSect="00370282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D8A7FE" w14:textId="77777777" w:rsidR="004D63F9" w:rsidRDefault="004D63F9" w:rsidP="00C03A91">
      <w:pPr>
        <w:spacing w:after="0" w:line="240" w:lineRule="auto"/>
      </w:pPr>
      <w:r>
        <w:separator/>
      </w:r>
    </w:p>
  </w:endnote>
  <w:endnote w:type="continuationSeparator" w:id="0">
    <w:p w14:paraId="5FEC1FA4" w14:textId="77777777" w:rsidR="004D63F9" w:rsidRDefault="004D63F9" w:rsidP="00C03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5002EFF" w:usb1="C200ACFF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0013923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77A430F9" w14:textId="682EAD2D" w:rsidR="00C03A91" w:rsidRPr="00C03A91" w:rsidRDefault="00C03A91">
        <w:pPr>
          <w:pStyle w:val="Footer"/>
          <w:jc w:val="center"/>
          <w:rPr>
            <w:rFonts w:ascii="Arial" w:hAnsi="Arial" w:cs="Arial"/>
            <w:sz w:val="22"/>
          </w:rPr>
        </w:pPr>
        <w:r w:rsidRPr="00C03A91">
          <w:rPr>
            <w:rFonts w:ascii="Arial" w:hAnsi="Arial" w:cs="Arial"/>
            <w:sz w:val="22"/>
          </w:rPr>
          <w:fldChar w:fldCharType="begin"/>
        </w:r>
        <w:r w:rsidRPr="00C03A91">
          <w:rPr>
            <w:rFonts w:ascii="Arial" w:hAnsi="Arial" w:cs="Arial"/>
            <w:sz w:val="22"/>
          </w:rPr>
          <w:instrText xml:space="preserve"> PAGE   \* MERGEFORMAT </w:instrText>
        </w:r>
        <w:r w:rsidRPr="00C03A91">
          <w:rPr>
            <w:rFonts w:ascii="Arial" w:hAnsi="Arial" w:cs="Arial"/>
            <w:sz w:val="22"/>
          </w:rPr>
          <w:fldChar w:fldCharType="separate"/>
        </w:r>
        <w:r w:rsidRPr="00C03A91">
          <w:rPr>
            <w:rFonts w:ascii="Arial" w:hAnsi="Arial" w:cs="Arial"/>
            <w:noProof/>
            <w:sz w:val="22"/>
          </w:rPr>
          <w:t>2</w:t>
        </w:r>
        <w:r w:rsidRPr="00C03A91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545B1AFD" w14:textId="77777777" w:rsidR="00C03A91" w:rsidRDefault="00C03A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A1DA59" w14:textId="77777777" w:rsidR="004D63F9" w:rsidRDefault="004D63F9" w:rsidP="00C03A91">
      <w:pPr>
        <w:spacing w:after="0" w:line="240" w:lineRule="auto"/>
      </w:pPr>
      <w:r>
        <w:separator/>
      </w:r>
    </w:p>
  </w:footnote>
  <w:footnote w:type="continuationSeparator" w:id="0">
    <w:p w14:paraId="07D1D0CC" w14:textId="77777777" w:rsidR="004D63F9" w:rsidRDefault="004D63F9" w:rsidP="00C03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D34D74"/>
    <w:multiLevelType w:val="hybridMultilevel"/>
    <w:tmpl w:val="51D61134"/>
    <w:lvl w:ilvl="0" w:tplc="EC38CEE8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B276D1"/>
    <w:multiLevelType w:val="hybridMultilevel"/>
    <w:tmpl w:val="F822C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0823CB"/>
    <w:multiLevelType w:val="hybridMultilevel"/>
    <w:tmpl w:val="04D002F2"/>
    <w:lvl w:ilvl="0" w:tplc="4FCA66CC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5178BD"/>
    <w:multiLevelType w:val="hybridMultilevel"/>
    <w:tmpl w:val="8238249E"/>
    <w:lvl w:ilvl="0" w:tplc="A1DE2AB4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AA0C25"/>
    <w:multiLevelType w:val="hybridMultilevel"/>
    <w:tmpl w:val="E9923FE8"/>
    <w:lvl w:ilvl="0" w:tplc="995CE72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3C6FF2"/>
    <w:multiLevelType w:val="hybridMultilevel"/>
    <w:tmpl w:val="3E4C742C"/>
    <w:lvl w:ilvl="0" w:tplc="5A447094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9F2D98"/>
    <w:multiLevelType w:val="hybridMultilevel"/>
    <w:tmpl w:val="74ECEC4A"/>
    <w:lvl w:ilvl="0" w:tplc="D28A8A56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5953614"/>
    <w:multiLevelType w:val="hybridMultilevel"/>
    <w:tmpl w:val="E3F25C66"/>
    <w:lvl w:ilvl="0" w:tplc="C0FC25F0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2944685">
    <w:abstractNumId w:val="4"/>
  </w:num>
  <w:num w:numId="2" w16cid:durableId="1940680655">
    <w:abstractNumId w:val="2"/>
  </w:num>
  <w:num w:numId="3" w16cid:durableId="1890221906">
    <w:abstractNumId w:val="1"/>
  </w:num>
  <w:num w:numId="4" w16cid:durableId="396249628">
    <w:abstractNumId w:val="6"/>
  </w:num>
  <w:num w:numId="5" w16cid:durableId="156192234">
    <w:abstractNumId w:val="7"/>
  </w:num>
  <w:num w:numId="6" w16cid:durableId="926303317">
    <w:abstractNumId w:val="5"/>
  </w:num>
  <w:num w:numId="7" w16cid:durableId="1188908463">
    <w:abstractNumId w:val="0"/>
  </w:num>
  <w:num w:numId="8" w16cid:durableId="56761209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745"/>
    <w:rsid w:val="00076AC0"/>
    <w:rsid w:val="000C4EDA"/>
    <w:rsid w:val="000C66FC"/>
    <w:rsid w:val="001529F9"/>
    <w:rsid w:val="001B584B"/>
    <w:rsid w:val="001B7A40"/>
    <w:rsid w:val="001F6DDB"/>
    <w:rsid w:val="00212173"/>
    <w:rsid w:val="00216C85"/>
    <w:rsid w:val="00273EDD"/>
    <w:rsid w:val="00282DA2"/>
    <w:rsid w:val="00284D75"/>
    <w:rsid w:val="002C3965"/>
    <w:rsid w:val="002D5EDB"/>
    <w:rsid w:val="002F2C0A"/>
    <w:rsid w:val="00321C4C"/>
    <w:rsid w:val="00327C68"/>
    <w:rsid w:val="00340392"/>
    <w:rsid w:val="00370282"/>
    <w:rsid w:val="003C5A4B"/>
    <w:rsid w:val="003E03CB"/>
    <w:rsid w:val="0041480C"/>
    <w:rsid w:val="004577F7"/>
    <w:rsid w:val="004C734A"/>
    <w:rsid w:val="004D63F9"/>
    <w:rsid w:val="005247B0"/>
    <w:rsid w:val="0054632F"/>
    <w:rsid w:val="005567EF"/>
    <w:rsid w:val="0055716F"/>
    <w:rsid w:val="005851AD"/>
    <w:rsid w:val="005B416D"/>
    <w:rsid w:val="006428D2"/>
    <w:rsid w:val="00680CF1"/>
    <w:rsid w:val="0074001A"/>
    <w:rsid w:val="00764F2A"/>
    <w:rsid w:val="007A6F90"/>
    <w:rsid w:val="007A7297"/>
    <w:rsid w:val="007E7745"/>
    <w:rsid w:val="008353D4"/>
    <w:rsid w:val="00853544"/>
    <w:rsid w:val="008A51AD"/>
    <w:rsid w:val="008E3FBB"/>
    <w:rsid w:val="008E4A08"/>
    <w:rsid w:val="008F084C"/>
    <w:rsid w:val="00945E8A"/>
    <w:rsid w:val="009D1D1E"/>
    <w:rsid w:val="009F2F00"/>
    <w:rsid w:val="00A035FD"/>
    <w:rsid w:val="00AA4DD8"/>
    <w:rsid w:val="00AF2969"/>
    <w:rsid w:val="00B21D29"/>
    <w:rsid w:val="00B92565"/>
    <w:rsid w:val="00B96B72"/>
    <w:rsid w:val="00BD0069"/>
    <w:rsid w:val="00C03A91"/>
    <w:rsid w:val="00C4002A"/>
    <w:rsid w:val="00C6594B"/>
    <w:rsid w:val="00CD2863"/>
    <w:rsid w:val="00CE7777"/>
    <w:rsid w:val="00CE7A90"/>
    <w:rsid w:val="00D73FB0"/>
    <w:rsid w:val="00DA2A1E"/>
    <w:rsid w:val="00DA709B"/>
    <w:rsid w:val="00DB6D4B"/>
    <w:rsid w:val="00E2038D"/>
    <w:rsid w:val="00E30565"/>
    <w:rsid w:val="00E47668"/>
    <w:rsid w:val="00E75607"/>
    <w:rsid w:val="00EB12BC"/>
    <w:rsid w:val="00F02039"/>
    <w:rsid w:val="00F137E3"/>
    <w:rsid w:val="00F44C8F"/>
    <w:rsid w:val="00FD73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5F9BC9"/>
  <w15:chartTrackingRefBased/>
  <w15:docId w15:val="{8EB1080A-AF07-4431-94ED-C80E0754A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E77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E77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7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A91"/>
  </w:style>
  <w:style w:type="paragraph" w:styleId="Footer">
    <w:name w:val="footer"/>
    <w:basedOn w:val="Normal"/>
    <w:link w:val="Foot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A91"/>
  </w:style>
  <w:style w:type="paragraph" w:styleId="ListParagraph">
    <w:name w:val="List Paragraph"/>
    <w:basedOn w:val="Normal"/>
    <w:uiPriority w:val="34"/>
    <w:qFormat/>
    <w:rsid w:val="00FD739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F296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81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478</Words>
  <Characters>2725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Ijeoma Oforbike</cp:lastModifiedBy>
  <cp:revision>3</cp:revision>
  <cp:lastPrinted>2026-04-08T10:29:00Z</cp:lastPrinted>
  <dcterms:created xsi:type="dcterms:W3CDTF">2026-07-21T07:04:00Z</dcterms:created>
  <dcterms:modified xsi:type="dcterms:W3CDTF">2026-07-21T07:04:00Z</dcterms:modified>
</cp:coreProperties>
</file>