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13A9" w:rsidRPr="008804FC" w:rsidRDefault="003A13A9">
      <w:pPr>
        <w:rPr>
          <w:b/>
          <w:bCs/>
          <w:sz w:val="36"/>
          <w:szCs w:val="36"/>
          <w:u w:val="single"/>
        </w:rPr>
      </w:pPr>
      <w:r w:rsidRPr="008804FC">
        <w:rPr>
          <w:b/>
          <w:bCs/>
          <w:sz w:val="36"/>
          <w:szCs w:val="36"/>
          <w:u w:val="single"/>
        </w:rPr>
        <w:t xml:space="preserve">The continued relevance of EU law </w:t>
      </w:r>
      <w:r w:rsidR="008804FC" w:rsidRPr="008804FC">
        <w:rPr>
          <w:b/>
          <w:bCs/>
          <w:sz w:val="36"/>
          <w:szCs w:val="36"/>
          <w:u w:val="single"/>
        </w:rPr>
        <w:t>P</w:t>
      </w:r>
      <w:r w:rsidRPr="008804FC">
        <w:rPr>
          <w:b/>
          <w:bCs/>
          <w:sz w:val="36"/>
          <w:szCs w:val="36"/>
          <w:u w:val="single"/>
        </w:rPr>
        <w:t xml:space="preserve">ost </w:t>
      </w:r>
      <w:r w:rsidR="008804FC" w:rsidRPr="008804FC">
        <w:rPr>
          <w:b/>
          <w:bCs/>
          <w:sz w:val="36"/>
          <w:szCs w:val="36"/>
          <w:u w:val="single"/>
        </w:rPr>
        <w:t>B</w:t>
      </w:r>
      <w:r w:rsidRPr="008804FC">
        <w:rPr>
          <w:b/>
          <w:bCs/>
          <w:sz w:val="36"/>
          <w:szCs w:val="36"/>
          <w:u w:val="single"/>
        </w:rPr>
        <w:t>rexit</w:t>
      </w:r>
    </w:p>
    <w:p w:rsidR="003A13A9" w:rsidRPr="008804FC" w:rsidRDefault="003A13A9">
      <w:pPr>
        <w:rPr>
          <w:sz w:val="28"/>
          <w:szCs w:val="28"/>
        </w:rPr>
      </w:pPr>
      <w:r w:rsidRPr="008804FC">
        <w:rPr>
          <w:sz w:val="28"/>
          <w:szCs w:val="28"/>
        </w:rPr>
        <w:t>The issue of Brexit has dominated headlines and will continue to do so for the next few years. The study of EU law will enable you to be in a well-informed position to assess any statements about Brexit . In addition, even at this early stage, it is clear that EU law will remain relevant to many UK lawyers.</w:t>
      </w:r>
    </w:p>
    <w:p w:rsidR="009257EB" w:rsidRPr="008804FC" w:rsidRDefault="003A13A9">
      <w:pPr>
        <w:rPr>
          <w:sz w:val="28"/>
          <w:szCs w:val="28"/>
        </w:rPr>
      </w:pPr>
      <w:r w:rsidRPr="008804FC">
        <w:rPr>
          <w:sz w:val="28"/>
          <w:szCs w:val="28"/>
        </w:rPr>
        <w:t xml:space="preserve">The UK withdrawal from the EU does not result in any changes to EU law. The real change will be in the way EU law applies to those based in the UK. On 2nd February 2017, the UK government published a white paper outlining its plan for a post Brexit UK. This refers to ending the jurisdiction of the EU Court of Justice and EU law in the UK. What that really means is that the UK government will no longer be bound by the EU law it helped to create. That does not mean EU law will no longer be relevant to the UK. Obviously, any clients operating businesses in the remaining member states will be bound by EU law. In addition, any UK business making goods to be sold to customers in a member state or simply selling goods or services to customers in a member state will be bound by a great deal of EU law. That has always been the case in relation to things sold from outside the EU. The goods, services and traders have to meet the product and conduct standards required by EU law. Those standards are from EU legislation and case law. That EU law is interpreted by the EU Court of Justice. Of course, until the future relationship between the EU and UK is finalised, we cannot be sure about the further ways in which EU law will continue to remain relevant today. </w:t>
      </w:r>
    </w:p>
    <w:p w:rsidR="0080006A" w:rsidRPr="008804FC" w:rsidRDefault="0080006A">
      <w:pPr>
        <w:rPr>
          <w:sz w:val="28"/>
          <w:szCs w:val="28"/>
        </w:rPr>
      </w:pPr>
      <w:r w:rsidRPr="008804FC">
        <w:rPr>
          <w:sz w:val="28"/>
          <w:szCs w:val="28"/>
        </w:rPr>
        <w:t>During</w:t>
      </w:r>
      <w:r w:rsidR="003A13A9" w:rsidRPr="008804FC">
        <w:rPr>
          <w:sz w:val="28"/>
          <w:szCs w:val="28"/>
        </w:rPr>
        <w:t xml:space="preserve"> you</w:t>
      </w:r>
      <w:r w:rsidRPr="008804FC">
        <w:rPr>
          <w:sz w:val="28"/>
          <w:szCs w:val="28"/>
        </w:rPr>
        <w:t>r</w:t>
      </w:r>
      <w:r w:rsidR="003A13A9" w:rsidRPr="008804FC">
        <w:rPr>
          <w:sz w:val="28"/>
          <w:szCs w:val="28"/>
        </w:rPr>
        <w:t xml:space="preserve"> study of EU law, you will discover why it has had such a major impact on our personal and professional lives. It has been the source of our significant consumer rights, our protective employment rights; </w:t>
      </w:r>
      <w:r w:rsidRPr="008804FC">
        <w:rPr>
          <w:sz w:val="28"/>
          <w:szCs w:val="28"/>
        </w:rPr>
        <w:t>o</w:t>
      </w:r>
      <w:r w:rsidR="003A13A9" w:rsidRPr="008804FC">
        <w:rPr>
          <w:sz w:val="28"/>
          <w:szCs w:val="28"/>
        </w:rPr>
        <w:t xml:space="preserve">ur high product standards and until </w:t>
      </w:r>
      <w:r w:rsidRPr="008804FC">
        <w:rPr>
          <w:sz w:val="28"/>
          <w:szCs w:val="28"/>
        </w:rPr>
        <w:t>B</w:t>
      </w:r>
      <w:r w:rsidR="003A13A9" w:rsidRPr="008804FC">
        <w:rPr>
          <w:sz w:val="28"/>
          <w:szCs w:val="28"/>
        </w:rPr>
        <w:t>rexit, low prices. If you have an interest</w:t>
      </w:r>
      <w:r w:rsidRPr="008804FC">
        <w:rPr>
          <w:sz w:val="28"/>
          <w:szCs w:val="28"/>
        </w:rPr>
        <w:t xml:space="preserve"> in politics or</w:t>
      </w:r>
      <w:r w:rsidR="003A13A9" w:rsidRPr="008804FC">
        <w:rPr>
          <w:sz w:val="28"/>
          <w:szCs w:val="28"/>
        </w:rPr>
        <w:t xml:space="preserve"> businesses, then there are aspects of this subjects that you will find interesting. Alternatively, there are many other aspects that you will be drawn to</w:t>
      </w:r>
      <w:r w:rsidRPr="008804FC">
        <w:rPr>
          <w:sz w:val="28"/>
          <w:szCs w:val="28"/>
        </w:rPr>
        <w:t xml:space="preserve"> - for example, the vast rules on equality or the social protection derived from being an EU citizen.</w:t>
      </w:r>
    </w:p>
    <w:p w:rsidR="003A13A9" w:rsidRPr="008804FC" w:rsidRDefault="0080006A">
      <w:pPr>
        <w:rPr>
          <w:sz w:val="28"/>
          <w:szCs w:val="28"/>
        </w:rPr>
      </w:pPr>
      <w:r w:rsidRPr="008804FC">
        <w:rPr>
          <w:sz w:val="28"/>
          <w:szCs w:val="28"/>
        </w:rPr>
        <w:t xml:space="preserve">You will also see why access to the “single market” is such a big deal in relation to the future relationship between the EU and the UK . A related point is about why the EU customs union is such an issue. Furthermore, the EU law relating to immigration might well be of interest. You might even be surprised to learn that any so called “benefit tourism” is the result of relaxed national rules </w:t>
      </w:r>
      <w:r w:rsidRPr="008804FC">
        <w:rPr>
          <w:sz w:val="28"/>
          <w:szCs w:val="28"/>
        </w:rPr>
        <w:lastRenderedPageBreak/>
        <w:t xml:space="preserve">rather than EU law. You might be surprised further by how the rules from the EU and scope of EU law from the Treaties or not imposed on States. Instead, they are approved by governments. </w:t>
      </w:r>
    </w:p>
    <w:p w:rsidR="0080006A" w:rsidRPr="008804FC" w:rsidRDefault="0080006A">
      <w:pPr>
        <w:rPr>
          <w:sz w:val="28"/>
          <w:szCs w:val="28"/>
        </w:rPr>
      </w:pPr>
      <w:r w:rsidRPr="008804FC">
        <w:rPr>
          <w:sz w:val="28"/>
          <w:szCs w:val="28"/>
        </w:rPr>
        <w:t>The study of EU Law</w:t>
      </w:r>
    </w:p>
    <w:p w:rsidR="0080006A" w:rsidRPr="008804FC" w:rsidRDefault="0080006A">
      <w:pPr>
        <w:rPr>
          <w:sz w:val="28"/>
          <w:szCs w:val="28"/>
        </w:rPr>
      </w:pPr>
      <w:r w:rsidRPr="008804FC">
        <w:rPr>
          <w:sz w:val="28"/>
          <w:szCs w:val="28"/>
        </w:rPr>
        <w:t>The study of EU law is facilitated by the fact that it is a new legal system when compared with the legal systems of Member States. So what benefit does that bring? An advantage to this is that it is a carefully written legal system that is by far the most transparent and accessible. The simplicity of the EU legal system is unusual. For example, unlike the common law systems, there is no formal system of precedent. Instead, there are rules and they are applied in a way that is consistent with the purpose and policy underpinning them. In the UK subjects that you are used to, there will be 3 decisions from the Court of Appeal ; 5 to 7</w:t>
      </w:r>
      <w:r w:rsidR="00E24BF4" w:rsidRPr="008804FC">
        <w:rPr>
          <w:sz w:val="28"/>
          <w:szCs w:val="28"/>
        </w:rPr>
        <w:t xml:space="preserve"> (</w:t>
      </w:r>
      <w:r w:rsidRPr="008804FC">
        <w:rPr>
          <w:sz w:val="28"/>
          <w:szCs w:val="28"/>
        </w:rPr>
        <w:t>sometimes 9</w:t>
      </w:r>
      <w:r w:rsidR="00E24BF4" w:rsidRPr="008804FC">
        <w:rPr>
          <w:sz w:val="28"/>
          <w:szCs w:val="28"/>
        </w:rPr>
        <w:t>)</w:t>
      </w:r>
      <w:r w:rsidRPr="008804FC">
        <w:rPr>
          <w:sz w:val="28"/>
          <w:szCs w:val="28"/>
        </w:rPr>
        <w:t xml:space="preserve"> from the Supreme Court case. At the very least this can be time consuming and inconvenient. Often these decisions conflict with each other so it is a difficult task to work out the rule and the significance of a particular case. This is different within EU law and EU courts. Irrespective of how many judges decide the case, they get together and produce one single judgment. It means that there is no dissenting opinion to consider</w:t>
      </w:r>
      <w:r w:rsidR="00E24BF4" w:rsidRPr="008804FC">
        <w:rPr>
          <w:sz w:val="28"/>
          <w:szCs w:val="28"/>
        </w:rPr>
        <w:t xml:space="preserve">, </w:t>
      </w:r>
      <w:r w:rsidRPr="008804FC">
        <w:rPr>
          <w:sz w:val="28"/>
          <w:szCs w:val="28"/>
        </w:rPr>
        <w:t xml:space="preserve">and the rules from the case </w:t>
      </w:r>
      <w:r w:rsidR="00E24BF4" w:rsidRPr="008804FC">
        <w:rPr>
          <w:sz w:val="28"/>
          <w:szCs w:val="28"/>
        </w:rPr>
        <w:t>a</w:t>
      </w:r>
      <w:r w:rsidRPr="008804FC">
        <w:rPr>
          <w:sz w:val="28"/>
          <w:szCs w:val="28"/>
        </w:rPr>
        <w:t>r</w:t>
      </w:r>
      <w:r w:rsidR="00E24BF4" w:rsidRPr="008804FC">
        <w:rPr>
          <w:sz w:val="28"/>
          <w:szCs w:val="28"/>
        </w:rPr>
        <w:t>e</w:t>
      </w:r>
      <w:r w:rsidRPr="008804FC">
        <w:rPr>
          <w:sz w:val="28"/>
          <w:szCs w:val="28"/>
        </w:rPr>
        <w:t xml:space="preserve"> pointed out clearly. </w:t>
      </w:r>
      <w:r w:rsidR="00E24BF4" w:rsidRPr="008804FC">
        <w:rPr>
          <w:sz w:val="28"/>
          <w:szCs w:val="28"/>
        </w:rPr>
        <w:t xml:space="preserve">In </w:t>
      </w:r>
      <w:r w:rsidRPr="008804FC">
        <w:rPr>
          <w:sz w:val="28"/>
          <w:szCs w:val="28"/>
        </w:rPr>
        <w:t>addition, compared with UK cases</w:t>
      </w:r>
      <w:r w:rsidR="00E24BF4" w:rsidRPr="008804FC">
        <w:rPr>
          <w:sz w:val="28"/>
          <w:szCs w:val="28"/>
        </w:rPr>
        <w:t xml:space="preserve">, </w:t>
      </w:r>
      <w:r w:rsidRPr="008804FC">
        <w:rPr>
          <w:sz w:val="28"/>
          <w:szCs w:val="28"/>
        </w:rPr>
        <w:t xml:space="preserve">the EU cases are very short and all of them are available through the Court of Justice website via the main European Union site </w:t>
      </w:r>
      <w:r w:rsidR="00E24BF4" w:rsidRPr="008804FC">
        <w:rPr>
          <w:sz w:val="28"/>
          <w:szCs w:val="28"/>
        </w:rPr>
        <w:t>(</w:t>
      </w:r>
      <w:r w:rsidRPr="008804FC">
        <w:rPr>
          <w:sz w:val="28"/>
          <w:szCs w:val="28"/>
        </w:rPr>
        <w:t xml:space="preserve">or direct at </w:t>
      </w:r>
      <w:r w:rsidR="00E24BF4" w:rsidRPr="008804FC">
        <w:rPr>
          <w:sz w:val="28"/>
          <w:szCs w:val="28"/>
        </w:rPr>
        <w:t>http://curia.europa.eu)</w:t>
      </w:r>
      <w:r w:rsidRPr="008804FC">
        <w:rPr>
          <w:sz w:val="28"/>
          <w:szCs w:val="28"/>
        </w:rPr>
        <w:t xml:space="preserve">. You can list the recent cases. Alternatively, you can list all of the cases in numerical order </w:t>
      </w:r>
      <w:r w:rsidR="00E24BF4" w:rsidRPr="008804FC">
        <w:rPr>
          <w:sz w:val="28"/>
          <w:szCs w:val="28"/>
        </w:rPr>
        <w:t xml:space="preserve">or, </w:t>
      </w:r>
      <w:r w:rsidRPr="008804FC">
        <w:rPr>
          <w:sz w:val="28"/>
          <w:szCs w:val="28"/>
        </w:rPr>
        <w:t xml:space="preserve">simply typing the case number. There is even an app for phones and tablets to go straight to the most recent case law. </w:t>
      </w:r>
    </w:p>
    <w:p w:rsidR="00DB65BD" w:rsidRPr="008804FC" w:rsidRDefault="00DB65BD">
      <w:pPr>
        <w:rPr>
          <w:sz w:val="28"/>
          <w:szCs w:val="28"/>
        </w:rPr>
      </w:pPr>
      <w:r w:rsidRPr="008804FC">
        <w:rPr>
          <w:sz w:val="28"/>
          <w:szCs w:val="28"/>
        </w:rPr>
        <w:t>Finding case transcripts and legislation</w:t>
      </w:r>
    </w:p>
    <w:p w:rsidR="00DB65BD" w:rsidRPr="008804FC" w:rsidRDefault="00DB65BD">
      <w:pPr>
        <w:rPr>
          <w:sz w:val="28"/>
          <w:szCs w:val="28"/>
        </w:rPr>
      </w:pPr>
      <w:r w:rsidRPr="008804FC">
        <w:rPr>
          <w:sz w:val="28"/>
          <w:szCs w:val="28"/>
        </w:rPr>
        <w:t xml:space="preserve">This is a fairly easy process. Every case has a case number - for example, take the old but very significant case 120/78, </w:t>
      </w:r>
      <w:r w:rsidRPr="008804FC">
        <w:rPr>
          <w:b/>
          <w:bCs/>
          <w:i/>
          <w:iCs/>
          <w:sz w:val="28"/>
          <w:szCs w:val="28"/>
        </w:rPr>
        <w:t>Cassis de Dijon [1979]</w:t>
      </w:r>
      <w:r w:rsidRPr="008804FC">
        <w:rPr>
          <w:sz w:val="28"/>
          <w:szCs w:val="28"/>
        </w:rPr>
        <w:t xml:space="preserve">. The case number is “Case 120/78”. That means it was the 120th case lodged in 1978. Simply type Case 120/78 into Google and you will have a link to the case from the EU Court of Justice website (Curia). More recent cases from the Court of Justice are expressed as “C-415/93” whereas those from the General Court of the EU (the lower court of the EU) are expressed with a T rather than a C for example T-286/09. </w:t>
      </w:r>
    </w:p>
    <w:p w:rsidR="00DB65BD" w:rsidRPr="008804FC" w:rsidRDefault="00DB65BD">
      <w:pPr>
        <w:rPr>
          <w:sz w:val="28"/>
          <w:szCs w:val="28"/>
        </w:rPr>
      </w:pPr>
      <w:r w:rsidRPr="008804FC">
        <w:rPr>
          <w:sz w:val="28"/>
          <w:szCs w:val="28"/>
        </w:rPr>
        <w:t xml:space="preserve">Likewise, legislation of the EU has </w:t>
      </w:r>
      <w:r w:rsidR="008804FC">
        <w:rPr>
          <w:sz w:val="28"/>
          <w:szCs w:val="28"/>
        </w:rPr>
        <w:t xml:space="preserve">a </w:t>
      </w:r>
      <w:r w:rsidRPr="008804FC">
        <w:rPr>
          <w:sz w:val="28"/>
          <w:szCs w:val="28"/>
        </w:rPr>
        <w:t xml:space="preserve">number. You may recall the </w:t>
      </w:r>
      <w:r w:rsidR="008804FC">
        <w:rPr>
          <w:sz w:val="28"/>
          <w:szCs w:val="28"/>
        </w:rPr>
        <w:t>D</w:t>
      </w:r>
      <w:r w:rsidRPr="008804FC">
        <w:rPr>
          <w:sz w:val="28"/>
          <w:szCs w:val="28"/>
        </w:rPr>
        <w:t>irective on unfair contract terms 93</w:t>
      </w:r>
      <w:r w:rsidR="008804FC">
        <w:rPr>
          <w:sz w:val="28"/>
          <w:szCs w:val="28"/>
        </w:rPr>
        <w:t>/</w:t>
      </w:r>
      <w:r w:rsidRPr="008804FC">
        <w:rPr>
          <w:sz w:val="28"/>
          <w:szCs w:val="28"/>
        </w:rPr>
        <w:t xml:space="preserve">13 </w:t>
      </w:r>
      <w:r w:rsidR="008804FC">
        <w:rPr>
          <w:sz w:val="28"/>
          <w:szCs w:val="28"/>
        </w:rPr>
        <w:t>EEC</w:t>
      </w:r>
      <w:r w:rsidRPr="008804FC">
        <w:rPr>
          <w:sz w:val="28"/>
          <w:szCs w:val="28"/>
        </w:rPr>
        <w:t>. A simple search for directive 93</w:t>
      </w:r>
      <w:r w:rsidR="008804FC">
        <w:rPr>
          <w:sz w:val="28"/>
          <w:szCs w:val="28"/>
        </w:rPr>
        <w:t>/</w:t>
      </w:r>
      <w:r w:rsidRPr="008804FC">
        <w:rPr>
          <w:sz w:val="28"/>
          <w:szCs w:val="28"/>
        </w:rPr>
        <w:t xml:space="preserve">13 </w:t>
      </w:r>
      <w:r w:rsidR="008804FC">
        <w:rPr>
          <w:sz w:val="28"/>
          <w:szCs w:val="28"/>
        </w:rPr>
        <w:t>EEC</w:t>
      </w:r>
      <w:r w:rsidRPr="008804FC">
        <w:rPr>
          <w:sz w:val="28"/>
          <w:szCs w:val="28"/>
        </w:rPr>
        <w:t xml:space="preserve"> will </w:t>
      </w:r>
      <w:r w:rsidRPr="008804FC">
        <w:rPr>
          <w:sz w:val="28"/>
          <w:szCs w:val="28"/>
        </w:rPr>
        <w:lastRenderedPageBreak/>
        <w:t xml:space="preserve">give you the link to the entire directive from the </w:t>
      </w:r>
      <w:r w:rsidR="008804FC">
        <w:rPr>
          <w:sz w:val="28"/>
          <w:szCs w:val="28"/>
        </w:rPr>
        <w:t>“</w:t>
      </w:r>
      <w:proofErr w:type="spellStart"/>
      <w:r w:rsidR="008804FC">
        <w:rPr>
          <w:sz w:val="28"/>
          <w:szCs w:val="28"/>
        </w:rPr>
        <w:t>E</w:t>
      </w:r>
      <w:r w:rsidRPr="008804FC">
        <w:rPr>
          <w:sz w:val="28"/>
          <w:szCs w:val="28"/>
        </w:rPr>
        <w:t>u</w:t>
      </w:r>
      <w:r w:rsidR="008804FC">
        <w:rPr>
          <w:sz w:val="28"/>
          <w:szCs w:val="28"/>
        </w:rPr>
        <w:t>L</w:t>
      </w:r>
      <w:r w:rsidRPr="008804FC">
        <w:rPr>
          <w:sz w:val="28"/>
          <w:szCs w:val="28"/>
        </w:rPr>
        <w:t>ex</w:t>
      </w:r>
      <w:proofErr w:type="spellEnd"/>
      <w:r w:rsidR="008804FC">
        <w:rPr>
          <w:sz w:val="28"/>
          <w:szCs w:val="28"/>
        </w:rPr>
        <w:t>”</w:t>
      </w:r>
      <w:r w:rsidRPr="008804FC">
        <w:rPr>
          <w:sz w:val="28"/>
          <w:szCs w:val="28"/>
        </w:rPr>
        <w:t xml:space="preserve"> site. Likewise, </w:t>
      </w:r>
      <w:r w:rsidR="008804FC">
        <w:rPr>
          <w:sz w:val="28"/>
          <w:szCs w:val="28"/>
        </w:rPr>
        <w:t xml:space="preserve">a </w:t>
      </w:r>
      <w:bookmarkStart w:id="0" w:name="_GoBack"/>
      <w:bookmarkEnd w:id="0"/>
      <w:r w:rsidRPr="008804FC">
        <w:rPr>
          <w:sz w:val="28"/>
          <w:szCs w:val="28"/>
        </w:rPr>
        <w:t>regulation or even a treaty article can be accessed with a simple Internet search based on the number and type of legislation.</w:t>
      </w:r>
    </w:p>
    <w:p w:rsidR="00DB65BD" w:rsidRPr="008804FC" w:rsidRDefault="00DB65BD">
      <w:pPr>
        <w:rPr>
          <w:sz w:val="28"/>
          <w:szCs w:val="28"/>
        </w:rPr>
      </w:pPr>
      <w:r w:rsidRPr="008804FC">
        <w:rPr>
          <w:sz w:val="28"/>
          <w:szCs w:val="28"/>
        </w:rPr>
        <w:t xml:space="preserve">The legislation is not as wordy and prescriptive as UK legislation. It is written in a simple way. Often, some of the most important and significant treaty provisions are expressed in one line. This is possible because such rules are applied in a way that is consistent with their purpose. Again, this approach would fit well into the ideal legal system. </w:t>
      </w:r>
    </w:p>
    <w:p w:rsidR="008804FC" w:rsidRPr="008804FC" w:rsidRDefault="00DB65BD">
      <w:pPr>
        <w:rPr>
          <w:sz w:val="28"/>
          <w:szCs w:val="28"/>
        </w:rPr>
      </w:pPr>
      <w:r w:rsidRPr="008804FC">
        <w:rPr>
          <w:sz w:val="28"/>
          <w:szCs w:val="28"/>
        </w:rPr>
        <w:t xml:space="preserve">At this stage, it is worth pointing out that there are 2 treaties, the </w:t>
      </w:r>
      <w:r w:rsidRPr="008804FC">
        <w:rPr>
          <w:b/>
          <w:bCs/>
          <w:sz w:val="28"/>
          <w:szCs w:val="28"/>
        </w:rPr>
        <w:t>Treaty on European Union (TEU)</w:t>
      </w:r>
      <w:r w:rsidRPr="008804FC">
        <w:rPr>
          <w:sz w:val="28"/>
          <w:szCs w:val="28"/>
        </w:rPr>
        <w:t xml:space="preserve">, and the </w:t>
      </w:r>
      <w:r w:rsidRPr="008804FC">
        <w:rPr>
          <w:b/>
          <w:bCs/>
          <w:sz w:val="28"/>
          <w:szCs w:val="28"/>
        </w:rPr>
        <w:t>Treaty on the Functioning of the European Union (TFEU)</w:t>
      </w:r>
      <w:r w:rsidRPr="008804FC">
        <w:rPr>
          <w:sz w:val="28"/>
          <w:szCs w:val="28"/>
        </w:rPr>
        <w:t xml:space="preserve">. TFEU and TEU are the primary sources of EU law. Over the years there have been other treaties, but all they did was simply amend what is now TFEU or TEU. One of these amending treaties was the recent </w:t>
      </w:r>
      <w:r w:rsidRPr="008804FC">
        <w:rPr>
          <w:b/>
          <w:bCs/>
          <w:sz w:val="28"/>
          <w:szCs w:val="28"/>
        </w:rPr>
        <w:t>Lisbon Treaty</w:t>
      </w:r>
      <w:r w:rsidRPr="008804FC">
        <w:rPr>
          <w:sz w:val="28"/>
          <w:szCs w:val="28"/>
        </w:rPr>
        <w:t>. One of the things it did was introduced into TEU</w:t>
      </w:r>
      <w:r w:rsidR="008804FC" w:rsidRPr="008804FC">
        <w:rPr>
          <w:sz w:val="28"/>
          <w:szCs w:val="28"/>
        </w:rPr>
        <w:t xml:space="preserve">, </w:t>
      </w:r>
      <w:r w:rsidRPr="008804FC">
        <w:rPr>
          <w:sz w:val="28"/>
          <w:szCs w:val="28"/>
        </w:rPr>
        <w:t xml:space="preserve">the famous </w:t>
      </w:r>
      <w:r w:rsidR="008804FC" w:rsidRPr="008804FC">
        <w:rPr>
          <w:sz w:val="28"/>
          <w:szCs w:val="28"/>
        </w:rPr>
        <w:t>A</w:t>
      </w:r>
      <w:r w:rsidRPr="008804FC">
        <w:rPr>
          <w:sz w:val="28"/>
          <w:szCs w:val="28"/>
        </w:rPr>
        <w:t>rt 50 on withdrawal from the EU . It should be noted that the Lisbon Treaty re</w:t>
      </w:r>
      <w:r w:rsidR="008804FC" w:rsidRPr="008804FC">
        <w:rPr>
          <w:sz w:val="28"/>
          <w:szCs w:val="28"/>
        </w:rPr>
        <w:t>-</w:t>
      </w:r>
      <w:r w:rsidRPr="008804FC">
        <w:rPr>
          <w:sz w:val="28"/>
          <w:szCs w:val="28"/>
        </w:rPr>
        <w:t>numbered the two primary treaties. This is because the EU likes its legislation to be tidy and accessible. It just means that when there is a quote from the Court of Justice from an early case</w:t>
      </w:r>
      <w:r w:rsidR="008804FC" w:rsidRPr="008804FC">
        <w:rPr>
          <w:sz w:val="28"/>
          <w:szCs w:val="28"/>
        </w:rPr>
        <w:t xml:space="preserve">, </w:t>
      </w:r>
      <w:r w:rsidRPr="008804FC">
        <w:rPr>
          <w:sz w:val="28"/>
          <w:szCs w:val="28"/>
        </w:rPr>
        <w:t xml:space="preserve">the reference to the old treaty number is replaced by the new number in square brackets. So for example, </w:t>
      </w:r>
      <w:r w:rsidR="008804FC" w:rsidRPr="008804FC">
        <w:rPr>
          <w:b/>
          <w:bCs/>
          <w:i/>
          <w:iCs/>
          <w:sz w:val="28"/>
          <w:szCs w:val="28"/>
        </w:rPr>
        <w:t>V</w:t>
      </w:r>
      <w:r w:rsidRPr="008804FC">
        <w:rPr>
          <w:b/>
          <w:bCs/>
          <w:i/>
          <w:iCs/>
          <w:sz w:val="28"/>
          <w:szCs w:val="28"/>
        </w:rPr>
        <w:t xml:space="preserve">an </w:t>
      </w:r>
      <w:proofErr w:type="spellStart"/>
      <w:r w:rsidR="008804FC" w:rsidRPr="008804FC">
        <w:rPr>
          <w:b/>
          <w:bCs/>
          <w:i/>
          <w:iCs/>
          <w:sz w:val="28"/>
          <w:szCs w:val="28"/>
        </w:rPr>
        <w:t>G</w:t>
      </w:r>
      <w:r w:rsidRPr="008804FC">
        <w:rPr>
          <w:b/>
          <w:bCs/>
          <w:i/>
          <w:iCs/>
          <w:sz w:val="28"/>
          <w:szCs w:val="28"/>
        </w:rPr>
        <w:t>end</w:t>
      </w:r>
      <w:proofErr w:type="spellEnd"/>
      <w:r w:rsidRPr="008804FC">
        <w:rPr>
          <w:sz w:val="28"/>
          <w:szCs w:val="28"/>
        </w:rPr>
        <w:t xml:space="preserve"> </w:t>
      </w:r>
      <w:r w:rsidR="008804FC" w:rsidRPr="008804FC">
        <w:rPr>
          <w:b/>
          <w:bCs/>
          <w:i/>
          <w:iCs/>
          <w:sz w:val="28"/>
          <w:szCs w:val="28"/>
        </w:rPr>
        <w:t>[</w:t>
      </w:r>
      <w:r w:rsidRPr="008804FC">
        <w:rPr>
          <w:b/>
          <w:bCs/>
          <w:i/>
          <w:iCs/>
          <w:sz w:val="28"/>
          <w:szCs w:val="28"/>
        </w:rPr>
        <w:t>1963</w:t>
      </w:r>
      <w:r w:rsidR="008804FC" w:rsidRPr="008804FC">
        <w:rPr>
          <w:b/>
          <w:bCs/>
          <w:i/>
          <w:iCs/>
          <w:sz w:val="28"/>
          <w:szCs w:val="28"/>
        </w:rPr>
        <w:t>]</w:t>
      </w:r>
      <w:r w:rsidRPr="008804FC">
        <w:rPr>
          <w:sz w:val="28"/>
          <w:szCs w:val="28"/>
        </w:rPr>
        <w:t xml:space="preserve"> </w:t>
      </w:r>
      <w:r w:rsidR="008804FC" w:rsidRPr="008804FC">
        <w:rPr>
          <w:sz w:val="28"/>
          <w:szCs w:val="28"/>
        </w:rPr>
        <w:t>actually food to “</w:t>
      </w:r>
      <w:r w:rsidR="008804FC" w:rsidRPr="008804FC">
        <w:rPr>
          <w:b/>
          <w:bCs/>
          <w:sz w:val="28"/>
          <w:szCs w:val="28"/>
        </w:rPr>
        <w:t>Art 12”</w:t>
      </w:r>
      <w:r w:rsidR="008804FC" w:rsidRPr="008804FC">
        <w:rPr>
          <w:sz w:val="28"/>
          <w:szCs w:val="28"/>
        </w:rPr>
        <w:t>, but a quote from this case will now refer to “</w:t>
      </w:r>
      <w:r w:rsidR="008804FC" w:rsidRPr="008804FC">
        <w:rPr>
          <w:b/>
          <w:bCs/>
          <w:sz w:val="28"/>
          <w:szCs w:val="28"/>
        </w:rPr>
        <w:t>Art [30]</w:t>
      </w:r>
      <w:r w:rsidR="008804FC" w:rsidRPr="008804FC">
        <w:rPr>
          <w:sz w:val="28"/>
          <w:szCs w:val="28"/>
        </w:rPr>
        <w:t>”.</w:t>
      </w:r>
    </w:p>
    <w:p w:rsidR="00DB65BD" w:rsidRPr="008804FC" w:rsidRDefault="008804FC">
      <w:pPr>
        <w:rPr>
          <w:sz w:val="28"/>
          <w:szCs w:val="28"/>
        </w:rPr>
      </w:pPr>
      <w:r w:rsidRPr="008804FC">
        <w:rPr>
          <w:sz w:val="28"/>
          <w:szCs w:val="28"/>
        </w:rPr>
        <w:t xml:space="preserve">The main purpose of the EU and the key objective of the main legal rules is market integration. You should keep this in mind when studying the subject. You will find that marked integration is a continuing theme throughout. </w:t>
      </w:r>
    </w:p>
    <w:sectPr w:rsidR="00DB65BD" w:rsidRPr="008804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3A9"/>
    <w:rsid w:val="003A13A9"/>
    <w:rsid w:val="0080006A"/>
    <w:rsid w:val="008804FC"/>
    <w:rsid w:val="009257EB"/>
    <w:rsid w:val="00DB65BD"/>
    <w:rsid w:val="00E24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3E04F"/>
  <w15:chartTrackingRefBased/>
  <w15:docId w15:val="{A9D3114D-5EE4-4DFF-967B-126BDD030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1017</Words>
  <Characters>5799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2020-01-20T12:43:00Z</dcterms:created>
  <dcterms:modified xsi:type="dcterms:W3CDTF">2020-01-20T14:55:00Z</dcterms:modified>
</cp:coreProperties>
</file>