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5932690"/>
        <w:docPartObj>
          <w:docPartGallery w:val="Cover Pages"/>
          <w:docPartUnique/>
        </w:docPartObj>
      </w:sdtPr>
      <w:sdtEndPr>
        <w:rPr>
          <w:rFonts w:ascii="Arial" w:eastAsia="Times New Roman" w:hAnsi="Arial" w:cs="Arial"/>
          <w:b/>
          <w:bCs/>
          <w:kern w:val="0"/>
          <w:sz w:val="22"/>
          <w:szCs w:val="22"/>
          <w:lang w:eastAsia="en-GB"/>
          <w14:ligatures w14:val="none"/>
        </w:rPr>
      </w:sdtEndPr>
      <w:sdtContent>
        <w:p w14:paraId="1390AA8F" w14:textId="045DEA04" w:rsidR="00994051" w:rsidRDefault="00D039FD">
          <w:r w:rsidRPr="00F569A9">
            <w:rPr>
              <w:rFonts w:ascii="Arial" w:eastAsia="Times New Roman" w:hAnsi="Arial" w:cs="Arial"/>
              <w:b/>
              <w:bCs/>
              <w:noProof/>
              <w:kern w:val="0"/>
              <w:sz w:val="22"/>
              <w:szCs w:val="22"/>
              <w:lang w:eastAsia="en-GB"/>
              <w14:ligatures w14:val="none"/>
            </w:rPr>
            <w:drawing>
              <wp:anchor distT="0" distB="0" distL="114300" distR="114300" simplePos="0" relativeHeight="251661824" behindDoc="1" locked="0" layoutInCell="1" allowOverlap="1" wp14:anchorId="3F25FBF2" wp14:editId="6277B7E7">
                <wp:simplePos x="0" y="0"/>
                <wp:positionH relativeFrom="margin">
                  <wp:posOffset>167640</wp:posOffset>
                </wp:positionH>
                <wp:positionV relativeFrom="paragraph">
                  <wp:posOffset>320040</wp:posOffset>
                </wp:positionV>
                <wp:extent cx="5013960" cy="1043940"/>
                <wp:effectExtent l="0" t="0" r="0" b="3810"/>
                <wp:wrapTight wrapText="bothSides">
                  <wp:wrapPolygon edited="0">
                    <wp:start x="0" y="0"/>
                    <wp:lineTo x="0" y="21285"/>
                    <wp:lineTo x="21502" y="21285"/>
                    <wp:lineTo x="21502" y="0"/>
                    <wp:lineTo x="0" y="0"/>
                  </wp:wrapPolygon>
                </wp:wrapTight>
                <wp:docPr id="71452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24050" name=""/>
                        <pic:cNvPicPr/>
                      </pic:nvPicPr>
                      <pic:blipFill>
                        <a:blip r:embed="rId5">
                          <a:extLst>
                            <a:ext uri="{28A0092B-C50C-407E-A947-70E740481C1C}">
                              <a14:useLocalDpi xmlns:a14="http://schemas.microsoft.com/office/drawing/2010/main" val="0"/>
                            </a:ext>
                          </a:extLst>
                        </a:blip>
                        <a:stretch>
                          <a:fillRect/>
                        </a:stretch>
                      </pic:blipFill>
                      <pic:spPr>
                        <a:xfrm>
                          <a:off x="0" y="0"/>
                          <a:ext cx="5013960" cy="1043940"/>
                        </a:xfrm>
                        <a:prstGeom prst="rect">
                          <a:avLst/>
                        </a:prstGeom>
                      </pic:spPr>
                    </pic:pic>
                  </a:graphicData>
                </a:graphic>
                <wp14:sizeRelH relativeFrom="margin">
                  <wp14:pctWidth>0</wp14:pctWidth>
                </wp14:sizeRelH>
                <wp14:sizeRelV relativeFrom="margin">
                  <wp14:pctHeight>0</wp14:pctHeight>
                </wp14:sizeRelV>
              </wp:anchor>
            </w:drawing>
          </w:r>
        </w:p>
        <w:p w14:paraId="09E3614B" w14:textId="17146470" w:rsidR="00994051" w:rsidRDefault="00D039FD">
          <w:pPr>
            <w:rPr>
              <w:rFonts w:ascii="Arial" w:eastAsia="Times New Roman" w:hAnsi="Arial" w:cs="Arial"/>
              <w:b/>
              <w:bCs/>
              <w:kern w:val="0"/>
              <w:sz w:val="22"/>
              <w:szCs w:val="22"/>
              <w:lang w:eastAsia="en-GB"/>
              <w14:ligatures w14:val="none"/>
            </w:rPr>
          </w:pPr>
          <w:r>
            <w:rPr>
              <w:rFonts w:ascii="Arial" w:eastAsia="Times New Roman" w:hAnsi="Arial" w:cs="Arial"/>
              <w:b/>
              <w:bCs/>
              <w:noProof/>
              <w:kern w:val="0"/>
              <w:sz w:val="22"/>
              <w:szCs w:val="22"/>
              <w:lang w:eastAsia="en-GB"/>
            </w:rPr>
            <mc:AlternateContent>
              <mc:Choice Requires="wps">
                <w:drawing>
                  <wp:anchor distT="0" distB="0" distL="114300" distR="114300" simplePos="0" relativeHeight="251655680" behindDoc="0" locked="0" layoutInCell="1" allowOverlap="1" wp14:anchorId="1AF58850" wp14:editId="0291FCD0">
                    <wp:simplePos x="0" y="0"/>
                    <wp:positionH relativeFrom="margin">
                      <wp:align>left</wp:align>
                    </wp:positionH>
                    <wp:positionV relativeFrom="paragraph">
                      <wp:posOffset>2220595</wp:posOffset>
                    </wp:positionV>
                    <wp:extent cx="5715000" cy="4564380"/>
                    <wp:effectExtent l="0" t="0" r="19050" b="26670"/>
                    <wp:wrapNone/>
                    <wp:docPr id="2027582854" name="Rectangle: Rounded Corners 2"/>
                    <wp:cNvGraphicFramePr/>
                    <a:graphic xmlns:a="http://schemas.openxmlformats.org/drawingml/2006/main">
                      <a:graphicData uri="http://schemas.microsoft.com/office/word/2010/wordprocessingShape">
                        <wps:wsp>
                          <wps:cNvSpPr/>
                          <wps:spPr>
                            <a:xfrm>
                              <a:off x="0" y="0"/>
                              <a:ext cx="5715000" cy="4564380"/>
                            </a:xfrm>
                            <a:prstGeom prst="roundRect">
                              <a:avLst/>
                            </a:prstGeom>
                          </wps:spPr>
                          <wps:style>
                            <a:lnRef idx="2">
                              <a:schemeClr val="accent1">
                                <a:shade val="15000"/>
                              </a:schemeClr>
                            </a:lnRef>
                            <a:fillRef idx="1001">
                              <a:schemeClr val="lt1"/>
                            </a:fillRef>
                            <a:effectRef idx="0">
                              <a:schemeClr val="accent1"/>
                            </a:effectRef>
                            <a:fontRef idx="minor">
                              <a:schemeClr val="lt1"/>
                            </a:fontRef>
                          </wps:style>
                          <wps:txbx>
                            <w:txbxContent>
                              <w:p w14:paraId="20D01835"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MODULE:DMIT (LCLM5002)</w:t>
                                </w:r>
                              </w:p>
                              <w:p w14:paraId="6A3D5A68"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LECTURAL: FAIZU EDU</w:t>
                                </w:r>
                              </w:p>
                              <w:p w14:paraId="4EC2279D"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STUDENT NAME : Evans Dadzie</w:t>
                                </w:r>
                              </w:p>
                              <w:p w14:paraId="09769817"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STUDENT ID:2414242</w:t>
                                </w:r>
                              </w:p>
                              <w:p w14:paraId="25B56CF8"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TITLE: INDIVIDUAL REPORT</w:t>
                                </w:r>
                              </w:p>
                              <w:p w14:paraId="1816CFFA" w14:textId="77777777" w:rsidR="007624A6" w:rsidRDefault="007624A6" w:rsidP="007624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58850" id="Rectangle: Rounded Corners 2" o:spid="_x0000_s1026" style="position:absolute;margin-left:0;margin-top:174.85pt;width:450pt;height:359.4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" fillcolor="white [3201]" strokecolor="#030e13 [484]" strokeweight="1pt">
                    <v:stroke joinstyle="miter"/>
                    <v:textbox>
                      <w:txbxContent>
                        <w:p w14:paraId="20D01835"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MODULE:DMIT (LCLM5002)</w:t>
                          </w:r>
                        </w:p>
                        <w:p w14:paraId="6A3D5A68"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LECTURAL: FAIZU EDU</w:t>
                          </w:r>
                        </w:p>
                        <w:p w14:paraId="4EC2279D"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STUDENT NAME : Evans Dadzie</w:t>
                          </w:r>
                        </w:p>
                        <w:p w14:paraId="09769817"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STUDENT ID:2414242</w:t>
                          </w:r>
                        </w:p>
                        <w:p w14:paraId="25B56CF8" w14:textId="77777777" w:rsidR="007624A6" w:rsidRDefault="007624A6" w:rsidP="007624A6">
                          <w:pPr>
                            <w:pStyle w:val="NormalWeb"/>
                            <w:spacing w:before="0" w:beforeAutospacing="0" w:after="0" w:afterAutospacing="0" w:line="360" w:lineRule="auto"/>
                            <w:jc w:val="center"/>
                          </w:pPr>
                          <w:r>
                            <w:rPr>
                              <w:rFonts w:ascii="Arial" w:eastAsiaTheme="minorEastAsia" w:hAnsi="Arial" w:cs="Arial"/>
                              <w:b/>
                              <w:bCs/>
                              <w:color w:val="000000" w:themeColor="text1"/>
                              <w:kern w:val="24"/>
                              <w:sz w:val="48"/>
                              <w:szCs w:val="48"/>
                            </w:rPr>
                            <w:t>TITLE: INDIVIDUAL REPORT</w:t>
                          </w:r>
                        </w:p>
                        <w:p w14:paraId="1816CFFA" w14:textId="77777777" w:rsidR="007624A6" w:rsidRDefault="007624A6" w:rsidP="007624A6">
                          <w:pPr>
                            <w:jc w:val="center"/>
                          </w:pPr>
                        </w:p>
                      </w:txbxContent>
                    </v:textbox>
                    <w10:wrap anchorx="margin"/>
                  </v:roundrect>
                </w:pict>
              </mc:Fallback>
            </mc:AlternateContent>
          </w:r>
          <w:r w:rsidR="00994051">
            <w:rPr>
              <w:rFonts w:ascii="Arial" w:eastAsia="Times New Roman" w:hAnsi="Arial" w:cs="Arial"/>
              <w:b/>
              <w:bCs/>
              <w:kern w:val="0"/>
              <w:sz w:val="22"/>
              <w:szCs w:val="22"/>
              <w:lang w:eastAsia="en-GB"/>
              <w14:ligatures w14:val="none"/>
            </w:rPr>
            <w:br w:type="page"/>
          </w:r>
        </w:p>
      </w:sdtContent>
    </w:sdt>
    <w:p w14:paraId="528F7040" w14:textId="26579B09" w:rsidR="00884881" w:rsidRPr="002301C3" w:rsidRDefault="008C67A5" w:rsidP="00486A3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2301C3">
        <w:rPr>
          <w:rFonts w:ascii="Arial" w:eastAsia="Times New Roman" w:hAnsi="Arial" w:cs="Arial"/>
          <w:b/>
          <w:bCs/>
          <w:kern w:val="0"/>
          <w:sz w:val="22"/>
          <w:szCs w:val="22"/>
          <w:lang w:eastAsia="en-GB"/>
          <w14:ligatures w14:val="none"/>
        </w:rPr>
        <w:lastRenderedPageBreak/>
        <w:t>Introduction</w:t>
      </w:r>
      <w:r w:rsidRPr="002301C3">
        <w:rPr>
          <w:rFonts w:ascii="Arial" w:eastAsia="Times New Roman" w:hAnsi="Arial" w:cs="Arial"/>
          <w:b/>
          <w:bCs/>
          <w:kern w:val="0"/>
          <w:sz w:val="22"/>
          <w:szCs w:val="22"/>
          <w:highlight w:val="lightGray"/>
          <w:lang w:eastAsia="en-GB"/>
          <w14:ligatures w14:val="none"/>
        </w:rPr>
        <w:t xml:space="preserve"> </w:t>
      </w:r>
    </w:p>
    <w:p w14:paraId="34B524B1" w14:textId="58626A28" w:rsidR="008C67A5" w:rsidRPr="002301C3" w:rsidRDefault="008C67A5" w:rsidP="00486A3C">
      <w:pPr>
        <w:spacing w:before="100" w:beforeAutospacing="1" w:after="100" w:afterAutospacing="1" w:line="360" w:lineRule="auto"/>
        <w:outlineLvl w:val="1"/>
        <w:rPr>
          <w:rFonts w:ascii="Arial" w:eastAsia="Times New Roman" w:hAnsi="Arial" w:cs="Arial"/>
          <w:b/>
          <w:bCs/>
          <w:kern w:val="0"/>
          <w:sz w:val="22"/>
          <w:szCs w:val="22"/>
          <w:highlight w:val="lightGray"/>
          <w:lang w:eastAsia="en-GB"/>
          <w14:ligatures w14:val="none"/>
        </w:rPr>
      </w:pPr>
      <w:r w:rsidRPr="002301C3">
        <w:rPr>
          <w:rFonts w:ascii="Arial" w:hAnsi="Arial" w:cs="Arial"/>
          <w:sz w:val="22"/>
          <w:szCs w:val="22"/>
        </w:rPr>
        <w:t xml:space="preserve">This report </w:t>
      </w:r>
      <w:r w:rsidR="00406BD9" w:rsidRPr="002301C3">
        <w:rPr>
          <w:rFonts w:ascii="Arial" w:hAnsi="Arial" w:cs="Arial"/>
          <w:sz w:val="22"/>
          <w:szCs w:val="22"/>
        </w:rPr>
        <w:t>focuses</w:t>
      </w:r>
      <w:r w:rsidRPr="002301C3">
        <w:rPr>
          <w:rFonts w:ascii="Arial" w:hAnsi="Arial" w:cs="Arial"/>
          <w:sz w:val="22"/>
          <w:szCs w:val="22"/>
        </w:rPr>
        <w:t xml:space="preserve"> on </w:t>
      </w:r>
      <w:r w:rsidRPr="002301C3">
        <w:rPr>
          <w:rStyle w:val="Strong"/>
          <w:rFonts w:ascii="Arial" w:hAnsi="Arial" w:cs="Arial"/>
          <w:b w:val="0"/>
          <w:bCs w:val="0"/>
          <w:sz w:val="22"/>
          <w:szCs w:val="22"/>
        </w:rPr>
        <w:t>Aviva plc</w:t>
      </w:r>
      <w:r w:rsidRPr="002301C3">
        <w:rPr>
          <w:rFonts w:ascii="Arial" w:eastAsia="Times New Roman" w:hAnsi="Arial" w:cs="Arial"/>
          <w:kern w:val="0"/>
          <w:sz w:val="22"/>
          <w:szCs w:val="22"/>
          <w:lang w:eastAsia="en-GB"/>
          <w14:ligatures w14:val="none"/>
        </w:rPr>
        <w:t xml:space="preserve"> UK’s largest and oldest insurance organisations, with a history dating back to 1696 and a formal rebrand to Aviva in 2002. Operating in a highly regulated and data intensive sector, Aviva must continuously adapt to technological, workforce and societal changes to remain competitive. Digital transformation has become central to Aviva’s operational strategy, particularly as customer expectations shift towards faster, more transparent and digitally enabled services. Internally, Aviva has invested in systems that streamline communication, enhance compliance and support hybrid working. One such innovation is the Digital Mail Portal, a system that converts all incoming physical correspondence into digital format for secure, instant distribution across the organisation.</w:t>
      </w:r>
    </w:p>
    <w:p w14:paraId="244D7856" w14:textId="098E1901"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 xml:space="preserve">This report examines Aviva’s Digital Mail Portal through three key HR factors: </w:t>
      </w:r>
      <w:r w:rsidR="00406BD9" w:rsidRPr="002301C3">
        <w:rPr>
          <w:rFonts w:ascii="Arial" w:eastAsia="Times New Roman" w:hAnsi="Arial" w:cs="Arial"/>
          <w:kern w:val="0"/>
          <w:sz w:val="22"/>
          <w:szCs w:val="22"/>
          <w:lang w:eastAsia="en-GB"/>
          <w14:ligatures w14:val="none"/>
        </w:rPr>
        <w:t>T</w:t>
      </w:r>
      <w:r w:rsidRPr="002301C3">
        <w:rPr>
          <w:rFonts w:ascii="Arial" w:eastAsia="Times New Roman" w:hAnsi="Arial" w:cs="Arial"/>
          <w:kern w:val="0"/>
          <w:sz w:val="22"/>
          <w:szCs w:val="22"/>
          <w:lang w:eastAsia="en-GB"/>
          <w14:ligatures w14:val="none"/>
        </w:rPr>
        <w:t>echnological advancement, talent acquisition and retention, and Diversity, Equity and Inclusion (DEI). These factors are essential for ensuring that digital transformation is not only implemented effectively but also aligned with organisational culture, workforce capability and long</w:t>
      </w:r>
      <w:r w:rsidRPr="002301C3">
        <w:rPr>
          <w:rFonts w:ascii="Arial" w:eastAsia="Times New Roman" w:hAnsi="Arial" w:cs="Arial"/>
          <w:kern w:val="0"/>
          <w:sz w:val="22"/>
          <w:szCs w:val="22"/>
          <w:lang w:eastAsia="en-GB"/>
          <w14:ligatures w14:val="none"/>
        </w:rPr>
        <w:noBreakHyphen/>
        <w:t>term strategic goals. Drawing on established HR literature (Armstrong &amp; Taylor, 2014; Mullins &amp; McLean, 2019; Leatherbarrow &amp; Fletcher, 2019; Rees, 2015; Wellington, 2011) and professional sources such as CIPD and McKinsey, the report provides a structured analysis of how these factors influence Aviva’s digital strategy.</w:t>
      </w:r>
    </w:p>
    <w:p w14:paraId="51CBB164" w14:textId="77777777" w:rsidR="00406BD9"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The report is organised into four sections. First, it explains the significance of technological advancement, talent management and DEI in the context of Aviva’s digital transformation. Second, it evaluates contemporary HR practices used to address these factors. Third, it critically examines how departmental managers can ensure urgent and effective implementation of these practices. Finally, it concludes with recommendations to strengthen Aviva’s digital capability, workforce engagement and inclusive culture.</w:t>
      </w:r>
    </w:p>
    <w:p w14:paraId="0DE9D8E1" w14:textId="77777777" w:rsidR="00406BD9"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Explanation of the Three HR Factors</w:t>
      </w:r>
    </w:p>
    <w:p w14:paraId="30CA2BA9" w14:textId="28A99C9C"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 xml:space="preserve"> Meeting Technological Advancement</w:t>
      </w:r>
    </w:p>
    <w:p w14:paraId="3A2E34E9" w14:textId="77777777" w:rsidR="00406BD9"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Technological advancement is a critical factor for Aviva due to the nature of the insurance industry, which relies heavily on accurate data processing, regulatory compliance and efficient communication. Armstrong and Taylor (2014) argue that technology enhances organisational performance by reducing administrative burden and enabling data</w:t>
      </w:r>
      <w:r w:rsidR="00406BD9"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driven decision</w:t>
      </w:r>
      <w:r w:rsidR="00406BD9"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 xml:space="preserve">making. Aviva’s Digital Mail Portal exemplifies this by replacing manual mail handling with automated scanning, indexing and electronic distribution. This ensures that </w:t>
      </w:r>
      <w:r w:rsidRPr="002301C3">
        <w:rPr>
          <w:rFonts w:ascii="Arial" w:eastAsia="Times New Roman" w:hAnsi="Arial" w:cs="Arial"/>
          <w:kern w:val="0"/>
          <w:sz w:val="22"/>
          <w:szCs w:val="22"/>
          <w:lang w:eastAsia="en-GB"/>
          <w14:ligatures w14:val="none"/>
        </w:rPr>
        <w:lastRenderedPageBreak/>
        <w:t>correspondence reaches employees instantly, regardless of location, supporting Aviva’s Smart Working model. The system also improves compliance by providing digital audit trails, reducing the risk of lost documents and ensuring secure handling of sensitive information. As the financial services sector becomes increasingly digital, Aviva must continue to invest in systems that enhance operational efficiency and customer service.</w:t>
      </w:r>
    </w:p>
    <w:p w14:paraId="45318D18" w14:textId="3EF438A7"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Talent Acquisition and Retention</w:t>
      </w:r>
    </w:p>
    <w:p w14:paraId="669CEA5A"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 xml:space="preserve">Talent acquisition and retention are essential for ensuring that Aviva has the workforce capability required to operate and sustain digital systems such as the Digital Mail Portal. Leatherbarrow and Fletcher (2019) emphasise that job roles must evolve to reflect technological requirements. Aviva now requires employees with digital literacy, data handling skills and familiarity with workflow automation. Recruitment processes increasingly incorporate digital competency assessments and </w:t>
      </w:r>
      <w:proofErr w:type="gramStart"/>
      <w:r w:rsidRPr="002301C3">
        <w:rPr>
          <w:rFonts w:ascii="Arial" w:eastAsia="Times New Roman" w:hAnsi="Arial" w:cs="Arial"/>
          <w:kern w:val="0"/>
          <w:sz w:val="22"/>
          <w:szCs w:val="22"/>
          <w:lang w:eastAsia="en-GB"/>
          <w14:ligatures w14:val="none"/>
        </w:rPr>
        <w:t>values</w:t>
      </w:r>
      <w:r w:rsidR="00555F04"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based</w:t>
      </w:r>
      <w:proofErr w:type="gramEnd"/>
      <w:r w:rsidRPr="002301C3">
        <w:rPr>
          <w:rFonts w:ascii="Arial" w:eastAsia="Times New Roman" w:hAnsi="Arial" w:cs="Arial"/>
          <w:kern w:val="0"/>
          <w:sz w:val="22"/>
          <w:szCs w:val="22"/>
          <w:lang w:eastAsia="en-GB"/>
          <w14:ligatures w14:val="none"/>
        </w:rPr>
        <w:t xml:space="preserve"> interviews to ensure alignment with Aviva’s digital culture. Retention is equally important, particularly in a competitive labour market where digital skills are in high demand. CIPD (2023) highlights that flexible working is now a major retention factor in the UK. The Digital Mail Portal supports this by enabling remote access to essential documents, reducing dependency on physical office presence and improving work</w:t>
      </w:r>
      <w:r w:rsidR="00555F04"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life balance. Training and development also play a key role in retention, as employees are more likely to remain with organisations that invest in their digital capability (Wellington, 2011).</w:t>
      </w:r>
    </w:p>
    <w:p w14:paraId="7C8FA40D" w14:textId="20F4B3A8" w:rsidR="008C67A5" w:rsidRPr="002301C3" w:rsidRDefault="008C67A5" w:rsidP="00486A3C">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2301C3">
        <w:rPr>
          <w:rFonts w:ascii="Arial" w:eastAsia="Times New Roman" w:hAnsi="Arial" w:cs="Arial"/>
          <w:b/>
          <w:bCs/>
          <w:kern w:val="0"/>
          <w:sz w:val="22"/>
          <w:szCs w:val="22"/>
          <w:lang w:eastAsia="en-GB"/>
          <w14:ligatures w14:val="none"/>
        </w:rPr>
        <w:t>Diversity, Equity and Inclusion (DEI)</w:t>
      </w:r>
    </w:p>
    <w:p w14:paraId="14D84A74"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DEI is a fundamental HR factor that influences organisational culture, employee engagement and innovation. Armstrong and Taylor (2014) argue that inclusive organisations benefit from improved performance and employee satisfaction. The Digital Mail Portal supports DEI by ensuring equal access to information for all employees, regardless of working location or physical ability. Features such as screen reader compatibility, adjustable text size and colour contrast settings support employees with disabilities. The system also reduces bias by ensuring consistent and transparent distribution of documents, supported by digital audit trails. However, DEI challenges remain, particularly for employees with lower digital literacy who may require additional support. CIPD (2022) stresses that DEI must be embedded into all stages of the employee lifecycle, including digital transformation initiatives. Aviva must therefore ensure that digital systems do not unintentionally disadvantage certain groups and that all employees receive equitable training and support.</w:t>
      </w:r>
    </w:p>
    <w:p w14:paraId="0A4471D2" w14:textId="5995738B"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 xml:space="preserve"> Technological Advancement</w:t>
      </w:r>
    </w:p>
    <w:p w14:paraId="08D21879"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lastRenderedPageBreak/>
        <w:t>To support technological advancement, Aviva adopts several contemporary HR practices. First, digital skills training is provided through Aviva Academy, offering e</w:t>
      </w:r>
      <w:r w:rsidRPr="002301C3">
        <w:rPr>
          <w:rFonts w:ascii="Arial" w:eastAsia="Times New Roman" w:hAnsi="Arial" w:cs="Arial"/>
          <w:kern w:val="0"/>
          <w:sz w:val="22"/>
          <w:szCs w:val="22"/>
          <w:lang w:eastAsia="en-GB"/>
          <w14:ligatures w14:val="none"/>
        </w:rPr>
        <w:noBreakHyphen/>
        <w:t>learning modules, system</w:t>
      </w:r>
      <w:r w:rsidR="00555F04"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 xml:space="preserve">specific training and refresher sessions. This aligns with Rees (2015), who emphasises the importance of developing digital capability to support organisational change. Second, Aviva uses change management frameworks, including communication campaigns and </w:t>
      </w:r>
      <w:proofErr w:type="gramStart"/>
      <w:r w:rsidRPr="002301C3">
        <w:rPr>
          <w:rFonts w:ascii="Arial" w:eastAsia="Times New Roman" w:hAnsi="Arial" w:cs="Arial"/>
          <w:kern w:val="0"/>
          <w:sz w:val="22"/>
          <w:szCs w:val="22"/>
          <w:lang w:eastAsia="en-GB"/>
          <w14:ligatures w14:val="none"/>
        </w:rPr>
        <w:t>user</w:t>
      </w:r>
      <w:r w:rsidR="00555F04"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friendly</w:t>
      </w:r>
      <w:proofErr w:type="gramEnd"/>
      <w:r w:rsidRPr="002301C3">
        <w:rPr>
          <w:rFonts w:ascii="Arial" w:eastAsia="Times New Roman" w:hAnsi="Arial" w:cs="Arial"/>
          <w:kern w:val="0"/>
          <w:sz w:val="22"/>
          <w:szCs w:val="22"/>
          <w:lang w:eastAsia="en-GB"/>
          <w14:ligatures w14:val="none"/>
        </w:rPr>
        <w:t xml:space="preserve"> guidance, to reduce resistance and increase adoption. Bersin (2020) notes that effective communication is essential for successful digital transformation. Third, Aviva integrates technology into performance management, recognising employees who demonstrate digital efficiency and innovation. This encourages engagement and reinforces the strategic importance of digital tools.</w:t>
      </w:r>
    </w:p>
    <w:p w14:paraId="6F45C2EC" w14:textId="074768FC"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Talent Acquisition and Retention</w:t>
      </w:r>
    </w:p>
    <w:p w14:paraId="3BC1B23F"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Aviva uses several contemporary HR practices to attract and retain talent. Recruitment processes now include digital competency assessments, ensuring that candidates possess the skills required to operate digital systems. Values</w:t>
      </w:r>
      <w:r w:rsidRPr="002301C3">
        <w:rPr>
          <w:rFonts w:ascii="Arial" w:eastAsia="Times New Roman" w:hAnsi="Arial" w:cs="Arial"/>
          <w:kern w:val="0"/>
          <w:sz w:val="22"/>
          <w:szCs w:val="22"/>
          <w:lang w:eastAsia="en-GB"/>
          <w14:ligatures w14:val="none"/>
        </w:rPr>
        <w:noBreakHyphen/>
        <w:t>based interviews help identify candidates who align with Aviva’s culture of innovation and customer focus. For retention, Aviva offers hybrid working arrangements, which CIPD (2023) identifies as a key factor in employee satisfaction. The Digital Mail Portal supports this by enabling remote access to essential documents. Aviva also invests in continuous professional development, offering structured training, coaching and career progression opportunities. Wellington (2011) argues that development opportunities enhance engagement and reduce turnover. Additionally, Aviva uses employee recognition programmes to reward digital innovation and efficiency, supporting both intrinsic and extrinsic motivation (Mullins &amp; McLean, 2019).</w:t>
      </w:r>
    </w:p>
    <w:p w14:paraId="45D4E0D5" w14:textId="518378E4"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HR Practices for DEI</w:t>
      </w:r>
    </w:p>
    <w:p w14:paraId="61BFF75B"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To support DEI, Aviva implements several contemporary HR practices. First, the organisation provides inclusive technology design, ensuring that digital systems incorporate accessibility features. This aligns with best practice guidance from CIPD (2022). Second, Aviva offers DEI training, including unconscious bias training and inclusive leadership programmes, to ensure that managers and employees understand how to create equitable workplaces. Third, Aviva uses data</w:t>
      </w:r>
      <w:r w:rsidR="00555F04" w:rsidRPr="002301C3">
        <w:rPr>
          <w:rFonts w:ascii="Arial" w:eastAsia="Times New Roman" w:hAnsi="Arial" w:cs="Arial"/>
          <w:kern w:val="0"/>
          <w:sz w:val="22"/>
          <w:szCs w:val="22"/>
          <w:lang w:eastAsia="en-GB"/>
          <w14:ligatures w14:val="none"/>
        </w:rPr>
        <w:t xml:space="preserve"> </w:t>
      </w:r>
      <w:r w:rsidRPr="002301C3">
        <w:rPr>
          <w:rFonts w:ascii="Arial" w:eastAsia="Times New Roman" w:hAnsi="Arial" w:cs="Arial"/>
          <w:kern w:val="0"/>
          <w:sz w:val="22"/>
          <w:szCs w:val="22"/>
          <w:lang w:eastAsia="en-GB"/>
          <w14:ligatures w14:val="none"/>
        </w:rPr>
        <w:t>driven DEI monitoring, analysing workforce demographics, engagement levels and system usage to identify potential inequalities. The Digital Mail Portal supports this by providing transparent audit trails. Finally, Aviva promotes inclusive communication, ensuring that digital transformation initiatives are communicated in accessible formats and languages.</w:t>
      </w:r>
    </w:p>
    <w:p w14:paraId="3AC1E20C" w14:textId="33A87C94"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lastRenderedPageBreak/>
        <w:t>Critical Evaluation of Managerial Implementation</w:t>
      </w:r>
    </w:p>
    <w:p w14:paraId="397AE827" w14:textId="77777777" w:rsidR="00555F04"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Departmental managers play a critical role in ensuring that HR practices related to technological advancement, talent management and DEI are implemented urgently and effectively. Their leadership directly influences employee engagement, adoption of digital tools and overall organisational performance.</w:t>
      </w:r>
    </w:p>
    <w:p w14:paraId="7CE63B50" w14:textId="7A5567C5"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 xml:space="preserve"> Ensuring Technological Adoption</w:t>
      </w:r>
    </w:p>
    <w:p w14:paraId="016DDED3" w14:textId="77777777" w:rsidR="005501DA"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Managers must act as change champions, promoting the benefits of the Digital Mail Portal and addressing resistance. Kotter’s change model highlights the importance of creating urgency and building coalitions to support transformation. Managers must ensure that employees receive adequate training and understand how the system contributes to organisational goals. They must also monitor usage, identify skill gaps and provide targeted support. Without strong managerial leadership, digital systems risk underutilisation.</w:t>
      </w:r>
    </w:p>
    <w:p w14:paraId="3700EA8E" w14:textId="293C17E8"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Supporting Talent Acquisition and Retention</w:t>
      </w:r>
    </w:p>
    <w:p w14:paraId="03E5F4F9" w14:textId="77777777" w:rsidR="005501DA"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Managers influence talent outcomes by ensuring that recruitment processes reflect digital requirements and that new employees receive effective onboarding. They must collaborate with HR to define digital competencies and ensure that job roles are aligned with technological needs. For retention, managers must create supportive environments that encourage learning and development. This includes providing coaching, recognising digital achievements and supporting hybrid working arrangements. Managers who fail to support development risk losing skilled employees to competitors.</w:t>
      </w:r>
    </w:p>
    <w:p w14:paraId="761A29D9" w14:textId="73CFBF2C"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Embedding DEI into Digital Transformation</w:t>
      </w:r>
    </w:p>
    <w:p w14:paraId="163C87BB" w14:textId="77777777" w:rsidR="005501DA"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Managers must ensure that digital systems are used equitably and that no employee is disadvantaged. This includes identifying employees with lower digital literacy and providing additional support. Managers must also ensure that accessibility features are used effectively and that communication is inclusive. CIPD (2022) emphasises that DEI must be embedded into everyday management practices, not treated as a separate initiative. Managers must therefore monitor system usage, address inequalities and promote inclusive behaviours.</w:t>
      </w:r>
    </w:p>
    <w:p w14:paraId="1FE1447E" w14:textId="77777777" w:rsidR="007E4271" w:rsidRPr="002301C3" w:rsidRDefault="007E4271" w:rsidP="00486A3C">
      <w:pPr>
        <w:spacing w:line="360" w:lineRule="auto"/>
        <w:jc w:val="both"/>
        <w:rPr>
          <w:rFonts w:ascii="Arial" w:hAnsi="Arial" w:cs="Arial"/>
          <w:sz w:val="22"/>
          <w:szCs w:val="22"/>
        </w:rPr>
      </w:pPr>
      <w:r w:rsidRPr="002301C3">
        <w:rPr>
          <w:rFonts w:ascii="Arial" w:hAnsi="Arial" w:cs="Arial"/>
          <w:sz w:val="22"/>
          <w:szCs w:val="22"/>
        </w:rPr>
        <w:t>Managers are responsible for ensuring that digital systems are used inclusively. This involves identifying employees who require additional support and promoting inclusive behaviours.</w:t>
      </w:r>
    </w:p>
    <w:p w14:paraId="200D583D" w14:textId="77777777" w:rsidR="007E4271" w:rsidRPr="002301C3" w:rsidRDefault="007E4271" w:rsidP="00486A3C">
      <w:pPr>
        <w:spacing w:line="360" w:lineRule="auto"/>
        <w:jc w:val="both"/>
        <w:rPr>
          <w:rFonts w:ascii="Arial" w:hAnsi="Arial" w:cs="Arial"/>
          <w:sz w:val="22"/>
          <w:szCs w:val="22"/>
        </w:rPr>
      </w:pPr>
      <w:r w:rsidRPr="002301C3">
        <w:rPr>
          <w:rFonts w:ascii="Arial" w:hAnsi="Arial" w:cs="Arial"/>
          <w:sz w:val="22"/>
          <w:szCs w:val="22"/>
        </w:rPr>
        <w:lastRenderedPageBreak/>
        <w:t>Leadership style is particularly important, as inclusive and transformational leadership approaches are more effective in fostering engagement and trust. Without strong managerial commitment, DEI initiatives may not achieve their intended outcomes.</w:t>
      </w:r>
    </w:p>
    <w:p w14:paraId="4EE4AA5A" w14:textId="77777777" w:rsidR="007E4271" w:rsidRPr="002301C3" w:rsidRDefault="007E4271" w:rsidP="00486A3C">
      <w:pPr>
        <w:spacing w:before="100" w:beforeAutospacing="1" w:after="100" w:afterAutospacing="1" w:line="360" w:lineRule="auto"/>
        <w:rPr>
          <w:rFonts w:ascii="Arial" w:eastAsia="Times New Roman" w:hAnsi="Arial" w:cs="Arial"/>
          <w:kern w:val="0"/>
          <w:sz w:val="22"/>
          <w:szCs w:val="22"/>
          <w:lang w:eastAsia="en-GB"/>
          <w14:ligatures w14:val="none"/>
        </w:rPr>
      </w:pPr>
    </w:p>
    <w:p w14:paraId="5F3B8065" w14:textId="4195431D"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Creating a Culture of Accountability</w:t>
      </w:r>
    </w:p>
    <w:p w14:paraId="5272064D" w14:textId="77777777" w:rsidR="005501DA"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Managers must integrate digital transformation into performance management, setting clear expectations and holding employees accountable for using digital tools effectively. They must also provide feedback and recognise achievements. Kaufman (2019) argues that strategic HRM requires alignment between organisational goals and employee behaviour. Managers therefore play a central role in ensuring that digital transformation is embedded into everyday work practices.</w:t>
      </w:r>
    </w:p>
    <w:p w14:paraId="7493F5A5" w14:textId="77777777" w:rsidR="00BC71EC" w:rsidRPr="002301C3" w:rsidRDefault="00BC71EC" w:rsidP="00486A3C">
      <w:pPr>
        <w:spacing w:line="360" w:lineRule="auto"/>
        <w:jc w:val="both"/>
        <w:rPr>
          <w:rFonts w:ascii="Arial" w:hAnsi="Arial" w:cs="Arial"/>
          <w:sz w:val="22"/>
          <w:szCs w:val="22"/>
        </w:rPr>
      </w:pPr>
      <w:r w:rsidRPr="002301C3">
        <w:rPr>
          <w:rFonts w:ascii="Arial" w:hAnsi="Arial" w:cs="Arial"/>
          <w:sz w:val="22"/>
          <w:szCs w:val="22"/>
        </w:rPr>
        <w:t>Managers must ensure that digital transformation is embedded within performance expectations. Setting clear objectives and linking them to feedback and recognition reinforces accountability.</w:t>
      </w:r>
    </w:p>
    <w:p w14:paraId="6B43BBE4" w14:textId="77777777" w:rsidR="00BC71EC" w:rsidRPr="002301C3" w:rsidRDefault="00BC71EC" w:rsidP="00486A3C">
      <w:pPr>
        <w:spacing w:line="360" w:lineRule="auto"/>
        <w:jc w:val="both"/>
        <w:rPr>
          <w:rFonts w:ascii="Arial" w:hAnsi="Arial" w:cs="Arial"/>
          <w:sz w:val="22"/>
          <w:szCs w:val="22"/>
        </w:rPr>
      </w:pPr>
      <w:r w:rsidRPr="002301C3">
        <w:rPr>
          <w:rFonts w:ascii="Arial" w:hAnsi="Arial" w:cs="Arial"/>
          <w:sz w:val="22"/>
          <w:szCs w:val="22"/>
        </w:rPr>
        <w:t>However, an excessive focus on performance metrics may reduce employee motivation. Managers must therefore adopt a balanced approach that combines accountability with support and encouragement.</w:t>
      </w:r>
    </w:p>
    <w:p w14:paraId="49C7E120" w14:textId="77777777" w:rsidR="0040308D" w:rsidRPr="002301C3" w:rsidRDefault="0040308D" w:rsidP="00486A3C">
      <w:pPr>
        <w:spacing w:before="100" w:beforeAutospacing="1" w:after="100" w:afterAutospacing="1" w:line="360" w:lineRule="auto"/>
        <w:rPr>
          <w:rFonts w:ascii="Arial" w:eastAsia="Times New Roman" w:hAnsi="Arial" w:cs="Arial"/>
          <w:kern w:val="0"/>
          <w:sz w:val="22"/>
          <w:szCs w:val="22"/>
          <w:lang w:eastAsia="en-GB"/>
          <w14:ligatures w14:val="none"/>
        </w:rPr>
      </w:pPr>
    </w:p>
    <w:p w14:paraId="522FB972" w14:textId="250369B7"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b/>
          <w:bCs/>
          <w:kern w:val="0"/>
          <w:sz w:val="22"/>
          <w:szCs w:val="22"/>
          <w:lang w:eastAsia="en-GB"/>
          <w14:ligatures w14:val="none"/>
        </w:rPr>
        <w:t>Conclusion and Recommendations</w:t>
      </w:r>
    </w:p>
    <w:p w14:paraId="0BEA19D7" w14:textId="77777777"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The Digital Mail Portal represents a significant step in Aviva’s digital transformation journey, supporting efficiency, compliance, hybrid working and inclusive communication. When examined through the lenses of technological advancement, talent acquisition and retention, and DEI, it becomes clear that digital systems have far</w:t>
      </w:r>
      <w:r w:rsidRPr="002301C3">
        <w:rPr>
          <w:rFonts w:ascii="Arial" w:eastAsia="Times New Roman" w:hAnsi="Arial" w:cs="Arial"/>
          <w:kern w:val="0"/>
          <w:sz w:val="22"/>
          <w:szCs w:val="22"/>
          <w:lang w:eastAsia="en-GB"/>
          <w14:ligatures w14:val="none"/>
        </w:rPr>
        <w:noBreakHyphen/>
        <w:t>reaching implications for organisational culture and workforce capability. Contemporary HR practices such as digital skills training, hybrid working, inclusive technology design and values</w:t>
      </w:r>
      <w:r w:rsidRPr="002301C3">
        <w:rPr>
          <w:rFonts w:ascii="Arial" w:eastAsia="Times New Roman" w:hAnsi="Arial" w:cs="Arial"/>
          <w:kern w:val="0"/>
          <w:sz w:val="22"/>
          <w:szCs w:val="22"/>
          <w:lang w:eastAsia="en-GB"/>
          <w14:ligatures w14:val="none"/>
        </w:rPr>
        <w:noBreakHyphen/>
        <w:t>based recruitment support these factors. However, the success of these practices depends heavily on effective managerial leadership.</w:t>
      </w:r>
    </w:p>
    <w:p w14:paraId="2EEE1543" w14:textId="77777777" w:rsidR="008C67A5" w:rsidRPr="002301C3" w:rsidRDefault="008C67A5" w:rsidP="00486A3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301C3">
        <w:rPr>
          <w:rFonts w:ascii="Arial" w:eastAsia="Times New Roman" w:hAnsi="Arial" w:cs="Arial"/>
          <w:b/>
          <w:bCs/>
          <w:kern w:val="0"/>
          <w:sz w:val="22"/>
          <w:szCs w:val="22"/>
          <w:lang w:eastAsia="en-GB"/>
          <w14:ligatures w14:val="none"/>
        </w:rPr>
        <w:t>Recommendations</w:t>
      </w:r>
    </w:p>
    <w:p w14:paraId="7EB2821A" w14:textId="77777777" w:rsidR="008C67A5" w:rsidRPr="002301C3" w:rsidRDefault="008C67A5" w:rsidP="00486A3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lastRenderedPageBreak/>
        <w:t>Strengthen Digital Skills Training</w:t>
      </w:r>
      <w:r w:rsidRPr="002301C3">
        <w:rPr>
          <w:rFonts w:ascii="Arial" w:eastAsia="Times New Roman" w:hAnsi="Arial" w:cs="Arial"/>
          <w:b/>
          <w:bCs/>
          <w:kern w:val="0"/>
          <w:sz w:val="22"/>
          <w:szCs w:val="22"/>
          <w:lang w:eastAsia="en-GB"/>
          <w14:ligatures w14:val="none"/>
        </w:rPr>
        <w:t>:</w:t>
      </w:r>
      <w:r w:rsidRPr="002301C3">
        <w:rPr>
          <w:rFonts w:ascii="Arial" w:eastAsia="Times New Roman" w:hAnsi="Arial" w:cs="Arial"/>
          <w:kern w:val="0"/>
          <w:sz w:val="22"/>
          <w:szCs w:val="22"/>
          <w:lang w:eastAsia="en-GB"/>
          <w14:ligatures w14:val="none"/>
        </w:rPr>
        <w:t xml:space="preserve"> Aviva should expand training programmes to include advanced digital literacy and system</w:t>
      </w:r>
      <w:r w:rsidRPr="002301C3">
        <w:rPr>
          <w:rFonts w:ascii="Arial" w:eastAsia="Times New Roman" w:hAnsi="Arial" w:cs="Arial"/>
          <w:kern w:val="0"/>
          <w:sz w:val="22"/>
          <w:szCs w:val="22"/>
          <w:lang w:eastAsia="en-GB"/>
          <w14:ligatures w14:val="none"/>
        </w:rPr>
        <w:noBreakHyphen/>
        <w:t>specific modules to support continuous learning.</w:t>
      </w:r>
    </w:p>
    <w:p w14:paraId="21362CB0" w14:textId="77777777" w:rsidR="008C67A5" w:rsidRPr="002301C3" w:rsidRDefault="008C67A5" w:rsidP="00486A3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Enhance Change Management</w:t>
      </w:r>
      <w:r w:rsidRPr="002301C3">
        <w:rPr>
          <w:rFonts w:ascii="Arial" w:eastAsia="Times New Roman" w:hAnsi="Arial" w:cs="Arial"/>
          <w:b/>
          <w:bCs/>
          <w:kern w:val="0"/>
          <w:sz w:val="22"/>
          <w:szCs w:val="22"/>
          <w:lang w:eastAsia="en-GB"/>
          <w14:ligatures w14:val="none"/>
        </w:rPr>
        <w:t>:</w:t>
      </w:r>
      <w:r w:rsidRPr="002301C3">
        <w:rPr>
          <w:rFonts w:ascii="Arial" w:eastAsia="Times New Roman" w:hAnsi="Arial" w:cs="Arial"/>
          <w:kern w:val="0"/>
          <w:sz w:val="22"/>
          <w:szCs w:val="22"/>
          <w:lang w:eastAsia="en-GB"/>
          <w14:ligatures w14:val="none"/>
        </w:rPr>
        <w:t xml:space="preserve"> Managers should receive training in digital leadership and change management to improve adoption rates.</w:t>
      </w:r>
    </w:p>
    <w:p w14:paraId="365D1E8D" w14:textId="77777777" w:rsidR="008C67A5" w:rsidRPr="002301C3" w:rsidRDefault="008C67A5" w:rsidP="00486A3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Embed DEI into Digital Systems</w:t>
      </w:r>
      <w:r w:rsidRPr="002301C3">
        <w:rPr>
          <w:rFonts w:ascii="Arial" w:eastAsia="Times New Roman" w:hAnsi="Arial" w:cs="Arial"/>
          <w:b/>
          <w:bCs/>
          <w:kern w:val="0"/>
          <w:sz w:val="22"/>
          <w:szCs w:val="22"/>
          <w:lang w:eastAsia="en-GB"/>
          <w14:ligatures w14:val="none"/>
        </w:rPr>
        <w:t>:</w:t>
      </w:r>
      <w:r w:rsidRPr="002301C3">
        <w:rPr>
          <w:rFonts w:ascii="Arial" w:eastAsia="Times New Roman" w:hAnsi="Arial" w:cs="Arial"/>
          <w:kern w:val="0"/>
          <w:sz w:val="22"/>
          <w:szCs w:val="22"/>
          <w:lang w:eastAsia="en-GB"/>
          <w14:ligatures w14:val="none"/>
        </w:rPr>
        <w:t xml:space="preserve"> Aviva should continue to enhance accessibility features and monitor usage data to identify potential inequalities.</w:t>
      </w:r>
    </w:p>
    <w:p w14:paraId="2D69CD0F" w14:textId="77777777" w:rsidR="008C67A5" w:rsidRPr="002301C3" w:rsidRDefault="008C67A5" w:rsidP="00486A3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Align Performance Management with Digital Goals</w:t>
      </w:r>
      <w:r w:rsidRPr="002301C3">
        <w:rPr>
          <w:rFonts w:ascii="Arial" w:eastAsia="Times New Roman" w:hAnsi="Arial" w:cs="Arial"/>
          <w:b/>
          <w:bCs/>
          <w:kern w:val="0"/>
          <w:sz w:val="22"/>
          <w:szCs w:val="22"/>
          <w:lang w:eastAsia="en-GB"/>
          <w14:ligatures w14:val="none"/>
        </w:rPr>
        <w:t>:</w:t>
      </w:r>
      <w:r w:rsidRPr="002301C3">
        <w:rPr>
          <w:rFonts w:ascii="Arial" w:eastAsia="Times New Roman" w:hAnsi="Arial" w:cs="Arial"/>
          <w:kern w:val="0"/>
          <w:sz w:val="22"/>
          <w:szCs w:val="22"/>
          <w:lang w:eastAsia="en-GB"/>
          <w14:ligatures w14:val="none"/>
        </w:rPr>
        <w:t xml:space="preserve"> Managers should integrate digital efficiency metrics into performance reviews to reinforce accountability.</w:t>
      </w:r>
    </w:p>
    <w:p w14:paraId="4EEC7704" w14:textId="77777777" w:rsidR="008C67A5" w:rsidRPr="002301C3" w:rsidRDefault="008C67A5" w:rsidP="00486A3C">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Support Hybrid Working</w:t>
      </w:r>
      <w:r w:rsidRPr="002301C3">
        <w:rPr>
          <w:rFonts w:ascii="Arial" w:eastAsia="Times New Roman" w:hAnsi="Arial" w:cs="Arial"/>
          <w:b/>
          <w:bCs/>
          <w:kern w:val="0"/>
          <w:sz w:val="22"/>
          <w:szCs w:val="22"/>
          <w:lang w:eastAsia="en-GB"/>
          <w14:ligatures w14:val="none"/>
        </w:rPr>
        <w:t>:</w:t>
      </w:r>
      <w:r w:rsidRPr="002301C3">
        <w:rPr>
          <w:rFonts w:ascii="Arial" w:eastAsia="Times New Roman" w:hAnsi="Arial" w:cs="Arial"/>
          <w:kern w:val="0"/>
          <w:sz w:val="22"/>
          <w:szCs w:val="22"/>
          <w:lang w:eastAsia="en-GB"/>
          <w14:ligatures w14:val="none"/>
        </w:rPr>
        <w:t xml:space="preserve"> Continued investment in digital tools will strengthen Aviva’s employee value proposition and improve retention.</w:t>
      </w:r>
    </w:p>
    <w:p w14:paraId="609EA1A1" w14:textId="77777777" w:rsidR="008C67A5" w:rsidRPr="002301C3" w:rsidRDefault="008C67A5" w:rsidP="00486A3C">
      <w:pPr>
        <w:spacing w:before="100" w:beforeAutospacing="1" w:after="100" w:afterAutospacing="1" w:line="360" w:lineRule="auto"/>
        <w:rPr>
          <w:rFonts w:ascii="Arial" w:eastAsia="Times New Roman" w:hAnsi="Arial" w:cs="Arial"/>
          <w:kern w:val="0"/>
          <w:sz w:val="22"/>
          <w:szCs w:val="22"/>
          <w:lang w:eastAsia="en-GB"/>
          <w14:ligatures w14:val="none"/>
        </w:rPr>
      </w:pPr>
      <w:r w:rsidRPr="002301C3">
        <w:rPr>
          <w:rFonts w:ascii="Arial" w:eastAsia="Times New Roman" w:hAnsi="Arial" w:cs="Arial"/>
          <w:kern w:val="0"/>
          <w:sz w:val="22"/>
          <w:szCs w:val="22"/>
          <w:lang w:eastAsia="en-GB"/>
          <w14:ligatures w14:val="none"/>
        </w:rPr>
        <w:t>Overall, Aviva is well</w:t>
      </w:r>
      <w:r w:rsidRPr="002301C3">
        <w:rPr>
          <w:rFonts w:ascii="Arial" w:eastAsia="Times New Roman" w:hAnsi="Arial" w:cs="Arial"/>
          <w:kern w:val="0"/>
          <w:sz w:val="22"/>
          <w:szCs w:val="22"/>
          <w:lang w:eastAsia="en-GB"/>
          <w14:ligatures w14:val="none"/>
        </w:rPr>
        <w:noBreakHyphen/>
        <w:t>positioned to leverage digital transformation for long</w:t>
      </w:r>
      <w:r w:rsidRPr="002301C3">
        <w:rPr>
          <w:rFonts w:ascii="Arial" w:eastAsia="Times New Roman" w:hAnsi="Arial" w:cs="Arial"/>
          <w:kern w:val="0"/>
          <w:sz w:val="22"/>
          <w:szCs w:val="22"/>
          <w:lang w:eastAsia="en-GB"/>
          <w14:ligatures w14:val="none"/>
        </w:rPr>
        <w:noBreakHyphen/>
        <w:t xml:space="preserve">term success, </w:t>
      </w:r>
      <w:proofErr w:type="gramStart"/>
      <w:r w:rsidRPr="002301C3">
        <w:rPr>
          <w:rFonts w:ascii="Arial" w:eastAsia="Times New Roman" w:hAnsi="Arial" w:cs="Arial"/>
          <w:kern w:val="0"/>
          <w:sz w:val="22"/>
          <w:szCs w:val="22"/>
          <w:lang w:eastAsia="en-GB"/>
          <w14:ligatures w14:val="none"/>
        </w:rPr>
        <w:t>provided that</w:t>
      </w:r>
      <w:proofErr w:type="gramEnd"/>
      <w:r w:rsidRPr="002301C3">
        <w:rPr>
          <w:rFonts w:ascii="Arial" w:eastAsia="Times New Roman" w:hAnsi="Arial" w:cs="Arial"/>
          <w:kern w:val="0"/>
          <w:sz w:val="22"/>
          <w:szCs w:val="22"/>
          <w:lang w:eastAsia="en-GB"/>
          <w14:ligatures w14:val="none"/>
        </w:rPr>
        <w:t xml:space="preserve"> HR practices and managerial leadership remain aligned with organisational goals.</w:t>
      </w:r>
    </w:p>
    <w:p w14:paraId="5FA38812" w14:textId="0FDAAE69" w:rsidR="00FA308C" w:rsidRPr="007A7D34" w:rsidRDefault="008C67A5" w:rsidP="007A7D34">
      <w:pPr>
        <w:spacing w:line="276" w:lineRule="auto"/>
        <w:rPr>
          <w:rFonts w:ascii="Arial" w:hAnsi="Arial" w:cs="Arial"/>
          <w:sz w:val="22"/>
          <w:szCs w:val="22"/>
        </w:rPr>
      </w:pPr>
      <w:r w:rsidRPr="007A7D34">
        <w:rPr>
          <w:rFonts w:ascii="Arial" w:hAnsi="Arial" w:cs="Arial"/>
          <w:sz w:val="22"/>
          <w:szCs w:val="22"/>
        </w:rPr>
        <w:t xml:space="preserve">  </w:t>
      </w:r>
    </w:p>
    <w:p w14:paraId="51A79B82" w14:textId="066B770C" w:rsidR="008C67A5" w:rsidRPr="007A7D34" w:rsidRDefault="008C67A5" w:rsidP="007A7D34">
      <w:pPr>
        <w:spacing w:before="100" w:beforeAutospacing="1" w:after="100" w:afterAutospacing="1" w:line="276" w:lineRule="auto"/>
        <w:outlineLvl w:val="0"/>
        <w:rPr>
          <w:rFonts w:ascii="Arial" w:eastAsia="Times New Roman" w:hAnsi="Arial" w:cs="Arial"/>
          <w:b/>
          <w:bCs/>
          <w:kern w:val="36"/>
          <w:sz w:val="22"/>
          <w:szCs w:val="22"/>
          <w:lang w:eastAsia="en-GB"/>
          <w14:ligatures w14:val="none"/>
        </w:rPr>
      </w:pPr>
      <w:r w:rsidRPr="007A7D34">
        <w:rPr>
          <w:rFonts w:ascii="Arial" w:eastAsia="Times New Roman" w:hAnsi="Arial" w:cs="Arial"/>
          <w:b/>
          <w:bCs/>
          <w:kern w:val="36"/>
          <w:sz w:val="22"/>
          <w:szCs w:val="22"/>
          <w:lang w:eastAsia="en-GB"/>
          <w14:ligatures w14:val="none"/>
        </w:rPr>
        <w:t>Reference List</w:t>
      </w:r>
    </w:p>
    <w:p w14:paraId="2605B800"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Armstrong, M. and Taylor, S. (2014) </w:t>
      </w:r>
      <w:r w:rsidRPr="007A7D34">
        <w:rPr>
          <w:rFonts w:ascii="Arial" w:eastAsia="Times New Roman" w:hAnsi="Arial" w:cs="Arial"/>
          <w:i/>
          <w:iCs/>
          <w:kern w:val="0"/>
          <w:sz w:val="22"/>
          <w:szCs w:val="22"/>
          <w:lang w:eastAsia="en-GB"/>
          <w14:ligatures w14:val="none"/>
        </w:rPr>
        <w:t>Armstrong’s Handbook of Human Resource Management Practice</w:t>
      </w:r>
      <w:r w:rsidRPr="007A7D34">
        <w:rPr>
          <w:rFonts w:ascii="Arial" w:eastAsia="Times New Roman" w:hAnsi="Arial" w:cs="Arial"/>
          <w:kern w:val="0"/>
          <w:sz w:val="22"/>
          <w:szCs w:val="22"/>
          <w:lang w:eastAsia="en-GB"/>
          <w14:ligatures w14:val="none"/>
        </w:rPr>
        <w:t xml:space="preserve">. 13th </w:t>
      </w:r>
      <w:proofErr w:type="spellStart"/>
      <w:r w:rsidRPr="007A7D34">
        <w:rPr>
          <w:rFonts w:ascii="Arial" w:eastAsia="Times New Roman" w:hAnsi="Arial" w:cs="Arial"/>
          <w:kern w:val="0"/>
          <w:sz w:val="22"/>
          <w:szCs w:val="22"/>
          <w:lang w:eastAsia="en-GB"/>
          <w14:ligatures w14:val="none"/>
        </w:rPr>
        <w:t>edn</w:t>
      </w:r>
      <w:proofErr w:type="spellEnd"/>
      <w:r w:rsidRPr="007A7D34">
        <w:rPr>
          <w:rFonts w:ascii="Arial" w:eastAsia="Times New Roman" w:hAnsi="Arial" w:cs="Arial"/>
          <w:kern w:val="0"/>
          <w:sz w:val="22"/>
          <w:szCs w:val="22"/>
          <w:lang w:eastAsia="en-GB"/>
          <w14:ligatures w14:val="none"/>
        </w:rPr>
        <w:t>. London: Kogan Page.</w:t>
      </w:r>
    </w:p>
    <w:p w14:paraId="44708F72"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Bersin, J. (2020) ‘The role of HR in digital transformation’, </w:t>
      </w:r>
      <w:r w:rsidRPr="007A7D34">
        <w:rPr>
          <w:rFonts w:ascii="Arial" w:eastAsia="Times New Roman" w:hAnsi="Arial" w:cs="Arial"/>
          <w:i/>
          <w:iCs/>
          <w:kern w:val="0"/>
          <w:sz w:val="22"/>
          <w:szCs w:val="22"/>
          <w:lang w:eastAsia="en-GB"/>
          <w14:ligatures w14:val="none"/>
        </w:rPr>
        <w:t>HR Executive Review</w:t>
      </w:r>
      <w:r w:rsidRPr="007A7D34">
        <w:rPr>
          <w:rFonts w:ascii="Arial" w:eastAsia="Times New Roman" w:hAnsi="Arial" w:cs="Arial"/>
          <w:kern w:val="0"/>
          <w:sz w:val="22"/>
          <w:szCs w:val="22"/>
          <w:lang w:eastAsia="en-GB"/>
          <w14:ligatures w14:val="none"/>
        </w:rPr>
        <w:t>, 15(2), pp. 22–29.</w:t>
      </w:r>
    </w:p>
    <w:p w14:paraId="2D3BF224"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CIPD (2022) </w:t>
      </w:r>
      <w:r w:rsidRPr="007A7D34">
        <w:rPr>
          <w:rFonts w:ascii="Arial" w:eastAsia="Times New Roman" w:hAnsi="Arial" w:cs="Arial"/>
          <w:i/>
          <w:iCs/>
          <w:kern w:val="0"/>
          <w:sz w:val="22"/>
          <w:szCs w:val="22"/>
          <w:lang w:eastAsia="en-GB"/>
          <w14:ligatures w14:val="none"/>
        </w:rPr>
        <w:t>Diversity and Inclusion in the Workplace</w:t>
      </w:r>
      <w:r w:rsidRPr="007A7D34">
        <w:rPr>
          <w:rFonts w:ascii="Arial" w:eastAsia="Times New Roman" w:hAnsi="Arial" w:cs="Arial"/>
          <w:kern w:val="0"/>
          <w:sz w:val="22"/>
          <w:szCs w:val="22"/>
          <w:lang w:eastAsia="en-GB"/>
          <w14:ligatures w14:val="none"/>
        </w:rPr>
        <w:t>. London: CIPD.</w:t>
      </w:r>
    </w:p>
    <w:p w14:paraId="6FC50DDE"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CIPD (2023) </w:t>
      </w:r>
      <w:r w:rsidRPr="007A7D34">
        <w:rPr>
          <w:rFonts w:ascii="Arial" w:eastAsia="Times New Roman" w:hAnsi="Arial" w:cs="Arial"/>
          <w:i/>
          <w:iCs/>
          <w:kern w:val="0"/>
          <w:sz w:val="22"/>
          <w:szCs w:val="22"/>
          <w:lang w:eastAsia="en-GB"/>
          <w14:ligatures w14:val="none"/>
        </w:rPr>
        <w:t>Resourcing and Talent Planning Survey</w:t>
      </w:r>
      <w:r w:rsidRPr="007A7D34">
        <w:rPr>
          <w:rFonts w:ascii="Arial" w:eastAsia="Times New Roman" w:hAnsi="Arial" w:cs="Arial"/>
          <w:kern w:val="0"/>
          <w:sz w:val="22"/>
          <w:szCs w:val="22"/>
          <w:lang w:eastAsia="en-GB"/>
          <w14:ligatures w14:val="none"/>
        </w:rPr>
        <w:t>. London: CIPD.</w:t>
      </w:r>
    </w:p>
    <w:p w14:paraId="75B1DFBA"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Hunt, V., Prince, S., Dixon</w:t>
      </w:r>
      <w:r w:rsidRPr="007A7D34">
        <w:rPr>
          <w:rFonts w:ascii="Arial" w:eastAsia="Times New Roman" w:hAnsi="Arial" w:cs="Arial"/>
          <w:kern w:val="0"/>
          <w:sz w:val="22"/>
          <w:szCs w:val="22"/>
          <w:lang w:eastAsia="en-GB"/>
          <w14:ligatures w14:val="none"/>
        </w:rPr>
        <w:noBreakHyphen/>
        <w:t xml:space="preserve">Fyle, S. and Yee, L. (2018) </w:t>
      </w:r>
      <w:r w:rsidRPr="007A7D34">
        <w:rPr>
          <w:rFonts w:ascii="Arial" w:eastAsia="Times New Roman" w:hAnsi="Arial" w:cs="Arial"/>
          <w:i/>
          <w:iCs/>
          <w:kern w:val="0"/>
          <w:sz w:val="22"/>
          <w:szCs w:val="22"/>
          <w:lang w:eastAsia="en-GB"/>
          <w14:ligatures w14:val="none"/>
        </w:rPr>
        <w:t>Delivering Through Diversity</w:t>
      </w:r>
      <w:r w:rsidRPr="007A7D34">
        <w:rPr>
          <w:rFonts w:ascii="Arial" w:eastAsia="Times New Roman" w:hAnsi="Arial" w:cs="Arial"/>
          <w:kern w:val="0"/>
          <w:sz w:val="22"/>
          <w:szCs w:val="22"/>
          <w:lang w:eastAsia="en-GB"/>
          <w14:ligatures w14:val="none"/>
        </w:rPr>
        <w:t>. McKinsey &amp; Company.</w:t>
      </w:r>
    </w:p>
    <w:p w14:paraId="43E0D9EE"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Kaufman, B. (2019) ‘Strategic HRM and organisational performance’, </w:t>
      </w:r>
      <w:r w:rsidRPr="007A7D34">
        <w:rPr>
          <w:rFonts w:ascii="Arial" w:eastAsia="Times New Roman" w:hAnsi="Arial" w:cs="Arial"/>
          <w:i/>
          <w:iCs/>
          <w:kern w:val="0"/>
          <w:sz w:val="22"/>
          <w:szCs w:val="22"/>
          <w:lang w:eastAsia="en-GB"/>
          <w14:ligatures w14:val="none"/>
        </w:rPr>
        <w:t>Human Resource Management Review</w:t>
      </w:r>
      <w:r w:rsidRPr="007A7D34">
        <w:rPr>
          <w:rFonts w:ascii="Arial" w:eastAsia="Times New Roman" w:hAnsi="Arial" w:cs="Arial"/>
          <w:kern w:val="0"/>
          <w:sz w:val="22"/>
          <w:szCs w:val="22"/>
          <w:lang w:eastAsia="en-GB"/>
          <w14:ligatures w14:val="none"/>
        </w:rPr>
        <w:t>, 29(3), pp. 281–293.</w:t>
      </w:r>
    </w:p>
    <w:p w14:paraId="241566F0"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Leatherbarrow, C. and Fletcher, J. (2019) </w:t>
      </w:r>
      <w:r w:rsidRPr="007A7D34">
        <w:rPr>
          <w:rFonts w:ascii="Arial" w:eastAsia="Times New Roman" w:hAnsi="Arial" w:cs="Arial"/>
          <w:i/>
          <w:iCs/>
          <w:kern w:val="0"/>
          <w:sz w:val="22"/>
          <w:szCs w:val="22"/>
          <w:lang w:eastAsia="en-GB"/>
          <w14:ligatures w14:val="none"/>
        </w:rPr>
        <w:t>Introduction to Human Resource Management</w:t>
      </w:r>
      <w:r w:rsidRPr="007A7D34">
        <w:rPr>
          <w:rFonts w:ascii="Arial" w:eastAsia="Times New Roman" w:hAnsi="Arial" w:cs="Arial"/>
          <w:kern w:val="0"/>
          <w:sz w:val="22"/>
          <w:szCs w:val="22"/>
          <w:lang w:eastAsia="en-GB"/>
          <w14:ligatures w14:val="none"/>
        </w:rPr>
        <w:t xml:space="preserve">. 4th </w:t>
      </w:r>
      <w:proofErr w:type="spellStart"/>
      <w:r w:rsidRPr="007A7D34">
        <w:rPr>
          <w:rFonts w:ascii="Arial" w:eastAsia="Times New Roman" w:hAnsi="Arial" w:cs="Arial"/>
          <w:kern w:val="0"/>
          <w:sz w:val="22"/>
          <w:szCs w:val="22"/>
          <w:lang w:eastAsia="en-GB"/>
          <w14:ligatures w14:val="none"/>
        </w:rPr>
        <w:t>edn</w:t>
      </w:r>
      <w:proofErr w:type="spellEnd"/>
      <w:r w:rsidRPr="007A7D34">
        <w:rPr>
          <w:rFonts w:ascii="Arial" w:eastAsia="Times New Roman" w:hAnsi="Arial" w:cs="Arial"/>
          <w:kern w:val="0"/>
          <w:sz w:val="22"/>
          <w:szCs w:val="22"/>
          <w:lang w:eastAsia="en-GB"/>
          <w14:ligatures w14:val="none"/>
        </w:rPr>
        <w:t>. London: Kogan Page.</w:t>
      </w:r>
    </w:p>
    <w:p w14:paraId="641AD91B"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Mullins, L.J. and McLean, J. (2019) </w:t>
      </w:r>
      <w:r w:rsidRPr="007A7D34">
        <w:rPr>
          <w:rFonts w:ascii="Arial" w:eastAsia="Times New Roman" w:hAnsi="Arial" w:cs="Arial"/>
          <w:i/>
          <w:iCs/>
          <w:kern w:val="0"/>
          <w:sz w:val="22"/>
          <w:szCs w:val="22"/>
          <w:lang w:eastAsia="en-GB"/>
          <w14:ligatures w14:val="none"/>
        </w:rPr>
        <w:t>Organisational Behaviour in the Workplace</w:t>
      </w:r>
      <w:r w:rsidRPr="007A7D34">
        <w:rPr>
          <w:rFonts w:ascii="Arial" w:eastAsia="Times New Roman" w:hAnsi="Arial" w:cs="Arial"/>
          <w:kern w:val="0"/>
          <w:sz w:val="22"/>
          <w:szCs w:val="22"/>
          <w:lang w:eastAsia="en-GB"/>
          <w14:ligatures w14:val="none"/>
        </w:rPr>
        <w:t xml:space="preserve">. 12th </w:t>
      </w:r>
      <w:proofErr w:type="spellStart"/>
      <w:r w:rsidRPr="007A7D34">
        <w:rPr>
          <w:rFonts w:ascii="Arial" w:eastAsia="Times New Roman" w:hAnsi="Arial" w:cs="Arial"/>
          <w:kern w:val="0"/>
          <w:sz w:val="22"/>
          <w:szCs w:val="22"/>
          <w:lang w:eastAsia="en-GB"/>
          <w14:ligatures w14:val="none"/>
        </w:rPr>
        <w:t>edn</w:t>
      </w:r>
      <w:proofErr w:type="spellEnd"/>
      <w:r w:rsidRPr="007A7D34">
        <w:rPr>
          <w:rFonts w:ascii="Arial" w:eastAsia="Times New Roman" w:hAnsi="Arial" w:cs="Arial"/>
          <w:kern w:val="0"/>
          <w:sz w:val="22"/>
          <w:szCs w:val="22"/>
          <w:lang w:eastAsia="en-GB"/>
          <w14:ligatures w14:val="none"/>
        </w:rPr>
        <w:t>. Harlow: Pearson.</w:t>
      </w:r>
    </w:p>
    <w:p w14:paraId="7507CB6E"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t xml:space="preserve">Rees, G. (2015) </w:t>
      </w:r>
      <w:r w:rsidRPr="007A7D34">
        <w:rPr>
          <w:rFonts w:ascii="Arial" w:eastAsia="Times New Roman" w:hAnsi="Arial" w:cs="Arial"/>
          <w:i/>
          <w:iCs/>
          <w:kern w:val="0"/>
          <w:sz w:val="22"/>
          <w:szCs w:val="22"/>
          <w:lang w:eastAsia="en-GB"/>
          <w14:ligatures w14:val="none"/>
        </w:rPr>
        <w:t>Skills of Management and Leadership</w:t>
      </w:r>
      <w:r w:rsidRPr="007A7D34">
        <w:rPr>
          <w:rFonts w:ascii="Arial" w:eastAsia="Times New Roman" w:hAnsi="Arial" w:cs="Arial"/>
          <w:kern w:val="0"/>
          <w:sz w:val="22"/>
          <w:szCs w:val="22"/>
          <w:lang w:eastAsia="en-GB"/>
          <w14:ligatures w14:val="none"/>
        </w:rPr>
        <w:t>. London: Cengage.</w:t>
      </w:r>
    </w:p>
    <w:p w14:paraId="47142702" w14:textId="77777777" w:rsidR="008C67A5" w:rsidRPr="007A7D34" w:rsidRDefault="008C67A5" w:rsidP="007A7D34">
      <w:pPr>
        <w:spacing w:before="100" w:beforeAutospacing="1" w:after="100" w:afterAutospacing="1" w:line="276" w:lineRule="auto"/>
        <w:rPr>
          <w:rFonts w:ascii="Arial" w:eastAsia="Times New Roman" w:hAnsi="Arial" w:cs="Arial"/>
          <w:kern w:val="0"/>
          <w:sz w:val="22"/>
          <w:szCs w:val="22"/>
          <w:lang w:eastAsia="en-GB"/>
          <w14:ligatures w14:val="none"/>
        </w:rPr>
      </w:pPr>
      <w:r w:rsidRPr="007A7D34">
        <w:rPr>
          <w:rFonts w:ascii="Arial" w:eastAsia="Times New Roman" w:hAnsi="Arial" w:cs="Arial"/>
          <w:kern w:val="0"/>
          <w:sz w:val="22"/>
          <w:szCs w:val="22"/>
          <w:lang w:eastAsia="en-GB"/>
          <w14:ligatures w14:val="none"/>
        </w:rPr>
        <w:lastRenderedPageBreak/>
        <w:t xml:space="preserve">Wellington, P. (2011) </w:t>
      </w:r>
      <w:r w:rsidRPr="007A7D34">
        <w:rPr>
          <w:rFonts w:ascii="Arial" w:eastAsia="Times New Roman" w:hAnsi="Arial" w:cs="Arial"/>
          <w:i/>
          <w:iCs/>
          <w:kern w:val="0"/>
          <w:sz w:val="22"/>
          <w:szCs w:val="22"/>
          <w:lang w:eastAsia="en-GB"/>
          <w14:ligatures w14:val="none"/>
        </w:rPr>
        <w:t>Effective People Management</w:t>
      </w:r>
      <w:r w:rsidRPr="007A7D34">
        <w:rPr>
          <w:rFonts w:ascii="Arial" w:eastAsia="Times New Roman" w:hAnsi="Arial" w:cs="Arial"/>
          <w:kern w:val="0"/>
          <w:sz w:val="22"/>
          <w:szCs w:val="22"/>
          <w:lang w:eastAsia="en-GB"/>
          <w14:ligatures w14:val="none"/>
        </w:rPr>
        <w:t>. London: Kogan Page.</w:t>
      </w:r>
    </w:p>
    <w:p w14:paraId="0BD3B00B" w14:textId="77777777" w:rsidR="008C67A5" w:rsidRPr="007A7D34" w:rsidRDefault="008C67A5" w:rsidP="007A7D34">
      <w:pPr>
        <w:spacing w:line="276" w:lineRule="auto"/>
        <w:rPr>
          <w:rFonts w:ascii="Arial" w:hAnsi="Arial" w:cs="Arial"/>
          <w:sz w:val="22"/>
          <w:szCs w:val="22"/>
        </w:rPr>
      </w:pPr>
    </w:p>
    <w:sectPr w:rsidR="008C67A5" w:rsidRPr="007A7D34" w:rsidSect="009940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344AF"/>
    <w:multiLevelType w:val="multilevel"/>
    <w:tmpl w:val="41CA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0815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A5"/>
    <w:rsid w:val="00056369"/>
    <w:rsid w:val="000C4F8F"/>
    <w:rsid w:val="00103F80"/>
    <w:rsid w:val="00160F9C"/>
    <w:rsid w:val="00182572"/>
    <w:rsid w:val="002301C3"/>
    <w:rsid w:val="00241269"/>
    <w:rsid w:val="00270B0E"/>
    <w:rsid w:val="00273031"/>
    <w:rsid w:val="00296F11"/>
    <w:rsid w:val="002C7A29"/>
    <w:rsid w:val="0040308D"/>
    <w:rsid w:val="00406BD9"/>
    <w:rsid w:val="00486A3C"/>
    <w:rsid w:val="00487D70"/>
    <w:rsid w:val="005501DA"/>
    <w:rsid w:val="00555F04"/>
    <w:rsid w:val="005C7EB7"/>
    <w:rsid w:val="006C7578"/>
    <w:rsid w:val="006D01AE"/>
    <w:rsid w:val="006D7E9C"/>
    <w:rsid w:val="007624A6"/>
    <w:rsid w:val="007A7D34"/>
    <w:rsid w:val="007C0710"/>
    <w:rsid w:val="007E4271"/>
    <w:rsid w:val="008030C5"/>
    <w:rsid w:val="00834292"/>
    <w:rsid w:val="00884881"/>
    <w:rsid w:val="008C67A5"/>
    <w:rsid w:val="008D67F3"/>
    <w:rsid w:val="00994051"/>
    <w:rsid w:val="009A56AE"/>
    <w:rsid w:val="00A5515E"/>
    <w:rsid w:val="00A74D44"/>
    <w:rsid w:val="00AB6284"/>
    <w:rsid w:val="00BC71EC"/>
    <w:rsid w:val="00CC25EE"/>
    <w:rsid w:val="00CF1430"/>
    <w:rsid w:val="00D039FD"/>
    <w:rsid w:val="00EC2672"/>
    <w:rsid w:val="00F569A9"/>
    <w:rsid w:val="00FA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88CD4"/>
  <w15:chartTrackingRefBased/>
  <w15:docId w15:val="{F2366C05-266C-482D-8B00-3A134FAE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6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6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6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6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6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6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6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6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6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6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7A5"/>
    <w:rPr>
      <w:rFonts w:eastAsiaTheme="majorEastAsia" w:cstheme="majorBidi"/>
      <w:color w:val="272727" w:themeColor="text1" w:themeTint="D8"/>
    </w:rPr>
  </w:style>
  <w:style w:type="paragraph" w:styleId="Title">
    <w:name w:val="Title"/>
    <w:basedOn w:val="Normal"/>
    <w:next w:val="Normal"/>
    <w:link w:val="TitleChar"/>
    <w:uiPriority w:val="10"/>
    <w:qFormat/>
    <w:rsid w:val="008C6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67A5"/>
    <w:rPr>
      <w:i/>
      <w:iCs/>
      <w:color w:val="404040" w:themeColor="text1" w:themeTint="BF"/>
    </w:rPr>
  </w:style>
  <w:style w:type="paragraph" w:styleId="ListParagraph">
    <w:name w:val="List Paragraph"/>
    <w:basedOn w:val="Normal"/>
    <w:uiPriority w:val="34"/>
    <w:qFormat/>
    <w:rsid w:val="008C67A5"/>
    <w:pPr>
      <w:ind w:left="720"/>
      <w:contextualSpacing/>
    </w:pPr>
  </w:style>
  <w:style w:type="character" w:styleId="IntenseEmphasis">
    <w:name w:val="Intense Emphasis"/>
    <w:basedOn w:val="DefaultParagraphFont"/>
    <w:uiPriority w:val="21"/>
    <w:qFormat/>
    <w:rsid w:val="008C67A5"/>
    <w:rPr>
      <w:i/>
      <w:iCs/>
      <w:color w:val="0F4761" w:themeColor="accent1" w:themeShade="BF"/>
    </w:rPr>
  </w:style>
  <w:style w:type="paragraph" w:styleId="IntenseQuote">
    <w:name w:val="Intense Quote"/>
    <w:basedOn w:val="Normal"/>
    <w:next w:val="Normal"/>
    <w:link w:val="IntenseQuoteChar"/>
    <w:uiPriority w:val="30"/>
    <w:qFormat/>
    <w:rsid w:val="008C6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67A5"/>
    <w:rPr>
      <w:i/>
      <w:iCs/>
      <w:color w:val="0F4761" w:themeColor="accent1" w:themeShade="BF"/>
    </w:rPr>
  </w:style>
  <w:style w:type="character" w:styleId="IntenseReference">
    <w:name w:val="Intense Reference"/>
    <w:basedOn w:val="DefaultParagraphFont"/>
    <w:uiPriority w:val="32"/>
    <w:qFormat/>
    <w:rsid w:val="008C67A5"/>
    <w:rPr>
      <w:b/>
      <w:bCs/>
      <w:smallCaps/>
      <w:color w:val="0F4761" w:themeColor="accent1" w:themeShade="BF"/>
      <w:spacing w:val="5"/>
    </w:rPr>
  </w:style>
  <w:style w:type="character" w:styleId="Strong">
    <w:name w:val="Strong"/>
    <w:basedOn w:val="DefaultParagraphFont"/>
    <w:uiPriority w:val="22"/>
    <w:qFormat/>
    <w:rsid w:val="008C67A5"/>
    <w:rPr>
      <w:b/>
      <w:bCs/>
    </w:rPr>
  </w:style>
  <w:style w:type="paragraph" w:styleId="NoSpacing">
    <w:name w:val="No Spacing"/>
    <w:link w:val="NoSpacingChar"/>
    <w:uiPriority w:val="1"/>
    <w:qFormat/>
    <w:rsid w:val="0099405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4051"/>
    <w:rPr>
      <w:rFonts w:eastAsiaTheme="minorEastAsia"/>
      <w:kern w:val="0"/>
      <w:sz w:val="22"/>
      <w:szCs w:val="22"/>
      <w:lang w:val="en-US"/>
      <w14:ligatures w14:val="none"/>
    </w:rPr>
  </w:style>
  <w:style w:type="paragraph" w:styleId="NormalWeb">
    <w:name w:val="Normal (Web)"/>
    <w:basedOn w:val="Normal"/>
    <w:uiPriority w:val="99"/>
    <w:unhideWhenUsed/>
    <w:rsid w:val="00EC26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LineNumber">
    <w:name w:val="line number"/>
    <w:basedOn w:val="DefaultParagraphFont"/>
    <w:uiPriority w:val="99"/>
    <w:semiHidden/>
    <w:unhideWhenUsed/>
    <w:rsid w:val="00A55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Daazie</dc:creator>
  <cp:keywords/>
  <dc:description/>
  <cp:lastModifiedBy>Evans Daazie</cp:lastModifiedBy>
  <cp:revision>2</cp:revision>
  <dcterms:created xsi:type="dcterms:W3CDTF">2026-04-30T22:32:00Z</dcterms:created>
  <dcterms:modified xsi:type="dcterms:W3CDTF">2026-04-30T22:32:00Z</dcterms:modified>
</cp:coreProperties>
</file>