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E1656" w:rsidRDefault="00607B6E">
      <w:pPr>
        <w:rPr>
          <w:rStyle w:val="Emphasis"/>
          <w:rFonts w:ascii="Arial" w:hAnsi="Arial" w:cs="Arial"/>
          <w:b/>
          <w:i w:val="0"/>
          <w:color w:val="373A3C"/>
          <w:sz w:val="21"/>
          <w:szCs w:val="21"/>
          <w:shd w:val="clear" w:color="auto" w:fill="FFFFFF"/>
        </w:rPr>
      </w:pPr>
      <w:r w:rsidRPr="007914FD">
        <w:rPr>
          <w:rStyle w:val="Emphasis"/>
          <w:rFonts w:ascii="Arial" w:hAnsi="Arial" w:cs="Arial"/>
          <w:b/>
          <w:i w:val="0"/>
          <w:color w:val="373A3C"/>
          <w:sz w:val="21"/>
          <w:szCs w:val="21"/>
          <w:shd w:val="clear" w:color="auto" w:fill="FFFFFF"/>
        </w:rPr>
        <w:t>How can coinage be used to reconstruct socio-political developments in Roman Britain during the 100 years prior to Claudius’ invasion in AD43? Based on coinage and complementary evidence, discuss the extent to which the terms ‘tribe’ and ‘state’ are appropriate when describing this period?</w:t>
      </w:r>
    </w:p>
    <w:p w:rsidR="007914FD" w:rsidRDefault="007914FD">
      <w:pPr>
        <w:rPr>
          <w:rStyle w:val="Emphasis"/>
          <w:rFonts w:ascii="Arial" w:hAnsi="Arial" w:cs="Arial"/>
          <w:color w:val="373A3C"/>
          <w:sz w:val="21"/>
          <w:szCs w:val="21"/>
          <w:shd w:val="clear" w:color="auto" w:fill="FFFFFF"/>
        </w:rPr>
      </w:pPr>
      <w:r>
        <w:rPr>
          <w:rStyle w:val="Emphasis"/>
          <w:rFonts w:ascii="Arial" w:hAnsi="Arial" w:cs="Arial"/>
          <w:color w:val="373A3C"/>
          <w:sz w:val="21"/>
          <w:szCs w:val="21"/>
          <w:shd w:val="clear" w:color="auto" w:fill="FFFFFF"/>
        </w:rPr>
        <w:t xml:space="preserve">‘They live in </w:t>
      </w:r>
      <w:proofErr w:type="spellStart"/>
      <w:r>
        <w:rPr>
          <w:rStyle w:val="Emphasis"/>
          <w:rFonts w:ascii="Arial" w:hAnsi="Arial" w:cs="Arial"/>
          <w:color w:val="373A3C"/>
          <w:sz w:val="21"/>
          <w:szCs w:val="21"/>
          <w:shd w:val="clear" w:color="auto" w:fill="FFFFFF"/>
        </w:rPr>
        <w:t>unwalled</w:t>
      </w:r>
      <w:proofErr w:type="spellEnd"/>
      <w:r>
        <w:rPr>
          <w:rStyle w:val="Emphasis"/>
          <w:rFonts w:ascii="Arial" w:hAnsi="Arial" w:cs="Arial"/>
          <w:color w:val="373A3C"/>
          <w:sz w:val="21"/>
          <w:szCs w:val="21"/>
          <w:shd w:val="clear" w:color="auto" w:fill="FFFFFF"/>
        </w:rPr>
        <w:t xml:space="preserve"> villages, without any superfluous furniture; for as they slept on a bed of leaves, and fed on meat, and were extensively occupied with war and agriculture, their lives were very simple... Their possessions consisted of cattle and gold, because these were the only things they could carry about them everywhere according to circumstances, and shift where they chose.’ – Polybius, Histories, 2.7, 8-12</w:t>
      </w:r>
      <w:r>
        <w:rPr>
          <w:rStyle w:val="FootnoteReference"/>
          <w:rFonts w:ascii="Arial" w:hAnsi="Arial" w:cs="Arial"/>
          <w:i/>
          <w:iCs/>
          <w:color w:val="373A3C"/>
          <w:sz w:val="21"/>
          <w:szCs w:val="21"/>
          <w:shd w:val="clear" w:color="auto" w:fill="FFFFFF"/>
        </w:rPr>
        <w:footnoteReference w:id="1"/>
      </w:r>
    </w:p>
    <w:p w:rsidR="00607B6E" w:rsidRDefault="00943F37">
      <w:pPr>
        <w:rPr>
          <w:rStyle w:val="Emphasis"/>
          <w:rFonts w:ascii="Arial" w:hAnsi="Arial" w:cs="Arial"/>
          <w:i w:val="0"/>
          <w:color w:val="373A3C"/>
          <w:sz w:val="21"/>
          <w:szCs w:val="21"/>
          <w:shd w:val="clear" w:color="auto" w:fill="FFFFFF"/>
        </w:rPr>
      </w:pPr>
      <w:r>
        <w:rPr>
          <w:rStyle w:val="Emphasis"/>
          <w:rFonts w:ascii="Arial" w:hAnsi="Arial" w:cs="Arial"/>
          <w:i w:val="0"/>
          <w:color w:val="373A3C"/>
          <w:sz w:val="21"/>
          <w:szCs w:val="21"/>
          <w:shd w:val="clear" w:color="auto" w:fill="FFFFFF"/>
        </w:rPr>
        <w:t>The ‘Celts’ lack literary evidence of documents</w:t>
      </w:r>
      <w:r>
        <w:rPr>
          <w:rStyle w:val="FootnoteReference"/>
          <w:rFonts w:ascii="Arial" w:hAnsi="Arial" w:cs="Arial"/>
          <w:iCs/>
          <w:color w:val="373A3C"/>
          <w:sz w:val="21"/>
          <w:szCs w:val="21"/>
          <w:shd w:val="clear" w:color="auto" w:fill="FFFFFF"/>
        </w:rPr>
        <w:footnoteReference w:id="2"/>
      </w:r>
      <w:r w:rsidR="00EC6AC5">
        <w:rPr>
          <w:rStyle w:val="Emphasis"/>
          <w:rFonts w:ascii="Arial" w:hAnsi="Arial" w:cs="Arial"/>
          <w:i w:val="0"/>
          <w:color w:val="373A3C"/>
          <w:sz w:val="21"/>
          <w:szCs w:val="21"/>
          <w:shd w:val="clear" w:color="auto" w:fill="FFFFFF"/>
        </w:rPr>
        <w:t xml:space="preserve"> </w:t>
      </w:r>
      <w:r>
        <w:rPr>
          <w:rStyle w:val="Emphasis"/>
          <w:rFonts w:ascii="Arial" w:hAnsi="Arial" w:cs="Arial"/>
          <w:i w:val="0"/>
          <w:color w:val="373A3C"/>
          <w:sz w:val="21"/>
          <w:szCs w:val="21"/>
          <w:shd w:val="clear" w:color="auto" w:fill="FFFFFF"/>
        </w:rPr>
        <w:t>so all we have to date, categorize and sift through are the writings of contemporaries and their view of the ‘Celts’. From the literary evidence provided by the contemporary sources from Strabo to Caesar we can discern very little of the society in which the ‘Celts’ lived except how they are portrayed by external persons whom had little to no interaction with Britain as a whole, or from Caesar’s work which if not entirely reliable or accurate, like a lot of early sources for Britannia seem to be. This is why it is important to look into the archaeological record for other sources to cross-compare against the literary texts; this can be done through various methods such as pottery fragments, metalworking finds, art, or even through coinage which will be demonstrated at length throughout this piece</w:t>
      </w:r>
      <w:r w:rsidR="00EC6AC5">
        <w:rPr>
          <w:rStyle w:val="Emphasis"/>
          <w:rFonts w:ascii="Arial" w:hAnsi="Arial" w:cs="Arial"/>
          <w:i w:val="0"/>
          <w:color w:val="373A3C"/>
          <w:sz w:val="21"/>
          <w:szCs w:val="21"/>
          <w:shd w:val="clear" w:color="auto" w:fill="FFFFFF"/>
        </w:rPr>
        <w:t xml:space="preserve">. </w:t>
      </w:r>
      <w:r w:rsidR="00342C59">
        <w:rPr>
          <w:rStyle w:val="Emphasis"/>
          <w:rFonts w:ascii="Arial" w:hAnsi="Arial" w:cs="Arial"/>
          <w:i w:val="0"/>
          <w:color w:val="373A3C"/>
          <w:sz w:val="21"/>
          <w:szCs w:val="21"/>
          <w:shd w:val="clear" w:color="auto" w:fill="FFFFFF"/>
        </w:rPr>
        <w:t xml:space="preserve"> While working with coinage there appear to be six stages of the coin’s life in which we should focus on for this; What Authority has decided to mint the coins and why, then secondly which raw materials were used and financed, then when the coin is struck, followed by the distribution and circulation of the coin, and finally whether the coin is preserved, how it is preserved, or whether it was either </w:t>
      </w:r>
      <w:proofErr w:type="spellStart"/>
      <w:r w:rsidR="00342C59">
        <w:rPr>
          <w:rStyle w:val="Emphasis"/>
          <w:rFonts w:ascii="Arial" w:hAnsi="Arial" w:cs="Arial"/>
          <w:i w:val="0"/>
          <w:color w:val="373A3C"/>
          <w:sz w:val="21"/>
          <w:szCs w:val="21"/>
          <w:shd w:val="clear" w:color="auto" w:fill="FFFFFF"/>
        </w:rPr>
        <w:t>reforged</w:t>
      </w:r>
      <w:proofErr w:type="spellEnd"/>
      <w:r w:rsidR="00342C59">
        <w:rPr>
          <w:rStyle w:val="Emphasis"/>
          <w:rFonts w:ascii="Arial" w:hAnsi="Arial" w:cs="Arial"/>
          <w:i w:val="0"/>
          <w:color w:val="373A3C"/>
          <w:sz w:val="21"/>
          <w:szCs w:val="21"/>
          <w:shd w:val="clear" w:color="auto" w:fill="FFFFFF"/>
        </w:rPr>
        <w:t xml:space="preserve"> or purposely destroyed.</w:t>
      </w:r>
      <w:r w:rsidR="00487C23">
        <w:rPr>
          <w:rStyle w:val="FootnoteReference"/>
          <w:rFonts w:ascii="Arial" w:hAnsi="Arial" w:cs="Arial"/>
          <w:iCs/>
          <w:color w:val="373A3C"/>
          <w:sz w:val="21"/>
          <w:szCs w:val="21"/>
          <w:shd w:val="clear" w:color="auto" w:fill="FFFFFF"/>
        </w:rPr>
        <w:footnoteReference w:id="3"/>
      </w:r>
      <w:r w:rsidR="00342C59">
        <w:rPr>
          <w:rStyle w:val="Emphasis"/>
          <w:rFonts w:ascii="Arial" w:hAnsi="Arial" w:cs="Arial"/>
          <w:i w:val="0"/>
          <w:color w:val="373A3C"/>
          <w:sz w:val="21"/>
          <w:szCs w:val="21"/>
          <w:shd w:val="clear" w:color="auto" w:fill="FFFFFF"/>
        </w:rPr>
        <w:t xml:space="preserve"> </w:t>
      </w:r>
    </w:p>
    <w:p w:rsidR="00EC6AC5" w:rsidRDefault="00EC6AC5">
      <w:pPr>
        <w:rPr>
          <w:rStyle w:val="Emphasis"/>
          <w:rFonts w:ascii="Arial" w:hAnsi="Arial" w:cs="Arial"/>
          <w:i w:val="0"/>
          <w:color w:val="373A3C"/>
          <w:sz w:val="21"/>
          <w:szCs w:val="21"/>
          <w:shd w:val="clear" w:color="auto" w:fill="FFFFFF"/>
        </w:rPr>
      </w:pPr>
      <w:r>
        <w:rPr>
          <w:rStyle w:val="Emphasis"/>
          <w:rFonts w:ascii="Arial" w:hAnsi="Arial" w:cs="Arial"/>
          <w:i w:val="0"/>
          <w:color w:val="373A3C"/>
          <w:sz w:val="21"/>
          <w:szCs w:val="21"/>
          <w:shd w:val="clear" w:color="auto" w:fill="FFFFFF"/>
        </w:rPr>
        <w:t>From the continent we see the emergence of ‘Celtic’ coinage starting from the 3</w:t>
      </w:r>
      <w:r w:rsidRPr="00EC6AC5">
        <w:rPr>
          <w:rStyle w:val="Emphasis"/>
          <w:rFonts w:ascii="Arial" w:hAnsi="Arial" w:cs="Arial"/>
          <w:i w:val="0"/>
          <w:color w:val="373A3C"/>
          <w:sz w:val="21"/>
          <w:szCs w:val="21"/>
          <w:shd w:val="clear" w:color="auto" w:fill="FFFFFF"/>
          <w:vertAlign w:val="superscript"/>
        </w:rPr>
        <w:t>rd</w:t>
      </w:r>
      <w:r>
        <w:rPr>
          <w:rStyle w:val="Emphasis"/>
          <w:rFonts w:ascii="Arial" w:hAnsi="Arial" w:cs="Arial"/>
          <w:i w:val="0"/>
          <w:color w:val="373A3C"/>
          <w:sz w:val="21"/>
          <w:szCs w:val="21"/>
          <w:shd w:val="clear" w:color="auto" w:fill="FFFFFF"/>
        </w:rPr>
        <w:t xml:space="preserve"> Century BC</w:t>
      </w:r>
      <w:r w:rsidR="00342C59">
        <w:rPr>
          <w:rStyle w:val="FootnoteReference"/>
          <w:rFonts w:ascii="Arial" w:hAnsi="Arial" w:cs="Arial"/>
          <w:iCs/>
          <w:color w:val="373A3C"/>
          <w:sz w:val="21"/>
          <w:szCs w:val="21"/>
          <w:shd w:val="clear" w:color="auto" w:fill="FFFFFF"/>
        </w:rPr>
        <w:footnoteReference w:id="4"/>
      </w:r>
      <w:r w:rsidR="00342C59">
        <w:rPr>
          <w:rStyle w:val="Emphasis"/>
          <w:rFonts w:ascii="Arial" w:hAnsi="Arial" w:cs="Arial"/>
          <w:i w:val="0"/>
          <w:color w:val="373A3C"/>
          <w:sz w:val="21"/>
          <w:szCs w:val="21"/>
          <w:shd w:val="clear" w:color="auto" w:fill="FFFFFF"/>
        </w:rPr>
        <w:t xml:space="preserve"> which appear to be copies of those coins produced</w:t>
      </w:r>
      <w:r w:rsidR="00487C23">
        <w:rPr>
          <w:rStyle w:val="Emphasis"/>
          <w:rFonts w:ascii="Arial" w:hAnsi="Arial" w:cs="Arial"/>
          <w:i w:val="0"/>
          <w:color w:val="373A3C"/>
          <w:sz w:val="21"/>
          <w:szCs w:val="21"/>
          <w:shd w:val="clear" w:color="auto" w:fill="FFFFFF"/>
        </w:rPr>
        <w:t xml:space="preserve"> and seem to have an interconnected link between the Celtic World and the Mediterranean</w:t>
      </w:r>
      <w:r w:rsidR="00487C23">
        <w:rPr>
          <w:rStyle w:val="FootnoteReference"/>
          <w:rFonts w:ascii="Arial" w:hAnsi="Arial" w:cs="Arial"/>
          <w:iCs/>
          <w:color w:val="373A3C"/>
          <w:sz w:val="21"/>
          <w:szCs w:val="21"/>
          <w:shd w:val="clear" w:color="auto" w:fill="FFFFFF"/>
        </w:rPr>
        <w:footnoteReference w:id="5"/>
      </w:r>
      <w:r w:rsidR="00487C23">
        <w:rPr>
          <w:rStyle w:val="Emphasis"/>
          <w:rFonts w:ascii="Arial" w:hAnsi="Arial" w:cs="Arial"/>
          <w:i w:val="0"/>
          <w:color w:val="373A3C"/>
          <w:sz w:val="21"/>
          <w:szCs w:val="21"/>
          <w:shd w:val="clear" w:color="auto" w:fill="FFFFFF"/>
        </w:rPr>
        <w:t xml:space="preserve"> </w:t>
      </w:r>
      <w:r w:rsidR="00062C56">
        <w:rPr>
          <w:rStyle w:val="Emphasis"/>
          <w:rFonts w:ascii="Arial" w:hAnsi="Arial" w:cs="Arial"/>
          <w:i w:val="0"/>
          <w:color w:val="373A3C"/>
          <w:sz w:val="21"/>
          <w:szCs w:val="21"/>
          <w:shd w:val="clear" w:color="auto" w:fill="FFFFFF"/>
        </w:rPr>
        <w:t>between the 4</w:t>
      </w:r>
      <w:r w:rsidR="00062C56" w:rsidRPr="00062C56">
        <w:rPr>
          <w:rStyle w:val="Emphasis"/>
          <w:rFonts w:ascii="Arial" w:hAnsi="Arial" w:cs="Arial"/>
          <w:i w:val="0"/>
          <w:color w:val="373A3C"/>
          <w:sz w:val="21"/>
          <w:szCs w:val="21"/>
          <w:shd w:val="clear" w:color="auto" w:fill="FFFFFF"/>
          <w:vertAlign w:val="superscript"/>
        </w:rPr>
        <w:t>th</w:t>
      </w:r>
      <w:r w:rsidR="00062C56">
        <w:rPr>
          <w:rStyle w:val="Emphasis"/>
          <w:rFonts w:ascii="Arial" w:hAnsi="Arial" w:cs="Arial"/>
          <w:i w:val="0"/>
          <w:color w:val="373A3C"/>
          <w:sz w:val="21"/>
          <w:szCs w:val="21"/>
          <w:shd w:val="clear" w:color="auto" w:fill="FFFFFF"/>
        </w:rPr>
        <w:t xml:space="preserve"> to 1</w:t>
      </w:r>
      <w:r w:rsidR="00062C56" w:rsidRPr="00062C56">
        <w:rPr>
          <w:rStyle w:val="Emphasis"/>
          <w:rFonts w:ascii="Arial" w:hAnsi="Arial" w:cs="Arial"/>
          <w:i w:val="0"/>
          <w:color w:val="373A3C"/>
          <w:sz w:val="21"/>
          <w:szCs w:val="21"/>
          <w:shd w:val="clear" w:color="auto" w:fill="FFFFFF"/>
          <w:vertAlign w:val="superscript"/>
        </w:rPr>
        <w:t>st</w:t>
      </w:r>
      <w:r w:rsidR="00062C56">
        <w:rPr>
          <w:rStyle w:val="Emphasis"/>
          <w:rFonts w:ascii="Arial" w:hAnsi="Arial" w:cs="Arial"/>
          <w:i w:val="0"/>
          <w:color w:val="373A3C"/>
          <w:sz w:val="21"/>
          <w:szCs w:val="21"/>
          <w:shd w:val="clear" w:color="auto" w:fill="FFFFFF"/>
        </w:rPr>
        <w:t xml:space="preserve"> century BC where the Celtic Coinage upon the continent seems to emerge.</w:t>
      </w:r>
      <w:r w:rsidR="00062C56">
        <w:rPr>
          <w:rStyle w:val="FootnoteReference"/>
          <w:rFonts w:ascii="Arial" w:hAnsi="Arial" w:cs="Arial"/>
          <w:iCs/>
          <w:color w:val="373A3C"/>
          <w:sz w:val="21"/>
          <w:szCs w:val="21"/>
          <w:shd w:val="clear" w:color="auto" w:fill="FFFFFF"/>
        </w:rPr>
        <w:footnoteReference w:id="6"/>
      </w:r>
      <w:r w:rsidR="00062C56">
        <w:rPr>
          <w:rStyle w:val="Emphasis"/>
          <w:rFonts w:ascii="Arial" w:hAnsi="Arial" w:cs="Arial"/>
          <w:i w:val="0"/>
          <w:color w:val="373A3C"/>
          <w:sz w:val="21"/>
          <w:szCs w:val="21"/>
          <w:shd w:val="clear" w:color="auto" w:fill="FFFFFF"/>
        </w:rPr>
        <w:t xml:space="preserve"> Coinage upon the island of Britain however seems to start around the 1</w:t>
      </w:r>
      <w:r w:rsidR="00062C56" w:rsidRPr="00062C56">
        <w:rPr>
          <w:rStyle w:val="Emphasis"/>
          <w:rFonts w:ascii="Arial" w:hAnsi="Arial" w:cs="Arial"/>
          <w:i w:val="0"/>
          <w:color w:val="373A3C"/>
          <w:sz w:val="21"/>
          <w:szCs w:val="21"/>
          <w:shd w:val="clear" w:color="auto" w:fill="FFFFFF"/>
          <w:vertAlign w:val="superscript"/>
        </w:rPr>
        <w:t>st</w:t>
      </w:r>
      <w:r w:rsidR="00062C56">
        <w:rPr>
          <w:rStyle w:val="Emphasis"/>
          <w:rFonts w:ascii="Arial" w:hAnsi="Arial" w:cs="Arial"/>
          <w:i w:val="0"/>
          <w:color w:val="373A3C"/>
          <w:sz w:val="21"/>
          <w:szCs w:val="21"/>
          <w:shd w:val="clear" w:color="auto" w:fill="FFFFFF"/>
        </w:rPr>
        <w:t xml:space="preserve"> Century BC which is much later than that of the continent, it is in fact the last major region in the Celtic Region to mint coins but also the most complicated of the coin systems.</w:t>
      </w:r>
      <w:r w:rsidR="00062C56">
        <w:rPr>
          <w:rStyle w:val="FootnoteReference"/>
          <w:rFonts w:ascii="Arial" w:hAnsi="Arial" w:cs="Arial"/>
          <w:iCs/>
          <w:color w:val="373A3C"/>
          <w:sz w:val="21"/>
          <w:szCs w:val="21"/>
          <w:shd w:val="clear" w:color="auto" w:fill="FFFFFF"/>
        </w:rPr>
        <w:footnoteReference w:id="7"/>
      </w:r>
      <w:r w:rsidR="00062C56">
        <w:rPr>
          <w:rStyle w:val="Emphasis"/>
          <w:rFonts w:ascii="Arial" w:hAnsi="Arial" w:cs="Arial"/>
          <w:i w:val="0"/>
          <w:color w:val="373A3C"/>
          <w:sz w:val="21"/>
          <w:szCs w:val="21"/>
          <w:shd w:val="clear" w:color="auto" w:fill="FFFFFF"/>
        </w:rPr>
        <w:t xml:space="preserve"> The first of the coins seem to resemble (abstractly) the coinage which circulated in the era of Alexander the Great, throughout the continent of Europe the images change over time and geographically but the more and more abstract prints mirror their passage to the island of Britain.</w:t>
      </w:r>
      <w:r w:rsidR="00062C56">
        <w:rPr>
          <w:rStyle w:val="FootnoteReference"/>
          <w:rFonts w:ascii="Arial" w:hAnsi="Arial" w:cs="Arial"/>
          <w:iCs/>
          <w:color w:val="373A3C"/>
          <w:sz w:val="21"/>
          <w:szCs w:val="21"/>
          <w:shd w:val="clear" w:color="auto" w:fill="FFFFFF"/>
        </w:rPr>
        <w:footnoteReference w:id="8"/>
      </w:r>
      <w:r w:rsidR="00062C56">
        <w:rPr>
          <w:rStyle w:val="Emphasis"/>
          <w:rFonts w:ascii="Arial" w:hAnsi="Arial" w:cs="Arial"/>
          <w:i w:val="0"/>
          <w:color w:val="373A3C"/>
          <w:sz w:val="21"/>
          <w:szCs w:val="21"/>
          <w:shd w:val="clear" w:color="auto" w:fill="FFFFFF"/>
        </w:rPr>
        <w:t xml:space="preserve"> It is suggested that these early copied images could be construed as a link to the Greek world in the time of Alexander where Celtic Mercenaries could have been hired and taken the coin back to their respective countries and then copied by those peoples</w:t>
      </w:r>
      <w:r w:rsidR="00062C56">
        <w:rPr>
          <w:rStyle w:val="FootnoteReference"/>
          <w:rFonts w:ascii="Arial" w:hAnsi="Arial" w:cs="Arial"/>
          <w:iCs/>
          <w:color w:val="373A3C"/>
          <w:sz w:val="21"/>
          <w:szCs w:val="21"/>
          <w:shd w:val="clear" w:color="auto" w:fill="FFFFFF"/>
        </w:rPr>
        <w:footnoteReference w:id="9"/>
      </w:r>
      <w:r w:rsidR="00062C56">
        <w:rPr>
          <w:rStyle w:val="Emphasis"/>
          <w:rFonts w:ascii="Arial" w:hAnsi="Arial" w:cs="Arial"/>
          <w:i w:val="0"/>
          <w:color w:val="373A3C"/>
          <w:sz w:val="21"/>
          <w:szCs w:val="21"/>
          <w:shd w:val="clear" w:color="auto" w:fill="FFFFFF"/>
        </w:rPr>
        <w:t xml:space="preserve">, or in fact a link to the widely manufactured and circulated coins of the Greek and seen as a universal currency throughout the </w:t>
      </w:r>
      <w:r w:rsidR="00095F27">
        <w:rPr>
          <w:rStyle w:val="Emphasis"/>
          <w:rFonts w:ascii="Arial" w:hAnsi="Arial" w:cs="Arial"/>
          <w:i w:val="0"/>
          <w:color w:val="373A3C"/>
          <w:sz w:val="21"/>
          <w:szCs w:val="21"/>
          <w:shd w:val="clear" w:color="auto" w:fill="FFFFFF"/>
        </w:rPr>
        <w:t xml:space="preserve">continent and through connections with the </w:t>
      </w:r>
      <w:proofErr w:type="spellStart"/>
      <w:r w:rsidR="00095F27">
        <w:rPr>
          <w:rStyle w:val="Emphasis"/>
          <w:rFonts w:ascii="Arial" w:hAnsi="Arial" w:cs="Arial"/>
          <w:i w:val="0"/>
          <w:color w:val="373A3C"/>
          <w:sz w:val="21"/>
          <w:szCs w:val="21"/>
          <w:shd w:val="clear" w:color="auto" w:fill="FFFFFF"/>
        </w:rPr>
        <w:t>Gaullo</w:t>
      </w:r>
      <w:proofErr w:type="spellEnd"/>
      <w:r w:rsidR="00095F27">
        <w:rPr>
          <w:rStyle w:val="Emphasis"/>
          <w:rFonts w:ascii="Arial" w:hAnsi="Arial" w:cs="Arial"/>
          <w:i w:val="0"/>
          <w:color w:val="373A3C"/>
          <w:sz w:val="21"/>
          <w:szCs w:val="21"/>
          <w:shd w:val="clear" w:color="auto" w:fill="FFFFFF"/>
        </w:rPr>
        <w:t>-Belgic  peoples travelled upwards through trade or immigration to Britain.</w:t>
      </w:r>
      <w:r w:rsidR="00095F27">
        <w:rPr>
          <w:rStyle w:val="FootnoteReference"/>
          <w:rFonts w:ascii="Arial" w:hAnsi="Arial" w:cs="Arial"/>
          <w:iCs/>
          <w:color w:val="373A3C"/>
          <w:sz w:val="21"/>
          <w:szCs w:val="21"/>
          <w:shd w:val="clear" w:color="auto" w:fill="FFFFFF"/>
        </w:rPr>
        <w:footnoteReference w:id="10"/>
      </w:r>
      <w:r w:rsidR="00095F27">
        <w:rPr>
          <w:rStyle w:val="Emphasis"/>
          <w:rFonts w:ascii="Arial" w:hAnsi="Arial" w:cs="Arial"/>
          <w:i w:val="0"/>
          <w:color w:val="373A3C"/>
          <w:sz w:val="21"/>
          <w:szCs w:val="21"/>
          <w:shd w:val="clear" w:color="auto" w:fill="FFFFFF"/>
        </w:rPr>
        <w:t xml:space="preserve"> Similarly Roman Coinage appears to start their mintage at around 3</w:t>
      </w:r>
      <w:r w:rsidR="00095F27" w:rsidRPr="00095F27">
        <w:rPr>
          <w:rStyle w:val="Emphasis"/>
          <w:rFonts w:ascii="Arial" w:hAnsi="Arial" w:cs="Arial"/>
          <w:i w:val="0"/>
          <w:color w:val="373A3C"/>
          <w:sz w:val="21"/>
          <w:szCs w:val="21"/>
          <w:shd w:val="clear" w:color="auto" w:fill="FFFFFF"/>
          <w:vertAlign w:val="superscript"/>
        </w:rPr>
        <w:t>rd</w:t>
      </w:r>
      <w:r w:rsidR="00095F27">
        <w:rPr>
          <w:rStyle w:val="Emphasis"/>
          <w:rFonts w:ascii="Arial" w:hAnsi="Arial" w:cs="Arial"/>
          <w:i w:val="0"/>
          <w:color w:val="373A3C"/>
          <w:sz w:val="21"/>
          <w:szCs w:val="21"/>
          <w:shd w:val="clear" w:color="auto" w:fill="FFFFFF"/>
        </w:rPr>
        <w:t xml:space="preserve"> Century BC</w:t>
      </w:r>
      <w:r w:rsidR="00095F27">
        <w:rPr>
          <w:rStyle w:val="FootnoteReference"/>
          <w:rFonts w:ascii="Arial" w:hAnsi="Arial" w:cs="Arial"/>
          <w:iCs/>
          <w:color w:val="373A3C"/>
          <w:sz w:val="21"/>
          <w:szCs w:val="21"/>
          <w:shd w:val="clear" w:color="auto" w:fill="FFFFFF"/>
        </w:rPr>
        <w:footnoteReference w:id="11"/>
      </w:r>
      <w:r w:rsidR="00095F27">
        <w:rPr>
          <w:rStyle w:val="Emphasis"/>
          <w:rFonts w:ascii="Arial" w:hAnsi="Arial" w:cs="Arial"/>
          <w:i w:val="0"/>
          <w:color w:val="373A3C"/>
          <w:sz w:val="21"/>
          <w:szCs w:val="21"/>
          <w:shd w:val="clear" w:color="auto" w:fill="FFFFFF"/>
        </w:rPr>
        <w:t xml:space="preserve">, which is the same time as the Celts, also similarly to the Celts the early Roman coinage appears to be from multiple mints and not by a single authority, with images and depictions that are the same style as those of the early Celts images, </w:t>
      </w:r>
      <w:r w:rsidR="00095F27">
        <w:rPr>
          <w:rStyle w:val="Emphasis"/>
          <w:rFonts w:ascii="Arial" w:hAnsi="Arial" w:cs="Arial"/>
          <w:i w:val="0"/>
          <w:color w:val="373A3C"/>
          <w:sz w:val="21"/>
          <w:szCs w:val="21"/>
          <w:shd w:val="clear" w:color="auto" w:fill="FFFFFF"/>
        </w:rPr>
        <w:lastRenderedPageBreak/>
        <w:t xml:space="preserve">but without the use of La </w:t>
      </w:r>
      <w:proofErr w:type="spellStart"/>
      <w:r w:rsidR="00095F27">
        <w:rPr>
          <w:rStyle w:val="Emphasis"/>
          <w:rFonts w:ascii="Arial" w:hAnsi="Arial" w:cs="Arial"/>
          <w:i w:val="0"/>
          <w:color w:val="373A3C"/>
          <w:sz w:val="21"/>
          <w:szCs w:val="21"/>
          <w:shd w:val="clear" w:color="auto" w:fill="FFFFFF"/>
        </w:rPr>
        <w:t>Tene</w:t>
      </w:r>
      <w:proofErr w:type="spellEnd"/>
      <w:r w:rsidR="00095F27">
        <w:rPr>
          <w:rStyle w:val="FootnoteReference"/>
          <w:rFonts w:ascii="Arial" w:hAnsi="Arial" w:cs="Arial"/>
          <w:iCs/>
          <w:color w:val="373A3C"/>
          <w:sz w:val="21"/>
          <w:szCs w:val="21"/>
          <w:shd w:val="clear" w:color="auto" w:fill="FFFFFF"/>
        </w:rPr>
        <w:footnoteReference w:id="12"/>
      </w:r>
      <w:r w:rsidR="00095F27">
        <w:rPr>
          <w:rStyle w:val="Emphasis"/>
          <w:rFonts w:ascii="Arial" w:hAnsi="Arial" w:cs="Arial"/>
          <w:i w:val="0"/>
          <w:color w:val="373A3C"/>
          <w:sz w:val="21"/>
          <w:szCs w:val="21"/>
          <w:shd w:val="clear" w:color="auto" w:fill="FFFFFF"/>
        </w:rPr>
        <w:t xml:space="preserve"> although Roman Sources on the first struck coin differ from the fall of Pyrrhus to King </w:t>
      </w:r>
      <w:proofErr w:type="spellStart"/>
      <w:r w:rsidR="00095F27">
        <w:rPr>
          <w:rStyle w:val="Emphasis"/>
          <w:rFonts w:ascii="Arial" w:hAnsi="Arial" w:cs="Arial"/>
          <w:i w:val="0"/>
          <w:color w:val="373A3C"/>
          <w:sz w:val="21"/>
          <w:szCs w:val="21"/>
          <w:shd w:val="clear" w:color="auto" w:fill="FFFFFF"/>
        </w:rPr>
        <w:t>Servius</w:t>
      </w:r>
      <w:proofErr w:type="spellEnd"/>
      <w:r w:rsidR="00095F27">
        <w:rPr>
          <w:rStyle w:val="Emphasis"/>
          <w:rFonts w:ascii="Arial" w:hAnsi="Arial" w:cs="Arial"/>
          <w:i w:val="0"/>
          <w:color w:val="373A3C"/>
          <w:sz w:val="21"/>
          <w:szCs w:val="21"/>
          <w:shd w:val="clear" w:color="auto" w:fill="FFFFFF"/>
        </w:rPr>
        <w:t xml:space="preserve">. With this in mind, we can see that the Britons were not too far behind in their use of coinage but </w:t>
      </w:r>
      <w:r w:rsidR="00F162A9">
        <w:rPr>
          <w:rStyle w:val="Emphasis"/>
          <w:rFonts w:ascii="Arial" w:hAnsi="Arial" w:cs="Arial"/>
          <w:i w:val="0"/>
          <w:color w:val="373A3C"/>
          <w:sz w:val="21"/>
          <w:szCs w:val="21"/>
          <w:shd w:val="clear" w:color="auto" w:fill="FFFFFF"/>
        </w:rPr>
        <w:t>also the cross comparison between the coinage from early Rome and the continent we can strive to understand the societies in which they were created, we can see what they used beforehand which seems to be the use of portable goods and possessions for trade and gift giving.</w:t>
      </w:r>
      <w:r w:rsidR="00F162A9">
        <w:rPr>
          <w:rStyle w:val="FootnoteReference"/>
          <w:rFonts w:ascii="Arial" w:hAnsi="Arial" w:cs="Arial"/>
          <w:iCs/>
          <w:color w:val="373A3C"/>
          <w:sz w:val="21"/>
          <w:szCs w:val="21"/>
          <w:shd w:val="clear" w:color="auto" w:fill="FFFFFF"/>
        </w:rPr>
        <w:footnoteReference w:id="13"/>
      </w:r>
    </w:p>
    <w:p w:rsidR="003A38A8" w:rsidRDefault="00F162A9">
      <w:pPr>
        <w:rPr>
          <w:rStyle w:val="Emphasis"/>
          <w:rFonts w:ascii="Arial" w:hAnsi="Arial" w:cs="Arial"/>
          <w:i w:val="0"/>
          <w:color w:val="373A3C"/>
          <w:sz w:val="21"/>
          <w:szCs w:val="21"/>
          <w:shd w:val="clear" w:color="auto" w:fill="FFFFFF"/>
        </w:rPr>
      </w:pPr>
      <w:r>
        <w:rPr>
          <w:rStyle w:val="Emphasis"/>
          <w:rFonts w:ascii="Arial" w:hAnsi="Arial" w:cs="Arial"/>
          <w:i w:val="0"/>
          <w:color w:val="373A3C"/>
          <w:sz w:val="21"/>
          <w:szCs w:val="21"/>
          <w:shd w:val="clear" w:color="auto" w:fill="FFFFFF"/>
        </w:rPr>
        <w:t>The first of the Celtic Coins found in Britain are made of gold</w:t>
      </w:r>
      <w:r>
        <w:rPr>
          <w:rStyle w:val="FootnoteReference"/>
          <w:rFonts w:ascii="Arial" w:hAnsi="Arial" w:cs="Arial"/>
          <w:iCs/>
          <w:color w:val="373A3C"/>
          <w:sz w:val="21"/>
          <w:szCs w:val="21"/>
          <w:shd w:val="clear" w:color="auto" w:fill="FFFFFF"/>
        </w:rPr>
        <w:footnoteReference w:id="14"/>
      </w:r>
      <w:r>
        <w:rPr>
          <w:rStyle w:val="Emphasis"/>
          <w:rFonts w:ascii="Arial" w:hAnsi="Arial" w:cs="Arial"/>
          <w:i w:val="0"/>
          <w:color w:val="373A3C"/>
          <w:sz w:val="21"/>
          <w:szCs w:val="21"/>
          <w:shd w:val="clear" w:color="auto" w:fill="FFFFFF"/>
        </w:rPr>
        <w:t>, it is suggested on a single campaign a Briton would be paid one of these for the full and their weight would correspond greater to those seen on the continent</w:t>
      </w:r>
      <w:r w:rsidR="009040FD">
        <w:rPr>
          <w:rStyle w:val="Emphasis"/>
          <w:rFonts w:ascii="Arial" w:hAnsi="Arial" w:cs="Arial"/>
          <w:i w:val="0"/>
          <w:color w:val="373A3C"/>
          <w:sz w:val="21"/>
          <w:szCs w:val="21"/>
          <w:shd w:val="clear" w:color="auto" w:fill="FFFFFF"/>
        </w:rPr>
        <w:t>.</w:t>
      </w:r>
      <w:r>
        <w:rPr>
          <w:rStyle w:val="FootnoteReference"/>
          <w:rFonts w:ascii="Arial" w:hAnsi="Arial" w:cs="Arial"/>
          <w:iCs/>
          <w:color w:val="373A3C"/>
          <w:sz w:val="21"/>
          <w:szCs w:val="21"/>
          <w:shd w:val="clear" w:color="auto" w:fill="FFFFFF"/>
        </w:rPr>
        <w:footnoteReference w:id="15"/>
      </w:r>
      <w:r w:rsidR="009040FD">
        <w:rPr>
          <w:rStyle w:val="Emphasis"/>
          <w:rFonts w:ascii="Arial" w:hAnsi="Arial" w:cs="Arial"/>
          <w:i w:val="0"/>
          <w:color w:val="373A3C"/>
          <w:sz w:val="21"/>
          <w:szCs w:val="21"/>
          <w:shd w:val="clear" w:color="auto" w:fill="FFFFFF"/>
        </w:rPr>
        <w:t xml:space="preserve"> The imagery upon these coins were heavily influenced by La </w:t>
      </w:r>
      <w:proofErr w:type="spellStart"/>
      <w:r w:rsidR="009040FD">
        <w:rPr>
          <w:rStyle w:val="Emphasis"/>
          <w:rFonts w:ascii="Arial" w:hAnsi="Arial" w:cs="Arial"/>
          <w:i w:val="0"/>
          <w:color w:val="373A3C"/>
          <w:sz w:val="21"/>
          <w:szCs w:val="21"/>
          <w:shd w:val="clear" w:color="auto" w:fill="FFFFFF"/>
        </w:rPr>
        <w:t>Tene</w:t>
      </w:r>
      <w:proofErr w:type="spellEnd"/>
      <w:r w:rsidR="009040FD">
        <w:rPr>
          <w:rStyle w:val="Emphasis"/>
          <w:rFonts w:ascii="Arial" w:hAnsi="Arial" w:cs="Arial"/>
          <w:i w:val="0"/>
          <w:color w:val="373A3C"/>
          <w:sz w:val="21"/>
          <w:szCs w:val="21"/>
          <w:shd w:val="clear" w:color="auto" w:fill="FFFFFF"/>
        </w:rPr>
        <w:t xml:space="preserve"> and corresponded to those seen upon the continent though as the Gallic wars in Gaul were underway and after the initial expeditions over by Julius Caesar, Julius Caesar commented upon the use of Bronze and Gold coins</w:t>
      </w:r>
      <w:r w:rsidR="009040FD">
        <w:rPr>
          <w:rStyle w:val="FootnoteReference"/>
          <w:rFonts w:ascii="Arial" w:hAnsi="Arial" w:cs="Arial"/>
          <w:iCs/>
          <w:color w:val="373A3C"/>
          <w:sz w:val="21"/>
          <w:szCs w:val="21"/>
          <w:shd w:val="clear" w:color="auto" w:fill="FFFFFF"/>
        </w:rPr>
        <w:footnoteReference w:id="16"/>
      </w:r>
      <w:r w:rsidR="009040FD">
        <w:rPr>
          <w:rStyle w:val="Emphasis"/>
          <w:rFonts w:ascii="Arial" w:hAnsi="Arial" w:cs="Arial"/>
          <w:i w:val="0"/>
          <w:color w:val="373A3C"/>
          <w:sz w:val="21"/>
          <w:szCs w:val="21"/>
          <w:shd w:val="clear" w:color="auto" w:fill="FFFFFF"/>
        </w:rPr>
        <w:t xml:space="preserve"> within Britain being circulated as well as bars of metal in weights to be traded instead of coinage.</w:t>
      </w:r>
      <w:r w:rsidR="009040FD">
        <w:rPr>
          <w:rStyle w:val="FootnoteReference"/>
          <w:rFonts w:ascii="Arial" w:hAnsi="Arial" w:cs="Arial"/>
          <w:iCs/>
          <w:color w:val="373A3C"/>
          <w:sz w:val="21"/>
          <w:szCs w:val="21"/>
          <w:shd w:val="clear" w:color="auto" w:fill="FFFFFF"/>
        </w:rPr>
        <w:footnoteReference w:id="17"/>
      </w:r>
      <w:r w:rsidR="009040FD">
        <w:rPr>
          <w:rStyle w:val="Emphasis"/>
          <w:rFonts w:ascii="Arial" w:hAnsi="Arial" w:cs="Arial"/>
          <w:i w:val="0"/>
          <w:color w:val="373A3C"/>
          <w:sz w:val="21"/>
          <w:szCs w:val="21"/>
          <w:shd w:val="clear" w:color="auto" w:fill="FFFFFF"/>
        </w:rPr>
        <w:t xml:space="preserve"> There is also speculation that before the introduction of coinage strips of metal or even portable goods such as grain or cattle were traded in the stead of coins or tokens</w:t>
      </w:r>
      <w:r w:rsidR="009040FD">
        <w:rPr>
          <w:rStyle w:val="FootnoteReference"/>
          <w:rFonts w:ascii="Arial" w:hAnsi="Arial" w:cs="Arial"/>
          <w:iCs/>
          <w:color w:val="373A3C"/>
          <w:sz w:val="21"/>
          <w:szCs w:val="21"/>
          <w:shd w:val="clear" w:color="auto" w:fill="FFFFFF"/>
        </w:rPr>
        <w:footnoteReference w:id="18"/>
      </w:r>
      <w:r w:rsidR="009040FD">
        <w:rPr>
          <w:rStyle w:val="Emphasis"/>
          <w:rFonts w:ascii="Arial" w:hAnsi="Arial" w:cs="Arial"/>
          <w:i w:val="0"/>
          <w:color w:val="373A3C"/>
          <w:sz w:val="21"/>
          <w:szCs w:val="21"/>
          <w:shd w:val="clear" w:color="auto" w:fill="FFFFFF"/>
        </w:rPr>
        <w:t xml:space="preserve"> which seems similar to what the accounts of transactions in early Roman History before the minting of coin, however the contemporary writers write differently to those early times than they do to other civilisations and states forming later in the period and their adoption of coinage.</w:t>
      </w:r>
      <w:r w:rsidR="009040FD">
        <w:rPr>
          <w:rStyle w:val="FootnoteReference"/>
          <w:rFonts w:ascii="Arial" w:hAnsi="Arial" w:cs="Arial"/>
          <w:iCs/>
          <w:color w:val="373A3C"/>
          <w:sz w:val="21"/>
          <w:szCs w:val="21"/>
          <w:shd w:val="clear" w:color="auto" w:fill="FFFFFF"/>
        </w:rPr>
        <w:footnoteReference w:id="19"/>
      </w:r>
      <w:r w:rsidR="009040FD">
        <w:rPr>
          <w:rStyle w:val="Emphasis"/>
          <w:rFonts w:ascii="Arial" w:hAnsi="Arial" w:cs="Arial"/>
          <w:i w:val="0"/>
          <w:color w:val="373A3C"/>
          <w:sz w:val="21"/>
          <w:szCs w:val="21"/>
          <w:shd w:val="clear" w:color="auto" w:fill="FFFFFF"/>
        </w:rPr>
        <w:t xml:space="preserve"> </w:t>
      </w:r>
    </w:p>
    <w:p w:rsidR="00981DB4" w:rsidRDefault="003A38A8">
      <w:pPr>
        <w:rPr>
          <w:rStyle w:val="Emphasis"/>
          <w:rFonts w:ascii="Arial" w:hAnsi="Arial" w:cs="Arial"/>
          <w:i w:val="0"/>
          <w:color w:val="373A3C"/>
          <w:sz w:val="21"/>
          <w:szCs w:val="21"/>
          <w:shd w:val="clear" w:color="auto" w:fill="FFFFFF"/>
        </w:rPr>
      </w:pPr>
      <w:r>
        <w:rPr>
          <w:rStyle w:val="Emphasis"/>
          <w:rFonts w:ascii="Arial" w:hAnsi="Arial" w:cs="Arial"/>
          <w:i w:val="0"/>
          <w:color w:val="373A3C"/>
          <w:sz w:val="21"/>
          <w:szCs w:val="21"/>
          <w:shd w:val="clear" w:color="auto" w:fill="FFFFFF"/>
        </w:rPr>
        <w:t>So, why did they start minting at the time and who were the authorities who minted the coins? In the 2</w:t>
      </w:r>
      <w:r w:rsidRPr="003A38A8">
        <w:rPr>
          <w:rStyle w:val="Emphasis"/>
          <w:rFonts w:ascii="Arial" w:hAnsi="Arial" w:cs="Arial"/>
          <w:i w:val="0"/>
          <w:color w:val="373A3C"/>
          <w:sz w:val="21"/>
          <w:szCs w:val="21"/>
          <w:shd w:val="clear" w:color="auto" w:fill="FFFFFF"/>
          <w:vertAlign w:val="superscript"/>
        </w:rPr>
        <w:t>nd</w:t>
      </w:r>
      <w:r>
        <w:rPr>
          <w:rStyle w:val="Emphasis"/>
          <w:rFonts w:ascii="Arial" w:hAnsi="Arial" w:cs="Arial"/>
          <w:i w:val="0"/>
          <w:color w:val="373A3C"/>
          <w:sz w:val="21"/>
          <w:szCs w:val="21"/>
          <w:shd w:val="clear" w:color="auto" w:fill="FFFFFF"/>
        </w:rPr>
        <w:t xml:space="preserve"> Century BC evidence for </w:t>
      </w:r>
      <w:proofErr w:type="spellStart"/>
      <w:r>
        <w:rPr>
          <w:rStyle w:val="Emphasis"/>
          <w:rFonts w:ascii="Arial" w:hAnsi="Arial" w:cs="Arial"/>
          <w:i w:val="0"/>
          <w:color w:val="373A3C"/>
          <w:sz w:val="21"/>
          <w:szCs w:val="21"/>
          <w:shd w:val="clear" w:color="auto" w:fill="FFFFFF"/>
        </w:rPr>
        <w:t>potin</w:t>
      </w:r>
      <w:proofErr w:type="spellEnd"/>
      <w:r>
        <w:rPr>
          <w:rStyle w:val="Emphasis"/>
          <w:rFonts w:ascii="Arial" w:hAnsi="Arial" w:cs="Arial"/>
          <w:i w:val="0"/>
          <w:color w:val="373A3C"/>
          <w:sz w:val="21"/>
          <w:szCs w:val="21"/>
          <w:shd w:val="clear" w:color="auto" w:fill="FFFFFF"/>
        </w:rPr>
        <w:t xml:space="preserve"> coins and weights of metal seemed to be the circulation of trade in the area with connections to the </w:t>
      </w:r>
      <w:proofErr w:type="spellStart"/>
      <w:r>
        <w:rPr>
          <w:rStyle w:val="Emphasis"/>
          <w:rFonts w:ascii="Arial" w:hAnsi="Arial" w:cs="Arial"/>
          <w:i w:val="0"/>
          <w:color w:val="373A3C"/>
          <w:sz w:val="21"/>
          <w:szCs w:val="21"/>
          <w:shd w:val="clear" w:color="auto" w:fill="FFFFFF"/>
        </w:rPr>
        <w:t>Gauls</w:t>
      </w:r>
      <w:proofErr w:type="spellEnd"/>
      <w:r>
        <w:rPr>
          <w:rStyle w:val="Emphasis"/>
          <w:rFonts w:ascii="Arial" w:hAnsi="Arial" w:cs="Arial"/>
          <w:i w:val="0"/>
          <w:color w:val="373A3C"/>
          <w:sz w:val="21"/>
          <w:szCs w:val="21"/>
          <w:shd w:val="clear" w:color="auto" w:fill="FFFFFF"/>
        </w:rPr>
        <w:t xml:space="preserve"> found in the south of Britain.</w:t>
      </w:r>
      <w:r>
        <w:rPr>
          <w:rStyle w:val="FootnoteReference"/>
          <w:rFonts w:ascii="Arial" w:hAnsi="Arial" w:cs="Arial"/>
          <w:iCs/>
          <w:color w:val="373A3C"/>
          <w:sz w:val="21"/>
          <w:szCs w:val="21"/>
          <w:shd w:val="clear" w:color="auto" w:fill="FFFFFF"/>
        </w:rPr>
        <w:footnoteReference w:id="20"/>
      </w:r>
      <w:r>
        <w:rPr>
          <w:rStyle w:val="Emphasis"/>
          <w:rFonts w:ascii="Arial" w:hAnsi="Arial" w:cs="Arial"/>
          <w:i w:val="0"/>
          <w:color w:val="373A3C"/>
          <w:sz w:val="21"/>
          <w:szCs w:val="21"/>
          <w:shd w:val="clear" w:color="auto" w:fill="FFFFFF"/>
        </w:rPr>
        <w:t xml:space="preserve"> Coins from the continent start coming into Britain in the archaeological record around the 1</w:t>
      </w:r>
      <w:r w:rsidRPr="003A38A8">
        <w:rPr>
          <w:rStyle w:val="Emphasis"/>
          <w:rFonts w:ascii="Arial" w:hAnsi="Arial" w:cs="Arial"/>
          <w:i w:val="0"/>
          <w:color w:val="373A3C"/>
          <w:sz w:val="21"/>
          <w:szCs w:val="21"/>
          <w:shd w:val="clear" w:color="auto" w:fill="FFFFFF"/>
          <w:vertAlign w:val="superscript"/>
        </w:rPr>
        <w:t>st</w:t>
      </w:r>
      <w:r>
        <w:rPr>
          <w:rStyle w:val="Emphasis"/>
          <w:rFonts w:ascii="Arial" w:hAnsi="Arial" w:cs="Arial"/>
          <w:i w:val="0"/>
          <w:color w:val="373A3C"/>
          <w:sz w:val="21"/>
          <w:szCs w:val="21"/>
          <w:shd w:val="clear" w:color="auto" w:fill="FFFFFF"/>
        </w:rPr>
        <w:t xml:space="preserve"> Century BC with the Gallo-Belgic coins found in the South-East alongside the Armorica coinage found in the South which came from Gaul (Brittany), whom had an extensive minting production already and trade connections upon the island which could have influenced the introduction of coinage in the South of Britain.</w:t>
      </w:r>
      <w:r>
        <w:rPr>
          <w:rStyle w:val="FootnoteReference"/>
          <w:rFonts w:ascii="Arial" w:hAnsi="Arial" w:cs="Arial"/>
          <w:iCs/>
          <w:color w:val="373A3C"/>
          <w:sz w:val="21"/>
          <w:szCs w:val="21"/>
          <w:shd w:val="clear" w:color="auto" w:fill="FFFFFF"/>
        </w:rPr>
        <w:footnoteReference w:id="21"/>
      </w:r>
      <w:r w:rsidR="000910D9">
        <w:rPr>
          <w:rStyle w:val="Emphasis"/>
          <w:rFonts w:ascii="Arial" w:hAnsi="Arial" w:cs="Arial"/>
          <w:i w:val="0"/>
          <w:color w:val="373A3C"/>
          <w:sz w:val="21"/>
          <w:szCs w:val="21"/>
          <w:shd w:val="clear" w:color="auto" w:fill="FFFFFF"/>
        </w:rPr>
        <w:t xml:space="preserve"> So, due to the encroaching of Rome into Gaul and the Gallo-British relations t is not surprising that the spread of coinage although predating the Julian invasion became more widespread in that period as different areas circulated their own coin</w:t>
      </w:r>
      <w:r w:rsidR="000910D9">
        <w:rPr>
          <w:rStyle w:val="FootnoteReference"/>
          <w:rFonts w:ascii="Arial" w:hAnsi="Arial" w:cs="Arial"/>
          <w:iCs/>
          <w:color w:val="373A3C"/>
          <w:sz w:val="21"/>
          <w:szCs w:val="21"/>
          <w:shd w:val="clear" w:color="auto" w:fill="FFFFFF"/>
        </w:rPr>
        <w:footnoteReference w:id="22"/>
      </w:r>
      <w:r w:rsidR="000910D9">
        <w:rPr>
          <w:rStyle w:val="Emphasis"/>
          <w:rFonts w:ascii="Arial" w:hAnsi="Arial" w:cs="Arial"/>
          <w:i w:val="0"/>
          <w:color w:val="373A3C"/>
          <w:sz w:val="21"/>
          <w:szCs w:val="21"/>
          <w:shd w:val="clear" w:color="auto" w:fill="FFFFFF"/>
        </w:rPr>
        <w:t xml:space="preserve"> with some more increasingly Romanised than others of varying materials and precious metals</w:t>
      </w:r>
      <w:r w:rsidR="000910D9">
        <w:rPr>
          <w:rStyle w:val="FootnoteReference"/>
          <w:rFonts w:ascii="Arial" w:hAnsi="Arial" w:cs="Arial"/>
          <w:iCs/>
          <w:color w:val="373A3C"/>
          <w:sz w:val="21"/>
          <w:szCs w:val="21"/>
          <w:shd w:val="clear" w:color="auto" w:fill="FFFFFF"/>
        </w:rPr>
        <w:footnoteReference w:id="23"/>
      </w:r>
      <w:r w:rsidR="000910D9">
        <w:rPr>
          <w:rStyle w:val="Emphasis"/>
          <w:rFonts w:ascii="Arial" w:hAnsi="Arial" w:cs="Arial"/>
          <w:i w:val="0"/>
          <w:color w:val="373A3C"/>
          <w:sz w:val="21"/>
          <w:szCs w:val="21"/>
          <w:shd w:val="clear" w:color="auto" w:fill="FFFFFF"/>
        </w:rPr>
        <w:t xml:space="preserve"> which is partially why the coin records are small finds for the Romans demonetised the coins and had them melted down later on.</w:t>
      </w:r>
      <w:r w:rsidR="000910D9">
        <w:rPr>
          <w:rStyle w:val="FootnoteReference"/>
          <w:rFonts w:ascii="Arial" w:hAnsi="Arial" w:cs="Arial"/>
          <w:iCs/>
          <w:color w:val="373A3C"/>
          <w:sz w:val="21"/>
          <w:szCs w:val="21"/>
          <w:shd w:val="clear" w:color="auto" w:fill="FFFFFF"/>
        </w:rPr>
        <w:footnoteReference w:id="24"/>
      </w:r>
      <w:r w:rsidR="000910D9">
        <w:rPr>
          <w:rStyle w:val="Emphasis"/>
          <w:rFonts w:ascii="Arial" w:hAnsi="Arial" w:cs="Arial"/>
          <w:i w:val="0"/>
          <w:color w:val="373A3C"/>
          <w:sz w:val="21"/>
          <w:szCs w:val="21"/>
          <w:shd w:val="clear" w:color="auto" w:fill="FFFFFF"/>
        </w:rPr>
        <w:t xml:space="preserve"> The coins themselves seem to follow a pattern of system either dynastic in nature to ascribe a name of the leader of a ‘tribe’ or ‘state’ and generally are found within the boundaries of their own geographic ‘states’ boundaries although it is not uncommon for coins to be used by neighbouring ‘tribes’ or ‘states’ through gift or commerce of trade.</w:t>
      </w:r>
      <w:r w:rsidR="000910D9">
        <w:rPr>
          <w:rStyle w:val="FootnoteReference"/>
          <w:rFonts w:ascii="Arial" w:hAnsi="Arial" w:cs="Arial"/>
          <w:iCs/>
          <w:color w:val="373A3C"/>
          <w:sz w:val="21"/>
          <w:szCs w:val="21"/>
          <w:shd w:val="clear" w:color="auto" w:fill="FFFFFF"/>
        </w:rPr>
        <w:footnoteReference w:id="25"/>
      </w:r>
      <w:r w:rsidR="000910D9">
        <w:rPr>
          <w:rStyle w:val="Emphasis"/>
          <w:rFonts w:ascii="Arial" w:hAnsi="Arial" w:cs="Arial"/>
          <w:i w:val="0"/>
          <w:color w:val="373A3C"/>
          <w:sz w:val="21"/>
          <w:szCs w:val="21"/>
          <w:shd w:val="clear" w:color="auto" w:fill="FFFFFF"/>
        </w:rPr>
        <w:t xml:space="preserve">  We see this in the case of </w:t>
      </w:r>
      <w:proofErr w:type="spellStart"/>
      <w:r w:rsidR="000910D9">
        <w:rPr>
          <w:rStyle w:val="Emphasis"/>
          <w:rFonts w:ascii="Arial" w:hAnsi="Arial" w:cs="Arial"/>
          <w:i w:val="0"/>
          <w:color w:val="373A3C"/>
          <w:sz w:val="21"/>
          <w:szCs w:val="21"/>
          <w:shd w:val="clear" w:color="auto" w:fill="FFFFFF"/>
        </w:rPr>
        <w:t>Cunobelinus</w:t>
      </w:r>
      <w:proofErr w:type="spellEnd"/>
      <w:r w:rsidR="000910D9">
        <w:rPr>
          <w:rStyle w:val="Emphasis"/>
          <w:rFonts w:ascii="Arial" w:hAnsi="Arial" w:cs="Arial"/>
          <w:i w:val="0"/>
          <w:color w:val="373A3C"/>
          <w:sz w:val="21"/>
          <w:szCs w:val="21"/>
          <w:shd w:val="clear" w:color="auto" w:fill="FFFFFF"/>
        </w:rPr>
        <w:t xml:space="preserve"> and his father, some of the coins provide names of such tribal leaders which are relatively unheard of through the written evidence and from this we can draw conclusions of different peoples or names which are lost in the accounts of history to piece </w:t>
      </w:r>
      <w:r w:rsidR="000910D9">
        <w:rPr>
          <w:rStyle w:val="Emphasis"/>
          <w:rFonts w:ascii="Arial" w:hAnsi="Arial" w:cs="Arial"/>
          <w:i w:val="0"/>
          <w:color w:val="373A3C"/>
          <w:sz w:val="21"/>
          <w:szCs w:val="21"/>
          <w:shd w:val="clear" w:color="auto" w:fill="FFFFFF"/>
        </w:rPr>
        <w:lastRenderedPageBreak/>
        <w:t>together a dynastic lineage.</w:t>
      </w:r>
      <w:r w:rsidR="000910D9">
        <w:rPr>
          <w:rStyle w:val="FootnoteReference"/>
          <w:rFonts w:ascii="Arial" w:hAnsi="Arial" w:cs="Arial"/>
          <w:iCs/>
          <w:color w:val="373A3C"/>
          <w:sz w:val="21"/>
          <w:szCs w:val="21"/>
          <w:shd w:val="clear" w:color="auto" w:fill="FFFFFF"/>
        </w:rPr>
        <w:footnoteReference w:id="26"/>
      </w:r>
      <w:r w:rsidR="006C6F0D">
        <w:rPr>
          <w:rStyle w:val="Emphasis"/>
          <w:rFonts w:ascii="Arial" w:hAnsi="Arial" w:cs="Arial"/>
          <w:i w:val="0"/>
          <w:color w:val="373A3C"/>
          <w:sz w:val="21"/>
          <w:szCs w:val="21"/>
          <w:shd w:val="clear" w:color="auto" w:fill="FFFFFF"/>
        </w:rPr>
        <w:t xml:space="preserve"> Some of these dynastic coins have similarities with the roman images which could suggest contact with them in this time after the Julian invasions, but not all coins of this type have a uniform iconography so it is hard to deduce whether this is the case.</w:t>
      </w:r>
      <w:r w:rsidR="006C6F0D">
        <w:rPr>
          <w:rStyle w:val="FootnoteReference"/>
          <w:rFonts w:ascii="Arial" w:hAnsi="Arial" w:cs="Arial"/>
          <w:iCs/>
          <w:color w:val="373A3C"/>
          <w:sz w:val="21"/>
          <w:szCs w:val="21"/>
          <w:shd w:val="clear" w:color="auto" w:fill="FFFFFF"/>
        </w:rPr>
        <w:footnoteReference w:id="27"/>
      </w:r>
      <w:r w:rsidR="006C6F0D">
        <w:rPr>
          <w:rStyle w:val="Emphasis"/>
          <w:rFonts w:ascii="Arial" w:hAnsi="Arial" w:cs="Arial"/>
          <w:i w:val="0"/>
          <w:color w:val="373A3C"/>
          <w:sz w:val="21"/>
          <w:szCs w:val="21"/>
          <w:shd w:val="clear" w:color="auto" w:fill="FFFFFF"/>
        </w:rPr>
        <w:t xml:space="preserve"> Although from these we can tend to be able to tell where the boundaries between different peoples arise through the flow and circulation of the currency itself and usually which set of peoples due to the name of the leader or of the peoples they belong to.</w:t>
      </w:r>
      <w:r w:rsidR="006C6F0D">
        <w:rPr>
          <w:rStyle w:val="FootnoteReference"/>
          <w:rFonts w:ascii="Arial" w:hAnsi="Arial" w:cs="Arial"/>
          <w:iCs/>
          <w:color w:val="373A3C"/>
          <w:sz w:val="21"/>
          <w:szCs w:val="21"/>
          <w:shd w:val="clear" w:color="auto" w:fill="FFFFFF"/>
        </w:rPr>
        <w:footnoteReference w:id="28"/>
      </w:r>
      <w:r w:rsidR="006C6F0D">
        <w:rPr>
          <w:rStyle w:val="Emphasis"/>
          <w:rFonts w:ascii="Arial" w:hAnsi="Arial" w:cs="Arial"/>
          <w:i w:val="0"/>
          <w:color w:val="373A3C"/>
          <w:sz w:val="21"/>
          <w:szCs w:val="21"/>
          <w:shd w:val="clear" w:color="auto" w:fill="FFFFFF"/>
        </w:rPr>
        <w:t xml:space="preserve"> As to what the coins were used for, it seems as though they were used for commerce and exchange to some degree</w:t>
      </w:r>
      <w:r w:rsidR="006C6F0D">
        <w:rPr>
          <w:rStyle w:val="FootnoteReference"/>
          <w:rFonts w:ascii="Arial" w:hAnsi="Arial" w:cs="Arial"/>
          <w:iCs/>
          <w:color w:val="373A3C"/>
          <w:sz w:val="21"/>
          <w:szCs w:val="21"/>
          <w:shd w:val="clear" w:color="auto" w:fill="FFFFFF"/>
        </w:rPr>
        <w:footnoteReference w:id="29"/>
      </w:r>
      <w:r w:rsidR="006C6F0D">
        <w:rPr>
          <w:rStyle w:val="Emphasis"/>
          <w:rFonts w:ascii="Arial" w:hAnsi="Arial" w:cs="Arial"/>
          <w:i w:val="0"/>
          <w:color w:val="373A3C"/>
          <w:sz w:val="21"/>
          <w:szCs w:val="21"/>
          <w:shd w:val="clear" w:color="auto" w:fill="FFFFFF"/>
        </w:rPr>
        <w:t xml:space="preserve"> but mostly it seems as though they were a favourable method of storing wealth used by the upper classes or elite.</w:t>
      </w:r>
      <w:r w:rsidR="006C6F0D">
        <w:rPr>
          <w:rStyle w:val="FootnoteReference"/>
          <w:rFonts w:ascii="Arial" w:hAnsi="Arial" w:cs="Arial"/>
          <w:iCs/>
          <w:color w:val="373A3C"/>
          <w:sz w:val="21"/>
          <w:szCs w:val="21"/>
          <w:shd w:val="clear" w:color="auto" w:fill="FFFFFF"/>
        </w:rPr>
        <w:footnoteReference w:id="30"/>
      </w:r>
      <w:r w:rsidR="006C6F0D">
        <w:rPr>
          <w:rStyle w:val="Emphasis"/>
          <w:rFonts w:ascii="Arial" w:hAnsi="Arial" w:cs="Arial"/>
          <w:i w:val="0"/>
          <w:color w:val="373A3C"/>
          <w:sz w:val="21"/>
          <w:szCs w:val="21"/>
          <w:shd w:val="clear" w:color="auto" w:fill="FFFFFF"/>
        </w:rPr>
        <w:t xml:space="preserve"> </w:t>
      </w:r>
      <w:r w:rsidR="009369F4">
        <w:rPr>
          <w:rStyle w:val="Emphasis"/>
          <w:rFonts w:ascii="Arial" w:hAnsi="Arial" w:cs="Arial"/>
          <w:i w:val="0"/>
          <w:color w:val="373A3C"/>
          <w:sz w:val="21"/>
          <w:szCs w:val="21"/>
          <w:shd w:val="clear" w:color="auto" w:fill="FFFFFF"/>
        </w:rPr>
        <w:t>Coinage could also be used to commemorate the completion of an expedition in which the Britons were used in Gaul and paid in turn as we see in the case of Gallo-Belgic E Coins which make their way into Britain and circulate in the South.</w:t>
      </w:r>
      <w:r w:rsidR="009369F4">
        <w:rPr>
          <w:rStyle w:val="FootnoteReference"/>
          <w:rFonts w:ascii="Arial" w:hAnsi="Arial" w:cs="Arial"/>
          <w:iCs/>
          <w:color w:val="373A3C"/>
          <w:sz w:val="21"/>
          <w:szCs w:val="21"/>
          <w:shd w:val="clear" w:color="auto" w:fill="FFFFFF"/>
        </w:rPr>
        <w:footnoteReference w:id="31"/>
      </w:r>
    </w:p>
    <w:p w:rsidR="00F162A9" w:rsidRDefault="009369F4">
      <w:pPr>
        <w:rPr>
          <w:rStyle w:val="Emphasis"/>
          <w:rFonts w:ascii="Arial" w:hAnsi="Arial" w:cs="Arial"/>
          <w:i w:val="0"/>
          <w:color w:val="373A3C"/>
          <w:sz w:val="21"/>
          <w:szCs w:val="21"/>
          <w:shd w:val="clear" w:color="auto" w:fill="FFFFFF"/>
        </w:rPr>
      </w:pPr>
      <w:r>
        <w:rPr>
          <w:rStyle w:val="Emphasis"/>
          <w:rFonts w:ascii="Arial" w:hAnsi="Arial" w:cs="Arial"/>
          <w:i w:val="0"/>
          <w:color w:val="373A3C"/>
          <w:sz w:val="21"/>
          <w:szCs w:val="21"/>
          <w:shd w:val="clear" w:color="auto" w:fill="FFFFFF"/>
        </w:rPr>
        <w:t>I</w:t>
      </w:r>
      <w:r w:rsidR="006C6F0D">
        <w:rPr>
          <w:rStyle w:val="Emphasis"/>
          <w:rFonts w:ascii="Arial" w:hAnsi="Arial" w:cs="Arial"/>
          <w:i w:val="0"/>
          <w:color w:val="373A3C"/>
          <w:sz w:val="21"/>
          <w:szCs w:val="21"/>
          <w:shd w:val="clear" w:color="auto" w:fill="FFFFFF"/>
        </w:rPr>
        <w:t xml:space="preserve">n the case of </w:t>
      </w:r>
      <w:proofErr w:type="spellStart"/>
      <w:r w:rsidR="006C6F0D">
        <w:rPr>
          <w:rStyle w:val="Emphasis"/>
          <w:rFonts w:ascii="Arial" w:hAnsi="Arial" w:cs="Arial"/>
          <w:i w:val="0"/>
          <w:color w:val="373A3C"/>
          <w:sz w:val="21"/>
          <w:szCs w:val="21"/>
          <w:shd w:val="clear" w:color="auto" w:fill="FFFFFF"/>
        </w:rPr>
        <w:t>Cunobelin</w:t>
      </w:r>
      <w:proofErr w:type="spellEnd"/>
      <w:r w:rsidR="006C6F0D">
        <w:rPr>
          <w:rStyle w:val="Emphasis"/>
          <w:rFonts w:ascii="Arial" w:hAnsi="Arial" w:cs="Arial"/>
          <w:i w:val="0"/>
          <w:color w:val="373A3C"/>
          <w:sz w:val="21"/>
          <w:szCs w:val="21"/>
          <w:shd w:val="clear" w:color="auto" w:fill="FFFFFF"/>
        </w:rPr>
        <w:t xml:space="preserve"> we see that the coinage refers to him </w:t>
      </w:r>
      <w:r w:rsidR="00981DB4">
        <w:rPr>
          <w:rStyle w:val="Emphasis"/>
          <w:rFonts w:ascii="Arial" w:hAnsi="Arial" w:cs="Arial"/>
          <w:i w:val="0"/>
          <w:color w:val="373A3C"/>
          <w:sz w:val="21"/>
          <w:szCs w:val="21"/>
          <w:shd w:val="clear" w:color="auto" w:fill="FFFFFF"/>
        </w:rPr>
        <w:t>as” Rex</w:t>
      </w:r>
      <w:r w:rsidR="006C6F0D">
        <w:rPr>
          <w:rStyle w:val="Emphasis"/>
          <w:rFonts w:ascii="Arial" w:hAnsi="Arial" w:cs="Arial"/>
          <w:i w:val="0"/>
          <w:color w:val="373A3C"/>
          <w:sz w:val="21"/>
          <w:szCs w:val="21"/>
          <w:shd w:val="clear" w:color="auto" w:fill="FFFFFF"/>
        </w:rPr>
        <w:t xml:space="preserve">” meaning </w:t>
      </w:r>
      <w:r w:rsidR="00981DB4">
        <w:rPr>
          <w:rStyle w:val="Emphasis"/>
          <w:rFonts w:ascii="Arial" w:hAnsi="Arial" w:cs="Arial"/>
          <w:i w:val="0"/>
          <w:color w:val="373A3C"/>
          <w:sz w:val="21"/>
          <w:szCs w:val="21"/>
          <w:shd w:val="clear" w:color="auto" w:fill="FFFFFF"/>
        </w:rPr>
        <w:t>‘King’, in the written histories several such rulers within Britannia seem to emerge and multiple coinage types from different ‘states’ which can suggest the circulation was a way of legitimizing and spreading the notion of his ruling authority to his peoples rather than just simple use of monetary value, so the link between currency and power is prevalent as it is in Roman Coinage also.</w:t>
      </w:r>
      <w:r w:rsidR="00981DB4">
        <w:rPr>
          <w:rStyle w:val="FootnoteReference"/>
          <w:rFonts w:ascii="Arial" w:hAnsi="Arial" w:cs="Arial"/>
          <w:iCs/>
          <w:color w:val="373A3C"/>
          <w:sz w:val="21"/>
          <w:szCs w:val="21"/>
          <w:shd w:val="clear" w:color="auto" w:fill="FFFFFF"/>
        </w:rPr>
        <w:footnoteReference w:id="32"/>
      </w:r>
      <w:r w:rsidR="00981DB4">
        <w:rPr>
          <w:rStyle w:val="Emphasis"/>
          <w:rFonts w:ascii="Arial" w:hAnsi="Arial" w:cs="Arial"/>
          <w:i w:val="0"/>
          <w:color w:val="373A3C"/>
          <w:sz w:val="21"/>
          <w:szCs w:val="21"/>
          <w:shd w:val="clear" w:color="auto" w:fill="FFFFFF"/>
        </w:rPr>
        <w:t xml:space="preserve"> Although if we are to use the coinage record to state rulers, in other coinage pairs of names can be seen or often no names at all are stated upon the coinage which confuses the archaeological record.</w:t>
      </w:r>
      <w:r w:rsidR="00981DB4">
        <w:rPr>
          <w:rStyle w:val="FootnoteReference"/>
          <w:rFonts w:ascii="Arial" w:hAnsi="Arial" w:cs="Arial"/>
          <w:iCs/>
          <w:color w:val="373A3C"/>
          <w:sz w:val="21"/>
          <w:szCs w:val="21"/>
          <w:shd w:val="clear" w:color="auto" w:fill="FFFFFF"/>
        </w:rPr>
        <w:footnoteReference w:id="33"/>
      </w:r>
      <w:r w:rsidR="00981DB4">
        <w:rPr>
          <w:rStyle w:val="Emphasis"/>
          <w:rFonts w:ascii="Arial" w:hAnsi="Arial" w:cs="Arial"/>
          <w:i w:val="0"/>
          <w:color w:val="373A3C"/>
          <w:sz w:val="21"/>
          <w:szCs w:val="21"/>
          <w:shd w:val="clear" w:color="auto" w:fill="FFFFFF"/>
        </w:rPr>
        <w:t xml:space="preserve"> Another issue with the coinage used to portray politics or economy of a peoples without writing is that many of the coins are not dated or inscribed earlier on in the minting, and are not circulated on an annual basis in any sense, and the use of old currency and coinage years after it has been distributed is also an issue.</w:t>
      </w:r>
      <w:r w:rsidR="00981DB4">
        <w:rPr>
          <w:rStyle w:val="FootnoteReference"/>
          <w:rFonts w:ascii="Arial" w:hAnsi="Arial" w:cs="Arial"/>
          <w:iCs/>
          <w:color w:val="373A3C"/>
          <w:sz w:val="21"/>
          <w:szCs w:val="21"/>
          <w:shd w:val="clear" w:color="auto" w:fill="FFFFFF"/>
        </w:rPr>
        <w:footnoteReference w:id="34"/>
      </w:r>
      <w:r w:rsidR="00981DB4">
        <w:rPr>
          <w:rStyle w:val="Emphasis"/>
          <w:rFonts w:ascii="Arial" w:hAnsi="Arial" w:cs="Arial"/>
          <w:i w:val="0"/>
          <w:color w:val="373A3C"/>
          <w:sz w:val="21"/>
          <w:szCs w:val="21"/>
          <w:shd w:val="clear" w:color="auto" w:fill="FFFFFF"/>
        </w:rPr>
        <w:t xml:space="preserve"> Reasons why they were distributed in such episodic bouts could be due to political crisis when there is a change in leadership or times or warfare where there are very high coin outp</w:t>
      </w:r>
      <w:r>
        <w:rPr>
          <w:rStyle w:val="Emphasis"/>
          <w:rFonts w:ascii="Arial" w:hAnsi="Arial" w:cs="Arial"/>
          <w:i w:val="0"/>
          <w:color w:val="373A3C"/>
          <w:sz w:val="21"/>
          <w:szCs w:val="21"/>
          <w:shd w:val="clear" w:color="auto" w:fill="FFFFFF"/>
        </w:rPr>
        <w:t>uts to pay for such an occasion.</w:t>
      </w:r>
      <w:r w:rsidR="00981DB4">
        <w:rPr>
          <w:rStyle w:val="FootnoteReference"/>
          <w:rFonts w:ascii="Arial" w:hAnsi="Arial" w:cs="Arial"/>
          <w:iCs/>
          <w:color w:val="373A3C"/>
          <w:sz w:val="21"/>
          <w:szCs w:val="21"/>
          <w:shd w:val="clear" w:color="auto" w:fill="FFFFFF"/>
        </w:rPr>
        <w:footnoteReference w:id="35"/>
      </w:r>
    </w:p>
    <w:p w:rsidR="009369F4" w:rsidRDefault="009369F4">
      <w:pPr>
        <w:rPr>
          <w:rStyle w:val="Emphasis"/>
          <w:rFonts w:ascii="Arial" w:hAnsi="Arial" w:cs="Arial"/>
          <w:i w:val="0"/>
          <w:color w:val="373A3C"/>
          <w:sz w:val="21"/>
          <w:szCs w:val="21"/>
          <w:shd w:val="clear" w:color="auto" w:fill="FFFFFF"/>
        </w:rPr>
      </w:pPr>
      <w:r>
        <w:rPr>
          <w:rStyle w:val="Emphasis"/>
          <w:rFonts w:ascii="Arial" w:hAnsi="Arial" w:cs="Arial"/>
          <w:i w:val="0"/>
          <w:color w:val="373A3C"/>
          <w:sz w:val="21"/>
          <w:szCs w:val="21"/>
          <w:shd w:val="clear" w:color="auto" w:fill="FFFFFF"/>
        </w:rPr>
        <w:t xml:space="preserve">From the archaeological evidence alone with coins we can learn </w:t>
      </w:r>
      <w:r w:rsidR="008B12A8">
        <w:rPr>
          <w:rStyle w:val="Emphasis"/>
          <w:rFonts w:ascii="Arial" w:hAnsi="Arial" w:cs="Arial"/>
          <w:i w:val="0"/>
          <w:color w:val="373A3C"/>
          <w:sz w:val="21"/>
          <w:szCs w:val="21"/>
          <w:shd w:val="clear" w:color="auto" w:fill="FFFFFF"/>
        </w:rPr>
        <w:t xml:space="preserve">the usage of the coin and where it circulated, how far the coin travelled and whether or not the coins were minted locally or not. We can conclude boundaries and trade between certain tribes but we cannot ascertain why they chose to mint then and there rather than a hundred years prior, whether the emergence was due to being more state-like or through connections upon the continent and then with Rome after Caesars invasions. But we can ascertain that these peoples were not mere tribes or fellows gathering around roundhouse fires but a sophisticated society with their own religious iconography, lineage, class systems, and specialised trade and items of luxury which circulate prior and after the minting of coins within Britain. We can learn of other names of certain peoples in the areas, and leaders which were not written of in Roman or Greek contemporary writings. These peoples are clearly not mere tribes but states with developing ideologies and politics. However, since most of the evidence for coins from votive offerings, hoards, or grave goods it is harder to ascertain usage. </w:t>
      </w:r>
      <w:r w:rsidR="005349EB">
        <w:rPr>
          <w:rStyle w:val="Emphasis"/>
          <w:rFonts w:ascii="Arial" w:hAnsi="Arial" w:cs="Arial"/>
          <w:i w:val="0"/>
          <w:color w:val="373A3C"/>
          <w:sz w:val="21"/>
          <w:szCs w:val="21"/>
          <w:shd w:val="clear" w:color="auto" w:fill="FFFFFF"/>
        </w:rPr>
        <w:t xml:space="preserve"> Whether they were minted for religious purposes or for the use of trade, but when juxtaposed to early Roman coinage and the use of coinage upon the continent the coinage in Britain is far more complex and varied, and if left to develop without the </w:t>
      </w:r>
      <w:proofErr w:type="spellStart"/>
      <w:r w:rsidR="005349EB">
        <w:rPr>
          <w:rStyle w:val="Emphasis"/>
          <w:rFonts w:ascii="Arial" w:hAnsi="Arial" w:cs="Arial"/>
          <w:i w:val="0"/>
          <w:color w:val="373A3C"/>
          <w:sz w:val="21"/>
          <w:szCs w:val="21"/>
          <w:shd w:val="clear" w:color="auto" w:fill="FFFFFF"/>
        </w:rPr>
        <w:t>Claudian</w:t>
      </w:r>
      <w:proofErr w:type="spellEnd"/>
      <w:r w:rsidR="005349EB">
        <w:rPr>
          <w:rStyle w:val="Emphasis"/>
          <w:rFonts w:ascii="Arial" w:hAnsi="Arial" w:cs="Arial"/>
          <w:i w:val="0"/>
          <w:color w:val="373A3C"/>
          <w:sz w:val="21"/>
          <w:szCs w:val="21"/>
          <w:shd w:val="clear" w:color="auto" w:fill="FFFFFF"/>
        </w:rPr>
        <w:t xml:space="preserve"> invasion it could be supposed that the coinage would have unified like with Rome and the states in Britain could have formed into one as they were supposed to have convened in the time of Caesar’s expedition, but we can never know for sure. What we can conceive from coinage alone </w:t>
      </w:r>
      <w:r w:rsidR="005349EB">
        <w:rPr>
          <w:rStyle w:val="Emphasis"/>
          <w:rFonts w:ascii="Arial" w:hAnsi="Arial" w:cs="Arial"/>
          <w:i w:val="0"/>
          <w:color w:val="373A3C"/>
          <w:sz w:val="21"/>
          <w:szCs w:val="21"/>
          <w:shd w:val="clear" w:color="auto" w:fill="FFFFFF"/>
        </w:rPr>
        <w:lastRenderedPageBreak/>
        <w:t>is partial and only with cross-referencing to writings and other archaeological evidence we cannot glean a full picture of the societies in which the coins were minted.</w:t>
      </w:r>
    </w:p>
    <w:p w:rsidR="009B3ADA" w:rsidRDefault="009B3ADA">
      <w:pPr>
        <w:rPr>
          <w:rStyle w:val="Emphasis"/>
          <w:rFonts w:ascii="Arial" w:hAnsi="Arial" w:cs="Arial"/>
          <w:i w:val="0"/>
          <w:color w:val="373A3C"/>
          <w:sz w:val="21"/>
          <w:szCs w:val="21"/>
          <w:shd w:val="clear" w:color="auto" w:fill="FFFFFF"/>
        </w:rPr>
      </w:pPr>
    </w:p>
    <w:p w:rsidR="009B3ADA" w:rsidRDefault="009B3ADA">
      <w:pPr>
        <w:rPr>
          <w:rStyle w:val="Emphasis"/>
          <w:rFonts w:ascii="Arial" w:hAnsi="Arial" w:cs="Arial"/>
          <w:b/>
          <w:i w:val="0"/>
          <w:color w:val="373A3C"/>
          <w:sz w:val="21"/>
          <w:szCs w:val="21"/>
          <w:shd w:val="clear" w:color="auto" w:fill="FFFFFF"/>
        </w:rPr>
      </w:pPr>
      <w:r w:rsidRPr="009B3ADA">
        <w:rPr>
          <w:rStyle w:val="Emphasis"/>
          <w:rFonts w:ascii="Arial" w:hAnsi="Arial" w:cs="Arial"/>
          <w:b/>
          <w:i w:val="0"/>
          <w:color w:val="373A3C"/>
          <w:sz w:val="21"/>
          <w:szCs w:val="21"/>
          <w:shd w:val="clear" w:color="auto" w:fill="FFFFFF"/>
        </w:rPr>
        <w:t>Bibliography</w:t>
      </w:r>
    </w:p>
    <w:p w:rsidR="009B3ADA" w:rsidRPr="009B3ADA" w:rsidRDefault="009B3ADA" w:rsidP="009B3ADA">
      <w:pPr>
        <w:pStyle w:val="ListParagraph"/>
        <w:numPr>
          <w:ilvl w:val="0"/>
          <w:numId w:val="4"/>
        </w:numPr>
        <w:rPr>
          <w:sz w:val="16"/>
          <w:szCs w:val="16"/>
        </w:rPr>
      </w:pPr>
      <w:r>
        <w:rPr>
          <w:sz w:val="16"/>
          <w:szCs w:val="16"/>
        </w:rPr>
        <w:t xml:space="preserve">A. </w:t>
      </w:r>
      <w:r w:rsidRPr="009B3ADA">
        <w:rPr>
          <w:sz w:val="16"/>
          <w:szCs w:val="16"/>
        </w:rPr>
        <w:t xml:space="preserve">Burnett. 1987. Coinage in the Roman World. The Adoption of Coin. </w:t>
      </w:r>
      <w:proofErr w:type="spellStart"/>
      <w:r w:rsidRPr="009B3ADA">
        <w:rPr>
          <w:sz w:val="16"/>
          <w:szCs w:val="16"/>
        </w:rPr>
        <w:t>Biddles</w:t>
      </w:r>
      <w:proofErr w:type="spellEnd"/>
      <w:r w:rsidRPr="009B3ADA">
        <w:rPr>
          <w:sz w:val="16"/>
          <w:szCs w:val="16"/>
        </w:rPr>
        <w:t xml:space="preserve"> Ltd</w:t>
      </w:r>
      <w:r>
        <w:rPr>
          <w:sz w:val="16"/>
          <w:szCs w:val="16"/>
        </w:rPr>
        <w:t>.</w:t>
      </w:r>
    </w:p>
    <w:p w:rsidR="009B3ADA" w:rsidRDefault="009B3ADA" w:rsidP="009B3ADA">
      <w:pPr>
        <w:pStyle w:val="ListParagraph"/>
        <w:numPr>
          <w:ilvl w:val="0"/>
          <w:numId w:val="4"/>
        </w:numPr>
        <w:rPr>
          <w:sz w:val="16"/>
          <w:szCs w:val="16"/>
        </w:rPr>
      </w:pPr>
      <w:r>
        <w:rPr>
          <w:sz w:val="16"/>
          <w:szCs w:val="16"/>
        </w:rPr>
        <w:t xml:space="preserve">B. </w:t>
      </w:r>
      <w:proofErr w:type="spellStart"/>
      <w:r w:rsidRPr="009B3ADA">
        <w:rPr>
          <w:sz w:val="16"/>
          <w:szCs w:val="16"/>
        </w:rPr>
        <w:t>Cunliffe</w:t>
      </w:r>
      <w:proofErr w:type="spellEnd"/>
      <w:r w:rsidRPr="009B3ADA">
        <w:rPr>
          <w:sz w:val="16"/>
          <w:szCs w:val="16"/>
        </w:rPr>
        <w:t>. 1999. The Ancient Celts. The Celts in</w:t>
      </w:r>
      <w:r w:rsidRPr="009B3ADA">
        <w:rPr>
          <w:sz w:val="16"/>
          <w:szCs w:val="16"/>
        </w:rPr>
        <w:t xml:space="preserve"> Retreat. Penguin Books. </w:t>
      </w:r>
    </w:p>
    <w:p w:rsidR="009B3ADA" w:rsidRDefault="009B3ADA" w:rsidP="009B3ADA">
      <w:pPr>
        <w:pStyle w:val="ListParagraph"/>
        <w:numPr>
          <w:ilvl w:val="0"/>
          <w:numId w:val="4"/>
        </w:numPr>
        <w:rPr>
          <w:sz w:val="16"/>
          <w:szCs w:val="16"/>
        </w:rPr>
      </w:pPr>
      <w:r w:rsidRPr="009B3ADA">
        <w:rPr>
          <w:sz w:val="16"/>
          <w:szCs w:val="16"/>
        </w:rPr>
        <w:t>D. James. S. Bostock. 1996. Celtic Connections. Iron Age and Celtic Peoples. Blandford A. Cassel Imprint</w:t>
      </w:r>
      <w:r>
        <w:rPr>
          <w:sz w:val="16"/>
          <w:szCs w:val="16"/>
        </w:rPr>
        <w:t>.</w:t>
      </w:r>
    </w:p>
    <w:p w:rsidR="009B3ADA" w:rsidRDefault="009B3ADA" w:rsidP="009B3ADA">
      <w:pPr>
        <w:pStyle w:val="ListParagraph"/>
        <w:numPr>
          <w:ilvl w:val="0"/>
          <w:numId w:val="4"/>
        </w:numPr>
        <w:rPr>
          <w:sz w:val="16"/>
          <w:szCs w:val="16"/>
        </w:rPr>
      </w:pPr>
      <w:r w:rsidRPr="000910D9">
        <w:rPr>
          <w:sz w:val="16"/>
          <w:szCs w:val="16"/>
        </w:rPr>
        <w:t xml:space="preserve">G. De La </w:t>
      </w:r>
      <w:proofErr w:type="spellStart"/>
      <w:r w:rsidRPr="000910D9">
        <w:rPr>
          <w:sz w:val="16"/>
          <w:szCs w:val="16"/>
        </w:rPr>
        <w:t>Bedoyere</w:t>
      </w:r>
      <w:proofErr w:type="spellEnd"/>
      <w:r w:rsidRPr="009369F4">
        <w:rPr>
          <w:sz w:val="16"/>
          <w:szCs w:val="16"/>
        </w:rPr>
        <w:t>. 2001. Eagles Over Britannia: The Roman Army in Britain. Commerce and Manufacturing.</w:t>
      </w:r>
    </w:p>
    <w:p w:rsidR="009B3ADA" w:rsidRDefault="009B3ADA" w:rsidP="009B3ADA">
      <w:pPr>
        <w:pStyle w:val="ListParagraph"/>
        <w:numPr>
          <w:ilvl w:val="0"/>
          <w:numId w:val="4"/>
        </w:numPr>
        <w:rPr>
          <w:sz w:val="16"/>
          <w:szCs w:val="16"/>
        </w:rPr>
      </w:pPr>
      <w:r w:rsidRPr="00095F27">
        <w:rPr>
          <w:sz w:val="16"/>
          <w:szCs w:val="16"/>
        </w:rPr>
        <w:t>Kevin Butcher. 1988. Roman Provincial Coins: an introduction to the Greek Imperials. Coin Use</w:t>
      </w:r>
      <w:r>
        <w:rPr>
          <w:sz w:val="16"/>
          <w:szCs w:val="16"/>
        </w:rPr>
        <w:t>.</w:t>
      </w:r>
    </w:p>
    <w:p w:rsidR="009B3ADA" w:rsidRDefault="009B3ADA" w:rsidP="009B3ADA">
      <w:pPr>
        <w:pStyle w:val="ListParagraph"/>
        <w:numPr>
          <w:ilvl w:val="0"/>
          <w:numId w:val="4"/>
        </w:numPr>
        <w:rPr>
          <w:sz w:val="16"/>
          <w:szCs w:val="16"/>
        </w:rPr>
      </w:pPr>
      <w:r w:rsidRPr="009369F4">
        <w:rPr>
          <w:sz w:val="16"/>
          <w:szCs w:val="16"/>
        </w:rPr>
        <w:t>M. J. Green. 1995. The Celtic World. Coinage. Routledge Press</w:t>
      </w:r>
      <w:r>
        <w:rPr>
          <w:sz w:val="16"/>
          <w:szCs w:val="16"/>
        </w:rPr>
        <w:t>.</w:t>
      </w:r>
    </w:p>
    <w:p w:rsidR="009B3ADA" w:rsidRDefault="009B3ADA" w:rsidP="009B3ADA">
      <w:pPr>
        <w:pStyle w:val="ListParagraph"/>
        <w:numPr>
          <w:ilvl w:val="0"/>
          <w:numId w:val="4"/>
        </w:numPr>
        <w:rPr>
          <w:sz w:val="16"/>
          <w:szCs w:val="16"/>
        </w:rPr>
      </w:pPr>
      <w:r w:rsidRPr="00095F27">
        <w:rPr>
          <w:sz w:val="16"/>
          <w:szCs w:val="16"/>
        </w:rPr>
        <w:t>R. Hobbs, R. Jackson. 2013. Roman Britain. Language and Literacy. British M</w:t>
      </w:r>
      <w:r>
        <w:rPr>
          <w:sz w:val="16"/>
          <w:szCs w:val="16"/>
        </w:rPr>
        <w:t>useum Press</w:t>
      </w:r>
    </w:p>
    <w:p w:rsidR="009B3ADA" w:rsidRPr="009B3ADA" w:rsidRDefault="009B3ADA" w:rsidP="009B3ADA">
      <w:pPr>
        <w:pStyle w:val="ListParagraph"/>
        <w:numPr>
          <w:ilvl w:val="0"/>
          <w:numId w:val="4"/>
        </w:numPr>
        <w:rPr>
          <w:sz w:val="16"/>
          <w:szCs w:val="16"/>
        </w:rPr>
      </w:pPr>
      <w:r w:rsidRPr="00095F27">
        <w:rPr>
          <w:rStyle w:val="Emphasis"/>
          <w:rFonts w:ascii="Calibri" w:hAnsi="Calibri" w:cs="Calibri"/>
          <w:i w:val="0"/>
          <w:color w:val="373A3C"/>
          <w:sz w:val="16"/>
          <w:szCs w:val="16"/>
          <w:shd w:val="clear" w:color="auto" w:fill="FFFFFF"/>
        </w:rPr>
        <w:t>Polybius, Histories, 2.7, 8-12</w:t>
      </w:r>
      <w:bookmarkStart w:id="0" w:name="_GoBack"/>
      <w:bookmarkEnd w:id="0"/>
    </w:p>
    <w:sectPr w:rsidR="009B3ADA" w:rsidRPr="009B3A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840F3" w:rsidRDefault="007840F3" w:rsidP="007914FD">
      <w:pPr>
        <w:spacing w:after="0" w:line="240" w:lineRule="auto"/>
      </w:pPr>
      <w:r>
        <w:separator/>
      </w:r>
    </w:p>
  </w:endnote>
  <w:endnote w:type="continuationSeparator" w:id="0">
    <w:p w:rsidR="007840F3" w:rsidRDefault="007840F3" w:rsidP="007914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840F3" w:rsidRDefault="007840F3" w:rsidP="007914FD">
      <w:pPr>
        <w:spacing w:after="0" w:line="240" w:lineRule="auto"/>
      </w:pPr>
      <w:r>
        <w:separator/>
      </w:r>
    </w:p>
  </w:footnote>
  <w:footnote w:type="continuationSeparator" w:id="0">
    <w:p w:rsidR="007840F3" w:rsidRDefault="007840F3" w:rsidP="007914FD">
      <w:pPr>
        <w:spacing w:after="0" w:line="240" w:lineRule="auto"/>
      </w:pPr>
      <w:r>
        <w:continuationSeparator/>
      </w:r>
    </w:p>
  </w:footnote>
  <w:footnote w:id="1">
    <w:p w:rsidR="007914FD" w:rsidRPr="00095F27" w:rsidRDefault="007914FD">
      <w:pPr>
        <w:pStyle w:val="FootnoteText"/>
        <w:rPr>
          <w:sz w:val="16"/>
          <w:szCs w:val="16"/>
        </w:rPr>
      </w:pPr>
      <w:r w:rsidRPr="00095F27">
        <w:rPr>
          <w:rStyle w:val="FootnoteReference"/>
          <w:sz w:val="16"/>
          <w:szCs w:val="16"/>
        </w:rPr>
        <w:footnoteRef/>
      </w:r>
      <w:r w:rsidRPr="00095F27">
        <w:rPr>
          <w:sz w:val="16"/>
          <w:szCs w:val="16"/>
        </w:rPr>
        <w:t xml:space="preserve"> </w:t>
      </w:r>
      <w:r w:rsidRPr="00095F27">
        <w:rPr>
          <w:rStyle w:val="Emphasis"/>
          <w:rFonts w:ascii="Calibri" w:hAnsi="Calibri" w:cs="Calibri"/>
          <w:i w:val="0"/>
          <w:color w:val="373A3C"/>
          <w:sz w:val="16"/>
          <w:szCs w:val="16"/>
          <w:shd w:val="clear" w:color="auto" w:fill="FFFFFF"/>
        </w:rPr>
        <w:t>Polybius, Histories, 2.7, 8-12</w:t>
      </w:r>
    </w:p>
  </w:footnote>
  <w:footnote w:id="2">
    <w:p w:rsidR="00943F37" w:rsidRPr="00095F27" w:rsidRDefault="00943F37">
      <w:pPr>
        <w:pStyle w:val="FootnoteText"/>
        <w:rPr>
          <w:sz w:val="16"/>
          <w:szCs w:val="16"/>
        </w:rPr>
      </w:pPr>
      <w:r w:rsidRPr="00095F27">
        <w:rPr>
          <w:rStyle w:val="FootnoteReference"/>
          <w:sz w:val="16"/>
          <w:szCs w:val="16"/>
        </w:rPr>
        <w:footnoteRef/>
      </w:r>
      <w:r w:rsidRPr="00095F27">
        <w:rPr>
          <w:sz w:val="16"/>
          <w:szCs w:val="16"/>
        </w:rPr>
        <w:t xml:space="preserve"> R. Hobbs, R. Jackson. 2013. Roman Britain. Language and Literacy.</w:t>
      </w:r>
      <w:r w:rsidR="00487C23" w:rsidRPr="00095F27">
        <w:rPr>
          <w:sz w:val="16"/>
          <w:szCs w:val="16"/>
        </w:rPr>
        <w:t xml:space="preserve"> British M</w:t>
      </w:r>
      <w:r w:rsidRPr="00095F27">
        <w:rPr>
          <w:sz w:val="16"/>
          <w:szCs w:val="16"/>
        </w:rPr>
        <w:t>useum Press. 66-68.</w:t>
      </w:r>
    </w:p>
  </w:footnote>
  <w:footnote w:id="3">
    <w:p w:rsidR="00487C23" w:rsidRPr="00095F27" w:rsidRDefault="00487C23">
      <w:pPr>
        <w:pStyle w:val="FootnoteText"/>
        <w:rPr>
          <w:sz w:val="16"/>
          <w:szCs w:val="16"/>
        </w:rPr>
      </w:pPr>
      <w:r w:rsidRPr="00095F27">
        <w:rPr>
          <w:rStyle w:val="FootnoteReference"/>
          <w:sz w:val="16"/>
          <w:szCs w:val="16"/>
        </w:rPr>
        <w:footnoteRef/>
      </w:r>
      <w:r w:rsidRPr="00095F27">
        <w:rPr>
          <w:sz w:val="16"/>
          <w:szCs w:val="16"/>
        </w:rPr>
        <w:t xml:space="preserve"> Kevin Butcher. 1988. Roman Provincial Coins: an introduction to the Greek Imperials. Coin Use. 23-24.</w:t>
      </w:r>
    </w:p>
  </w:footnote>
  <w:footnote w:id="4">
    <w:p w:rsidR="00342C59" w:rsidRPr="00095F27" w:rsidRDefault="00342C59">
      <w:pPr>
        <w:pStyle w:val="FootnoteText"/>
        <w:rPr>
          <w:sz w:val="16"/>
          <w:szCs w:val="16"/>
        </w:rPr>
      </w:pPr>
      <w:r w:rsidRPr="00095F27">
        <w:rPr>
          <w:rStyle w:val="FootnoteReference"/>
          <w:sz w:val="16"/>
          <w:szCs w:val="16"/>
        </w:rPr>
        <w:footnoteRef/>
      </w:r>
      <w:r w:rsidRPr="00095F27">
        <w:rPr>
          <w:sz w:val="16"/>
          <w:szCs w:val="16"/>
        </w:rPr>
        <w:t xml:space="preserve"> M. J. Green. 1995. The Celtic World. Coinage. Routledge Press. 244-245</w:t>
      </w:r>
    </w:p>
  </w:footnote>
  <w:footnote w:id="5">
    <w:p w:rsidR="00487C23" w:rsidRPr="00095F27" w:rsidRDefault="00487C23">
      <w:pPr>
        <w:pStyle w:val="FootnoteText"/>
        <w:rPr>
          <w:sz w:val="16"/>
          <w:szCs w:val="16"/>
        </w:rPr>
      </w:pPr>
      <w:r w:rsidRPr="00095F27">
        <w:rPr>
          <w:rStyle w:val="FootnoteReference"/>
          <w:sz w:val="16"/>
          <w:szCs w:val="16"/>
        </w:rPr>
        <w:footnoteRef/>
      </w:r>
      <w:r w:rsidRPr="00095F27">
        <w:rPr>
          <w:sz w:val="16"/>
          <w:szCs w:val="16"/>
        </w:rPr>
        <w:t xml:space="preserve"> </w:t>
      </w:r>
      <w:r w:rsidRPr="00095F27">
        <w:rPr>
          <w:sz w:val="16"/>
          <w:szCs w:val="16"/>
        </w:rPr>
        <w:t>M. J. Green. 1995. The Celtic World. Coinage. Routledge Press. 244-245</w:t>
      </w:r>
    </w:p>
  </w:footnote>
  <w:footnote w:id="6">
    <w:p w:rsidR="00062C56" w:rsidRPr="00095F27" w:rsidRDefault="00062C56">
      <w:pPr>
        <w:pStyle w:val="FootnoteText"/>
        <w:rPr>
          <w:sz w:val="16"/>
          <w:szCs w:val="16"/>
        </w:rPr>
      </w:pPr>
      <w:r w:rsidRPr="00095F27">
        <w:rPr>
          <w:rStyle w:val="FootnoteReference"/>
          <w:sz w:val="16"/>
          <w:szCs w:val="16"/>
        </w:rPr>
        <w:footnoteRef/>
      </w:r>
      <w:r w:rsidRPr="00095F27">
        <w:rPr>
          <w:sz w:val="16"/>
          <w:szCs w:val="16"/>
        </w:rPr>
        <w:t xml:space="preserve"> </w:t>
      </w:r>
      <w:r w:rsidRPr="00095F27">
        <w:rPr>
          <w:sz w:val="16"/>
          <w:szCs w:val="16"/>
        </w:rPr>
        <w:t>M. J. Green. 1995. The Celtic World. Coinage. Routledge Press. 244-245</w:t>
      </w:r>
    </w:p>
  </w:footnote>
  <w:footnote w:id="7">
    <w:p w:rsidR="00062C56" w:rsidRPr="00095F27" w:rsidRDefault="00062C56">
      <w:pPr>
        <w:pStyle w:val="FootnoteText"/>
        <w:rPr>
          <w:sz w:val="16"/>
          <w:szCs w:val="16"/>
        </w:rPr>
      </w:pPr>
      <w:r w:rsidRPr="00095F27">
        <w:rPr>
          <w:rStyle w:val="FootnoteReference"/>
          <w:sz w:val="16"/>
          <w:szCs w:val="16"/>
        </w:rPr>
        <w:footnoteRef/>
      </w:r>
      <w:r w:rsidRPr="00095F27">
        <w:rPr>
          <w:sz w:val="16"/>
          <w:szCs w:val="16"/>
        </w:rPr>
        <w:t xml:space="preserve"> </w:t>
      </w:r>
      <w:r w:rsidRPr="00095F27">
        <w:rPr>
          <w:sz w:val="16"/>
          <w:szCs w:val="16"/>
        </w:rPr>
        <w:t>M. J. Green. 1995. The Celtic World. Coinage. Routledge Press. 244-245</w:t>
      </w:r>
    </w:p>
  </w:footnote>
  <w:footnote w:id="8">
    <w:p w:rsidR="00062C56" w:rsidRPr="00095F27" w:rsidRDefault="00062C56">
      <w:pPr>
        <w:pStyle w:val="FootnoteText"/>
        <w:rPr>
          <w:sz w:val="16"/>
          <w:szCs w:val="16"/>
        </w:rPr>
      </w:pPr>
      <w:r w:rsidRPr="00095F27">
        <w:rPr>
          <w:rStyle w:val="FootnoteReference"/>
          <w:sz w:val="16"/>
          <w:szCs w:val="16"/>
        </w:rPr>
        <w:footnoteRef/>
      </w:r>
      <w:r w:rsidRPr="00095F27">
        <w:rPr>
          <w:sz w:val="16"/>
          <w:szCs w:val="16"/>
        </w:rPr>
        <w:t xml:space="preserve"> D. James. S. Bostock. 1996. Celtic Connections. Iron Age and Celtic Peoples. Blandford A. Cassel Imprint. 48-49</w:t>
      </w:r>
    </w:p>
  </w:footnote>
  <w:footnote w:id="9">
    <w:p w:rsidR="00062C56" w:rsidRPr="00095F27" w:rsidRDefault="00062C56" w:rsidP="00062C56">
      <w:pPr>
        <w:pStyle w:val="FootnoteText"/>
        <w:rPr>
          <w:sz w:val="16"/>
          <w:szCs w:val="16"/>
        </w:rPr>
      </w:pPr>
      <w:r w:rsidRPr="00095F27">
        <w:rPr>
          <w:rStyle w:val="FootnoteReference"/>
          <w:sz w:val="16"/>
          <w:szCs w:val="16"/>
        </w:rPr>
        <w:footnoteRef/>
      </w:r>
      <w:r w:rsidRPr="00095F27">
        <w:rPr>
          <w:sz w:val="16"/>
          <w:szCs w:val="16"/>
        </w:rPr>
        <w:t xml:space="preserve"> </w:t>
      </w:r>
      <w:r w:rsidRPr="00095F27">
        <w:rPr>
          <w:sz w:val="16"/>
          <w:szCs w:val="16"/>
        </w:rPr>
        <w:t>D. James. S. Bostock. 1996. Celtic Connections. Iron Age and Celtic Peoples. Blandford A. Cassel Imprint. 48-49</w:t>
      </w:r>
    </w:p>
  </w:footnote>
  <w:footnote w:id="10">
    <w:p w:rsidR="00095F27" w:rsidRDefault="00095F27">
      <w:pPr>
        <w:pStyle w:val="FootnoteText"/>
      </w:pPr>
      <w:r>
        <w:rPr>
          <w:rStyle w:val="FootnoteReference"/>
        </w:rPr>
        <w:footnoteRef/>
      </w:r>
      <w:r>
        <w:t xml:space="preserve"> </w:t>
      </w:r>
      <w:r w:rsidRPr="00095F27">
        <w:rPr>
          <w:sz w:val="16"/>
          <w:szCs w:val="16"/>
        </w:rPr>
        <w:t>D. James. S. Bostock. 1996. Celtic Connections. Iron Age and Celtic Peoples. Blandford A. Cassel Imprint. 48-49</w:t>
      </w:r>
    </w:p>
  </w:footnote>
  <w:footnote w:id="11">
    <w:p w:rsidR="00095F27" w:rsidRDefault="00095F27">
      <w:pPr>
        <w:pStyle w:val="FootnoteText"/>
      </w:pPr>
      <w:r>
        <w:rPr>
          <w:rStyle w:val="FootnoteReference"/>
        </w:rPr>
        <w:footnoteRef/>
      </w:r>
      <w:r>
        <w:t xml:space="preserve"> </w:t>
      </w:r>
      <w:r w:rsidRPr="00095F27">
        <w:rPr>
          <w:sz w:val="16"/>
          <w:szCs w:val="16"/>
        </w:rPr>
        <w:t xml:space="preserve">A. Burnett. 1987. Coinage in the Roman World. The Adoption of Coin. </w:t>
      </w:r>
      <w:proofErr w:type="spellStart"/>
      <w:r w:rsidRPr="00095F27">
        <w:rPr>
          <w:sz w:val="16"/>
          <w:szCs w:val="16"/>
        </w:rPr>
        <w:t>Biddles</w:t>
      </w:r>
      <w:proofErr w:type="spellEnd"/>
      <w:r w:rsidRPr="00095F27">
        <w:rPr>
          <w:sz w:val="16"/>
          <w:szCs w:val="16"/>
        </w:rPr>
        <w:t xml:space="preserve"> Ltd. 1-2.</w:t>
      </w:r>
    </w:p>
  </w:footnote>
  <w:footnote w:id="12">
    <w:p w:rsidR="00095F27" w:rsidRDefault="00095F27">
      <w:pPr>
        <w:pStyle w:val="FootnoteText"/>
      </w:pPr>
      <w:r>
        <w:rPr>
          <w:rStyle w:val="FootnoteReference"/>
        </w:rPr>
        <w:footnoteRef/>
      </w:r>
      <w:r>
        <w:t xml:space="preserve"> </w:t>
      </w:r>
      <w:r w:rsidRPr="00095F27">
        <w:rPr>
          <w:sz w:val="16"/>
          <w:szCs w:val="16"/>
        </w:rPr>
        <w:t>A. Burnett. 1987. Coinage in the Roman World. The Adoption of Coin.</w:t>
      </w:r>
      <w:r>
        <w:rPr>
          <w:sz w:val="16"/>
          <w:szCs w:val="16"/>
        </w:rPr>
        <w:t xml:space="preserve"> </w:t>
      </w:r>
      <w:proofErr w:type="spellStart"/>
      <w:r>
        <w:rPr>
          <w:sz w:val="16"/>
          <w:szCs w:val="16"/>
        </w:rPr>
        <w:t>Biddles</w:t>
      </w:r>
      <w:proofErr w:type="spellEnd"/>
      <w:r>
        <w:rPr>
          <w:sz w:val="16"/>
          <w:szCs w:val="16"/>
        </w:rPr>
        <w:t xml:space="preserve"> Ltd. 1-5</w:t>
      </w:r>
    </w:p>
  </w:footnote>
  <w:footnote w:id="13">
    <w:p w:rsidR="00F162A9" w:rsidRDefault="00F162A9">
      <w:pPr>
        <w:pStyle w:val="FootnoteText"/>
      </w:pPr>
      <w:r>
        <w:rPr>
          <w:rStyle w:val="FootnoteReference"/>
        </w:rPr>
        <w:footnoteRef/>
      </w:r>
      <w:r>
        <w:t xml:space="preserve"> </w:t>
      </w:r>
      <w:r w:rsidRPr="00095F27">
        <w:rPr>
          <w:sz w:val="16"/>
          <w:szCs w:val="16"/>
        </w:rPr>
        <w:t>D. James. S. Bostock. 1996. Celtic Connections. Iron Age and Celtic Peoples. Blandford A. Cassel Imprint. 48-49</w:t>
      </w:r>
    </w:p>
  </w:footnote>
  <w:footnote w:id="14">
    <w:p w:rsidR="00F162A9" w:rsidRPr="00F162A9" w:rsidRDefault="00F162A9">
      <w:pPr>
        <w:pStyle w:val="FootnoteText"/>
        <w:rPr>
          <w:sz w:val="16"/>
          <w:szCs w:val="16"/>
        </w:rPr>
      </w:pPr>
      <w:r>
        <w:rPr>
          <w:rStyle w:val="FootnoteReference"/>
        </w:rPr>
        <w:footnoteRef/>
      </w:r>
      <w:r>
        <w:t xml:space="preserve"> </w:t>
      </w:r>
      <w:r w:rsidRPr="00095F27">
        <w:rPr>
          <w:sz w:val="16"/>
          <w:szCs w:val="16"/>
        </w:rPr>
        <w:t>M. J. Green. 1995. The Celtic World. Coinage. Routledge Press. 244-245</w:t>
      </w:r>
    </w:p>
  </w:footnote>
  <w:footnote w:id="15">
    <w:p w:rsidR="00F162A9" w:rsidRDefault="00F162A9">
      <w:pPr>
        <w:pStyle w:val="FootnoteText"/>
      </w:pPr>
      <w:r>
        <w:rPr>
          <w:rStyle w:val="FootnoteReference"/>
        </w:rPr>
        <w:footnoteRef/>
      </w:r>
      <w:r>
        <w:t xml:space="preserve"> </w:t>
      </w:r>
      <w:r w:rsidRPr="00095F27">
        <w:rPr>
          <w:sz w:val="16"/>
          <w:szCs w:val="16"/>
        </w:rPr>
        <w:t>D. James. S. Bostock. 1996. Celtic Connections. Iron Age and Celtic Peoples. Blandford A. Cassel Imprint. 48-49</w:t>
      </w:r>
    </w:p>
  </w:footnote>
  <w:footnote w:id="16">
    <w:p w:rsidR="009040FD" w:rsidRDefault="009040FD">
      <w:pPr>
        <w:pStyle w:val="FootnoteText"/>
      </w:pPr>
      <w:r>
        <w:rPr>
          <w:rStyle w:val="FootnoteReference"/>
        </w:rPr>
        <w:footnoteRef/>
      </w:r>
      <w:r>
        <w:t xml:space="preserve"> </w:t>
      </w:r>
      <w:r w:rsidRPr="00095F27">
        <w:rPr>
          <w:sz w:val="16"/>
          <w:szCs w:val="16"/>
        </w:rPr>
        <w:t>D. James. S. Bostock. 1996. Celtic Connections. Iron Age and Celtic Peoples. Blandford A. Cassel Imprint. 48-49</w:t>
      </w:r>
    </w:p>
  </w:footnote>
  <w:footnote w:id="17">
    <w:p w:rsidR="009040FD" w:rsidRDefault="009040FD">
      <w:pPr>
        <w:pStyle w:val="FootnoteText"/>
      </w:pPr>
      <w:r>
        <w:rPr>
          <w:rStyle w:val="FootnoteReference"/>
        </w:rPr>
        <w:footnoteRef/>
      </w:r>
      <w:r>
        <w:t xml:space="preserve"> </w:t>
      </w:r>
      <w:r w:rsidRPr="00095F27">
        <w:rPr>
          <w:sz w:val="16"/>
          <w:szCs w:val="16"/>
        </w:rPr>
        <w:t>M. J. Green. 1995. The Celtic World. Coinage. Routledge Press. 244-245</w:t>
      </w:r>
    </w:p>
  </w:footnote>
  <w:footnote w:id="18">
    <w:p w:rsidR="009040FD" w:rsidRDefault="009040FD">
      <w:pPr>
        <w:pStyle w:val="FootnoteText"/>
      </w:pPr>
      <w:r>
        <w:rPr>
          <w:rStyle w:val="FootnoteReference"/>
        </w:rPr>
        <w:footnoteRef/>
      </w:r>
      <w:r>
        <w:t xml:space="preserve"> </w:t>
      </w:r>
      <w:r w:rsidRPr="00095F27">
        <w:rPr>
          <w:sz w:val="16"/>
          <w:szCs w:val="16"/>
        </w:rPr>
        <w:t>R. Hobbs, R. Jackson. 2013. Roman Britain. Language and Literacy. British M</w:t>
      </w:r>
      <w:r>
        <w:rPr>
          <w:sz w:val="16"/>
          <w:szCs w:val="16"/>
        </w:rPr>
        <w:t>useum Press. 18-19</w:t>
      </w:r>
    </w:p>
  </w:footnote>
  <w:footnote w:id="19">
    <w:p w:rsidR="009040FD" w:rsidRDefault="009040FD">
      <w:pPr>
        <w:pStyle w:val="FootnoteText"/>
      </w:pPr>
      <w:r>
        <w:rPr>
          <w:rStyle w:val="FootnoteReference"/>
        </w:rPr>
        <w:footnoteRef/>
      </w:r>
      <w:r>
        <w:t xml:space="preserve"> </w:t>
      </w:r>
      <w:r w:rsidRPr="00095F27">
        <w:rPr>
          <w:sz w:val="16"/>
          <w:szCs w:val="16"/>
        </w:rPr>
        <w:t>M. J. Green. 1995. The Celtic World. Coinage. Routledge Press. 244-245</w:t>
      </w:r>
    </w:p>
  </w:footnote>
  <w:footnote w:id="20">
    <w:p w:rsidR="003A38A8" w:rsidRDefault="003A38A8">
      <w:pPr>
        <w:pStyle w:val="FootnoteText"/>
      </w:pPr>
      <w:r>
        <w:rPr>
          <w:rStyle w:val="FootnoteReference"/>
        </w:rPr>
        <w:footnoteRef/>
      </w:r>
      <w:r>
        <w:t xml:space="preserve"> </w:t>
      </w:r>
      <w:r w:rsidRPr="00095F27">
        <w:rPr>
          <w:sz w:val="16"/>
          <w:szCs w:val="16"/>
        </w:rPr>
        <w:t>M. J. Green. 1995. The Celtic World. Coinage. Routledge Press. 244-245</w:t>
      </w:r>
    </w:p>
  </w:footnote>
  <w:footnote w:id="21">
    <w:p w:rsidR="003A38A8" w:rsidRDefault="003A38A8">
      <w:pPr>
        <w:pStyle w:val="FootnoteText"/>
      </w:pPr>
      <w:r>
        <w:rPr>
          <w:rStyle w:val="FootnoteReference"/>
        </w:rPr>
        <w:footnoteRef/>
      </w:r>
      <w:r>
        <w:t xml:space="preserve"> </w:t>
      </w:r>
      <w:r w:rsidRPr="00095F27">
        <w:rPr>
          <w:sz w:val="16"/>
          <w:szCs w:val="16"/>
        </w:rPr>
        <w:t>M. J. Green. 1995. The Celtic World. C</w:t>
      </w:r>
      <w:r>
        <w:rPr>
          <w:sz w:val="16"/>
          <w:szCs w:val="16"/>
        </w:rPr>
        <w:t>oinage. Routledge Press. 250-51</w:t>
      </w:r>
    </w:p>
  </w:footnote>
  <w:footnote w:id="22">
    <w:p w:rsidR="000910D9" w:rsidRDefault="000910D9">
      <w:pPr>
        <w:pStyle w:val="FootnoteText"/>
      </w:pPr>
      <w:r>
        <w:rPr>
          <w:rStyle w:val="FootnoteReference"/>
        </w:rPr>
        <w:footnoteRef/>
      </w:r>
      <w:r>
        <w:t xml:space="preserve"> </w:t>
      </w:r>
      <w:r w:rsidRPr="000910D9">
        <w:rPr>
          <w:sz w:val="16"/>
          <w:szCs w:val="16"/>
        </w:rPr>
        <w:t xml:space="preserve">G. De La </w:t>
      </w:r>
      <w:proofErr w:type="spellStart"/>
      <w:r w:rsidRPr="000910D9">
        <w:rPr>
          <w:sz w:val="16"/>
          <w:szCs w:val="16"/>
        </w:rPr>
        <w:t>Bedoyere</w:t>
      </w:r>
      <w:proofErr w:type="spellEnd"/>
      <w:r w:rsidRPr="000910D9">
        <w:rPr>
          <w:sz w:val="16"/>
          <w:szCs w:val="16"/>
        </w:rPr>
        <w:t>. 2001. Eagles Over Britannia: The Roman Army in Britain. Commerce and Manufacturing. 120-122</w:t>
      </w:r>
    </w:p>
  </w:footnote>
  <w:footnote w:id="23">
    <w:p w:rsidR="000910D9" w:rsidRDefault="000910D9">
      <w:pPr>
        <w:pStyle w:val="FootnoteText"/>
      </w:pPr>
      <w:r>
        <w:rPr>
          <w:rStyle w:val="FootnoteReference"/>
        </w:rPr>
        <w:footnoteRef/>
      </w:r>
      <w:r>
        <w:t xml:space="preserve"> </w:t>
      </w:r>
      <w:r w:rsidRPr="000910D9">
        <w:rPr>
          <w:sz w:val="16"/>
          <w:szCs w:val="16"/>
        </w:rPr>
        <w:t xml:space="preserve">G. De La </w:t>
      </w:r>
      <w:proofErr w:type="spellStart"/>
      <w:r w:rsidRPr="000910D9">
        <w:rPr>
          <w:sz w:val="16"/>
          <w:szCs w:val="16"/>
        </w:rPr>
        <w:t>Bedoyere</w:t>
      </w:r>
      <w:proofErr w:type="spellEnd"/>
      <w:r w:rsidRPr="000910D9">
        <w:rPr>
          <w:sz w:val="16"/>
          <w:szCs w:val="16"/>
        </w:rPr>
        <w:t>. 2001. Eagles Over Britannia: The Roman Army in Britain. Commerce and Manufacturing. 120-122</w:t>
      </w:r>
    </w:p>
  </w:footnote>
  <w:footnote w:id="24">
    <w:p w:rsidR="000910D9" w:rsidRDefault="000910D9">
      <w:pPr>
        <w:pStyle w:val="FootnoteText"/>
      </w:pPr>
      <w:r>
        <w:rPr>
          <w:rStyle w:val="FootnoteReference"/>
        </w:rPr>
        <w:footnoteRef/>
      </w:r>
      <w:r>
        <w:t xml:space="preserve"> </w:t>
      </w:r>
      <w:r w:rsidRPr="000910D9">
        <w:rPr>
          <w:sz w:val="16"/>
          <w:szCs w:val="16"/>
        </w:rPr>
        <w:t xml:space="preserve">G. De La </w:t>
      </w:r>
      <w:proofErr w:type="spellStart"/>
      <w:r w:rsidRPr="000910D9">
        <w:rPr>
          <w:sz w:val="16"/>
          <w:szCs w:val="16"/>
        </w:rPr>
        <w:t>Bedoyere</w:t>
      </w:r>
      <w:proofErr w:type="spellEnd"/>
      <w:r w:rsidRPr="000910D9">
        <w:rPr>
          <w:sz w:val="16"/>
          <w:szCs w:val="16"/>
        </w:rPr>
        <w:t>. 2001. Eagles Over Britannia: The Roman Army in Britain. Commerce and Manufacturing. 120-122</w:t>
      </w:r>
    </w:p>
  </w:footnote>
  <w:footnote w:id="25">
    <w:p w:rsidR="000910D9" w:rsidRDefault="000910D9">
      <w:pPr>
        <w:pStyle w:val="FootnoteText"/>
      </w:pPr>
      <w:r>
        <w:rPr>
          <w:rStyle w:val="FootnoteReference"/>
        </w:rPr>
        <w:footnoteRef/>
      </w:r>
      <w:r>
        <w:t xml:space="preserve"> </w:t>
      </w:r>
      <w:r w:rsidRPr="000910D9">
        <w:rPr>
          <w:sz w:val="16"/>
          <w:szCs w:val="16"/>
        </w:rPr>
        <w:t xml:space="preserve">G. De La </w:t>
      </w:r>
      <w:proofErr w:type="spellStart"/>
      <w:r w:rsidRPr="000910D9">
        <w:rPr>
          <w:sz w:val="16"/>
          <w:szCs w:val="16"/>
        </w:rPr>
        <w:t>Bedoyere</w:t>
      </w:r>
      <w:proofErr w:type="spellEnd"/>
      <w:r w:rsidRPr="000910D9">
        <w:rPr>
          <w:sz w:val="16"/>
          <w:szCs w:val="16"/>
        </w:rPr>
        <w:t>. 2001. Eagles Over Britannia: The Roman Army in Britain. Commerce and Manufacturing. 120-122</w:t>
      </w:r>
    </w:p>
  </w:footnote>
  <w:footnote w:id="26">
    <w:p w:rsidR="000910D9" w:rsidRPr="009369F4" w:rsidRDefault="000910D9">
      <w:pPr>
        <w:pStyle w:val="FootnoteText"/>
        <w:rPr>
          <w:sz w:val="16"/>
          <w:szCs w:val="16"/>
        </w:rPr>
      </w:pPr>
      <w:r>
        <w:rPr>
          <w:rStyle w:val="FootnoteReference"/>
        </w:rPr>
        <w:footnoteRef/>
      </w:r>
      <w:r>
        <w:t xml:space="preserve"> </w:t>
      </w:r>
      <w:r w:rsidRPr="000910D9">
        <w:rPr>
          <w:sz w:val="16"/>
          <w:szCs w:val="16"/>
        </w:rPr>
        <w:t xml:space="preserve">G. De La </w:t>
      </w:r>
      <w:proofErr w:type="spellStart"/>
      <w:r w:rsidRPr="000910D9">
        <w:rPr>
          <w:sz w:val="16"/>
          <w:szCs w:val="16"/>
        </w:rPr>
        <w:t>Bedoyere</w:t>
      </w:r>
      <w:proofErr w:type="spellEnd"/>
      <w:r w:rsidRPr="009369F4">
        <w:rPr>
          <w:sz w:val="16"/>
          <w:szCs w:val="16"/>
        </w:rPr>
        <w:t>. 2001. Eagles Over Britannia: The Roman Army in Britain. Commerce and Manufacturing. 120-122</w:t>
      </w:r>
    </w:p>
  </w:footnote>
  <w:footnote w:id="27">
    <w:p w:rsidR="006C6F0D" w:rsidRPr="009369F4" w:rsidRDefault="006C6F0D">
      <w:pPr>
        <w:pStyle w:val="FootnoteText"/>
        <w:rPr>
          <w:sz w:val="16"/>
          <w:szCs w:val="16"/>
        </w:rPr>
      </w:pPr>
      <w:r w:rsidRPr="009369F4">
        <w:rPr>
          <w:rStyle w:val="FootnoteReference"/>
          <w:sz w:val="16"/>
          <w:szCs w:val="16"/>
        </w:rPr>
        <w:footnoteRef/>
      </w:r>
      <w:r w:rsidRPr="009369F4">
        <w:rPr>
          <w:sz w:val="16"/>
          <w:szCs w:val="16"/>
        </w:rPr>
        <w:t xml:space="preserve"> </w:t>
      </w:r>
      <w:r w:rsidRPr="009369F4">
        <w:rPr>
          <w:sz w:val="16"/>
          <w:szCs w:val="16"/>
        </w:rPr>
        <w:t xml:space="preserve">G. De La </w:t>
      </w:r>
      <w:proofErr w:type="spellStart"/>
      <w:r w:rsidRPr="009369F4">
        <w:rPr>
          <w:sz w:val="16"/>
          <w:szCs w:val="16"/>
        </w:rPr>
        <w:t>Bedoyere</w:t>
      </w:r>
      <w:proofErr w:type="spellEnd"/>
      <w:r w:rsidRPr="009369F4">
        <w:rPr>
          <w:sz w:val="16"/>
          <w:szCs w:val="16"/>
        </w:rPr>
        <w:t>. 2001. Eagles Over Britannia: The Roman Army in Britain. Commerce and Manufacturing. 120-122</w:t>
      </w:r>
    </w:p>
  </w:footnote>
  <w:footnote w:id="28">
    <w:p w:rsidR="006C6F0D" w:rsidRPr="009369F4" w:rsidRDefault="006C6F0D">
      <w:pPr>
        <w:pStyle w:val="FootnoteText"/>
        <w:rPr>
          <w:sz w:val="16"/>
          <w:szCs w:val="16"/>
        </w:rPr>
      </w:pPr>
      <w:r w:rsidRPr="009369F4">
        <w:rPr>
          <w:rStyle w:val="FootnoteReference"/>
          <w:sz w:val="16"/>
          <w:szCs w:val="16"/>
        </w:rPr>
        <w:footnoteRef/>
      </w:r>
      <w:r w:rsidRPr="009369F4">
        <w:rPr>
          <w:sz w:val="16"/>
          <w:szCs w:val="16"/>
        </w:rPr>
        <w:t xml:space="preserve"> </w:t>
      </w:r>
      <w:r w:rsidRPr="009369F4">
        <w:rPr>
          <w:sz w:val="16"/>
          <w:szCs w:val="16"/>
        </w:rPr>
        <w:t xml:space="preserve">G. De La </w:t>
      </w:r>
      <w:proofErr w:type="spellStart"/>
      <w:r w:rsidRPr="009369F4">
        <w:rPr>
          <w:sz w:val="16"/>
          <w:szCs w:val="16"/>
        </w:rPr>
        <w:t>Bedoyere</w:t>
      </w:r>
      <w:proofErr w:type="spellEnd"/>
      <w:r w:rsidRPr="009369F4">
        <w:rPr>
          <w:sz w:val="16"/>
          <w:szCs w:val="16"/>
        </w:rPr>
        <w:t>. 2001. Eagles Over Britannia: The Roman Army in Britain. Commerce and Manufacturing. 120-122</w:t>
      </w:r>
    </w:p>
  </w:footnote>
  <w:footnote w:id="29">
    <w:p w:rsidR="006C6F0D" w:rsidRPr="009369F4" w:rsidRDefault="006C6F0D">
      <w:pPr>
        <w:pStyle w:val="FootnoteText"/>
        <w:rPr>
          <w:sz w:val="16"/>
          <w:szCs w:val="16"/>
        </w:rPr>
      </w:pPr>
      <w:r w:rsidRPr="009369F4">
        <w:rPr>
          <w:rStyle w:val="FootnoteReference"/>
          <w:sz w:val="16"/>
          <w:szCs w:val="16"/>
        </w:rPr>
        <w:footnoteRef/>
      </w:r>
      <w:r w:rsidRPr="009369F4">
        <w:rPr>
          <w:sz w:val="16"/>
          <w:szCs w:val="16"/>
        </w:rPr>
        <w:t xml:space="preserve"> </w:t>
      </w:r>
      <w:r w:rsidRPr="009369F4">
        <w:rPr>
          <w:sz w:val="16"/>
          <w:szCs w:val="16"/>
        </w:rPr>
        <w:t>M. J. Green. 1995. The Celtic World. Coinage. Routledge Press. 250-51</w:t>
      </w:r>
    </w:p>
  </w:footnote>
  <w:footnote w:id="30">
    <w:p w:rsidR="006C6F0D" w:rsidRPr="009369F4" w:rsidRDefault="006C6F0D">
      <w:pPr>
        <w:pStyle w:val="FootnoteText"/>
        <w:rPr>
          <w:sz w:val="16"/>
          <w:szCs w:val="16"/>
        </w:rPr>
      </w:pPr>
      <w:r w:rsidRPr="009369F4">
        <w:rPr>
          <w:rStyle w:val="FootnoteReference"/>
          <w:sz w:val="16"/>
          <w:szCs w:val="16"/>
        </w:rPr>
        <w:footnoteRef/>
      </w:r>
      <w:r w:rsidRPr="009369F4">
        <w:rPr>
          <w:sz w:val="16"/>
          <w:szCs w:val="16"/>
        </w:rPr>
        <w:t xml:space="preserve"> </w:t>
      </w:r>
      <w:r w:rsidRPr="009369F4">
        <w:rPr>
          <w:sz w:val="16"/>
          <w:szCs w:val="16"/>
        </w:rPr>
        <w:t xml:space="preserve">G. De La </w:t>
      </w:r>
      <w:proofErr w:type="spellStart"/>
      <w:r w:rsidRPr="009369F4">
        <w:rPr>
          <w:sz w:val="16"/>
          <w:szCs w:val="16"/>
        </w:rPr>
        <w:t>Bedoyere</w:t>
      </w:r>
      <w:proofErr w:type="spellEnd"/>
      <w:r w:rsidRPr="009369F4">
        <w:rPr>
          <w:sz w:val="16"/>
          <w:szCs w:val="16"/>
        </w:rPr>
        <w:t>. 2001. Eagles Over Britannia: The Roman Army in Britain. Commerce and Manufacturing. 120-122</w:t>
      </w:r>
    </w:p>
  </w:footnote>
  <w:footnote w:id="31">
    <w:p w:rsidR="009369F4" w:rsidRDefault="009369F4">
      <w:pPr>
        <w:pStyle w:val="FootnoteText"/>
      </w:pPr>
      <w:r w:rsidRPr="009369F4">
        <w:rPr>
          <w:rStyle w:val="FootnoteReference"/>
          <w:sz w:val="16"/>
          <w:szCs w:val="16"/>
        </w:rPr>
        <w:footnoteRef/>
      </w:r>
      <w:r w:rsidRPr="009369F4">
        <w:rPr>
          <w:sz w:val="16"/>
          <w:szCs w:val="16"/>
        </w:rPr>
        <w:t xml:space="preserve"> B. </w:t>
      </w:r>
      <w:proofErr w:type="spellStart"/>
      <w:r w:rsidRPr="009369F4">
        <w:rPr>
          <w:sz w:val="16"/>
          <w:szCs w:val="16"/>
        </w:rPr>
        <w:t>Cunliffe</w:t>
      </w:r>
      <w:proofErr w:type="spellEnd"/>
      <w:r w:rsidRPr="009369F4">
        <w:rPr>
          <w:sz w:val="16"/>
          <w:szCs w:val="16"/>
        </w:rPr>
        <w:t>. 1999. The Ancient Celts. The Celts in Retreat. Penguin Books. 252-253</w:t>
      </w:r>
    </w:p>
  </w:footnote>
  <w:footnote w:id="32">
    <w:p w:rsidR="00981DB4" w:rsidRDefault="00981DB4">
      <w:pPr>
        <w:pStyle w:val="FootnoteText"/>
      </w:pPr>
      <w:r>
        <w:rPr>
          <w:rStyle w:val="FootnoteReference"/>
        </w:rPr>
        <w:footnoteRef/>
      </w:r>
      <w:r>
        <w:t xml:space="preserve"> </w:t>
      </w:r>
      <w:r w:rsidRPr="00095F27">
        <w:rPr>
          <w:sz w:val="16"/>
          <w:szCs w:val="16"/>
        </w:rPr>
        <w:t>R. Hobbs, R. Jackson. 2013. Roman Britain. Language and Literacy. British M</w:t>
      </w:r>
      <w:r>
        <w:rPr>
          <w:sz w:val="16"/>
          <w:szCs w:val="16"/>
        </w:rPr>
        <w:t>useum Press. 22-23</w:t>
      </w:r>
    </w:p>
  </w:footnote>
  <w:footnote w:id="33">
    <w:p w:rsidR="00981DB4" w:rsidRDefault="00981DB4">
      <w:pPr>
        <w:pStyle w:val="FootnoteText"/>
      </w:pPr>
      <w:r>
        <w:rPr>
          <w:rStyle w:val="FootnoteReference"/>
        </w:rPr>
        <w:footnoteRef/>
      </w:r>
      <w:r>
        <w:t xml:space="preserve"> </w:t>
      </w:r>
      <w:r w:rsidRPr="00095F27">
        <w:rPr>
          <w:sz w:val="16"/>
          <w:szCs w:val="16"/>
        </w:rPr>
        <w:t>R. Hobbs, R. Jackson. 2013. Roman Britain. Language and Literacy. British M</w:t>
      </w:r>
      <w:r>
        <w:rPr>
          <w:sz w:val="16"/>
          <w:szCs w:val="16"/>
        </w:rPr>
        <w:t>useum Press. 23-25</w:t>
      </w:r>
    </w:p>
  </w:footnote>
  <w:footnote w:id="34">
    <w:p w:rsidR="00981DB4" w:rsidRDefault="00981DB4">
      <w:pPr>
        <w:pStyle w:val="FootnoteText"/>
      </w:pPr>
      <w:r>
        <w:rPr>
          <w:rStyle w:val="FootnoteReference"/>
        </w:rPr>
        <w:footnoteRef/>
      </w:r>
      <w:r>
        <w:t xml:space="preserve"> </w:t>
      </w:r>
      <w:r w:rsidRPr="00095F27">
        <w:rPr>
          <w:sz w:val="16"/>
          <w:szCs w:val="16"/>
        </w:rPr>
        <w:t>M. J. Green. 1995. The Celtic World. C</w:t>
      </w:r>
      <w:r>
        <w:rPr>
          <w:sz w:val="16"/>
          <w:szCs w:val="16"/>
        </w:rPr>
        <w:t>oinage. Routledge Pre</w:t>
      </w:r>
      <w:r>
        <w:rPr>
          <w:sz w:val="16"/>
          <w:szCs w:val="16"/>
        </w:rPr>
        <w:t>ss. 248-251</w:t>
      </w:r>
    </w:p>
  </w:footnote>
  <w:footnote w:id="35">
    <w:p w:rsidR="00981DB4" w:rsidRDefault="00981DB4">
      <w:pPr>
        <w:pStyle w:val="FootnoteText"/>
      </w:pPr>
      <w:r>
        <w:rPr>
          <w:rStyle w:val="FootnoteReference"/>
        </w:rPr>
        <w:footnoteRef/>
      </w:r>
      <w:r>
        <w:t xml:space="preserve"> </w:t>
      </w:r>
      <w:r w:rsidRPr="00095F27">
        <w:rPr>
          <w:sz w:val="16"/>
          <w:szCs w:val="16"/>
        </w:rPr>
        <w:t>M. J. Green. 1995. The Celtic World. C</w:t>
      </w:r>
      <w:r>
        <w:rPr>
          <w:sz w:val="16"/>
          <w:szCs w:val="16"/>
        </w:rPr>
        <w:t>oinage. Routledge Pre</w:t>
      </w:r>
      <w:r>
        <w:rPr>
          <w:sz w:val="16"/>
          <w:szCs w:val="16"/>
        </w:rPr>
        <w:t>ss. 249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2A4F8D"/>
    <w:multiLevelType w:val="hybridMultilevel"/>
    <w:tmpl w:val="55B0AC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58571A"/>
    <w:multiLevelType w:val="hybridMultilevel"/>
    <w:tmpl w:val="103E8C18"/>
    <w:lvl w:ilvl="0" w:tplc="7014110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9275E7F"/>
    <w:multiLevelType w:val="hybridMultilevel"/>
    <w:tmpl w:val="13086A8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5914FD"/>
    <w:multiLevelType w:val="hybridMultilevel"/>
    <w:tmpl w:val="4C2A4C2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7B6E"/>
    <w:rsid w:val="00062C56"/>
    <w:rsid w:val="000910D9"/>
    <w:rsid w:val="00095F27"/>
    <w:rsid w:val="0022740B"/>
    <w:rsid w:val="00342C59"/>
    <w:rsid w:val="003A38A8"/>
    <w:rsid w:val="00487C23"/>
    <w:rsid w:val="005349EB"/>
    <w:rsid w:val="00607B6E"/>
    <w:rsid w:val="006C6F0D"/>
    <w:rsid w:val="007840F3"/>
    <w:rsid w:val="007914FD"/>
    <w:rsid w:val="008B12A8"/>
    <w:rsid w:val="009040FD"/>
    <w:rsid w:val="009369F4"/>
    <w:rsid w:val="00943F37"/>
    <w:rsid w:val="00981DB4"/>
    <w:rsid w:val="009B3ADA"/>
    <w:rsid w:val="009E1656"/>
    <w:rsid w:val="00EC6AC5"/>
    <w:rsid w:val="00F16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41F1F"/>
  <w15:chartTrackingRefBased/>
  <w15:docId w15:val="{E22722B3-B41A-4E1E-83A0-ACAC6F4BE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07B6E"/>
    <w:rPr>
      <w:i/>
      <w:iCs/>
    </w:rPr>
  </w:style>
  <w:style w:type="paragraph" w:styleId="FootnoteText">
    <w:name w:val="footnote text"/>
    <w:basedOn w:val="Normal"/>
    <w:link w:val="FootnoteTextChar"/>
    <w:uiPriority w:val="99"/>
    <w:semiHidden/>
    <w:unhideWhenUsed/>
    <w:rsid w:val="007914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914FD"/>
    <w:rPr>
      <w:sz w:val="20"/>
      <w:szCs w:val="20"/>
    </w:rPr>
  </w:style>
  <w:style w:type="character" w:styleId="FootnoteReference">
    <w:name w:val="footnote reference"/>
    <w:basedOn w:val="DefaultParagraphFont"/>
    <w:uiPriority w:val="99"/>
    <w:semiHidden/>
    <w:unhideWhenUsed/>
    <w:rsid w:val="007914FD"/>
    <w:rPr>
      <w:vertAlign w:val="superscript"/>
    </w:rPr>
  </w:style>
  <w:style w:type="paragraph" w:styleId="ListParagraph">
    <w:name w:val="List Paragraph"/>
    <w:basedOn w:val="Normal"/>
    <w:uiPriority w:val="34"/>
    <w:qFormat/>
    <w:rsid w:val="009B3A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D38D05-1764-482C-A0AF-DD68C03AD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4</Pages>
  <Words>1765</Words>
  <Characters>10066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Kerslake</dc:creator>
  <cp:keywords/>
  <dc:description/>
  <cp:lastModifiedBy>Charlotte Kerslake</cp:lastModifiedBy>
  <cp:revision>2</cp:revision>
  <dcterms:created xsi:type="dcterms:W3CDTF">2017-11-14T18:23:00Z</dcterms:created>
  <dcterms:modified xsi:type="dcterms:W3CDTF">2017-11-14T22:23:00Z</dcterms:modified>
</cp:coreProperties>
</file>