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4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41751C" w:rsidR="00571F12" w:rsidRDefault="003F5DF2">
                                          <w:pPr>
                                            <w:pStyle w:val="a3"/>
                                            <w:spacing w:line="312" w:lineRule="auto"/>
                                            <w:jc w:val="right"/>
                                            <w:rPr>
                                              <w:caps/>
                                              <w:color w:val="191919" w:themeColor="text1" w:themeTint="E6"/>
                                              <w:sz w:val="72"/>
                                              <w:szCs w:val="72"/>
                                            </w:rPr>
                                          </w:pPr>
                                          <w:r w:rsidRPr="003F5DF2">
                                            <w:rPr>
                                              <w:rFonts w:hint="eastAsia"/>
                                              <w:caps/>
                                              <w:color w:val="191919" w:themeColor="text1" w:themeTint="E6"/>
                                              <w:sz w:val="44"/>
                                              <w:szCs w:val="44"/>
                                              <w:lang w:eastAsia="zh-CN"/>
                                            </w:rPr>
                                            <w:t>InTERnational business communication report</w:t>
                                          </w:r>
                                        </w:p>
                                      </w:sdtContent>
                                    </w:sdt>
                                    <w:p w14:paraId="13383768" w14:textId="3E00A99F" w:rsidR="00571F12" w:rsidRDefault="00000000">
                                      <w:pPr>
                                        <w:jc w:val="right"/>
                                        <w:rPr>
                                          <w:sz w:val="24"/>
                                          <w:szCs w:val="24"/>
                                        </w:rPr>
                                      </w:pP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sdt>
                                            <w:sdtPr>
                                              <w:rPr>
                                                <w:color w:val="000000" w:themeColor="text1"/>
                                                <w:sz w:val="24"/>
                                                <w:szCs w:val="24"/>
                                              </w:rPr>
                                              <w:alias w:val="Subtitle"/>
                                              <w:tag w:val=""/>
                                              <w:id w:val="60995841"/>
                                              <w:dataBinding w:prefixMappings="xmlns:ns0='http://purl.org/dc/elements/1.1/' xmlns:ns1='http://schemas.openxmlformats.org/package/2006/metadata/core-properties' " w:xpath="/ns1:coreProperties[1]/ns0:subject[1]" w:storeItemID="{6C3C8BC8-F283-45AE-878A-BAB7291924A1}"/>
                                              <w:text/>
                                            </w:sdtPr>
                                            <w:sdtContent>
                                              <w:r w:rsidR="005F485A">
                                                <w:rPr>
                                                  <w:color w:val="000000" w:themeColor="text1"/>
                                                  <w:sz w:val="24"/>
                                                  <w:szCs w:val="24"/>
                                                </w:rPr>
                                                <w:t>Analysis of the expansion of the Japanese market</w:t>
                                              </w:r>
                                            </w:sdtContent>
                                          </w:sdt>
                                        </w:sdtContent>
                                      </w:sdt>
                                    </w:p>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5BBC828F" w:rsidR="00571F12" w:rsidRDefault="00E54F52">
                                          <w:pPr>
                                            <w:rPr>
                                              <w:color w:val="000000" w:themeColor="text1"/>
                                            </w:rPr>
                                          </w:pPr>
                                          <w:r w:rsidRPr="00E54F52">
                                            <w:rPr>
                                              <w:color w:val="000000" w:themeColor="text1"/>
                                            </w:rPr>
                                            <w:t>Intercultural negotiation entails understanding cultural dynamics first, showing respect and finding common ground, and finally building trust through transparent and respectful dialogue.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88A7E9F" w:rsidR="00571F12" w:rsidRDefault="00905F82">
                                          <w:pPr>
                                            <w:pStyle w:val="a3"/>
                                            <w:rPr>
                                              <w:color w:val="ED7D31" w:themeColor="accent2"/>
                                              <w:sz w:val="26"/>
                                              <w:szCs w:val="26"/>
                                            </w:rPr>
                                          </w:pPr>
                                          <w:r>
                                            <w:rPr>
                                              <w:color w:val="ED7D31" w:themeColor="accent2"/>
                                              <w:sz w:val="26"/>
                                              <w:szCs w:val="26"/>
                                            </w:rPr>
                                            <w:t>Gwyneth Jones</w:t>
                                          </w:r>
                                        </w:p>
                                      </w:sdtContent>
                                    </w:sdt>
                                    <w:p w14:paraId="31230197" w14:textId="2F886249"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5DF2">
                                            <w:rPr>
                                              <w:rFonts w:hint="eastAsia"/>
                                              <w:color w:val="44546A" w:themeColor="text2"/>
                                              <w:lang w:eastAsia="zh-CN"/>
                                            </w:rPr>
                                            <w:t>Internation Business Communication</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4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0C41751C" w:rsidR="00571F12" w:rsidRDefault="003F5DF2">
                                    <w:pPr>
                                      <w:pStyle w:val="a3"/>
                                      <w:spacing w:line="312" w:lineRule="auto"/>
                                      <w:jc w:val="right"/>
                                      <w:rPr>
                                        <w:caps/>
                                        <w:color w:val="191919" w:themeColor="text1" w:themeTint="E6"/>
                                        <w:sz w:val="72"/>
                                        <w:szCs w:val="72"/>
                                      </w:rPr>
                                    </w:pPr>
                                    <w:r w:rsidRPr="003F5DF2">
                                      <w:rPr>
                                        <w:rFonts w:hint="eastAsia"/>
                                        <w:caps/>
                                        <w:color w:val="191919" w:themeColor="text1" w:themeTint="E6"/>
                                        <w:sz w:val="44"/>
                                        <w:szCs w:val="44"/>
                                        <w:lang w:eastAsia="zh-CN"/>
                                      </w:rPr>
                                      <w:t>InTERnational business communication report</w:t>
                                    </w:r>
                                  </w:p>
                                </w:sdtContent>
                              </w:sdt>
                              <w:p w14:paraId="13383768" w14:textId="3E00A99F" w:rsidR="00571F12" w:rsidRDefault="00000000">
                                <w:pPr>
                                  <w:jc w:val="right"/>
                                  <w:rPr>
                                    <w:sz w:val="24"/>
                                    <w:szCs w:val="24"/>
                                  </w:rPr>
                                </w:pP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sdt>
                                      <w:sdtPr>
                                        <w:rPr>
                                          <w:color w:val="000000" w:themeColor="text1"/>
                                          <w:sz w:val="24"/>
                                          <w:szCs w:val="24"/>
                                        </w:rPr>
                                        <w:alias w:val="Subtitle"/>
                                        <w:tag w:val=""/>
                                        <w:id w:val="60995841"/>
                                        <w:dataBinding w:prefixMappings="xmlns:ns0='http://purl.org/dc/elements/1.1/' xmlns:ns1='http://schemas.openxmlformats.org/package/2006/metadata/core-properties' " w:xpath="/ns1:coreProperties[1]/ns0:subject[1]" w:storeItemID="{6C3C8BC8-F283-45AE-878A-BAB7291924A1}"/>
                                        <w:text/>
                                      </w:sdtPr>
                                      <w:sdtContent>
                                        <w:r w:rsidR="005F485A">
                                          <w:rPr>
                                            <w:color w:val="000000" w:themeColor="text1"/>
                                            <w:sz w:val="24"/>
                                            <w:szCs w:val="24"/>
                                          </w:rPr>
                                          <w:t>Analysis of the expansion of the Japanese market</w:t>
                                        </w:r>
                                      </w:sdtContent>
                                    </w:sdt>
                                  </w:sdtContent>
                                </w:sdt>
                              </w:p>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5BBC828F" w:rsidR="00571F12" w:rsidRDefault="00E54F52">
                                    <w:pPr>
                                      <w:rPr>
                                        <w:color w:val="000000" w:themeColor="text1"/>
                                      </w:rPr>
                                    </w:pPr>
                                    <w:r w:rsidRPr="00E54F52">
                                      <w:rPr>
                                        <w:color w:val="000000" w:themeColor="text1"/>
                                      </w:rPr>
                                      <w:t>Intercultural negotiation entails understanding cultural dynamics first, showing respect and finding common ground, and finally building trust through transparent and respectful dialogue.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88A7E9F" w:rsidR="00571F12" w:rsidRDefault="00905F82">
                                    <w:pPr>
                                      <w:pStyle w:val="a3"/>
                                      <w:rPr>
                                        <w:color w:val="ED7D31" w:themeColor="accent2"/>
                                        <w:sz w:val="26"/>
                                        <w:szCs w:val="26"/>
                                      </w:rPr>
                                    </w:pPr>
                                    <w:r>
                                      <w:rPr>
                                        <w:color w:val="ED7D31" w:themeColor="accent2"/>
                                        <w:sz w:val="26"/>
                                        <w:szCs w:val="26"/>
                                      </w:rPr>
                                      <w:t>Gwyneth Jones</w:t>
                                    </w:r>
                                  </w:p>
                                </w:sdtContent>
                              </w:sdt>
                              <w:p w14:paraId="31230197" w14:textId="2F886249"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5DF2">
                                      <w:rPr>
                                        <w:rFonts w:hint="eastAsia"/>
                                        <w:color w:val="44546A" w:themeColor="text2"/>
                                        <w:lang w:eastAsia="zh-CN"/>
                                      </w:rPr>
                                      <w:t>Internation Business Communication</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5F485A">
      <w:pPr>
        <w:pStyle w:val="1"/>
      </w:pPr>
      <w:bookmarkStart w:id="0" w:name="_Toc184782059"/>
      <w:r w:rsidRPr="00571F12">
        <w:lastRenderedPageBreak/>
        <w:t>Executive Summary</w:t>
      </w:r>
      <w:bookmarkEnd w:id="0"/>
    </w:p>
    <w:p w14:paraId="08F66093" w14:textId="18473055" w:rsidR="00D462AB" w:rsidRDefault="00D462AB" w:rsidP="00A5010C">
      <w:r>
        <w:rPr>
          <w:rFonts w:hint="eastAsia"/>
        </w:rPr>
        <w:t xml:space="preserve">This report outlines a strategic framework to guide large apparel retail groups to expand their business into Japan, leveraging effective international business communication. The first step is to train apparel retail groups in the fundamentals of IBC, with a focus on cultural intelligence, verbal and non-verbal communication, and sensitivity to high-context cultures such as Japan. Adapt to local norms and avoid racial and cultural biases. The second is to develop core competencies, including adaptability, negotiation skills, non-verbal communication skills, and gift-giving skills. A dedicated workshop on Japanese etiquette, hierarchy, and honorifics will help employees respect each other with their Japanese counterparts. This report uses Hall's High-Low Context framework to shape the style of communication, and Trompenaars' Seven Dimensions to tailor interactions to Japan's collectivist and hierarchical cultures. Provide scenario-based training to apply these principles in real-world settings. These principles are embodied in the implementation of strategies for nurturing long-term relationships, such as investing in regular face-to-face meetings, respecting Japanese traditions, and demonstrating reliability and patience. Emphasize the role of trust as a cornerstone of successful partnerships. Finally, the reasons that may lead to the failure of communication with the Japanese market are </w:t>
      </w:r>
      <w:r w:rsidR="003F5DF2">
        <w:t>analysed</w:t>
      </w:r>
      <w:r>
        <w:rPr>
          <w:rFonts w:hint="eastAsia"/>
        </w:rPr>
        <w:t>, and the impact of the failure is summarized.</w:t>
      </w:r>
    </w:p>
    <w:p w14:paraId="334EE849" w14:textId="7531F6A2" w:rsidR="00571F12" w:rsidRDefault="00571F12"/>
    <w:p w14:paraId="18CF94F2" w14:textId="6E91D78F" w:rsidR="00571F12" w:rsidRDefault="00571F12"/>
    <w:p w14:paraId="6C078C5F" w14:textId="78A1096D" w:rsidR="00571F12" w:rsidRDefault="00571F12"/>
    <w:p w14:paraId="54F3909C" w14:textId="1EFF8DCF" w:rsidR="00571F12" w:rsidRDefault="00571F12"/>
    <w:p w14:paraId="4CF00F92" w14:textId="309237EB" w:rsidR="00571F12" w:rsidRDefault="00571F12"/>
    <w:p w14:paraId="74781114" w14:textId="3D341CE2" w:rsidR="00571F12" w:rsidRDefault="00571F12"/>
    <w:p w14:paraId="1344E43E" w14:textId="54F4E5B4" w:rsidR="00571F12" w:rsidRDefault="00571F12"/>
    <w:p w14:paraId="521D19A9" w14:textId="416E381E" w:rsidR="00571F12" w:rsidRDefault="00571F12"/>
    <w:p w14:paraId="3C6BBAEE" w14:textId="0BEF02BF" w:rsidR="00571F12" w:rsidRDefault="00571F12"/>
    <w:p w14:paraId="7481BD56" w14:textId="77777777" w:rsidR="00435A99" w:rsidRDefault="00435A99"/>
    <w:p w14:paraId="10F9BF07" w14:textId="77777777" w:rsidR="00435A99" w:rsidRDefault="00435A99"/>
    <w:p w14:paraId="2F1C7A35" w14:textId="77777777" w:rsidR="00435A99" w:rsidRDefault="00435A99"/>
    <w:p w14:paraId="0F7BE6EC" w14:textId="77777777" w:rsidR="00435A99" w:rsidRDefault="00435A99"/>
    <w:p w14:paraId="5A5D1E52" w14:textId="77777777" w:rsidR="00435A99" w:rsidRDefault="00435A99"/>
    <w:p w14:paraId="44F45D8E" w14:textId="77777777" w:rsidR="00435A99" w:rsidRDefault="00435A99"/>
    <w:p w14:paraId="75513BE4" w14:textId="77777777" w:rsidR="00435A99" w:rsidRDefault="00435A99"/>
    <w:p w14:paraId="12CF9A5A" w14:textId="77777777" w:rsidR="00435A99" w:rsidRDefault="00435A99"/>
    <w:p w14:paraId="455D6FAF" w14:textId="77777777" w:rsidR="00435A99" w:rsidRDefault="00435A99"/>
    <w:p w14:paraId="0750239B" w14:textId="77777777" w:rsidR="00435A99" w:rsidRDefault="00435A99"/>
    <w:p w14:paraId="64C2E660" w14:textId="77777777" w:rsidR="00435A99" w:rsidRPr="00435A99" w:rsidRDefault="00435A99" w:rsidP="00435A99"/>
    <w:p w14:paraId="2A841086" w14:textId="15B5ADE8" w:rsidR="00571F12" w:rsidRDefault="00571F12" w:rsidP="00435A99">
      <w:pPr>
        <w:pStyle w:val="1"/>
      </w:pPr>
      <w:bookmarkStart w:id="1" w:name="_Toc184782060"/>
      <w:r w:rsidRPr="00571F12">
        <w:lastRenderedPageBreak/>
        <w:t>Content Page</w:t>
      </w:r>
      <w:bookmarkEnd w:id="1"/>
    </w:p>
    <w:sdt>
      <w:sdtPr>
        <w:rPr>
          <w:rFonts w:asciiTheme="minorHAnsi" w:eastAsiaTheme="minorEastAsia" w:hAnsiTheme="minorHAnsi" w:cstheme="minorBidi"/>
          <w:color w:val="auto"/>
          <w:sz w:val="22"/>
          <w:szCs w:val="22"/>
          <w:lang w:val="zh-CN" w:eastAsia="zh-CN"/>
        </w:rPr>
        <w:id w:val="-379022332"/>
        <w:docPartObj>
          <w:docPartGallery w:val="Table of Contents"/>
          <w:docPartUnique/>
        </w:docPartObj>
      </w:sdtPr>
      <w:sdtEndPr>
        <w:rPr>
          <w:b/>
          <w:bCs/>
        </w:rPr>
      </w:sdtEndPr>
      <w:sdtContent>
        <w:p w14:paraId="4FB5ED37" w14:textId="26786B2D" w:rsidR="00435A99" w:rsidRDefault="00435A99">
          <w:pPr>
            <w:pStyle w:val="TOC"/>
          </w:pPr>
          <w:r>
            <w:rPr>
              <w:lang w:val="zh-CN" w:eastAsia="zh-CN"/>
            </w:rPr>
            <w:t>目录</w:t>
          </w:r>
        </w:p>
        <w:p w14:paraId="6B918C40" w14:textId="2A69A373" w:rsidR="00435A99" w:rsidRDefault="00435A99">
          <w:pPr>
            <w:pStyle w:val="TOC1"/>
            <w:tabs>
              <w:tab w:val="right" w:leader="dot" w:pos="9016"/>
            </w:tabs>
            <w:rPr>
              <w:rFonts w:cstheme="minorBidi"/>
              <w:noProof/>
              <w:kern w:val="2"/>
              <w:szCs w:val="24"/>
              <w14:ligatures w14:val="standardContextual"/>
            </w:rPr>
          </w:pPr>
          <w:r>
            <w:fldChar w:fldCharType="begin"/>
          </w:r>
          <w:r>
            <w:instrText xml:space="preserve"> TOC \o "1-3" \h \z \u </w:instrText>
          </w:r>
          <w:r>
            <w:fldChar w:fldCharType="separate"/>
          </w:r>
          <w:hyperlink w:anchor="_Toc184782059" w:history="1">
            <w:r w:rsidRPr="006A6BC9">
              <w:rPr>
                <w:rStyle w:val="ac"/>
                <w:rFonts w:hint="eastAsia"/>
                <w:noProof/>
              </w:rPr>
              <w:t>Executive Summary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_Toc184782059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w:t>
            </w:r>
            <w:r>
              <w:rPr>
                <w:rFonts w:hint="eastAsia"/>
                <w:noProof/>
                <w:webHidden/>
              </w:rPr>
              <w:fldChar w:fldCharType="end"/>
            </w:r>
          </w:hyperlink>
        </w:p>
        <w:p w14:paraId="49BE7207" w14:textId="595FD771" w:rsidR="00435A99" w:rsidRDefault="00435A99">
          <w:pPr>
            <w:pStyle w:val="TOC1"/>
            <w:tabs>
              <w:tab w:val="right" w:leader="dot" w:pos="9016"/>
            </w:tabs>
            <w:rPr>
              <w:rFonts w:cstheme="minorBidi"/>
              <w:noProof/>
              <w:kern w:val="2"/>
              <w:szCs w:val="24"/>
              <w14:ligatures w14:val="standardContextual"/>
            </w:rPr>
          </w:pPr>
          <w:hyperlink w:anchor="_Toc184782060" w:history="1">
            <w:r w:rsidRPr="006A6BC9">
              <w:rPr>
                <w:rStyle w:val="ac"/>
                <w:rFonts w:hint="eastAsia"/>
                <w:noProof/>
              </w:rPr>
              <w:t>Content Page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w:t>
            </w:r>
            <w:r>
              <w:rPr>
                <w:rFonts w:hint="eastAsia"/>
                <w:noProof/>
                <w:webHidden/>
              </w:rPr>
              <w:fldChar w:fldCharType="end"/>
            </w:r>
          </w:hyperlink>
        </w:p>
        <w:p w14:paraId="2A295D45" w14:textId="060AE86F" w:rsidR="00435A99" w:rsidRDefault="00435A99">
          <w:pPr>
            <w:pStyle w:val="TOC1"/>
            <w:tabs>
              <w:tab w:val="right" w:leader="dot" w:pos="9016"/>
            </w:tabs>
            <w:rPr>
              <w:rFonts w:cstheme="minorBidi"/>
              <w:noProof/>
              <w:kern w:val="2"/>
              <w:szCs w:val="24"/>
              <w14:ligatures w14:val="standardContextual"/>
            </w:rPr>
          </w:pPr>
          <w:hyperlink w:anchor="_Toc184782061" w:history="1">
            <w:r w:rsidRPr="006A6BC9">
              <w:rPr>
                <w:rStyle w:val="ac"/>
                <w:rFonts w:hint="eastAsia"/>
                <w:noProof/>
              </w:rPr>
              <w:t xml:space="preserve">1.0 </w:t>
            </w:r>
            <w:r w:rsidRPr="006A6BC9">
              <w:rPr>
                <w:rStyle w:val="ac"/>
                <w:rFonts w:hint="eastAsia"/>
                <w:noProof/>
              </w:rPr>
              <w:t>–</w:t>
            </w:r>
            <w:r w:rsidRPr="006A6BC9">
              <w:rPr>
                <w:rStyle w:val="ac"/>
                <w:rFonts w:hint="eastAsia"/>
                <w:noProof/>
              </w:rPr>
              <w:t xml:space="preserve">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w:t>
            </w:r>
            <w:r>
              <w:rPr>
                <w:rFonts w:hint="eastAsia"/>
                <w:noProof/>
                <w:webHidden/>
              </w:rPr>
              <w:fldChar w:fldCharType="end"/>
            </w:r>
          </w:hyperlink>
        </w:p>
        <w:p w14:paraId="0FEBFB08" w14:textId="03259E85" w:rsidR="00435A99" w:rsidRDefault="00435A99">
          <w:pPr>
            <w:pStyle w:val="TOC1"/>
            <w:tabs>
              <w:tab w:val="right" w:leader="dot" w:pos="9016"/>
            </w:tabs>
            <w:rPr>
              <w:rFonts w:cstheme="minorBidi"/>
              <w:noProof/>
              <w:kern w:val="2"/>
              <w:szCs w:val="24"/>
              <w14:ligatures w14:val="standardContextual"/>
            </w:rPr>
          </w:pPr>
          <w:hyperlink w:anchor="_Toc184782062" w:history="1">
            <w:r w:rsidRPr="006A6BC9">
              <w:rPr>
                <w:rStyle w:val="ac"/>
                <w:rFonts w:hint="eastAsia"/>
                <w:noProof/>
              </w:rPr>
              <w:t xml:space="preserve">2.0 </w:t>
            </w:r>
            <w:r w:rsidRPr="006A6BC9">
              <w:rPr>
                <w:rStyle w:val="ac"/>
                <w:rFonts w:hint="eastAsia"/>
                <w:noProof/>
              </w:rPr>
              <w:t>–</w:t>
            </w:r>
            <w:r w:rsidRPr="006A6BC9">
              <w:rPr>
                <w:rStyle w:val="ac"/>
                <w:rFonts w:hint="eastAsia"/>
                <w:noProof/>
              </w:rPr>
              <w:t xml:space="preserve">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6B0A2903" w14:textId="241C1919" w:rsidR="00435A99" w:rsidRDefault="00435A99">
          <w:pPr>
            <w:pStyle w:val="TOC2"/>
            <w:tabs>
              <w:tab w:val="right" w:leader="dot" w:pos="9016"/>
            </w:tabs>
            <w:rPr>
              <w:rFonts w:cstheme="minorBidi"/>
              <w:noProof/>
              <w:kern w:val="2"/>
              <w:szCs w:val="24"/>
              <w14:ligatures w14:val="standardContextual"/>
            </w:rPr>
          </w:pPr>
          <w:hyperlink w:anchor="_Toc184782063" w:history="1">
            <w:r w:rsidRPr="006A6BC9">
              <w:rPr>
                <w:rStyle w:val="ac"/>
                <w:rFonts w:hint="eastAsia"/>
                <w:noProof/>
              </w:rPr>
              <w:t xml:space="preserve">2.1 </w:t>
            </w:r>
            <w:r w:rsidRPr="006A6BC9">
              <w:rPr>
                <w:rStyle w:val="ac"/>
                <w:rFonts w:hint="eastAsia"/>
                <w:noProof/>
              </w:rPr>
              <w:t>–</w:t>
            </w:r>
            <w:r w:rsidRPr="006A6BC9">
              <w:rPr>
                <w:rStyle w:val="ac"/>
                <w:rFonts w:hint="eastAsia"/>
                <w:noProof/>
              </w:rPr>
              <w:t xml:space="preserve"> International Business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7FD44063" w14:textId="195A2661" w:rsidR="00435A99" w:rsidRDefault="00435A99">
          <w:pPr>
            <w:pStyle w:val="TOC2"/>
            <w:tabs>
              <w:tab w:val="right" w:leader="dot" w:pos="9016"/>
            </w:tabs>
            <w:rPr>
              <w:rFonts w:cstheme="minorBidi"/>
              <w:noProof/>
              <w:kern w:val="2"/>
              <w:szCs w:val="24"/>
              <w14:ligatures w14:val="standardContextual"/>
            </w:rPr>
          </w:pPr>
          <w:hyperlink w:anchor="_Toc184782064" w:history="1">
            <w:r w:rsidRPr="006A6BC9">
              <w:rPr>
                <w:rStyle w:val="ac"/>
                <w:rFonts w:hint="eastAsia"/>
                <w:noProof/>
              </w:rPr>
              <w:t xml:space="preserve">2.2 </w:t>
            </w:r>
            <w:r w:rsidRPr="006A6BC9">
              <w:rPr>
                <w:rStyle w:val="ac"/>
                <w:rFonts w:hint="eastAsia"/>
                <w:noProof/>
              </w:rPr>
              <w:t>–</w:t>
            </w:r>
            <w:r w:rsidRPr="006A6BC9">
              <w:rPr>
                <w:rStyle w:val="ac"/>
                <w:rFonts w:hint="eastAsia"/>
                <w:noProof/>
              </w:rPr>
              <w:t xml:space="preserve"> Skills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0CB7102D" w14:textId="3FDD209E" w:rsidR="00435A99" w:rsidRDefault="00435A99">
          <w:pPr>
            <w:pStyle w:val="TOC3"/>
            <w:tabs>
              <w:tab w:val="right" w:leader="dot" w:pos="9016"/>
            </w:tabs>
            <w:rPr>
              <w:rFonts w:cstheme="minorBidi"/>
              <w:noProof/>
              <w:kern w:val="2"/>
              <w:szCs w:val="24"/>
              <w14:ligatures w14:val="standardContextual"/>
            </w:rPr>
          </w:pPr>
          <w:hyperlink w:anchor="_Toc184782065" w:history="1">
            <w:r w:rsidRPr="006A6BC9">
              <w:rPr>
                <w:rStyle w:val="ac"/>
                <w:rFonts w:hint="eastAsia"/>
                <w:noProof/>
              </w:rPr>
              <w:t>2.2.1 - Non-verbal communication skills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65F44BB6" w14:textId="31453AF2" w:rsidR="00435A99" w:rsidRDefault="00435A99">
          <w:pPr>
            <w:pStyle w:val="TOC3"/>
            <w:tabs>
              <w:tab w:val="right" w:leader="dot" w:pos="9016"/>
            </w:tabs>
            <w:rPr>
              <w:rFonts w:cstheme="minorBidi"/>
              <w:noProof/>
              <w:kern w:val="2"/>
              <w:szCs w:val="24"/>
              <w14:ligatures w14:val="standardContextual"/>
            </w:rPr>
          </w:pPr>
          <w:hyperlink w:anchor="_Toc184782066" w:history="1">
            <w:r w:rsidRPr="006A6BC9">
              <w:rPr>
                <w:rStyle w:val="ac"/>
                <w:rFonts w:hint="eastAsia"/>
                <w:noProof/>
              </w:rPr>
              <w:t>2.2.2 - Negotiation and persuasion skills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68097C40" w14:textId="324BF24D" w:rsidR="00435A99" w:rsidRDefault="00435A99">
          <w:pPr>
            <w:pStyle w:val="TOC3"/>
            <w:tabs>
              <w:tab w:val="right" w:leader="dot" w:pos="9016"/>
            </w:tabs>
            <w:rPr>
              <w:rFonts w:cstheme="minorBidi"/>
              <w:noProof/>
              <w:kern w:val="2"/>
              <w:szCs w:val="24"/>
              <w14:ligatures w14:val="standardContextual"/>
            </w:rPr>
          </w:pPr>
          <w:hyperlink w:anchor="_Toc184782067" w:history="1">
            <w:r w:rsidRPr="006A6BC9">
              <w:rPr>
                <w:rStyle w:val="ac"/>
                <w:rFonts w:hint="eastAsia"/>
                <w:noProof/>
              </w:rPr>
              <w:t xml:space="preserve">2.2.3 </w:t>
            </w:r>
            <w:r w:rsidRPr="006A6BC9">
              <w:rPr>
                <w:rStyle w:val="ac"/>
                <w:rFonts w:hint="eastAsia"/>
                <w:noProof/>
              </w:rPr>
              <w:t>–</w:t>
            </w:r>
            <w:r w:rsidRPr="006A6BC9">
              <w:rPr>
                <w:rStyle w:val="ac"/>
                <w:rFonts w:hint="eastAsia"/>
                <w:noProof/>
              </w:rPr>
              <w:t xml:space="preserve"> Have Adaptability and flexibility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4EF09C1C" w14:textId="4F252996" w:rsidR="00435A99" w:rsidRDefault="00435A99">
          <w:pPr>
            <w:pStyle w:val="TOC2"/>
            <w:tabs>
              <w:tab w:val="right" w:leader="dot" w:pos="9016"/>
            </w:tabs>
            <w:rPr>
              <w:rFonts w:cstheme="minorBidi"/>
              <w:noProof/>
              <w:kern w:val="2"/>
              <w:szCs w:val="24"/>
              <w14:ligatures w14:val="standardContextual"/>
            </w:rPr>
          </w:pPr>
          <w:hyperlink w:anchor="_Toc184782068" w:history="1">
            <w:r w:rsidRPr="006A6BC9">
              <w:rPr>
                <w:rStyle w:val="ac"/>
                <w:rFonts w:hint="eastAsia"/>
                <w:noProof/>
              </w:rPr>
              <w:t xml:space="preserve">2.3 </w:t>
            </w:r>
            <w:r w:rsidRPr="006A6BC9">
              <w:rPr>
                <w:rStyle w:val="ac"/>
                <w:rFonts w:hint="eastAsia"/>
                <w:noProof/>
              </w:rPr>
              <w:t>–</w:t>
            </w:r>
            <w:r w:rsidRPr="006A6BC9">
              <w:rPr>
                <w:rStyle w:val="ac"/>
                <w:rFonts w:hint="eastAsia"/>
                <w:noProof/>
              </w:rPr>
              <w:t xml:space="preserve"> Methods of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FA1B77C" w14:textId="6FBC8A99" w:rsidR="00435A99" w:rsidRDefault="00435A99">
          <w:pPr>
            <w:pStyle w:val="TOC3"/>
            <w:tabs>
              <w:tab w:val="right" w:leader="dot" w:pos="9016"/>
            </w:tabs>
            <w:rPr>
              <w:rFonts w:cstheme="minorBidi"/>
              <w:noProof/>
              <w:kern w:val="2"/>
              <w:szCs w:val="24"/>
              <w14:ligatures w14:val="standardContextual"/>
            </w:rPr>
          </w:pPr>
          <w:hyperlink w:anchor="_Toc184782069" w:history="1">
            <w:r w:rsidRPr="006A6BC9">
              <w:rPr>
                <w:rStyle w:val="ac"/>
                <w:rFonts w:hint="eastAsia"/>
                <w:noProof/>
              </w:rPr>
              <w:t>2.3.1 - Halls High Low Context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_Toc184782069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A08FDAA" w14:textId="36426E6F" w:rsidR="00435A99" w:rsidRDefault="00435A99">
          <w:pPr>
            <w:pStyle w:val="TOC2"/>
            <w:tabs>
              <w:tab w:val="right" w:leader="dot" w:pos="9016"/>
            </w:tabs>
            <w:rPr>
              <w:rFonts w:cstheme="minorBidi"/>
              <w:noProof/>
              <w:kern w:val="2"/>
              <w:szCs w:val="24"/>
              <w14:ligatures w14:val="standardContextual"/>
            </w:rPr>
          </w:pPr>
          <w:hyperlink w:anchor="_Toc184782070" w:history="1">
            <w:r w:rsidRPr="006A6BC9">
              <w:rPr>
                <w:rStyle w:val="ac"/>
                <w:rFonts w:hint="eastAsia"/>
                <w:noProof/>
              </w:rPr>
              <w:t xml:space="preserve">2.4 </w:t>
            </w:r>
            <w:r w:rsidRPr="006A6BC9">
              <w:rPr>
                <w:rStyle w:val="ac"/>
                <w:rFonts w:hint="eastAsia"/>
                <w:noProof/>
              </w:rPr>
              <w:t>–</w:t>
            </w:r>
            <w:r w:rsidRPr="006A6BC9">
              <w:rPr>
                <w:rStyle w:val="ac"/>
                <w:rFonts w:hint="eastAsia"/>
                <w:noProof/>
              </w:rPr>
              <w:t xml:space="preserve"> Effective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45F85912" w14:textId="7D443430" w:rsidR="00435A99" w:rsidRDefault="00435A99">
          <w:pPr>
            <w:pStyle w:val="TOC2"/>
            <w:tabs>
              <w:tab w:val="right" w:leader="dot" w:pos="9016"/>
            </w:tabs>
            <w:rPr>
              <w:rFonts w:cstheme="minorBidi"/>
              <w:noProof/>
              <w:kern w:val="2"/>
              <w:szCs w:val="24"/>
              <w14:ligatures w14:val="standardContextual"/>
            </w:rPr>
          </w:pPr>
          <w:hyperlink w:anchor="_Toc184782071" w:history="1">
            <w:r w:rsidRPr="006A6BC9">
              <w:rPr>
                <w:rStyle w:val="ac"/>
                <w:rFonts w:hint="eastAsia"/>
                <w:noProof/>
                <w:lang w:val="fr-FR"/>
              </w:rPr>
              <w:t xml:space="preserve">2.5 </w:t>
            </w:r>
            <w:r w:rsidRPr="006A6BC9">
              <w:rPr>
                <w:rStyle w:val="ac"/>
                <w:rFonts w:hint="eastAsia"/>
                <w:noProof/>
                <w:lang w:val="fr-FR"/>
              </w:rPr>
              <w:t>–</w:t>
            </w:r>
            <w:r w:rsidRPr="006A6BC9">
              <w:rPr>
                <w:rStyle w:val="ac"/>
                <w:rFonts w:hint="eastAsia"/>
                <w:noProof/>
                <w:lang w:val="fr-FR"/>
              </w:rPr>
              <w:t xml:space="preserve"> International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37DDA2F" w14:textId="321A150E" w:rsidR="00435A99" w:rsidRDefault="00435A99">
          <w:pPr>
            <w:pStyle w:val="TOC3"/>
            <w:tabs>
              <w:tab w:val="right" w:leader="dot" w:pos="9016"/>
            </w:tabs>
            <w:rPr>
              <w:rFonts w:cstheme="minorBidi"/>
              <w:noProof/>
              <w:kern w:val="2"/>
              <w:szCs w:val="24"/>
              <w14:ligatures w14:val="standardContextual"/>
            </w:rPr>
          </w:pPr>
          <w:hyperlink w:anchor="_Toc184782072" w:history="1">
            <w:r w:rsidRPr="006A6BC9">
              <w:rPr>
                <w:rStyle w:val="ac"/>
                <w:rFonts w:hint="eastAsia"/>
                <w:noProof/>
                <w:lang w:val="fr-FR"/>
              </w:rPr>
              <w:t>2.5.1 - Trompenaar</w:t>
            </w:r>
            <w:r w:rsidRPr="006A6BC9">
              <w:rPr>
                <w:rStyle w:val="ac"/>
                <w:rFonts w:hint="eastAsia"/>
                <w:noProof/>
                <w:lang w:val="fr-FR"/>
              </w:rPr>
              <w:t>’</w:t>
            </w:r>
            <w:r w:rsidRPr="006A6BC9">
              <w:rPr>
                <w:rStyle w:val="ac"/>
                <w:rFonts w:hint="eastAsia"/>
                <w:noProof/>
                <w:lang w:val="fr-FR"/>
              </w:rPr>
              <w:t>s 7 dimensions to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E282453" w14:textId="2B757316" w:rsidR="00435A99" w:rsidRDefault="00435A99">
          <w:pPr>
            <w:pStyle w:val="TOC2"/>
            <w:tabs>
              <w:tab w:val="right" w:leader="dot" w:pos="9016"/>
            </w:tabs>
            <w:rPr>
              <w:rFonts w:cstheme="minorBidi"/>
              <w:noProof/>
              <w:kern w:val="2"/>
              <w:szCs w:val="24"/>
              <w14:ligatures w14:val="standardContextual"/>
            </w:rPr>
          </w:pPr>
          <w:hyperlink w:anchor="_Toc184782073" w:history="1">
            <w:r w:rsidRPr="006A6BC9">
              <w:rPr>
                <w:rStyle w:val="ac"/>
                <w:rFonts w:hint="eastAsia"/>
                <w:noProof/>
              </w:rPr>
              <w:t xml:space="preserve">2.6 </w:t>
            </w:r>
            <w:r w:rsidRPr="006A6BC9">
              <w:rPr>
                <w:rStyle w:val="ac"/>
                <w:rFonts w:hint="eastAsia"/>
                <w:noProof/>
              </w:rPr>
              <w:t>–</w:t>
            </w:r>
            <w:r w:rsidRPr="006A6BC9">
              <w:rPr>
                <w:rStyle w:val="ac"/>
                <w:rFonts w:hint="eastAsia"/>
                <w:noProof/>
              </w:rPr>
              <w:t xml:space="preserve"> Importance of Building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15066989" w14:textId="78542E91" w:rsidR="00435A99" w:rsidRDefault="00435A99">
          <w:pPr>
            <w:pStyle w:val="TOC3"/>
            <w:tabs>
              <w:tab w:val="right" w:leader="dot" w:pos="9016"/>
            </w:tabs>
            <w:rPr>
              <w:rFonts w:cstheme="minorBidi"/>
              <w:noProof/>
              <w:kern w:val="2"/>
              <w:szCs w:val="24"/>
              <w14:ligatures w14:val="standardContextual"/>
            </w:rPr>
          </w:pPr>
          <w:hyperlink w:anchor="_Toc184782074" w:history="1">
            <w:r w:rsidRPr="006A6BC9">
              <w:rPr>
                <w:rStyle w:val="ac"/>
                <w:rFonts w:hint="eastAsia"/>
                <w:noProof/>
              </w:rPr>
              <w:t>2.6.1 - Enhance trust and cooperation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320B571B" w14:textId="61D2F296" w:rsidR="00435A99" w:rsidRDefault="00435A99">
          <w:pPr>
            <w:pStyle w:val="TOC3"/>
            <w:tabs>
              <w:tab w:val="right" w:leader="dot" w:pos="9016"/>
            </w:tabs>
            <w:rPr>
              <w:rFonts w:cstheme="minorBidi"/>
              <w:noProof/>
              <w:kern w:val="2"/>
              <w:szCs w:val="24"/>
              <w14:ligatures w14:val="standardContextual"/>
            </w:rPr>
          </w:pPr>
          <w:hyperlink w:anchor="_Toc184782075" w:history="1">
            <w:r w:rsidRPr="006A6BC9">
              <w:rPr>
                <w:rStyle w:val="ac"/>
                <w:rFonts w:hint="eastAsia"/>
                <w:noProof/>
              </w:rPr>
              <w:t>2.6.2 - Enhance social support and resource sharing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8197255" w14:textId="5AC8DA85" w:rsidR="00435A99" w:rsidRDefault="00435A99">
          <w:pPr>
            <w:pStyle w:val="TOC2"/>
            <w:tabs>
              <w:tab w:val="right" w:leader="dot" w:pos="9016"/>
            </w:tabs>
            <w:rPr>
              <w:rFonts w:cstheme="minorBidi"/>
              <w:noProof/>
              <w:kern w:val="2"/>
              <w:szCs w:val="24"/>
              <w14:ligatures w14:val="standardContextual"/>
            </w:rPr>
          </w:pPr>
          <w:hyperlink w:anchor="_Toc184782076" w:history="1">
            <w:r w:rsidRPr="006A6BC9">
              <w:rPr>
                <w:rStyle w:val="ac"/>
                <w:rFonts w:hint="eastAsia"/>
                <w:noProof/>
              </w:rPr>
              <w:t xml:space="preserve">2.7 </w:t>
            </w:r>
            <w:r w:rsidRPr="006A6BC9">
              <w:rPr>
                <w:rStyle w:val="ac"/>
                <w:rFonts w:hint="eastAsia"/>
                <w:noProof/>
              </w:rPr>
              <w:t>–</w:t>
            </w:r>
            <w:r w:rsidRPr="006A6BC9">
              <w:rPr>
                <w:rStyle w:val="ac"/>
                <w:rFonts w:hint="eastAsia"/>
                <w:noProof/>
              </w:rPr>
              <w:t xml:space="preserve"> How to build Trust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03442AAF" w14:textId="6F8E6CC5" w:rsidR="00435A99" w:rsidRDefault="00435A99">
          <w:pPr>
            <w:pStyle w:val="TOC3"/>
            <w:tabs>
              <w:tab w:val="right" w:leader="dot" w:pos="9016"/>
            </w:tabs>
            <w:rPr>
              <w:rFonts w:cstheme="minorBidi"/>
              <w:noProof/>
              <w:kern w:val="2"/>
              <w:szCs w:val="24"/>
              <w14:ligatures w14:val="standardContextual"/>
            </w:rPr>
          </w:pPr>
          <w:hyperlink w:anchor="_Toc184782077" w:history="1">
            <w:r w:rsidRPr="006A6BC9">
              <w:rPr>
                <w:rStyle w:val="ac"/>
                <w:rFonts w:hint="eastAsia"/>
                <w:noProof/>
              </w:rPr>
              <w:t>2.7.1 - Show respect for Japanese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69261C2A" w14:textId="5F84FCCA" w:rsidR="00435A99" w:rsidRDefault="00435A99">
          <w:pPr>
            <w:pStyle w:val="TOC3"/>
            <w:tabs>
              <w:tab w:val="right" w:leader="dot" w:pos="9016"/>
            </w:tabs>
            <w:rPr>
              <w:rFonts w:cstheme="minorBidi"/>
              <w:noProof/>
              <w:kern w:val="2"/>
              <w:szCs w:val="24"/>
              <w14:ligatures w14:val="standardContextual"/>
            </w:rPr>
          </w:pPr>
          <w:hyperlink w:anchor="_Toc184782078" w:history="1">
            <w:r w:rsidRPr="006A6BC9">
              <w:rPr>
                <w:rStyle w:val="ac"/>
                <w:rFonts w:hint="eastAsia"/>
                <w:noProof/>
              </w:rPr>
              <w:t>2.7.2 - Emphasis on long-term cooperation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61377FC" w14:textId="049AAD7D" w:rsidR="00435A99" w:rsidRDefault="00435A99">
          <w:pPr>
            <w:pStyle w:val="TOC3"/>
            <w:tabs>
              <w:tab w:val="right" w:leader="dot" w:pos="9016"/>
            </w:tabs>
            <w:rPr>
              <w:rFonts w:cstheme="minorBidi"/>
              <w:noProof/>
              <w:kern w:val="2"/>
              <w:szCs w:val="24"/>
              <w14:ligatures w14:val="standardContextual"/>
            </w:rPr>
          </w:pPr>
          <w:hyperlink w:anchor="_Toc184782079" w:history="1">
            <w:r w:rsidRPr="006A6BC9">
              <w:rPr>
                <w:rStyle w:val="ac"/>
                <w:rFonts w:hint="eastAsia"/>
                <w:noProof/>
              </w:rPr>
              <w:t>2.7.3 - Appropriate gifts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_Toc184782079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63EEF1A3" w14:textId="53212B44" w:rsidR="00435A99" w:rsidRDefault="00435A99">
          <w:pPr>
            <w:pStyle w:val="TOC2"/>
            <w:tabs>
              <w:tab w:val="right" w:leader="dot" w:pos="9016"/>
            </w:tabs>
            <w:rPr>
              <w:rFonts w:cstheme="minorBidi"/>
              <w:noProof/>
              <w:kern w:val="2"/>
              <w:szCs w:val="24"/>
              <w14:ligatures w14:val="standardContextual"/>
            </w:rPr>
          </w:pPr>
          <w:hyperlink w:anchor="_Toc184782080" w:history="1">
            <w:r w:rsidRPr="006A6BC9">
              <w:rPr>
                <w:rStyle w:val="ac"/>
                <w:rFonts w:hint="eastAsia"/>
                <w:noProof/>
              </w:rPr>
              <w:t xml:space="preserve">2.8 </w:t>
            </w:r>
            <w:r w:rsidRPr="006A6BC9">
              <w:rPr>
                <w:rStyle w:val="ac"/>
                <w:rFonts w:hint="eastAsia"/>
                <w:noProof/>
              </w:rPr>
              <w:t>–</w:t>
            </w:r>
            <w:r w:rsidRPr="006A6BC9">
              <w:rPr>
                <w:rStyle w:val="ac"/>
                <w:rFonts w:hint="eastAsia"/>
                <w:noProof/>
              </w:rPr>
              <w:t xml:space="preserve"> Failed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60B8D40D" w14:textId="109173D6" w:rsidR="00435A99" w:rsidRDefault="00435A99">
          <w:pPr>
            <w:pStyle w:val="TOC3"/>
            <w:tabs>
              <w:tab w:val="right" w:leader="dot" w:pos="9016"/>
            </w:tabs>
            <w:rPr>
              <w:rFonts w:cstheme="minorBidi"/>
              <w:noProof/>
              <w:kern w:val="2"/>
              <w:szCs w:val="24"/>
              <w14:ligatures w14:val="standardContextual"/>
            </w:rPr>
          </w:pPr>
          <w:hyperlink w:anchor="_Toc184782081" w:history="1">
            <w:r w:rsidRPr="006A6BC9">
              <w:rPr>
                <w:rStyle w:val="ac"/>
                <w:rFonts w:hint="eastAsia"/>
                <w:noProof/>
              </w:rPr>
              <w:t>2.8.1 - Ignoring cultural differences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2DABEEC2" w14:textId="495620DE" w:rsidR="00435A99" w:rsidRDefault="00435A99">
          <w:pPr>
            <w:pStyle w:val="TOC3"/>
            <w:tabs>
              <w:tab w:val="right" w:leader="dot" w:pos="9016"/>
            </w:tabs>
            <w:rPr>
              <w:rFonts w:cstheme="minorBidi"/>
              <w:noProof/>
              <w:kern w:val="2"/>
              <w:szCs w:val="24"/>
              <w14:ligatures w14:val="standardContextual"/>
            </w:rPr>
          </w:pPr>
          <w:hyperlink w:anchor="_Toc184782082" w:history="1">
            <w:r w:rsidRPr="006A6BC9">
              <w:rPr>
                <w:rStyle w:val="ac"/>
                <w:rFonts w:hint="eastAsia"/>
                <w:noProof/>
              </w:rPr>
              <w:t>2.8.2 - Differences in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37F361DE" w14:textId="0DA26D0C" w:rsidR="00435A99" w:rsidRDefault="00435A99">
          <w:pPr>
            <w:pStyle w:val="TOC3"/>
            <w:tabs>
              <w:tab w:val="right" w:leader="dot" w:pos="9016"/>
            </w:tabs>
            <w:rPr>
              <w:rFonts w:cstheme="minorBidi"/>
              <w:noProof/>
              <w:kern w:val="2"/>
              <w:szCs w:val="24"/>
              <w14:ligatures w14:val="standardContextual"/>
            </w:rPr>
          </w:pPr>
          <w:hyperlink w:anchor="_Toc184782083" w:history="1">
            <w:r w:rsidRPr="006A6BC9">
              <w:rPr>
                <w:rStyle w:val="ac"/>
                <w:rFonts w:hint="eastAsia"/>
                <w:noProof/>
              </w:rPr>
              <w:t>2.8.3 - Commercial bribery and bribery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0EFE4FE0" w14:textId="694FA101" w:rsidR="00435A99" w:rsidRDefault="00435A99">
          <w:pPr>
            <w:pStyle w:val="TOC1"/>
            <w:tabs>
              <w:tab w:val="right" w:leader="dot" w:pos="9016"/>
            </w:tabs>
            <w:rPr>
              <w:rFonts w:cstheme="minorBidi"/>
              <w:noProof/>
              <w:kern w:val="2"/>
              <w:szCs w:val="24"/>
              <w14:ligatures w14:val="standardContextual"/>
            </w:rPr>
          </w:pPr>
          <w:hyperlink w:anchor="_Toc184782084" w:history="1">
            <w:r w:rsidRPr="006A6BC9">
              <w:rPr>
                <w:rStyle w:val="ac"/>
                <w:rFonts w:hint="eastAsia"/>
                <w:noProof/>
              </w:rPr>
              <w:t xml:space="preserve">3.0 </w:t>
            </w:r>
            <w:r w:rsidRPr="006A6BC9">
              <w:rPr>
                <w:rStyle w:val="ac"/>
                <w:rFonts w:hint="eastAsia"/>
                <w:noProof/>
              </w:rPr>
              <w:t>–</w:t>
            </w:r>
            <w:r w:rsidRPr="006A6BC9">
              <w:rPr>
                <w:rStyle w:val="ac"/>
                <w:rFonts w:hint="eastAsia"/>
                <w:noProof/>
              </w:rPr>
              <w:t xml:space="preserve"> Conclusions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4D4B1021" w14:textId="6F23D836" w:rsidR="00435A99" w:rsidRDefault="00435A99">
          <w:pPr>
            <w:pStyle w:val="TOC1"/>
            <w:tabs>
              <w:tab w:val="right" w:leader="dot" w:pos="9016"/>
            </w:tabs>
            <w:rPr>
              <w:rFonts w:cstheme="minorBidi"/>
              <w:noProof/>
              <w:kern w:val="2"/>
              <w:szCs w:val="24"/>
              <w14:ligatures w14:val="standardContextual"/>
            </w:rPr>
          </w:pPr>
          <w:hyperlink w:anchor="_Toc184782085" w:history="1">
            <w:r w:rsidRPr="006A6BC9">
              <w:rPr>
                <w:rStyle w:val="ac"/>
                <w:rFonts w:hint="eastAsia"/>
                <w:noProof/>
              </w:rPr>
              <w:t xml:space="preserve">4.0 </w:t>
            </w:r>
            <w:r w:rsidRPr="006A6BC9">
              <w:rPr>
                <w:rStyle w:val="ac"/>
                <w:rFonts w:hint="eastAsia"/>
                <w:noProof/>
              </w:rPr>
              <w:t>–</w:t>
            </w:r>
            <w:r w:rsidRPr="006A6BC9">
              <w:rPr>
                <w:rStyle w:val="ac"/>
                <w:rFonts w:hint="eastAsia"/>
                <w:noProof/>
              </w:rPr>
              <w:t xml:space="preserve">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53B68DF7" w14:textId="675F56F9" w:rsidR="00435A99" w:rsidRDefault="00435A99">
          <w:pPr>
            <w:pStyle w:val="TOC1"/>
            <w:tabs>
              <w:tab w:val="right" w:leader="dot" w:pos="9016"/>
            </w:tabs>
            <w:rPr>
              <w:rFonts w:cstheme="minorBidi"/>
              <w:noProof/>
              <w:kern w:val="2"/>
              <w:szCs w:val="24"/>
              <w14:ligatures w14:val="standardContextual"/>
            </w:rPr>
          </w:pPr>
          <w:hyperlink w:anchor="_Toc184782086" w:history="1">
            <w:r w:rsidRPr="006A6BC9">
              <w:rPr>
                <w:rStyle w:val="ac"/>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_Toc184782086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115A461A" w14:textId="4F9872C9" w:rsidR="00435A99" w:rsidRDefault="00435A99">
          <w:r>
            <w:rPr>
              <w:b/>
              <w:bCs/>
              <w:lang w:val="zh-CN"/>
            </w:rPr>
            <w:fldChar w:fldCharType="end"/>
          </w:r>
        </w:p>
      </w:sdtContent>
    </w:sdt>
    <w:p w14:paraId="62F2AC3D" w14:textId="77777777" w:rsidR="00435A99" w:rsidRDefault="00435A99" w:rsidP="00435A99"/>
    <w:p w14:paraId="49A9E7C0" w14:textId="77777777" w:rsidR="00435A99" w:rsidRPr="00435A99" w:rsidRDefault="00435A99" w:rsidP="00435A99"/>
    <w:p w14:paraId="7DD11A8B" w14:textId="4644B1C0" w:rsidR="00571F12" w:rsidRPr="0087480C" w:rsidRDefault="005F485A" w:rsidP="005F485A">
      <w:pPr>
        <w:pStyle w:val="1"/>
      </w:pPr>
      <w:bookmarkStart w:id="2" w:name="_Toc184782061"/>
      <w:r>
        <w:rPr>
          <w:rFonts w:hint="eastAsia"/>
        </w:rPr>
        <w:lastRenderedPageBreak/>
        <w:t xml:space="preserve">1.0 </w:t>
      </w:r>
      <w:r w:rsidR="00571F12" w:rsidRPr="00571F12">
        <w:t>– Introduction</w:t>
      </w:r>
      <w:bookmarkEnd w:id="2"/>
    </w:p>
    <w:p w14:paraId="0A072143" w14:textId="7FB4C6CC" w:rsidR="00571F12" w:rsidRDefault="00910B9D" w:rsidP="00571F12">
      <w:r w:rsidRPr="00910B9D">
        <w:t xml:space="preserve">In an era of trade globalization, any enterprise that wants to develop is inseparable from </w:t>
      </w:r>
      <w:proofErr w:type="gramStart"/>
      <w:r w:rsidRPr="00910B9D">
        <w:t>opening up</w:t>
      </w:r>
      <w:proofErr w:type="gramEnd"/>
      <w:r w:rsidRPr="00910B9D">
        <w:t xml:space="preserve"> international markets, especially the Asian market. However, expanding into the Asian market is not without its challenges. A company's ability to successfully expand into the market depends not only on understanding the market dynamics, but also on building effective communication and strong relationships with different stakeholders. What is more, Differences in cultural norms, values, and communication styles can severely affect the ability to build and sustain partnerships. Therefore, it is essential for any organization to pursue success to develop strong cross-cultural communication skills and strategies. As a Managing Director of a consulting firm specialising in global business expansion, my primary responsibility is to guide the organization through complex international markets. Clothes retail group, which hired our company, is one of the leading players in the industry, known for its high-quality products and innovative consumer strategies. As the company sets its sights on Asia, a region characterized by a diverse economy and culture, it is our role to facilitate a smooth transition to this promising market. Asia's strong economic growth, digital transformation and expanding middle class offer huge opportunities for </w:t>
      </w:r>
      <w:r w:rsidR="000E3BCD" w:rsidRPr="00910B9D">
        <w:t>clothes</w:t>
      </w:r>
      <w:r w:rsidRPr="00910B9D">
        <w:t xml:space="preserve"> to expand its retail demand, but it takes more than just management to succeed in such a complex environment. Our consulting services specialize in providing businesses with the necessary tools to address cultural diversity, build meaningful partnerships, and develop effective communication strategies. By leveraging our experience and expertise, we aim to ensure that our clients </w:t>
      </w:r>
      <w:r w:rsidR="000E3BCD" w:rsidRPr="00910B9D">
        <w:t>can</w:t>
      </w:r>
      <w:r w:rsidRPr="00910B9D">
        <w:t xml:space="preserve"> bridge cultural gaps, align with local market practices, and build strong relationships with stakeholders. This report focuses on the Japanese market in </w:t>
      </w:r>
      <w:r w:rsidR="000E3BCD" w:rsidRPr="00910B9D">
        <w:t>Asia and</w:t>
      </w:r>
      <w:r w:rsidRPr="00910B9D">
        <w:t xml:space="preserve"> explores the importance of cross-cultural communication and its role in building relationships that are essential for international business through the lens of the Japanese market. The report uses Hall's High-context and Low-context cultures, Hofstede's culture dimensions, and Trompenaars' Seven Dimensions to </w:t>
      </w:r>
      <w:r w:rsidR="000E3BCD" w:rsidRPr="00910B9D">
        <w:t>Culture,</w:t>
      </w:r>
      <w:r w:rsidRPr="00910B9D">
        <w:t xml:space="preserve"> critically assessing the skills and competencies needed to facilitate successful international business. In addition, the report examines the barriers and risks of failure that can be encountered in the process of building </w:t>
      </w:r>
      <w:r w:rsidR="000E3BCD" w:rsidRPr="00910B9D">
        <w:t>relationships and</w:t>
      </w:r>
      <w:r w:rsidRPr="00910B9D">
        <w:t xml:space="preserve"> proposes practical ways to develop the skills necessary for global engagement. By providing these strategies, this report aims to enable the organization to raise the level of cultural exchange, strengthen partnerships with regional business organizations in Japan, and realize the full potential</w:t>
      </w:r>
    </w:p>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64658614" w14:textId="25D5A201" w:rsidR="00571F12" w:rsidRDefault="00571F12" w:rsidP="00571F12"/>
    <w:p w14:paraId="42AD9B17" w14:textId="77777777" w:rsidR="00DA378F" w:rsidRDefault="00DA378F" w:rsidP="00571F12"/>
    <w:p w14:paraId="242B6FEC" w14:textId="6153B7E6" w:rsidR="00571F12" w:rsidRPr="00571F12" w:rsidRDefault="00571F12" w:rsidP="005F485A">
      <w:pPr>
        <w:pStyle w:val="1"/>
      </w:pPr>
      <w:bookmarkStart w:id="3" w:name="_Toc184782062"/>
      <w:r w:rsidRPr="00571F12">
        <w:lastRenderedPageBreak/>
        <w:t>2.0 – Main Findings</w:t>
      </w:r>
      <w:bookmarkEnd w:id="3"/>
    </w:p>
    <w:p w14:paraId="04116E13" w14:textId="49948863" w:rsidR="0087480C" w:rsidRDefault="0087480C" w:rsidP="0087480C">
      <w:pPr>
        <w:ind w:firstLineChars="100" w:firstLine="220"/>
      </w:pPr>
      <w:r>
        <w:rPr>
          <w:rFonts w:hint="eastAsia"/>
        </w:rPr>
        <w:t xml:space="preserve">This section is the main body of the article and is divided into 8 main points. </w:t>
      </w:r>
      <w:r>
        <w:t>This section provides a critical analysis of key aspects of International Business Communication, including its importance, required skills, cultural frameworks, and strategies to foster successful business relationships. The findings are framed using theoretical models such as Hall's High-Low Context, Trompenaars' Seven Dimensions of Culture, and case studies, with a focus on Japan as a target market.</w:t>
      </w:r>
    </w:p>
    <w:p w14:paraId="620C8249" w14:textId="77777777" w:rsidR="0087480C" w:rsidRDefault="0087480C" w:rsidP="00571F12">
      <w:pPr>
        <w:ind w:firstLine="720"/>
      </w:pPr>
    </w:p>
    <w:p w14:paraId="3383ACB2" w14:textId="77777777" w:rsidR="0087480C" w:rsidRDefault="0087480C" w:rsidP="00571F12">
      <w:pPr>
        <w:ind w:firstLine="720"/>
      </w:pPr>
    </w:p>
    <w:p w14:paraId="7EAA6D32" w14:textId="77777777" w:rsidR="00062A8E" w:rsidRDefault="00062A8E" w:rsidP="005F485A">
      <w:pPr>
        <w:pStyle w:val="2"/>
      </w:pPr>
      <w:bookmarkStart w:id="4" w:name="_Toc184782063"/>
      <w:r>
        <w:t>2.1 – International Business Communication</w:t>
      </w:r>
      <w:bookmarkEnd w:id="4"/>
    </w:p>
    <w:p w14:paraId="63930421" w14:textId="3BE1149A" w:rsidR="00DA378F" w:rsidRDefault="00062A8E" w:rsidP="00E86364">
      <w:pPr>
        <w:ind w:firstLine="720"/>
      </w:pPr>
      <w:r>
        <w:rPr>
          <w:rFonts w:hint="eastAsia"/>
        </w:rPr>
        <w:t>International Business Communication (IBC) refers to the process of sharing information, ideas, and information between individuals or organizations operating in different countries and cultures. It encompasses verbal, non-verbal, and written communication and is designed to overcome cultural, linguistic, and professional differences to ensure effective collaboration in a global business environment.</w:t>
      </w:r>
      <w:r w:rsidR="00E86364" w:rsidRPr="00E86364">
        <w:rPr>
          <w:rFonts w:hint="eastAsia"/>
        </w:rPr>
        <w:t>。</w:t>
      </w:r>
      <w:r w:rsidR="00E86364" w:rsidRPr="00E86364">
        <w:rPr>
          <w:rFonts w:hint="eastAsia"/>
        </w:rPr>
        <w:t xml:space="preserve">Effective business communication is essential for overcoming barriers of culture, language, and geography in today's global </w:t>
      </w:r>
      <w:r w:rsidR="00E86364" w:rsidRPr="00E86364">
        <w:t xml:space="preserve">marketplace </w:t>
      </w:r>
      <w:r w:rsidR="00E86364">
        <w:rPr>
          <w:rFonts w:hint="eastAsia"/>
        </w:rPr>
        <w:t>（</w:t>
      </w:r>
      <w:r w:rsidR="00E86364" w:rsidRPr="00E86364">
        <w:t>Guffey, M. E., &amp; Loewy, D</w:t>
      </w:r>
      <w:r>
        <w:rPr>
          <w:rFonts w:hint="eastAsia"/>
        </w:rPr>
        <w:t xml:space="preserve">, </w:t>
      </w:r>
      <w:r w:rsidR="00E86364" w:rsidRPr="00E86364">
        <w:t>2021)</w:t>
      </w:r>
      <w:r w:rsidR="00E86364">
        <w:rPr>
          <w:rFonts w:hint="eastAsia"/>
        </w:rPr>
        <w:t>.</w:t>
      </w:r>
      <w:r>
        <w:t xml:space="preserve"> To achieve a good IBC, you first need to understand the cultural norms, values and communication styles of different countries </w:t>
      </w:r>
      <w:r w:rsidR="000E3BCD">
        <w:t>to</w:t>
      </w:r>
      <w:r>
        <w:t xml:space="preserve"> avoid misunderstandings and cultivate respect. The second is to use a common business language, usually English, or hire translation and interpretation services if necessary. Then adhere to local business practices, such as negotiation styles, greeting agreements, and decision-making processes. Active listening, empathy, and adaptability need to be developed to meet communication challenges. Finally, it is necessary to build trust and promote good relations across cultures and national </w:t>
      </w:r>
      <w:r w:rsidR="000E3BCD">
        <w:t>borders.</w:t>
      </w:r>
      <w:r w:rsidR="000E3BCD" w:rsidRPr="00062A8E">
        <w:t xml:space="preserve"> IN</w:t>
      </w:r>
      <w:r w:rsidRPr="00062A8E">
        <w:t xml:space="preserve"> international contexts, understanding cultural nuances and respecting diverse perspectives are foundational to building successful business relationships Guffey, M. E., &amp; Loewy, D</w:t>
      </w:r>
      <w:r>
        <w:rPr>
          <w:rFonts w:hint="eastAsia"/>
        </w:rPr>
        <w:t xml:space="preserve">, </w:t>
      </w:r>
      <w:r w:rsidRPr="00062A8E">
        <w:t>2021).</w:t>
      </w:r>
    </w:p>
    <w:p w14:paraId="49CE3230" w14:textId="77777777" w:rsidR="00DA378F" w:rsidRDefault="00DA378F" w:rsidP="00A64167"/>
    <w:p w14:paraId="104CD7B2" w14:textId="77777777" w:rsidR="00A64167" w:rsidRDefault="00A64167" w:rsidP="00A64167"/>
    <w:p w14:paraId="4750FD69" w14:textId="109A331E" w:rsidR="00571F12" w:rsidRDefault="00571F12" w:rsidP="005F485A">
      <w:pPr>
        <w:pStyle w:val="2"/>
      </w:pPr>
      <w:bookmarkStart w:id="5" w:name="_Toc184782064"/>
      <w:r>
        <w:t>2.2 – Skills Requirements</w:t>
      </w:r>
      <w:bookmarkEnd w:id="5"/>
    </w:p>
    <w:p w14:paraId="693D75B4" w14:textId="7BA923CF" w:rsidR="00BF1610" w:rsidRDefault="00BF1610" w:rsidP="005F485A">
      <w:pPr>
        <w:pStyle w:val="3"/>
      </w:pPr>
      <w:bookmarkStart w:id="6" w:name="_Toc184782065"/>
      <w:r>
        <w:rPr>
          <w:rFonts w:hint="eastAsia"/>
        </w:rPr>
        <w:t>2.2.1</w:t>
      </w:r>
      <w:r w:rsidRPr="00DA378F">
        <w:t xml:space="preserve"> </w:t>
      </w:r>
      <w:r>
        <w:rPr>
          <w:rFonts w:hint="eastAsia"/>
        </w:rPr>
        <w:t xml:space="preserve">- </w:t>
      </w:r>
      <w:r w:rsidRPr="00DA378F">
        <w:t>Non-verbal communication skills</w:t>
      </w:r>
      <w:bookmarkEnd w:id="6"/>
    </w:p>
    <w:p w14:paraId="75D974BF" w14:textId="6CEF5077" w:rsidR="00BF1610" w:rsidRDefault="00BF1610" w:rsidP="00BF1610">
      <w:pPr>
        <w:ind w:firstLineChars="100" w:firstLine="220"/>
      </w:pPr>
      <w:r w:rsidRPr="00DA378F">
        <w:t xml:space="preserve">Because many countries in Asia are high locale. Therefore, </w:t>
      </w:r>
      <w:r w:rsidR="000E3BCD" w:rsidRPr="00DA378F">
        <w:t>to</w:t>
      </w:r>
      <w:r w:rsidRPr="00DA378F">
        <w:t xml:space="preserve"> better expand the Asian market, I recommend using non-verbal communication skills. For example, the use of silence is applicable in the high-context culture of Japan, where silence is a powerful communication tool: - it can express agreement, contemplation, or politeness. </w:t>
      </w:r>
      <w:r w:rsidR="000E3BCD" w:rsidRPr="00DA378F">
        <w:t>However, Japan’s</w:t>
      </w:r>
      <w:r w:rsidRPr="00DA378F">
        <w:t xml:space="preserve"> high-context culture</w:t>
      </w:r>
      <w:bookmarkStart w:id="7" w:name="_Hlk184778745"/>
      <w:r w:rsidRPr="00DA378F">
        <w:t xml:space="preserve"> (Hall, 1976) </w:t>
      </w:r>
      <w:bookmarkEnd w:id="7"/>
      <w:r w:rsidRPr="00DA378F">
        <w:t xml:space="preserve">places emphasis on implicit communication, hierarchical relationships, and respect for tradition. </w:t>
      </w:r>
    </w:p>
    <w:p w14:paraId="3260B4FB" w14:textId="3CEC7B8C" w:rsidR="00BF1610" w:rsidRDefault="00BF1610" w:rsidP="00BF1610">
      <w:pPr>
        <w:ind w:firstLineChars="100" w:firstLine="220"/>
      </w:pPr>
      <w:r w:rsidRPr="00DA378F">
        <w:t>In Japan, bowing is a traditional sign of respect, and its depth and duration indicate the degree of respect. - In contrast, in Western cultures, direct eye contact tends to convey assertiveness, while in some Asian cultures, it may be seen as disrespectful or confrontational (Samovar, 2017).</w:t>
      </w:r>
    </w:p>
    <w:p w14:paraId="430BC2BF" w14:textId="77777777" w:rsidR="00BF1610" w:rsidRDefault="00BF1610" w:rsidP="00BF1610">
      <w:pPr>
        <w:ind w:firstLine="720"/>
      </w:pPr>
    </w:p>
    <w:p w14:paraId="353AF0C1" w14:textId="16870CA6" w:rsidR="00BF1610" w:rsidRDefault="00BF1610" w:rsidP="005F485A">
      <w:pPr>
        <w:pStyle w:val="3"/>
      </w:pPr>
      <w:bookmarkStart w:id="8" w:name="_Toc184782066"/>
      <w:r>
        <w:rPr>
          <w:rFonts w:hint="eastAsia"/>
        </w:rPr>
        <w:t>2.2.2</w:t>
      </w:r>
      <w:r w:rsidRPr="00102B0E">
        <w:t xml:space="preserve"> </w:t>
      </w:r>
      <w:r>
        <w:rPr>
          <w:rFonts w:hint="eastAsia"/>
        </w:rPr>
        <w:t xml:space="preserve">- </w:t>
      </w:r>
      <w:r w:rsidRPr="00102B0E">
        <w:t>Negotiation and persuasion skills</w:t>
      </w:r>
      <w:bookmarkEnd w:id="8"/>
    </w:p>
    <w:p w14:paraId="3132EE03" w14:textId="57FE83DD" w:rsidR="00BF1610" w:rsidRDefault="00BF1610" w:rsidP="00BF1610">
      <w:pPr>
        <w:ind w:firstLineChars="100" w:firstLine="220"/>
      </w:pPr>
      <w:r w:rsidRPr="00E6541B">
        <w:t xml:space="preserve">Intercultural negotiation entails understanding cultural dynamics first, showing respect and finding common ground, and finally building trust through transparent and respectful dialogue. Especially when dealing with partners from different cultural backgrounds. These skills enable professionals to build and sustain successful relationships, overcome misunderstandings, and reach mutually beneficial agreements. Effective negotiation isn't just about getting the best deal; It also involves understanding the cultural nuances that influence decision-making, building trust, and conflict. For example, in some cultures like Japan, building personal trust and demonstrating long-term commitment is more persuasive than focusing on short-term gains </w:t>
      </w:r>
      <w:bookmarkStart w:id="9" w:name="_Hlk184778151"/>
      <w:r w:rsidRPr="00E6541B">
        <w:t>(Trompenaars &amp; Hampden-Turner, 1997).</w:t>
      </w:r>
    </w:p>
    <w:bookmarkEnd w:id="9"/>
    <w:p w14:paraId="09E1B106" w14:textId="77777777" w:rsidR="00BF1610" w:rsidRDefault="00BF1610" w:rsidP="00BF1610">
      <w:pPr>
        <w:ind w:firstLineChars="100" w:firstLine="220"/>
      </w:pPr>
    </w:p>
    <w:p w14:paraId="04C2C653" w14:textId="7DAB6778" w:rsidR="00264CE2" w:rsidRPr="00E6541B" w:rsidRDefault="00BF1610" w:rsidP="005F485A">
      <w:pPr>
        <w:pStyle w:val="3"/>
      </w:pPr>
      <w:bookmarkStart w:id="10" w:name="_Toc184782067"/>
      <w:r>
        <w:rPr>
          <w:rFonts w:hint="eastAsia"/>
        </w:rPr>
        <w:t>2.2.3</w:t>
      </w:r>
      <w:r w:rsidRPr="00E6541B">
        <w:t xml:space="preserve"> </w:t>
      </w:r>
      <w:r w:rsidR="00264CE2">
        <w:t>–</w:t>
      </w:r>
      <w:r w:rsidR="00264CE2">
        <w:rPr>
          <w:rFonts w:hint="eastAsia"/>
        </w:rPr>
        <w:t xml:space="preserve"> H</w:t>
      </w:r>
      <w:r w:rsidR="00264CE2">
        <w:t>ave Adaptability</w:t>
      </w:r>
      <w:r w:rsidR="00264CE2">
        <w:rPr>
          <w:rFonts w:hint="eastAsia"/>
        </w:rPr>
        <w:t xml:space="preserve"> and flexibility</w:t>
      </w:r>
      <w:bookmarkEnd w:id="10"/>
    </w:p>
    <w:p w14:paraId="66D573DF" w14:textId="3F3F2230" w:rsidR="00BF1610" w:rsidRPr="00E6541B" w:rsidRDefault="00BF1610" w:rsidP="00BF1610">
      <w:pPr>
        <w:ind w:firstLineChars="100" w:firstLine="220"/>
      </w:pPr>
      <w:r w:rsidRPr="00E6541B">
        <w:t>Adapting communication styles and methods to align with cultural expectations is essential to overcoming obstacles. Change the tone or form depending on the cultural context. Be open to how other companies do business. Different countries have a variety of cultural differences, which requires professionals to adapt to their approach to direct and casual communication in the face of various cultural differences</w:t>
      </w:r>
      <w:r>
        <w:rPr>
          <w:rFonts w:hint="eastAsia"/>
        </w:rPr>
        <w:t>.</w:t>
      </w:r>
    </w:p>
    <w:p w14:paraId="1CDBA808" w14:textId="77777777" w:rsidR="00627E70" w:rsidRDefault="00627E70" w:rsidP="00C060AB">
      <w:pPr>
        <w:ind w:firstLineChars="100" w:firstLine="220"/>
      </w:pPr>
    </w:p>
    <w:p w14:paraId="01E23B9B" w14:textId="77777777" w:rsidR="00A64167" w:rsidRPr="00BF1610" w:rsidRDefault="00A64167" w:rsidP="00C060AB">
      <w:pPr>
        <w:ind w:firstLineChars="100" w:firstLine="220"/>
      </w:pPr>
    </w:p>
    <w:p w14:paraId="74043F01" w14:textId="23E4C17B" w:rsidR="00571F12" w:rsidRDefault="00571F12" w:rsidP="005F485A">
      <w:pPr>
        <w:pStyle w:val="2"/>
      </w:pPr>
      <w:bookmarkStart w:id="11" w:name="_Toc184782068"/>
      <w:r>
        <w:t>2.3 – Methods of Communication</w:t>
      </w:r>
      <w:bookmarkEnd w:id="11"/>
    </w:p>
    <w:p w14:paraId="6BD1D971" w14:textId="692078AF" w:rsidR="00E07779" w:rsidRDefault="00E07779" w:rsidP="00E07779">
      <w:pPr>
        <w:ind w:firstLineChars="100" w:firstLine="220"/>
      </w:pPr>
      <w:r w:rsidRPr="00E07779">
        <w:t>When British companies enter the Japanese market, understanding the differences in communication styles—especially through the lens of Hall’s High and Low Context Communication—can play a crucial role in building effective business relationships.</w:t>
      </w:r>
    </w:p>
    <w:p w14:paraId="19DF5CAF" w14:textId="446C4562" w:rsidR="00F81595" w:rsidRDefault="00F81595" w:rsidP="005F485A">
      <w:pPr>
        <w:pStyle w:val="3"/>
      </w:pPr>
      <w:bookmarkStart w:id="12" w:name="_Toc184782069"/>
      <w:r>
        <w:t xml:space="preserve">2.3.1 - </w:t>
      </w:r>
      <w:r w:rsidRPr="00F81595">
        <w:t>Halls High Low Context</w:t>
      </w:r>
      <w:bookmarkEnd w:id="12"/>
    </w:p>
    <w:p w14:paraId="2C26FBB8" w14:textId="77777777" w:rsidR="00E07779" w:rsidRPr="00E07779" w:rsidRDefault="00E07779" w:rsidP="00E07779">
      <w:pPr>
        <w:ind w:firstLineChars="100" w:firstLine="240"/>
        <w:rPr>
          <w:rFonts w:cstheme="minorHAnsi"/>
          <w:sz w:val="24"/>
          <w:szCs w:val="24"/>
        </w:rPr>
      </w:pPr>
      <w:r w:rsidRPr="00E07779">
        <w:rPr>
          <w:rFonts w:cstheme="minorHAnsi"/>
          <w:sz w:val="24"/>
          <w:szCs w:val="24"/>
        </w:rPr>
        <w:t>Low Context Communication refers to communication where the message is conveyed primarily through words. In these cultures, explicit, direct communication is common, and meanings are expected to be clear and straightforward, with less reliance on shared background or relationships.</w:t>
      </w:r>
    </w:p>
    <w:p w14:paraId="52BD9615" w14:textId="34C5640E" w:rsidR="00E07779" w:rsidRDefault="00E07779" w:rsidP="00E07779">
      <w:pPr>
        <w:ind w:firstLineChars="100" w:firstLine="240"/>
        <w:rPr>
          <w:rFonts w:cstheme="minorHAnsi"/>
          <w:sz w:val="24"/>
          <w:szCs w:val="24"/>
        </w:rPr>
      </w:pPr>
      <w:r w:rsidRPr="00E07779">
        <w:rPr>
          <w:rFonts w:cstheme="minorHAnsi"/>
          <w:sz w:val="24"/>
          <w:szCs w:val="24"/>
        </w:rPr>
        <w:t xml:space="preserve">High Context Communication, on the other hand, relies heavily on non-verbal cues, context, and the relationships between people. The meaning is often implied rather than </w:t>
      </w:r>
      <w:r w:rsidRPr="00E07779">
        <w:rPr>
          <w:rFonts w:cstheme="minorHAnsi"/>
          <w:sz w:val="24"/>
          <w:szCs w:val="24"/>
        </w:rPr>
        <w:lastRenderedPageBreak/>
        <w:t>directly stated, and understanding comes from shared experiences or cultural norms rather than the explicit message itself. (Hall, 1976)</w:t>
      </w:r>
    </w:p>
    <w:p w14:paraId="2755E24B" w14:textId="5EB11306" w:rsidR="00E07779" w:rsidRDefault="00E07779" w:rsidP="00E07779">
      <w:pPr>
        <w:ind w:firstLineChars="300" w:firstLine="720"/>
        <w:rPr>
          <w:rFonts w:cstheme="minorHAnsi"/>
          <w:sz w:val="24"/>
          <w:szCs w:val="24"/>
        </w:rPr>
      </w:pPr>
      <w:r w:rsidRPr="00E07779">
        <w:rPr>
          <w:rFonts w:cstheme="minorHAnsi"/>
          <w:sz w:val="24"/>
          <w:szCs w:val="24"/>
        </w:rPr>
        <w:t>The UK tends to have a low-context communication style, which means that people generally value clarity and directness in conversations.</w:t>
      </w:r>
      <w:r>
        <w:rPr>
          <w:rFonts w:cstheme="minorHAnsi" w:hint="eastAsia"/>
          <w:sz w:val="24"/>
          <w:szCs w:val="24"/>
        </w:rPr>
        <w:t xml:space="preserve"> </w:t>
      </w:r>
      <w:r w:rsidRPr="00E07779">
        <w:rPr>
          <w:rFonts w:cstheme="minorHAnsi"/>
          <w:sz w:val="24"/>
          <w:szCs w:val="24"/>
        </w:rPr>
        <w:t>Verbal communication is often explicit, with less emphasis on reading between the lines or interpreting non-verbal cues.</w:t>
      </w:r>
      <w:r>
        <w:rPr>
          <w:rFonts w:cstheme="minorHAnsi"/>
          <w:sz w:val="24"/>
          <w:szCs w:val="24"/>
        </w:rPr>
        <w:t xml:space="preserve"> So</w:t>
      </w:r>
      <w:r>
        <w:rPr>
          <w:rFonts w:cstheme="minorHAnsi" w:hint="eastAsia"/>
          <w:sz w:val="24"/>
          <w:szCs w:val="24"/>
        </w:rPr>
        <w:t xml:space="preserve"> </w:t>
      </w:r>
      <w:r>
        <w:rPr>
          <w:rFonts w:cstheme="minorHAnsi"/>
          <w:sz w:val="24"/>
          <w:szCs w:val="24"/>
        </w:rPr>
        <w:t>B</w:t>
      </w:r>
      <w:r w:rsidRPr="00E07779">
        <w:rPr>
          <w:rFonts w:cstheme="minorHAnsi"/>
          <w:sz w:val="24"/>
          <w:szCs w:val="24"/>
        </w:rPr>
        <w:t>ritish companies expect a certain level of transparency and precision in exchanges, where messages are clearly articulated, and the meaning is often confined to what is said.</w:t>
      </w:r>
      <w:r w:rsidRPr="00E07779">
        <w:t xml:space="preserve"> </w:t>
      </w:r>
      <w:r w:rsidRPr="00E07779">
        <w:rPr>
          <w:rFonts w:cstheme="minorHAnsi"/>
          <w:sz w:val="24"/>
          <w:szCs w:val="24"/>
        </w:rPr>
        <w:t>Japanese culture, by contrast, is deeply high context. The Japanese often rely on non-verbal communication, tone, gestures, and subtle cues to convey meaning.</w:t>
      </w:r>
      <w:r>
        <w:rPr>
          <w:rFonts w:cstheme="minorHAnsi" w:hint="eastAsia"/>
          <w:sz w:val="24"/>
          <w:szCs w:val="24"/>
        </w:rPr>
        <w:t xml:space="preserve"> </w:t>
      </w:r>
      <w:r w:rsidRPr="00E07779">
        <w:rPr>
          <w:rFonts w:cstheme="minorHAnsi"/>
          <w:sz w:val="24"/>
          <w:szCs w:val="24"/>
        </w:rPr>
        <w:t>There is a strong emphasis on reading the air, where individuals are expected to understand what is not explicitly stated. This includes understanding emotions, intentions, and the unspoken expectations that exist in a relationship.</w:t>
      </w:r>
    </w:p>
    <w:p w14:paraId="5CBB4E5D" w14:textId="18BA326F" w:rsidR="00571F12" w:rsidRDefault="00571F12" w:rsidP="00A64167">
      <w:pPr>
        <w:rPr>
          <w:rFonts w:cstheme="minorHAnsi"/>
          <w:sz w:val="24"/>
          <w:szCs w:val="24"/>
        </w:rPr>
      </w:pPr>
    </w:p>
    <w:p w14:paraId="5C985CF4" w14:textId="77777777" w:rsidR="00A64167" w:rsidRDefault="00A64167" w:rsidP="00A64167">
      <w:pPr>
        <w:rPr>
          <w:rFonts w:cstheme="minorHAnsi"/>
          <w:sz w:val="24"/>
          <w:szCs w:val="24"/>
        </w:rPr>
      </w:pPr>
    </w:p>
    <w:p w14:paraId="638264FC" w14:textId="77777777" w:rsidR="00A64167" w:rsidRDefault="00A64167" w:rsidP="00A64167"/>
    <w:p w14:paraId="3A2D8E56" w14:textId="1DF612DC" w:rsidR="00571F12" w:rsidRDefault="00571F12" w:rsidP="005F485A">
      <w:pPr>
        <w:pStyle w:val="2"/>
      </w:pPr>
      <w:bookmarkStart w:id="13" w:name="_Toc184782070"/>
      <w:r>
        <w:t>2.4 – Effective Communication</w:t>
      </w:r>
      <w:bookmarkEnd w:id="13"/>
    </w:p>
    <w:p w14:paraId="043E38D9" w14:textId="7522F089" w:rsidR="00571F12" w:rsidRDefault="007C3612" w:rsidP="00404EC6">
      <w:pPr>
        <w:ind w:firstLineChars="100" w:firstLine="220"/>
      </w:pPr>
      <w:r w:rsidRPr="007C3612">
        <w:t>Effective communication refers to the process of sharing information, ideas, thoughts, or feelings in a way that is clearly understood by all parties involved. It ensures that the intended message is delivered, received, and interpreted accurately, fostering understanding and minimizing confusion or misinterpretation.</w:t>
      </w:r>
    </w:p>
    <w:p w14:paraId="10C58C15" w14:textId="77777777" w:rsidR="00404EC6" w:rsidRDefault="00404EC6" w:rsidP="00404EC6">
      <w:pPr>
        <w:ind w:firstLineChars="100" w:firstLine="220"/>
      </w:pPr>
      <w:r>
        <w:rPr>
          <w:rFonts w:hint="eastAsia"/>
        </w:rPr>
        <w:t>Hire a Japanese translator or someone who is familiar with Japanese language and culture to ensure accurate communication. Bilingual materials are also available, including contracts, presentations, and marketing proposals. When communicating with Japanese companies, we should avoid being too straightforward and listen to each other's opinions. What's more focuses on non-verbal communication, such as body language and the meaning of silence. Also, use a formal and respectful tone, because formal language and respectful salutations are used in everyday communication in Japan, which shows that you value the other person.</w:t>
      </w:r>
    </w:p>
    <w:p w14:paraId="77D4FD8D" w14:textId="77777777" w:rsidR="007C3612" w:rsidRDefault="007C3612" w:rsidP="00A64167"/>
    <w:p w14:paraId="5C306FB9" w14:textId="77777777" w:rsidR="00A64167" w:rsidRDefault="00A64167" w:rsidP="00A64167"/>
    <w:p w14:paraId="6BF1A7CF" w14:textId="639BBFCD" w:rsidR="004C5ECB" w:rsidRPr="00B5042A" w:rsidRDefault="00571F12" w:rsidP="005F485A">
      <w:pPr>
        <w:pStyle w:val="2"/>
        <w:rPr>
          <w:lang w:val="en-US"/>
        </w:rPr>
      </w:pPr>
      <w:bookmarkStart w:id="14" w:name="_Toc184782071"/>
      <w:r w:rsidRPr="00B5042A">
        <w:rPr>
          <w:lang w:val="en-US"/>
        </w:rPr>
        <w:t>2.5 – International Culture</w:t>
      </w:r>
      <w:bookmarkEnd w:id="14"/>
    </w:p>
    <w:p w14:paraId="3BDF7982" w14:textId="23121213" w:rsidR="00F81595" w:rsidRPr="00B5042A" w:rsidRDefault="00F81595" w:rsidP="005F485A">
      <w:pPr>
        <w:pStyle w:val="3"/>
        <w:rPr>
          <w:lang w:val="en-US"/>
        </w:rPr>
      </w:pPr>
      <w:bookmarkStart w:id="15" w:name="_Toc184782072"/>
      <w:r w:rsidRPr="00B5042A">
        <w:rPr>
          <w:lang w:val="en-US"/>
        </w:rPr>
        <w:t xml:space="preserve">2.5.1 - </w:t>
      </w:r>
      <w:r w:rsidR="00195BB0" w:rsidRPr="00B5042A">
        <w:rPr>
          <w:lang w:val="en-US"/>
        </w:rPr>
        <w:t>Trompenaars’s</w:t>
      </w:r>
      <w:r w:rsidRPr="00B5042A">
        <w:rPr>
          <w:lang w:val="en-US"/>
        </w:rPr>
        <w:t xml:space="preserve"> 7 dimensions to culture</w:t>
      </w:r>
      <w:bookmarkEnd w:id="15"/>
    </w:p>
    <w:p w14:paraId="4F3ED0B8" w14:textId="6B5F8C2E" w:rsidR="000E3BCD" w:rsidRPr="00B5042A" w:rsidRDefault="004C5ECB" w:rsidP="000E3BCD">
      <w:pPr>
        <w:ind w:firstLine="720"/>
        <w:rPr>
          <w:rFonts w:cstheme="minorHAnsi"/>
          <w:lang w:val="en-US"/>
        </w:rPr>
      </w:pPr>
      <w:r w:rsidRPr="00B5042A">
        <w:rPr>
          <w:rFonts w:cstheme="minorHAnsi"/>
          <w:lang w:val="en-US"/>
        </w:rPr>
        <w:t xml:space="preserve">Fons Trompenaars built a model of cultural differences that identified seven dimensions to help businesses and individuals understand cultural differences in values, communication styles, and </w:t>
      </w:r>
      <w:r w:rsidRPr="00B5042A">
        <w:rPr>
          <w:rFonts w:cstheme="minorHAnsi"/>
          <w:lang w:val="en-US"/>
        </w:rPr>
        <w:lastRenderedPageBreak/>
        <w:t>ways of doing business. These aspects are essential for navigating cultural diversity in global business.</w:t>
      </w:r>
      <w:r w:rsidR="000E3BCD" w:rsidRPr="00B5042A">
        <w:rPr>
          <w:rFonts w:cstheme="minorHAnsi" w:hint="eastAsia"/>
          <w:lang w:val="en-US"/>
        </w:rPr>
        <w:t xml:space="preserve"> For </w:t>
      </w:r>
      <w:proofErr w:type="gramStart"/>
      <w:r w:rsidR="000E3BCD" w:rsidRPr="00B5042A">
        <w:rPr>
          <w:rFonts w:cstheme="minorHAnsi" w:hint="eastAsia"/>
          <w:lang w:val="en-US"/>
        </w:rPr>
        <w:t>example</w:t>
      </w:r>
      <w:r w:rsidR="000E3BCD" w:rsidRPr="00B5042A">
        <w:rPr>
          <w:rFonts w:cstheme="minorHAnsi"/>
          <w:lang w:val="en-US"/>
        </w:rPr>
        <w:t> </w:t>
      </w:r>
      <w:r w:rsidR="000E3BCD" w:rsidRPr="00B5042A">
        <w:rPr>
          <w:rFonts w:cstheme="minorHAnsi" w:hint="eastAsia"/>
          <w:lang w:val="en-US"/>
        </w:rPr>
        <w:t>:</w:t>
      </w:r>
      <w:proofErr w:type="gramEnd"/>
      <w:r w:rsidR="000E3BCD" w:rsidRPr="000E3BCD">
        <w:t xml:space="preserve"> </w:t>
      </w:r>
      <w:r w:rsidR="000E3BCD" w:rsidRPr="00B5042A">
        <w:rPr>
          <w:rFonts w:cstheme="minorHAnsi"/>
          <w:lang w:val="en-US"/>
        </w:rPr>
        <w:t>Universalism vs. Particularism(Trompenaars &amp; Hampden-Turner, 1997).</w:t>
      </w:r>
    </w:p>
    <w:p w14:paraId="37D9F424" w14:textId="77777777" w:rsidR="000E3BCD" w:rsidRPr="00B5042A" w:rsidRDefault="000E3BCD" w:rsidP="000E3BCD">
      <w:pPr>
        <w:ind w:firstLine="720"/>
        <w:rPr>
          <w:rFonts w:cstheme="minorHAnsi"/>
          <w:lang w:val="en-US"/>
        </w:rPr>
      </w:pPr>
    </w:p>
    <w:p w14:paraId="75BEFDBD" w14:textId="7D6D231E" w:rsidR="000E3BCD" w:rsidRPr="00B5042A" w:rsidRDefault="000E3BCD" w:rsidP="000E3BCD">
      <w:pPr>
        <w:ind w:firstLine="720"/>
        <w:rPr>
          <w:rFonts w:cstheme="minorHAnsi"/>
          <w:lang w:val="en-US"/>
        </w:rPr>
      </w:pPr>
      <w:r w:rsidRPr="00B5042A">
        <w:rPr>
          <w:rFonts w:cstheme="minorHAnsi"/>
          <w:lang w:val="en-US"/>
        </w:rPr>
        <w:t>Universalism: The British culture tends to favor universal rules and laws that apply to everyone equally. In the UK, there's an emphasis on contracts, formal agreements, and regulations that are applied universally.</w:t>
      </w:r>
    </w:p>
    <w:p w14:paraId="2F679F99" w14:textId="49207674" w:rsidR="00062A8E" w:rsidRPr="00B5042A" w:rsidRDefault="000E3BCD" w:rsidP="000E3BCD">
      <w:pPr>
        <w:ind w:firstLine="720"/>
        <w:rPr>
          <w:rFonts w:cstheme="minorHAnsi"/>
          <w:lang w:val="en-US"/>
        </w:rPr>
      </w:pPr>
      <w:r w:rsidRPr="00B5042A">
        <w:rPr>
          <w:rFonts w:cstheme="minorHAnsi"/>
          <w:lang w:val="en-US"/>
        </w:rPr>
        <w:t xml:space="preserve">Particularism: Japanese culture tends to emphasize the importance of relationships and context. The Japanese often prioritize personal relationships and circumstances over strict rules. British companies entering the Japanese market might face challenges if they rigidly apply universal standards without adapting to the nuances of local relationships and context. </w:t>
      </w:r>
      <w:r w:rsidRPr="00B5042A">
        <w:rPr>
          <w:rFonts w:cstheme="minorHAnsi" w:hint="eastAsia"/>
          <w:lang w:val="en-US"/>
        </w:rPr>
        <w:t xml:space="preserve">So </w:t>
      </w:r>
      <w:proofErr w:type="spellStart"/>
      <w:r w:rsidRPr="00B5042A">
        <w:rPr>
          <w:rFonts w:cstheme="minorHAnsi" w:hint="eastAsia"/>
          <w:lang w:val="en-US"/>
        </w:rPr>
        <w:t>b</w:t>
      </w:r>
      <w:r w:rsidRPr="00B5042A">
        <w:rPr>
          <w:rFonts w:cstheme="minorHAnsi"/>
          <w:lang w:val="en-US"/>
        </w:rPr>
        <w:t>ritish</w:t>
      </w:r>
      <w:proofErr w:type="spellEnd"/>
      <w:r w:rsidRPr="00B5042A">
        <w:rPr>
          <w:rFonts w:cstheme="minorHAnsi"/>
          <w:lang w:val="en-US"/>
        </w:rPr>
        <w:t xml:space="preserve"> companies need to adapt by understanding the significance of relationship-building in Japan and be prepared for flexibility in how agreements and rules are applied.</w:t>
      </w:r>
    </w:p>
    <w:p w14:paraId="3D98D543" w14:textId="2B3A3ED0" w:rsidR="00571F12" w:rsidRPr="00B5042A" w:rsidRDefault="00571F12" w:rsidP="00571F12">
      <w:pPr>
        <w:ind w:firstLine="720"/>
        <w:rPr>
          <w:lang w:val="en-US"/>
        </w:rPr>
      </w:pPr>
    </w:p>
    <w:p w14:paraId="7488725F" w14:textId="1EB71C40" w:rsidR="00571F12" w:rsidRDefault="00571F12" w:rsidP="005F485A">
      <w:pPr>
        <w:pStyle w:val="2"/>
      </w:pPr>
      <w:bookmarkStart w:id="16" w:name="_Toc184782073"/>
      <w:r>
        <w:t>2.6 – Importance of Building Relationships</w:t>
      </w:r>
      <w:bookmarkEnd w:id="16"/>
    </w:p>
    <w:p w14:paraId="317DED4E" w14:textId="64447E37" w:rsidR="00BF1610" w:rsidRDefault="00BF1610" w:rsidP="005F485A">
      <w:pPr>
        <w:pStyle w:val="3"/>
      </w:pPr>
      <w:bookmarkStart w:id="17" w:name="_Toc184782074"/>
      <w:r>
        <w:rPr>
          <w:rFonts w:hint="eastAsia"/>
        </w:rPr>
        <w:t>2.6.1</w:t>
      </w:r>
      <w:r w:rsidRPr="00E6541B">
        <w:t xml:space="preserve"> </w:t>
      </w:r>
      <w:r>
        <w:rPr>
          <w:rFonts w:hint="eastAsia"/>
        </w:rPr>
        <w:t xml:space="preserve">- </w:t>
      </w:r>
      <w:r w:rsidRPr="00E6541B">
        <w:t>Enhance trust and cooperation</w:t>
      </w:r>
      <w:bookmarkEnd w:id="17"/>
    </w:p>
    <w:p w14:paraId="47059829" w14:textId="77777777" w:rsidR="00BF1610" w:rsidRDefault="00BF1610" w:rsidP="00BF1610">
      <w:pPr>
        <w:ind w:firstLineChars="100" w:firstLine="220"/>
      </w:pPr>
      <w:r w:rsidRPr="00E6541B">
        <w:t>Trust is the cornerstone of any relationship, and building trust takes time and ongoing interaction. Trust develops naturally when we build relationships with others, which helps to reduce misunderstandings and conflicts. Trust strengthens the spirit of collaboration among team members, enabling them to work together to achieve more effective results. Especially in International Business Communication, where trust facilitates information sharing, and in intercultural cooperation, Trompenaars’s "universalism and particularism" dimension (extremely relevant. In a universalist culture, where rules and laws apply universally to ownership, this culture often relies on clear and consistent rules to build trust. In a particularist culture, relationships and concrete images often determine whether trust can be built. Therefore, cross-cultural trust construction requires a balance between sensitive and flexible handling rules and relationships</w:t>
      </w:r>
      <w:r>
        <w:rPr>
          <w:rFonts w:hint="eastAsia"/>
        </w:rPr>
        <w:t>.</w:t>
      </w:r>
    </w:p>
    <w:p w14:paraId="3CAB3A08" w14:textId="77777777" w:rsidR="00BF1610" w:rsidRDefault="00BF1610" w:rsidP="00BF1610">
      <w:pPr>
        <w:ind w:firstLineChars="100" w:firstLine="220"/>
      </w:pPr>
    </w:p>
    <w:p w14:paraId="0FDE1648" w14:textId="61F25D1A" w:rsidR="00BF1610" w:rsidRDefault="00BF1610" w:rsidP="005F485A">
      <w:pPr>
        <w:pStyle w:val="3"/>
      </w:pPr>
      <w:bookmarkStart w:id="18" w:name="_Toc184782075"/>
      <w:r>
        <w:rPr>
          <w:rFonts w:hint="eastAsia"/>
        </w:rPr>
        <w:t xml:space="preserve">2.6.2 - </w:t>
      </w:r>
      <w:r w:rsidRPr="00C060AB">
        <w:t>Enhance social support and resource sharing</w:t>
      </w:r>
      <w:bookmarkEnd w:id="18"/>
    </w:p>
    <w:p w14:paraId="560985AC" w14:textId="77777777" w:rsidR="00BF1610" w:rsidRDefault="00BF1610" w:rsidP="00BF1610">
      <w:pPr>
        <w:ind w:firstLineChars="100" w:firstLine="220"/>
      </w:pPr>
      <w:r w:rsidRPr="00C060AB">
        <w:t>It is not only for smooth cooperation, but also for long-term social support. A relationship of mutual support and trust can provide emotional support and shared resources throughout the career. Emotional support in times of difficulty, or advice and opportunities in career development, a good network of relationships can lead to more opportunities for individuals and businesses.</w:t>
      </w:r>
    </w:p>
    <w:p w14:paraId="71C3899B" w14:textId="7582EEA6" w:rsidR="00571F12" w:rsidRPr="00BF1610" w:rsidRDefault="00571F12" w:rsidP="00571F12">
      <w:pPr>
        <w:ind w:firstLine="720"/>
      </w:pPr>
    </w:p>
    <w:p w14:paraId="3B0A5383" w14:textId="47DDE188" w:rsidR="00571F12" w:rsidRDefault="00571F12" w:rsidP="005F485A">
      <w:pPr>
        <w:pStyle w:val="2"/>
      </w:pPr>
      <w:bookmarkStart w:id="19" w:name="_Toc184782076"/>
      <w:r>
        <w:lastRenderedPageBreak/>
        <w:t>2.7 – How to build Trust</w:t>
      </w:r>
      <w:bookmarkEnd w:id="19"/>
    </w:p>
    <w:p w14:paraId="7457BFB0" w14:textId="7EA781A9" w:rsidR="00D63E9B" w:rsidRDefault="00D63E9B" w:rsidP="005F485A">
      <w:pPr>
        <w:pStyle w:val="3"/>
      </w:pPr>
      <w:bookmarkStart w:id="20" w:name="_Toc184782077"/>
      <w:r>
        <w:rPr>
          <w:rFonts w:hint="eastAsia"/>
        </w:rPr>
        <w:t xml:space="preserve">2.7.1 - </w:t>
      </w:r>
      <w:r>
        <w:t>Show respect for Japanese culture</w:t>
      </w:r>
      <w:bookmarkEnd w:id="20"/>
    </w:p>
    <w:p w14:paraId="61CE6E4B" w14:textId="243CEC79" w:rsidR="00D63E9B" w:rsidRDefault="00D63E9B" w:rsidP="00D63E9B">
      <w:pPr>
        <w:ind w:firstLineChars="100" w:firstLine="220"/>
      </w:pPr>
      <w:r>
        <w:t>When presenting your business card at an initial meeting, hold it in both hands and bow slightly to show respect. Avoid overly casual behaviour or language and express ideas in a formal, polite manner. It is also important to demonstrate an understanding of culture and history, such as showing an interest in Japanese culture in the dialogue, such as mentioning Japanese traditions, social customs or historical events, but avoiding sensitive topics.</w:t>
      </w:r>
    </w:p>
    <w:p w14:paraId="7FCA95DD" w14:textId="77777777" w:rsidR="00D63E9B" w:rsidRDefault="00D63E9B" w:rsidP="00D63E9B">
      <w:pPr>
        <w:ind w:firstLineChars="100" w:firstLine="220"/>
      </w:pPr>
    </w:p>
    <w:p w14:paraId="11767E6A" w14:textId="628009CF" w:rsidR="00D63E9B" w:rsidRDefault="00D63E9B" w:rsidP="005F485A">
      <w:pPr>
        <w:pStyle w:val="3"/>
      </w:pPr>
      <w:bookmarkStart w:id="21" w:name="_Toc184782078"/>
      <w:r>
        <w:rPr>
          <w:rFonts w:hint="eastAsia"/>
        </w:rPr>
        <w:t>2.7.2</w:t>
      </w:r>
      <w:r w:rsidRPr="00D63E9B">
        <w:t xml:space="preserve"> </w:t>
      </w:r>
      <w:r>
        <w:rPr>
          <w:rFonts w:hint="eastAsia"/>
        </w:rPr>
        <w:t xml:space="preserve">- </w:t>
      </w:r>
      <w:r>
        <w:t>Emphasis on long-term cooperation</w:t>
      </w:r>
      <w:bookmarkEnd w:id="21"/>
    </w:p>
    <w:p w14:paraId="6572A400" w14:textId="09DC75D6" w:rsidR="00D63E9B" w:rsidRDefault="00D63E9B" w:rsidP="00D63E9B">
      <w:pPr>
        <w:ind w:firstLineChars="100" w:firstLine="220"/>
      </w:pPr>
      <w:r>
        <w:t xml:space="preserve">British companies need to communicate their long-term plans for the Japanese market, as Japanese companies tend not to work in the short term. </w:t>
      </w:r>
      <w:proofErr w:type="gramStart"/>
      <w:r>
        <w:t>So</w:t>
      </w:r>
      <w:proofErr w:type="gramEnd"/>
      <w:r>
        <w:t xml:space="preserve"> make sure to show stability and reliability in negotiations and cooperation, and avoid frequent changes in plans or in charge. Only in this way can sufficient trust be established.</w:t>
      </w:r>
    </w:p>
    <w:p w14:paraId="0BB818B9" w14:textId="77777777" w:rsidR="00D63E9B" w:rsidRDefault="00D63E9B" w:rsidP="00D63E9B">
      <w:pPr>
        <w:ind w:firstLineChars="100" w:firstLine="220"/>
      </w:pPr>
    </w:p>
    <w:p w14:paraId="7EC7D7BE" w14:textId="5A7977BE" w:rsidR="00D63E9B" w:rsidRDefault="00D63E9B" w:rsidP="005F485A">
      <w:pPr>
        <w:pStyle w:val="3"/>
      </w:pPr>
      <w:r>
        <w:rPr>
          <w:rFonts w:hint="eastAsia"/>
        </w:rPr>
        <w:t xml:space="preserve"> </w:t>
      </w:r>
      <w:bookmarkStart w:id="22" w:name="_Toc184782079"/>
      <w:r>
        <w:rPr>
          <w:rFonts w:hint="eastAsia"/>
        </w:rPr>
        <w:t>2.7.</w:t>
      </w:r>
      <w:r w:rsidR="003E71F9">
        <w:rPr>
          <w:rFonts w:hint="eastAsia"/>
        </w:rPr>
        <w:t xml:space="preserve">3 - </w:t>
      </w:r>
      <w:r>
        <w:rPr>
          <w:rFonts w:hint="eastAsia"/>
        </w:rPr>
        <w:t>Appropriate gifts</w:t>
      </w:r>
      <w:bookmarkEnd w:id="22"/>
    </w:p>
    <w:p w14:paraId="7D4ADC57" w14:textId="7D1617F2" w:rsidR="00D63E9B" w:rsidRDefault="003E71F9" w:rsidP="00D63E9B">
      <w:pPr>
        <w:ind w:firstLineChars="100" w:firstLine="220"/>
      </w:pPr>
      <w:r w:rsidRPr="003E71F9">
        <w:t>When giving gifts in Japan, it is necessary to pay attention to the packaging of gifts and choose the right occasion. Gifts usually need to be carefully wrapped and are best placed in bags provided by the store. Also, avoid giving gifts that are too expensive, as Japanese people may not dare to accept gifts that are too expensive. It is more appropriate to choose a gift that is mid-range and beautifully wrapped. The Japanese have a great appreciation for fine arts and crafts, especially those with unique design and fabrication techniques. For example, Nishii weaving materials from Kyoto, Shinkai pottery, etc., these gifts not only show the traditional crafts of Japan, but also have a high collection value. The British side can also send some exquisite packaging chocolate gift box or dessert gift box from the UK</w:t>
      </w:r>
      <w:r>
        <w:rPr>
          <w:rFonts w:hint="eastAsia"/>
        </w:rPr>
        <w:t>.</w:t>
      </w:r>
    </w:p>
    <w:p w14:paraId="2621EB49" w14:textId="7E4C10EE" w:rsidR="00571F12" w:rsidRDefault="00571F12" w:rsidP="00571F12">
      <w:pPr>
        <w:ind w:firstLine="720"/>
      </w:pPr>
    </w:p>
    <w:p w14:paraId="47326A41" w14:textId="22A213BD" w:rsidR="00571F12" w:rsidRDefault="00571F12" w:rsidP="005F485A">
      <w:pPr>
        <w:pStyle w:val="2"/>
      </w:pPr>
      <w:bookmarkStart w:id="23" w:name="_Toc184782080"/>
      <w:r>
        <w:t xml:space="preserve">2.8 </w:t>
      </w:r>
      <w:r w:rsidR="00F81595">
        <w:t>–</w:t>
      </w:r>
      <w:r>
        <w:t xml:space="preserve"> </w:t>
      </w:r>
      <w:r w:rsidR="00F81595">
        <w:t>Failed Relationships</w:t>
      </w:r>
      <w:bookmarkEnd w:id="23"/>
      <w:r w:rsidR="00F81595">
        <w:t xml:space="preserve"> </w:t>
      </w:r>
    </w:p>
    <w:p w14:paraId="3EDBEF4F" w14:textId="22758233" w:rsidR="00F81595" w:rsidRDefault="00BF1610" w:rsidP="005F485A">
      <w:pPr>
        <w:pStyle w:val="3"/>
      </w:pPr>
      <w:r>
        <w:rPr>
          <w:rFonts w:hint="eastAsia"/>
        </w:rPr>
        <w:t xml:space="preserve"> </w:t>
      </w:r>
      <w:bookmarkStart w:id="24" w:name="_Toc184782081"/>
      <w:r>
        <w:rPr>
          <w:rFonts w:hint="eastAsia"/>
        </w:rPr>
        <w:t>2.8.1</w:t>
      </w:r>
      <w:r w:rsidRPr="00BF1610">
        <w:t xml:space="preserve"> </w:t>
      </w:r>
      <w:r>
        <w:rPr>
          <w:rFonts w:hint="eastAsia"/>
        </w:rPr>
        <w:t xml:space="preserve">- </w:t>
      </w:r>
      <w:r w:rsidRPr="00BF1610">
        <w:t>Ignoring cultural differences</w:t>
      </w:r>
      <w:bookmarkEnd w:id="24"/>
    </w:p>
    <w:p w14:paraId="1E169885" w14:textId="41E0F6C6" w:rsidR="00BF1610" w:rsidRDefault="00BF1610" w:rsidP="00D63E9B">
      <w:pPr>
        <w:ind w:firstLineChars="100" w:firstLine="220"/>
      </w:pPr>
      <w:r w:rsidRPr="00BF1610">
        <w:t xml:space="preserve">Different countries and cultures have significant differences in communication styles, etiquette, decision-making processes, and more. Ignoring these cultural differences can lead to misunderstandings and conflicts. For example, Western cultures typically focus on direct and </w:t>
      </w:r>
      <w:r w:rsidRPr="00BF1610">
        <w:lastRenderedPageBreak/>
        <w:t>transparent communication, while East Asian cultures tend to favour indirect and euphemistic. If there is no proper adjustment in cross-cultural communication, it can make the other person feel disrespected or understood, which can affect the building of trust.</w:t>
      </w:r>
    </w:p>
    <w:p w14:paraId="1D1312B5" w14:textId="77777777" w:rsidR="00BF1610" w:rsidRDefault="00BF1610" w:rsidP="00BF1610">
      <w:pPr>
        <w:ind w:firstLine="720"/>
      </w:pPr>
    </w:p>
    <w:p w14:paraId="38A6AC28" w14:textId="385737C5" w:rsidR="00BF1610" w:rsidRDefault="00BF1610" w:rsidP="005F485A">
      <w:pPr>
        <w:pStyle w:val="3"/>
      </w:pPr>
      <w:bookmarkStart w:id="25" w:name="_Toc184782082"/>
      <w:r>
        <w:rPr>
          <w:rFonts w:hint="eastAsia"/>
        </w:rPr>
        <w:t xml:space="preserve">2.8.2 - </w:t>
      </w:r>
      <w:r w:rsidRPr="00BF1610">
        <w:t>Differences in</w:t>
      </w:r>
      <w:r>
        <w:rPr>
          <w:rFonts w:hint="eastAsia"/>
        </w:rPr>
        <w:t xml:space="preserve"> </w:t>
      </w:r>
      <w:r w:rsidRPr="00BF1610">
        <w:t>communication</w:t>
      </w:r>
      <w:bookmarkEnd w:id="25"/>
    </w:p>
    <w:p w14:paraId="374AB6FB" w14:textId="086E0C0E" w:rsidR="00BF1610" w:rsidRDefault="00BF1610" w:rsidP="00BF1610">
      <w:pPr>
        <w:ind w:firstLineChars="100" w:firstLine="220"/>
      </w:pPr>
      <w:r w:rsidRPr="00BF1610">
        <w:t>Different cultures have different ways of communicating: some cultures focus on high-context communication (e.g., Asian and Arabic cultures), while others focus on low-context communication (e.g., the United States and Nordic countries).</w:t>
      </w:r>
      <w:r w:rsidR="000E3BCD" w:rsidRPr="000E3BCD">
        <w:t xml:space="preserve"> (Hall, 1976</w:t>
      </w:r>
      <w:r w:rsidR="003F5DF2" w:rsidRPr="000E3BCD">
        <w:t xml:space="preserve">) </w:t>
      </w:r>
      <w:r w:rsidR="003F5DF2" w:rsidRPr="00BF1610">
        <w:t>In</w:t>
      </w:r>
      <w:r w:rsidRPr="00BF1610">
        <w:t xml:space="preserve"> high-context cultures, much of the information is implicit and relies on non-verbal cues and shared background knowledge. In low-context cultures, communication is usually straightforward and straightforward, and information dissemination relies more on words and words. If this difference is not recognized, it can lead to misunderstandings, block effective communication, and lead to relationship building.</w:t>
      </w:r>
    </w:p>
    <w:p w14:paraId="235785B4" w14:textId="77777777" w:rsidR="00BF1610" w:rsidRDefault="00BF1610" w:rsidP="00BF1610">
      <w:pPr>
        <w:ind w:firstLine="720"/>
      </w:pPr>
    </w:p>
    <w:p w14:paraId="793243D4" w14:textId="083B203F" w:rsidR="00BF1610" w:rsidRDefault="00BF1610" w:rsidP="005F485A">
      <w:pPr>
        <w:pStyle w:val="3"/>
      </w:pPr>
      <w:bookmarkStart w:id="26" w:name="_Toc184782083"/>
      <w:r>
        <w:rPr>
          <w:rFonts w:hint="eastAsia"/>
        </w:rPr>
        <w:t>2.8.3 -</w:t>
      </w:r>
      <w:r w:rsidRPr="00BF1610">
        <w:t xml:space="preserve"> Commercial bribery</w:t>
      </w:r>
      <w:r>
        <w:rPr>
          <w:rFonts w:hint="eastAsia"/>
        </w:rPr>
        <w:t xml:space="preserve"> </w:t>
      </w:r>
      <w:r w:rsidRPr="00BF1610">
        <w:t>and bribery</w:t>
      </w:r>
      <w:bookmarkEnd w:id="26"/>
    </w:p>
    <w:p w14:paraId="64094C12" w14:textId="41754EA9" w:rsidR="00BF1610" w:rsidRPr="00BF1610" w:rsidRDefault="00BF1610" w:rsidP="00BF1610">
      <w:pPr>
        <w:ind w:firstLineChars="100" w:firstLine="220"/>
      </w:pPr>
      <w:r w:rsidRPr="00BF1610">
        <w:t>Perceptions of commercial bribery vary widely across countries and cultures. In many countries in Asia, bribery is seen as a "way to accelerate business decisions and transactions, especially in government Istanbul or large infrastructure projects, and some countries such as the United States and most European countries have strict anti-bribery laws that consider any form of bribery illegal and unethical." In international business, if one party fails to understand and comply with the anti-bribery regulations of the other party's country, it may mistakenly believe that in some cases the bribery is offered to facilitate the normal conduct of the transaction, which in turn leads to the violation of the law.</w:t>
      </w:r>
    </w:p>
    <w:p w14:paraId="28AB932F" w14:textId="593A4B2A" w:rsidR="00F81595" w:rsidRPr="00BF1610" w:rsidRDefault="00F81595" w:rsidP="00571F12">
      <w:pPr>
        <w:ind w:firstLine="720"/>
      </w:pPr>
    </w:p>
    <w:p w14:paraId="2C6262F9" w14:textId="557BC6B1" w:rsidR="00F81595" w:rsidRDefault="00F81595" w:rsidP="00571F12">
      <w:pPr>
        <w:ind w:firstLine="720"/>
      </w:pPr>
    </w:p>
    <w:p w14:paraId="08826526" w14:textId="0D6F050D" w:rsidR="00F81595" w:rsidRDefault="00F81595" w:rsidP="00571F12">
      <w:pPr>
        <w:ind w:firstLine="720"/>
      </w:pPr>
    </w:p>
    <w:p w14:paraId="77217792" w14:textId="59F5108D" w:rsidR="00F81595" w:rsidRDefault="00F81595" w:rsidP="00571F12">
      <w:pPr>
        <w:ind w:firstLine="720"/>
      </w:pPr>
    </w:p>
    <w:p w14:paraId="2988DC72" w14:textId="027DD87C" w:rsidR="00F81595" w:rsidRDefault="00F81595" w:rsidP="00571F12">
      <w:pPr>
        <w:ind w:firstLine="720"/>
      </w:pPr>
    </w:p>
    <w:p w14:paraId="30E6C312" w14:textId="1FD661F6" w:rsidR="00F81595" w:rsidRDefault="00F81595" w:rsidP="00571F12">
      <w:pPr>
        <w:ind w:firstLine="720"/>
      </w:pPr>
    </w:p>
    <w:p w14:paraId="7E78CB5E" w14:textId="7B1ECD68" w:rsidR="00F81595" w:rsidRDefault="00F81595" w:rsidP="00571F12">
      <w:pPr>
        <w:ind w:firstLine="720"/>
      </w:pPr>
    </w:p>
    <w:p w14:paraId="67BAFD26" w14:textId="0B8E8A14" w:rsidR="00F81595" w:rsidRDefault="00F81595" w:rsidP="00571F12">
      <w:pPr>
        <w:ind w:firstLine="720"/>
      </w:pPr>
    </w:p>
    <w:p w14:paraId="7653CAA0" w14:textId="07914028" w:rsidR="00F81595" w:rsidRDefault="00F81595" w:rsidP="00571F12">
      <w:pPr>
        <w:ind w:firstLine="720"/>
      </w:pPr>
    </w:p>
    <w:p w14:paraId="6A5704E3" w14:textId="276367CF" w:rsidR="00F81595" w:rsidRDefault="00F81595" w:rsidP="00571F12">
      <w:pPr>
        <w:ind w:firstLine="720"/>
      </w:pPr>
    </w:p>
    <w:p w14:paraId="2B9246E5" w14:textId="25B678BD" w:rsidR="00F81595" w:rsidRDefault="00F81595" w:rsidP="00571F12">
      <w:pPr>
        <w:ind w:firstLine="720"/>
      </w:pPr>
    </w:p>
    <w:p w14:paraId="2E69715E" w14:textId="23FF5D5B" w:rsidR="00F81595" w:rsidRPr="00F81595" w:rsidRDefault="00F81595" w:rsidP="005F485A">
      <w:pPr>
        <w:pStyle w:val="1"/>
      </w:pPr>
      <w:bookmarkStart w:id="27" w:name="_Toc184782084"/>
      <w:r w:rsidRPr="00F81595">
        <w:lastRenderedPageBreak/>
        <w:t>3.0 – Conclusions</w:t>
      </w:r>
      <w:bookmarkEnd w:id="27"/>
    </w:p>
    <w:p w14:paraId="02C46A1E" w14:textId="77777777" w:rsidR="00755E27" w:rsidRDefault="00755E27" w:rsidP="00854481">
      <w:r w:rsidRPr="00755E27">
        <w:rPr>
          <w:rFonts w:hint="eastAsia"/>
        </w:rPr>
        <w:t xml:space="preserve">The UK's emphasis on individualism and individual decision-making, while Japan's collectivist approach and decision-making often requires extensive discussion and consensus, making the decision-making process likely to be slower than in the UK. The UK is a low-context culture, meaning that the message is usually conveyed explicitly through words or words; Japan, on the other hand, is a high-context culture that relies more on non-verbal signals, environment, and implicit information. As a result, UK companies may misunderstand Japan's reliance on non-verbal </w:t>
      </w:r>
      <w:proofErr w:type="gramStart"/>
      <w:r w:rsidRPr="00755E27">
        <w:rPr>
          <w:rFonts w:hint="eastAsia"/>
        </w:rPr>
        <w:t>cues, or</w:t>
      </w:r>
      <w:proofErr w:type="gramEnd"/>
      <w:r w:rsidRPr="00755E27">
        <w:rPr>
          <w:rFonts w:hint="eastAsia"/>
        </w:rPr>
        <w:t xml:space="preserve"> ignore potential cultural differences. By understanding and respecting Japan's cultural differences, UK companies are better able to build trusting relationships with Japanese businesses. Japan values long-term relationships over short-term interests, and UK companies are likely to have more lasting opportunities to work together if they invest more time and energy into building strong relationships. Both the UK and Japan have strong business traditions, and the fusion of cultures has </w:t>
      </w:r>
      <w:proofErr w:type="gramStart"/>
      <w:r w:rsidRPr="00755E27">
        <w:rPr>
          <w:rFonts w:hint="eastAsia"/>
        </w:rPr>
        <w:t>opened up</w:t>
      </w:r>
      <w:proofErr w:type="gramEnd"/>
      <w:r w:rsidRPr="00755E27">
        <w:rPr>
          <w:rFonts w:hint="eastAsia"/>
        </w:rPr>
        <w:t xml:space="preserve"> innovative possibilities for businesses in both countries. Through cross-cultural teamwork, UK businesses can learn from Japan's rigorous and detail-oriented approach to work, while Japanese businesses can gain exposure to the UK's flexible and innovative spirit and position themselves in the global market.</w:t>
      </w: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3D3984CE" w14:textId="62A8B19E" w:rsidR="001652C1" w:rsidRDefault="001652C1" w:rsidP="00F81595"/>
    <w:p w14:paraId="7CB2F1FB" w14:textId="77FA267D" w:rsidR="001652C1" w:rsidRDefault="001652C1" w:rsidP="00F81595"/>
    <w:p w14:paraId="52A37070" w14:textId="631D493C" w:rsidR="001652C1" w:rsidRDefault="001652C1" w:rsidP="00F81595"/>
    <w:p w14:paraId="758F66C0" w14:textId="1965B96E" w:rsidR="001652C1" w:rsidRDefault="001652C1" w:rsidP="00F81595"/>
    <w:p w14:paraId="6E87772B" w14:textId="5DF38E07" w:rsidR="001652C1" w:rsidRDefault="001652C1" w:rsidP="00F81595"/>
    <w:p w14:paraId="639C817A" w14:textId="0620047C" w:rsidR="001652C1" w:rsidRDefault="001652C1" w:rsidP="00F81595"/>
    <w:p w14:paraId="1558B063" w14:textId="0673874E" w:rsidR="001652C1" w:rsidRDefault="001652C1" w:rsidP="00F81595"/>
    <w:p w14:paraId="191A7DCD" w14:textId="2858D95F" w:rsidR="001652C1" w:rsidRDefault="001652C1" w:rsidP="00F81595"/>
    <w:p w14:paraId="7397D851" w14:textId="23528E38" w:rsidR="001652C1" w:rsidRDefault="001652C1" w:rsidP="00F81595"/>
    <w:p w14:paraId="3126B850" w14:textId="357990DB" w:rsidR="001652C1" w:rsidRDefault="001652C1" w:rsidP="00F81595"/>
    <w:p w14:paraId="13B6F974" w14:textId="6D8C8D16" w:rsidR="001652C1" w:rsidRDefault="001652C1" w:rsidP="00F81595"/>
    <w:p w14:paraId="440D7CCD" w14:textId="5479AF65" w:rsidR="001652C1" w:rsidRDefault="001652C1" w:rsidP="00F81595"/>
    <w:p w14:paraId="5B4A973F" w14:textId="579938C2" w:rsidR="001652C1" w:rsidRDefault="001652C1" w:rsidP="00F81595"/>
    <w:p w14:paraId="54D02B26" w14:textId="5114452B" w:rsidR="001652C1" w:rsidRDefault="001652C1" w:rsidP="00F81595"/>
    <w:p w14:paraId="327EB580" w14:textId="2114D043" w:rsidR="00A85BB5" w:rsidRPr="00755E27" w:rsidRDefault="00A85BB5" w:rsidP="005F485A">
      <w:pPr>
        <w:pStyle w:val="1"/>
      </w:pPr>
      <w:bookmarkStart w:id="28" w:name="_Toc184782085"/>
      <w:r w:rsidRPr="00F81595">
        <w:lastRenderedPageBreak/>
        <w:t>4.0 – Recommendations</w:t>
      </w:r>
      <w:bookmarkEnd w:id="28"/>
    </w:p>
    <w:p w14:paraId="28B2DF35" w14:textId="68000C7D" w:rsidR="00755E27" w:rsidRDefault="00755E27" w:rsidP="00755E27">
      <w:pPr>
        <w:ind w:firstLineChars="100" w:firstLine="220"/>
      </w:pPr>
      <w:r w:rsidRPr="00755E27">
        <w:t>First</w:t>
      </w:r>
      <w:r w:rsidRPr="00755E27">
        <w:rPr>
          <w:rFonts w:hint="eastAsia"/>
        </w:rPr>
        <w:t>, Japanese culture places a strong emphasis on trust and relationships, especially in business cooperation. If communication fails, it can lead to a loss of trust in the UK company from the Japanese partner. Trust is usually built gradually, and once broken, recovery is very difficult. Then once trust is eroded, Japanese companies may choose to work with other companies rather than continue to work with British companies. This could cause UK companies to miss out on valuable opportunities in the Japanese market. Finally, if a UK company fails to understand and respect Japanese culture and communication styles, it may be seen as lacking cultural sensitivity and professionalism. This can affect the brand image of a UK company in the Japanese market and may affect its reputation in other international markets.</w:t>
      </w:r>
    </w:p>
    <w:p w14:paraId="730CC025" w14:textId="77777777" w:rsidR="00A85BB5" w:rsidRDefault="00A85BB5" w:rsidP="00F81595"/>
    <w:p w14:paraId="2F9772A7" w14:textId="77777777" w:rsidR="00A85BB5" w:rsidRDefault="00A85BB5" w:rsidP="00F81595"/>
    <w:p w14:paraId="51A8553C" w14:textId="77777777" w:rsidR="00A85BB5" w:rsidRDefault="00A85BB5" w:rsidP="00F81595"/>
    <w:p w14:paraId="005CE635" w14:textId="77777777" w:rsidR="00A85BB5" w:rsidRDefault="00A85BB5" w:rsidP="00F81595"/>
    <w:p w14:paraId="7B7F98F0" w14:textId="77777777" w:rsidR="00A85BB5" w:rsidRDefault="00A85BB5" w:rsidP="00F81595"/>
    <w:p w14:paraId="53E9DA25" w14:textId="77777777" w:rsidR="00A85BB5" w:rsidRDefault="00A85BB5" w:rsidP="00F81595"/>
    <w:p w14:paraId="5B46CBD6" w14:textId="77777777" w:rsidR="00A85BB5" w:rsidRDefault="00A85BB5" w:rsidP="00F81595"/>
    <w:p w14:paraId="07F9113F" w14:textId="77777777" w:rsidR="00A85BB5" w:rsidRDefault="00A85BB5" w:rsidP="00F81595"/>
    <w:p w14:paraId="0D9F19B6" w14:textId="77777777" w:rsidR="00A85BB5" w:rsidRDefault="00A85BB5" w:rsidP="00F81595"/>
    <w:p w14:paraId="37ED18A6" w14:textId="77777777" w:rsidR="00A85BB5" w:rsidRDefault="00A85BB5" w:rsidP="00F81595"/>
    <w:p w14:paraId="6A742771" w14:textId="77777777" w:rsidR="00A85BB5" w:rsidRDefault="00A85BB5" w:rsidP="00F81595"/>
    <w:p w14:paraId="54880BA1" w14:textId="77777777" w:rsidR="00A85BB5" w:rsidRDefault="00A85BB5" w:rsidP="00F81595"/>
    <w:p w14:paraId="7BEC76A5" w14:textId="77777777" w:rsidR="00A85BB5" w:rsidRDefault="00A85BB5" w:rsidP="00F81595"/>
    <w:p w14:paraId="7B072DAA" w14:textId="77777777" w:rsidR="00A85BB5" w:rsidRDefault="00A85BB5" w:rsidP="00F81595"/>
    <w:p w14:paraId="26395653" w14:textId="77777777" w:rsidR="00A85BB5" w:rsidRDefault="00A85BB5" w:rsidP="00F81595"/>
    <w:p w14:paraId="34311EAA" w14:textId="77777777" w:rsidR="00A85BB5" w:rsidRDefault="00A85BB5" w:rsidP="00F81595"/>
    <w:p w14:paraId="46667349" w14:textId="77777777" w:rsidR="00A85BB5" w:rsidRDefault="00A85BB5" w:rsidP="00F81595"/>
    <w:p w14:paraId="2EB98320" w14:textId="77777777" w:rsidR="00A85BB5" w:rsidRDefault="00A85BB5" w:rsidP="00F81595"/>
    <w:p w14:paraId="6E2B7804" w14:textId="77777777" w:rsidR="00A85BB5" w:rsidRDefault="00A85BB5" w:rsidP="00F81595"/>
    <w:p w14:paraId="127A77E2" w14:textId="77777777" w:rsidR="00A85BB5" w:rsidRDefault="00A85BB5" w:rsidP="00F81595"/>
    <w:p w14:paraId="1B8D24CF" w14:textId="77777777" w:rsidR="00A85BB5" w:rsidRDefault="00A85BB5" w:rsidP="00F81595"/>
    <w:p w14:paraId="29D78DD9" w14:textId="77777777" w:rsidR="00A85BB5" w:rsidRDefault="00A85BB5" w:rsidP="00F81595"/>
    <w:p w14:paraId="63D316D9" w14:textId="77777777" w:rsidR="00A85BB5" w:rsidRDefault="00A85BB5" w:rsidP="00F81595"/>
    <w:p w14:paraId="480E056B" w14:textId="5CF2A8EB" w:rsidR="00F81595" w:rsidRDefault="00F81595" w:rsidP="00F81595"/>
    <w:p w14:paraId="0F65D0F6" w14:textId="6DDF24B4" w:rsidR="00F81595" w:rsidRPr="00F81595" w:rsidRDefault="00F81595" w:rsidP="005F485A">
      <w:pPr>
        <w:pStyle w:val="1"/>
      </w:pPr>
      <w:bookmarkStart w:id="29" w:name="_Toc184782086"/>
      <w:r w:rsidRPr="00F81595">
        <w:lastRenderedPageBreak/>
        <w:t>References</w:t>
      </w:r>
      <w:bookmarkEnd w:id="29"/>
    </w:p>
    <w:p w14:paraId="6F11146D" w14:textId="05B23C36" w:rsidR="0014616C" w:rsidRDefault="006E4947" w:rsidP="00571F12">
      <w:r>
        <w:rPr>
          <w:rFonts w:hint="eastAsia"/>
        </w:rPr>
        <w:t>1.</w:t>
      </w:r>
      <w:r w:rsidR="0014616C" w:rsidRPr="0014616C">
        <w:rPr>
          <w:rFonts w:hint="eastAsia"/>
        </w:rPr>
        <w:t>‘</w:t>
      </w:r>
      <w:r w:rsidR="0014616C" w:rsidRPr="0014616C">
        <w:t xml:space="preserve">Edward Hall: High-context versus low-context intercultural communication’ (2016) </w:t>
      </w:r>
      <w:r w:rsidR="0014616C" w:rsidRPr="0014616C">
        <w:rPr>
          <w:i/>
          <w:iCs/>
        </w:rPr>
        <w:t>Culture Matters</w:t>
      </w:r>
      <w:r w:rsidR="0014616C" w:rsidRPr="0014616C">
        <w:t>, pp. 59–66. doi:10.1201/9781315372976-15.</w:t>
      </w:r>
    </w:p>
    <w:p w14:paraId="0BEBBBCE" w14:textId="5854040A" w:rsidR="0014616C" w:rsidRDefault="006E4947" w:rsidP="00571F12">
      <w:r>
        <w:rPr>
          <w:rFonts w:hint="eastAsia"/>
        </w:rPr>
        <w:t>2.</w:t>
      </w:r>
      <w:r w:rsidR="0014616C" w:rsidRPr="0014616C">
        <w:t>(2019)</w:t>
      </w:r>
      <w:r w:rsidR="0014616C" w:rsidRPr="0014616C">
        <w:rPr>
          <w:i/>
          <w:iCs/>
        </w:rPr>
        <w:t xml:space="preserve"> High-context vs. low-context cultures</w:t>
      </w:r>
      <w:r w:rsidR="0014616C" w:rsidRPr="0014616C">
        <w:t xml:space="preserve"> [Preprint]. doi:10.4135/9781529702958.</w:t>
      </w:r>
    </w:p>
    <w:p w14:paraId="3124B0F2" w14:textId="7008AF03" w:rsidR="0014616C" w:rsidRDefault="006E4947" w:rsidP="00571F12">
      <w:r>
        <w:rPr>
          <w:rFonts w:hint="eastAsia"/>
        </w:rPr>
        <w:t>3.</w:t>
      </w:r>
      <w:r w:rsidR="00195BB0" w:rsidRPr="00195BB0">
        <w:t xml:space="preserve">Trompenaars, F. (2018). Did The Pedestrian Die? Ethics Across Cultures. </w:t>
      </w:r>
      <w:r w:rsidR="00195BB0" w:rsidRPr="00195BB0">
        <w:rPr>
          <w:i/>
          <w:iCs/>
        </w:rPr>
        <w:t>Journal of Intercultural Management and Ethics</w:t>
      </w:r>
      <w:r w:rsidR="00195BB0" w:rsidRPr="00195BB0">
        <w:t xml:space="preserve">, 1(1), pp.5–10. </w:t>
      </w:r>
      <w:proofErr w:type="spellStart"/>
      <w:proofErr w:type="gramStart"/>
      <w:r w:rsidR="00195BB0" w:rsidRPr="00195BB0">
        <w:t>doi:https</w:t>
      </w:r>
      <w:proofErr w:type="spellEnd"/>
      <w:r w:rsidR="00195BB0" w:rsidRPr="00195BB0">
        <w:t>://doi.org/10.35478/jime.2018.1.02</w:t>
      </w:r>
      <w:proofErr w:type="gramEnd"/>
      <w:r w:rsidR="00195BB0" w:rsidRPr="00195BB0">
        <w:t>.</w:t>
      </w:r>
    </w:p>
    <w:p w14:paraId="3D282720" w14:textId="5B8D858C" w:rsidR="00195BB0" w:rsidRDefault="006E4947" w:rsidP="00571F12">
      <w:r>
        <w:rPr>
          <w:rFonts w:hint="eastAsia"/>
        </w:rPr>
        <w:t>4.</w:t>
      </w:r>
      <w:r w:rsidR="00195BB0" w:rsidRPr="00195BB0">
        <w:t>Trompenaars, F. (2019). Necessary New Competencies for the Future Generations at Work. J</w:t>
      </w:r>
      <w:r w:rsidR="00195BB0" w:rsidRPr="00195BB0">
        <w:rPr>
          <w:i/>
          <w:iCs/>
        </w:rPr>
        <w:t>ournal of Intercultural Management and Ethics</w:t>
      </w:r>
      <w:r w:rsidR="00195BB0" w:rsidRPr="00195BB0">
        <w:t xml:space="preserve">, 2(2), pp.29–45. </w:t>
      </w:r>
      <w:proofErr w:type="spellStart"/>
      <w:proofErr w:type="gramStart"/>
      <w:r w:rsidR="00195BB0" w:rsidRPr="00195BB0">
        <w:t>doi:https</w:t>
      </w:r>
      <w:proofErr w:type="spellEnd"/>
      <w:r w:rsidR="00195BB0" w:rsidRPr="00195BB0">
        <w:t>://doi.org/10.35478/jime.2019.2.03</w:t>
      </w:r>
      <w:proofErr w:type="gramEnd"/>
      <w:r w:rsidR="00195BB0" w:rsidRPr="00195BB0">
        <w:t>.</w:t>
      </w:r>
    </w:p>
    <w:p w14:paraId="4E775802" w14:textId="1412B762" w:rsidR="00195BB0" w:rsidRDefault="006E4947" w:rsidP="00571F12">
      <w:r>
        <w:rPr>
          <w:rFonts w:hint="eastAsia"/>
        </w:rPr>
        <w:t>5.</w:t>
      </w:r>
      <w:r w:rsidR="00195BB0" w:rsidRPr="00195BB0">
        <w:t xml:space="preserve">Bickerstaffe, G. (2002). </w:t>
      </w:r>
      <w:r w:rsidR="00195BB0" w:rsidRPr="00195BB0">
        <w:rPr>
          <w:i/>
          <w:iCs/>
        </w:rPr>
        <w:t>Culture Club: An Interview with Fons Trompenaars. Business Strategy Review</w:t>
      </w:r>
      <w:r w:rsidR="00195BB0" w:rsidRPr="00195BB0">
        <w:t xml:space="preserve">, 13(1), pp.31–35. </w:t>
      </w:r>
      <w:proofErr w:type="spellStart"/>
      <w:proofErr w:type="gramStart"/>
      <w:r w:rsidR="00195BB0" w:rsidRPr="00195BB0">
        <w:t>doi:https</w:t>
      </w:r>
      <w:proofErr w:type="spellEnd"/>
      <w:r w:rsidR="00195BB0" w:rsidRPr="00195BB0">
        <w:t>://doi.org/10.1111/1467-8616.00199</w:t>
      </w:r>
      <w:proofErr w:type="gramEnd"/>
      <w:r w:rsidR="00195BB0" w:rsidRPr="00195BB0">
        <w:t>.</w:t>
      </w:r>
    </w:p>
    <w:p w14:paraId="45081204" w14:textId="23B7BD76" w:rsidR="00195BB0" w:rsidRDefault="006E4947" w:rsidP="00571F12">
      <w:r>
        <w:rPr>
          <w:rFonts w:hint="eastAsia"/>
        </w:rPr>
        <w:t>6.</w:t>
      </w:r>
      <w:r w:rsidR="00195BB0" w:rsidRPr="00195BB0">
        <w:t>Trompenaars, F. (1993).</w:t>
      </w:r>
      <w:r w:rsidR="00195BB0" w:rsidRPr="00195BB0">
        <w:rPr>
          <w:i/>
          <w:iCs/>
        </w:rPr>
        <w:t xml:space="preserve"> Culture and Change: Conflict or Consensus? Leadership &amp; Organization Development Journa</w:t>
      </w:r>
      <w:r w:rsidR="00195BB0" w:rsidRPr="00195BB0">
        <w:t xml:space="preserve">l, 14(6), pp.17–23. </w:t>
      </w:r>
      <w:proofErr w:type="spellStart"/>
      <w:proofErr w:type="gramStart"/>
      <w:r w:rsidR="00195BB0" w:rsidRPr="00195BB0">
        <w:t>doi:https</w:t>
      </w:r>
      <w:proofErr w:type="spellEnd"/>
      <w:r w:rsidR="00195BB0" w:rsidRPr="00195BB0">
        <w:t>://doi.org/10.1108/01437739310047074</w:t>
      </w:r>
      <w:proofErr w:type="gramEnd"/>
      <w:r w:rsidR="00195BB0" w:rsidRPr="00195BB0">
        <w:t>.</w:t>
      </w:r>
    </w:p>
    <w:p w14:paraId="05706F21" w14:textId="10FFA30D" w:rsidR="00195BB0" w:rsidRDefault="006E4947" w:rsidP="00571F12">
      <w:r>
        <w:rPr>
          <w:rFonts w:hint="eastAsia"/>
        </w:rPr>
        <w:t>7</w:t>
      </w:r>
      <w:r>
        <w:rPr>
          <w:rFonts w:hint="eastAsia"/>
        </w:rPr>
        <w:t>．</w:t>
      </w:r>
      <w:r w:rsidR="00195BB0" w:rsidRPr="00195BB0">
        <w:t xml:space="preserve">Hall, D.T. and Hall, F.S. (1976). </w:t>
      </w:r>
      <w:r w:rsidR="00195BB0" w:rsidRPr="00195BB0">
        <w:rPr>
          <w:i/>
          <w:iCs/>
        </w:rPr>
        <w:t>What’s new in career management. Organizational Dynamics</w:t>
      </w:r>
      <w:r w:rsidR="00195BB0" w:rsidRPr="00195BB0">
        <w:t xml:space="preserve">, 5(1), pp.17–33. </w:t>
      </w:r>
      <w:proofErr w:type="spellStart"/>
      <w:proofErr w:type="gramStart"/>
      <w:r w:rsidR="00195BB0" w:rsidRPr="00195BB0">
        <w:t>doi:https</w:t>
      </w:r>
      <w:proofErr w:type="spellEnd"/>
      <w:r w:rsidR="00195BB0" w:rsidRPr="00195BB0">
        <w:t>://doi.org/10.1016/0090-2616(76)90022-x</w:t>
      </w:r>
      <w:proofErr w:type="gramEnd"/>
      <w:r w:rsidR="00195BB0" w:rsidRPr="00195BB0">
        <w:t>.</w:t>
      </w:r>
    </w:p>
    <w:p w14:paraId="256E13DB" w14:textId="4E40D1E1" w:rsidR="00195BB0" w:rsidRDefault="006E4947" w:rsidP="00571F12">
      <w:pPr>
        <w:rPr>
          <w:rFonts w:hint="eastAsia"/>
        </w:rPr>
      </w:pPr>
      <w:r>
        <w:rPr>
          <w:rFonts w:hint="eastAsia"/>
        </w:rPr>
        <w:t>8.</w:t>
      </w:r>
      <w:r w:rsidR="00C2223D" w:rsidRPr="00C2223D">
        <w:t xml:space="preserve">Straub, D., Loch, K., Evaristo, R., </w:t>
      </w:r>
      <w:proofErr w:type="spellStart"/>
      <w:r w:rsidR="00C2223D" w:rsidRPr="00C2223D">
        <w:t>Karahanna</w:t>
      </w:r>
      <w:proofErr w:type="spellEnd"/>
      <w:r w:rsidR="00C2223D" w:rsidRPr="00C2223D">
        <w:t xml:space="preserve">, E. and </w:t>
      </w:r>
      <w:proofErr w:type="spellStart"/>
      <w:r w:rsidR="00C2223D" w:rsidRPr="00C2223D">
        <w:t>Srite</w:t>
      </w:r>
      <w:proofErr w:type="spellEnd"/>
      <w:r w:rsidR="00C2223D" w:rsidRPr="00C2223D">
        <w:t xml:space="preserve">, M. (2002). Toward a Theory-Based Measurement of Culture. Journal of Global Information Management, 10(1), pp.13–23. </w:t>
      </w:r>
      <w:proofErr w:type="spellStart"/>
      <w:proofErr w:type="gramStart"/>
      <w:r w:rsidR="00C2223D" w:rsidRPr="00C2223D">
        <w:t>doi:https</w:t>
      </w:r>
      <w:proofErr w:type="spellEnd"/>
      <w:r w:rsidR="00C2223D" w:rsidRPr="00C2223D">
        <w:t>://doi.org/10.4018/jgim.2002010102</w:t>
      </w:r>
      <w:proofErr w:type="gramEnd"/>
      <w:r w:rsidR="00C2223D" w:rsidRPr="00C2223D">
        <w:t>.</w:t>
      </w:r>
    </w:p>
    <w:p w14:paraId="49B4AF62" w14:textId="1E54AA7C" w:rsidR="00571F12" w:rsidRDefault="006E4947" w:rsidP="00571F12">
      <w:r>
        <w:rPr>
          <w:rFonts w:hint="eastAsia"/>
        </w:rPr>
        <w:t>9.</w:t>
      </w:r>
      <w:r w:rsidR="00B5042A" w:rsidRPr="00B5042A">
        <w:t xml:space="preserve">Nukui, H. (2019a) ‘Japanese intercultural communication hindrances in business environment: Case studies with Polish counterparts’, </w:t>
      </w:r>
      <w:r w:rsidR="00B5042A" w:rsidRPr="00B5042A">
        <w:rPr>
          <w:i/>
          <w:iCs/>
        </w:rPr>
        <w:t>Lodz Papers in Pragmatics</w:t>
      </w:r>
      <w:r w:rsidR="00B5042A" w:rsidRPr="00B5042A">
        <w:t>, 15(2), pp. 163–181. doi:10.1515/lpp-2019-0010.</w:t>
      </w:r>
    </w:p>
    <w:p w14:paraId="319E7183" w14:textId="01686224" w:rsidR="00571F12" w:rsidRDefault="006E4947" w:rsidP="00571F12">
      <w:r>
        <w:rPr>
          <w:rFonts w:hint="eastAsia"/>
        </w:rPr>
        <w:t>10.</w:t>
      </w:r>
      <w:r w:rsidR="00B5042A" w:rsidRPr="00B5042A">
        <w:t xml:space="preserve">Takeshita, Y. (2022) ‘Intercultural Communication Management Professionals in the Japanese linguistic and cultural environment’, </w:t>
      </w:r>
      <w:r w:rsidR="00B5042A" w:rsidRPr="00B5042A">
        <w:rPr>
          <w:i/>
          <w:iCs/>
        </w:rPr>
        <w:t>Conflict Management and Intercultural Communication</w:t>
      </w:r>
      <w:r w:rsidR="00B5042A" w:rsidRPr="00B5042A">
        <w:t>, pp. 247–257. doi:10.4324/9781003252955-18.</w:t>
      </w:r>
    </w:p>
    <w:p w14:paraId="1891B395" w14:textId="1266EF0D" w:rsidR="00B5042A" w:rsidRDefault="006E4947" w:rsidP="00571F12">
      <w:r>
        <w:rPr>
          <w:rFonts w:hint="eastAsia"/>
        </w:rPr>
        <w:t>11.</w:t>
      </w:r>
      <w:r w:rsidR="00B5042A" w:rsidRPr="00B5042A">
        <w:t>Hotta, M. (2000)</w:t>
      </w:r>
      <w:r w:rsidR="00B5042A" w:rsidRPr="00B5042A">
        <w:rPr>
          <w:i/>
          <w:iCs/>
        </w:rPr>
        <w:t xml:space="preserve"> Intercultural Communication Competence and Intercultural Adjustment of Japanese business sojourners and their spouses</w:t>
      </w:r>
      <w:r w:rsidR="00B5042A" w:rsidRPr="00B5042A">
        <w:t xml:space="preserve"> [Preprint]. doi:10.15760/etd.6152.</w:t>
      </w:r>
    </w:p>
    <w:p w14:paraId="41E82021" w14:textId="4F306E5F" w:rsidR="00B5042A" w:rsidRDefault="006E4947" w:rsidP="00571F12">
      <w:r>
        <w:rPr>
          <w:rFonts w:hint="eastAsia"/>
        </w:rPr>
        <w:t>12.</w:t>
      </w:r>
      <w:r w:rsidR="00B5042A" w:rsidRPr="00B5042A">
        <w:t xml:space="preserve">Caraivan, L. (2023) ‘“integrating intercultural competence in teaching business </w:t>
      </w:r>
      <w:proofErr w:type="spellStart"/>
      <w:r w:rsidR="00B5042A" w:rsidRPr="00B5042A">
        <w:t>english</w:t>
      </w:r>
      <w:proofErr w:type="spellEnd"/>
      <w:r w:rsidR="00B5042A" w:rsidRPr="00B5042A">
        <w:t xml:space="preserve">: A case study”’, </w:t>
      </w:r>
      <w:r w:rsidR="00B5042A" w:rsidRPr="00B5042A">
        <w:rPr>
          <w:i/>
          <w:iCs/>
        </w:rPr>
        <w:t>Professional Communication and Translation Studies</w:t>
      </w:r>
      <w:r w:rsidR="00B5042A" w:rsidRPr="00B5042A">
        <w:t>, 14, pp. 215–220. doi:10.59168/eeoq5139.</w:t>
      </w:r>
    </w:p>
    <w:p w14:paraId="4AC5E647" w14:textId="18DFEBC1" w:rsidR="00B5042A" w:rsidRDefault="006E4947" w:rsidP="00571F12">
      <w:r>
        <w:rPr>
          <w:rFonts w:hint="eastAsia"/>
        </w:rPr>
        <w:t>13.</w:t>
      </w:r>
      <w:r w:rsidR="00B5042A" w:rsidRPr="00B5042A">
        <w:rPr>
          <w:rFonts w:hint="eastAsia"/>
        </w:rPr>
        <w:t>‘</w:t>
      </w:r>
      <w:r w:rsidR="00B5042A" w:rsidRPr="00B5042A">
        <w:t xml:space="preserve">Glossary of Japanese terms and concepts’ (2017) </w:t>
      </w:r>
      <w:r w:rsidR="00B5042A" w:rsidRPr="00B5042A">
        <w:rPr>
          <w:i/>
          <w:iCs/>
        </w:rPr>
        <w:t>Doing Business with Japan</w:t>
      </w:r>
      <w:r w:rsidR="00B5042A" w:rsidRPr="00B5042A">
        <w:t>, pp. 207–210. doi:10.1515/9780824862220-013.</w:t>
      </w:r>
    </w:p>
    <w:p w14:paraId="2892236D" w14:textId="4A78EC61" w:rsidR="00571F12" w:rsidRDefault="006E4947">
      <w:r>
        <w:rPr>
          <w:rFonts w:hint="eastAsia"/>
        </w:rPr>
        <w:t>14.</w:t>
      </w:r>
      <w:r w:rsidR="00B5042A" w:rsidRPr="00B5042A">
        <w:t xml:space="preserve">Bargiela-Chiappini, F. and Nickerson, C. (2003) ‘Intercultural Business Communication: A rich field of studies’, </w:t>
      </w:r>
      <w:r w:rsidR="00B5042A" w:rsidRPr="0014616C">
        <w:rPr>
          <w:i/>
          <w:iCs/>
        </w:rPr>
        <w:t>Journal of Intercultural Studies</w:t>
      </w:r>
      <w:r w:rsidR="00B5042A" w:rsidRPr="00B5042A">
        <w:t>, 24(1), pp. 3–15. doi:10.1080/07256860305789.</w:t>
      </w:r>
    </w:p>
    <w:p w14:paraId="1103F3F5" w14:textId="0F690A38" w:rsidR="00B5042A" w:rsidRDefault="006E4947">
      <w:r>
        <w:rPr>
          <w:rFonts w:hint="eastAsia"/>
        </w:rPr>
        <w:t>15.</w:t>
      </w:r>
      <w:r w:rsidR="0014616C" w:rsidRPr="0014616C">
        <w:t xml:space="preserve">Du-Babcock, B. and Babcock, R.D. (2024) ‘Intercultural Communication Environment and process’, </w:t>
      </w:r>
      <w:r w:rsidR="0014616C" w:rsidRPr="0014616C">
        <w:rPr>
          <w:i/>
          <w:iCs/>
        </w:rPr>
        <w:t>The Art of Intercultural Business Communication</w:t>
      </w:r>
      <w:r w:rsidR="0014616C" w:rsidRPr="0014616C">
        <w:t>, pp. 24–51. doi:10.4324/9781003036883-2.</w:t>
      </w:r>
    </w:p>
    <w:p w14:paraId="7E801E0E" w14:textId="4811C4E9" w:rsidR="00571F12" w:rsidRDefault="006E4947">
      <w:r>
        <w:rPr>
          <w:rFonts w:hint="eastAsia"/>
        </w:rPr>
        <w:t>16.</w:t>
      </w:r>
      <w:r w:rsidR="0014616C" w:rsidRPr="0014616C">
        <w:rPr>
          <w:rFonts w:hint="eastAsia"/>
        </w:rPr>
        <w:t>‘</w:t>
      </w:r>
      <w:r w:rsidR="0014616C" w:rsidRPr="0014616C">
        <w:t xml:space="preserve">Chapter 6. decision making in </w:t>
      </w:r>
      <w:r w:rsidRPr="0014616C">
        <w:t>Japanese</w:t>
      </w:r>
      <w:r w:rsidR="0014616C" w:rsidRPr="0014616C">
        <w:t xml:space="preserve"> business organizations’ (2017) Doing Business with Japan, pp. 117–134. doi:10.1515/9780824862220-008.</w:t>
      </w:r>
    </w:p>
    <w:p w14:paraId="75E84425" w14:textId="3C51460D" w:rsidR="00571F12" w:rsidRDefault="006E4947">
      <w:r>
        <w:rPr>
          <w:rFonts w:hint="eastAsia"/>
        </w:rPr>
        <w:lastRenderedPageBreak/>
        <w:t>17.</w:t>
      </w:r>
      <w:r w:rsidR="00C2223D" w:rsidRPr="00C2223D">
        <w:t xml:space="preserve">Syubhan Akib, </w:t>
      </w:r>
      <w:proofErr w:type="spellStart"/>
      <w:r w:rsidR="00C2223D" w:rsidRPr="00C2223D">
        <w:t>Titiek</w:t>
      </w:r>
      <w:proofErr w:type="spellEnd"/>
      <w:r w:rsidR="00C2223D" w:rsidRPr="00C2223D">
        <w:t xml:space="preserve"> </w:t>
      </w:r>
      <w:proofErr w:type="spellStart"/>
      <w:r w:rsidR="00C2223D" w:rsidRPr="00C2223D">
        <w:t>Mulyaningsih</w:t>
      </w:r>
      <w:proofErr w:type="spellEnd"/>
      <w:r w:rsidR="00C2223D" w:rsidRPr="00C2223D">
        <w:t xml:space="preserve">, </w:t>
      </w:r>
      <w:proofErr w:type="spellStart"/>
      <w:r w:rsidR="00C2223D" w:rsidRPr="00C2223D">
        <w:t>Suhadarliyah</w:t>
      </w:r>
      <w:proofErr w:type="spellEnd"/>
      <w:r w:rsidR="00C2223D" w:rsidRPr="00C2223D">
        <w:t xml:space="preserve">, Yusuf, M., Dina Purnama Sari, </w:t>
      </w:r>
      <w:proofErr w:type="spellStart"/>
      <w:r w:rsidR="00C2223D" w:rsidRPr="00C2223D">
        <w:t>Umbilin</w:t>
      </w:r>
      <w:proofErr w:type="spellEnd"/>
      <w:r w:rsidR="00C2223D" w:rsidRPr="00C2223D">
        <w:t xml:space="preserve"> </w:t>
      </w:r>
      <w:proofErr w:type="spellStart"/>
      <w:r w:rsidR="00C2223D" w:rsidRPr="00C2223D">
        <w:t>Purwaningsiwi</w:t>
      </w:r>
      <w:proofErr w:type="spellEnd"/>
      <w:r w:rsidR="00C2223D" w:rsidRPr="00C2223D">
        <w:t xml:space="preserve">, Amelia, D., </w:t>
      </w:r>
      <w:proofErr w:type="spellStart"/>
      <w:r w:rsidR="00C2223D" w:rsidRPr="00C2223D">
        <w:t>Vitradesie</w:t>
      </w:r>
      <w:proofErr w:type="spellEnd"/>
      <w:r w:rsidR="00C2223D" w:rsidRPr="00C2223D">
        <w:t xml:space="preserve"> </w:t>
      </w:r>
      <w:proofErr w:type="spellStart"/>
      <w:r w:rsidR="00C2223D" w:rsidRPr="00C2223D">
        <w:t>Noekent</w:t>
      </w:r>
      <w:proofErr w:type="spellEnd"/>
      <w:r w:rsidR="00C2223D" w:rsidRPr="00C2223D">
        <w:t xml:space="preserve">, </w:t>
      </w:r>
      <w:proofErr w:type="spellStart"/>
      <w:r w:rsidR="00C2223D" w:rsidRPr="00C2223D">
        <w:t>Ipah</w:t>
      </w:r>
      <w:proofErr w:type="spellEnd"/>
      <w:r w:rsidR="00C2223D" w:rsidRPr="00C2223D">
        <w:t xml:space="preserve"> </w:t>
      </w:r>
      <w:proofErr w:type="spellStart"/>
      <w:r w:rsidR="00C2223D" w:rsidRPr="00C2223D">
        <w:t>Masripah</w:t>
      </w:r>
      <w:proofErr w:type="spellEnd"/>
      <w:r w:rsidR="00C2223D" w:rsidRPr="00C2223D">
        <w:t xml:space="preserve">, Mu’ah and </w:t>
      </w:r>
      <w:proofErr w:type="spellStart"/>
      <w:r w:rsidR="00C2223D" w:rsidRPr="00C2223D">
        <w:t>Setya</w:t>
      </w:r>
      <w:proofErr w:type="spellEnd"/>
      <w:r w:rsidR="00C2223D" w:rsidRPr="00C2223D">
        <w:t xml:space="preserve"> Ambar Pertiwi (2023). </w:t>
      </w:r>
      <w:proofErr w:type="spellStart"/>
      <w:r w:rsidR="00C2223D" w:rsidRPr="00C2223D">
        <w:t>Komunikasi</w:t>
      </w:r>
      <w:proofErr w:type="spellEnd"/>
      <w:r w:rsidR="00C2223D" w:rsidRPr="00C2223D">
        <w:t xml:space="preserve"> </w:t>
      </w:r>
      <w:proofErr w:type="spellStart"/>
      <w:r w:rsidR="00C2223D" w:rsidRPr="00C2223D">
        <w:t>Bisnis</w:t>
      </w:r>
      <w:proofErr w:type="spellEnd"/>
      <w:r w:rsidR="00C2223D" w:rsidRPr="00C2223D">
        <w:t xml:space="preserve">. Thesis Commons (OSF Preprints). </w:t>
      </w:r>
      <w:proofErr w:type="spellStart"/>
      <w:proofErr w:type="gramStart"/>
      <w:r w:rsidR="00C2223D" w:rsidRPr="00C2223D">
        <w:t>doi:https</w:t>
      </w:r>
      <w:proofErr w:type="spellEnd"/>
      <w:r w:rsidR="00C2223D" w:rsidRPr="00C2223D">
        <w:t>://doi.org/10.31237/osf.io/j89fb</w:t>
      </w:r>
      <w:proofErr w:type="gramEnd"/>
      <w:r w:rsidR="00C2223D" w:rsidRPr="00C2223D">
        <w:t>.</w:t>
      </w:r>
    </w:p>
    <w:p w14:paraId="7918A5A7" w14:textId="30260562" w:rsidR="00571F12" w:rsidRDefault="006E4947">
      <w:r>
        <w:rPr>
          <w:rFonts w:hint="eastAsia"/>
        </w:rPr>
        <w:t>18.</w:t>
      </w:r>
      <w:r w:rsidR="00C2223D" w:rsidRPr="00C2223D">
        <w:t xml:space="preserve">Gao, M. (2023). </w:t>
      </w:r>
      <w:r w:rsidR="00C2223D" w:rsidRPr="00C2223D">
        <w:rPr>
          <w:i/>
          <w:iCs/>
        </w:rPr>
        <w:t>Win Business with Relationships</w:t>
      </w:r>
      <w:r w:rsidR="00C2223D" w:rsidRPr="00C2223D">
        <w:t>. Business Expert Press.</w:t>
      </w:r>
    </w:p>
    <w:p w14:paraId="12BA2CD3" w14:textId="30B552CD" w:rsidR="006E4947" w:rsidRDefault="006E4947">
      <w:r>
        <w:rPr>
          <w:rFonts w:hint="eastAsia"/>
        </w:rPr>
        <w:t>19.</w:t>
      </w:r>
      <w:r w:rsidRPr="006E4947">
        <w:t>Felzensztein, C. and Fuerst, S. (2023).</w:t>
      </w:r>
      <w:r w:rsidRPr="006E4947">
        <w:rPr>
          <w:i/>
          <w:iCs/>
        </w:rPr>
        <w:t xml:space="preserve"> A Research Agenda for International Entrepreneurship. </w:t>
      </w:r>
      <w:r w:rsidRPr="006E4947">
        <w:t>Edward Elgar Publishing.</w:t>
      </w:r>
    </w:p>
    <w:p w14:paraId="38A5A91D" w14:textId="57494AE4" w:rsidR="006E4947" w:rsidRDefault="006E4947">
      <w:r>
        <w:rPr>
          <w:rFonts w:hint="eastAsia"/>
        </w:rPr>
        <w:t>20</w:t>
      </w:r>
      <w:r>
        <w:rPr>
          <w:rFonts w:hint="eastAsia"/>
        </w:rPr>
        <w:t>．</w:t>
      </w:r>
      <w:proofErr w:type="spellStart"/>
      <w:r w:rsidRPr="006E4947">
        <w:t>Foncha</w:t>
      </w:r>
      <w:proofErr w:type="spellEnd"/>
      <w:r w:rsidRPr="006E4947">
        <w:t xml:space="preserve">, J.W., Sivasubramaniam, S., Adamson, J. and Nunn, R. (2016). </w:t>
      </w:r>
      <w:r w:rsidRPr="006E4947">
        <w:rPr>
          <w:i/>
          <w:iCs/>
        </w:rPr>
        <w:t xml:space="preserve">Investigating the role of language in the identity construction of </w:t>
      </w:r>
      <w:proofErr w:type="gramStart"/>
      <w:r w:rsidRPr="006E4947">
        <w:rPr>
          <w:i/>
          <w:iCs/>
        </w:rPr>
        <w:t>scholars :</w:t>
      </w:r>
      <w:proofErr w:type="gramEnd"/>
      <w:r w:rsidRPr="006E4947">
        <w:rPr>
          <w:i/>
          <w:iCs/>
        </w:rPr>
        <w:t xml:space="preserve"> coming to terms with inter-cultural communicative competence</w:t>
      </w:r>
      <w:r w:rsidRPr="006E4947">
        <w:t>. Newcastle upon Tyne: Cambridge Scholars Publishing.</w:t>
      </w:r>
    </w:p>
    <w:p w14:paraId="62D4DA84" w14:textId="056C9DA5" w:rsidR="006E4947" w:rsidRDefault="006E4947">
      <w:r>
        <w:rPr>
          <w:rFonts w:hint="eastAsia"/>
        </w:rPr>
        <w:t>21.</w:t>
      </w:r>
      <w:r w:rsidRPr="006E4947">
        <w:t xml:space="preserve">Winkelman, M. (2005). </w:t>
      </w:r>
      <w:r w:rsidRPr="006E4947">
        <w:rPr>
          <w:i/>
          <w:iCs/>
        </w:rPr>
        <w:t xml:space="preserve">Cultural awareness, sensitivity and competence. </w:t>
      </w:r>
      <w:r w:rsidRPr="006E4947">
        <w:t>Peosta, Iowa: Eddie Bowers Pub.</w:t>
      </w:r>
    </w:p>
    <w:p w14:paraId="7AA87324" w14:textId="512C2C55" w:rsidR="006E4947" w:rsidRDefault="006E4947">
      <w:r>
        <w:rPr>
          <w:rFonts w:hint="eastAsia"/>
        </w:rPr>
        <w:t>22.</w:t>
      </w:r>
      <w:r w:rsidRPr="006E4947">
        <w:t xml:space="preserve">Miguel, F. (2014). Cultural Values and Digital Discourse </w:t>
      </w:r>
      <w:proofErr w:type="gramStart"/>
      <w:r w:rsidRPr="006E4947">
        <w:t>An</w:t>
      </w:r>
      <w:proofErr w:type="gramEnd"/>
      <w:r w:rsidRPr="006E4947">
        <w:t xml:space="preserve"> Intercultural Communication Approach to the Transactional Discourse of Spanish and US Sales Websites.</w:t>
      </w:r>
      <w:r w:rsidRPr="006E4947">
        <w:rPr>
          <w:i/>
          <w:iCs/>
        </w:rPr>
        <w:t xml:space="preserve"> Journal of intercultural communication</w:t>
      </w:r>
      <w:r w:rsidRPr="006E4947">
        <w:t xml:space="preserve">, 14(3), pp.1–16. </w:t>
      </w:r>
      <w:proofErr w:type="spellStart"/>
      <w:proofErr w:type="gramStart"/>
      <w:r w:rsidRPr="006E4947">
        <w:t>doi:https</w:t>
      </w:r>
      <w:proofErr w:type="spellEnd"/>
      <w:r w:rsidRPr="006E4947">
        <w:t>://doi.org/10.36923/jicc.v14i3.679</w:t>
      </w:r>
      <w:proofErr w:type="gramEnd"/>
      <w:r w:rsidRPr="006E4947">
        <w:t>.</w:t>
      </w:r>
    </w:p>
    <w:p w14:paraId="4E7A313C" w14:textId="09CD0C1E" w:rsidR="006E4947" w:rsidRDefault="006E4947">
      <w:r>
        <w:rPr>
          <w:rFonts w:hint="eastAsia"/>
        </w:rPr>
        <w:t>23.</w:t>
      </w:r>
      <w:r w:rsidRPr="006E4947">
        <w:t xml:space="preserve">Burt, S.M. and Clyne, M. (1996). Intercultural Communication at Work: Cultural Values in Discourse. </w:t>
      </w:r>
      <w:r w:rsidRPr="006E4947">
        <w:rPr>
          <w:i/>
          <w:iCs/>
        </w:rPr>
        <w:t>Language</w:t>
      </w:r>
      <w:r w:rsidRPr="006E4947">
        <w:t xml:space="preserve">, 72(4), p.878. </w:t>
      </w:r>
      <w:proofErr w:type="spellStart"/>
      <w:proofErr w:type="gramStart"/>
      <w:r w:rsidRPr="006E4947">
        <w:t>doi:https</w:t>
      </w:r>
      <w:proofErr w:type="spellEnd"/>
      <w:r w:rsidRPr="006E4947">
        <w:t>://doi.org/10.2307/416141</w:t>
      </w:r>
      <w:proofErr w:type="gramEnd"/>
      <w:r w:rsidRPr="006E4947">
        <w:t>.</w:t>
      </w:r>
    </w:p>
    <w:p w14:paraId="38E7E09D" w14:textId="74B48433" w:rsidR="006E4947" w:rsidRDefault="006E4947">
      <w:r>
        <w:rPr>
          <w:rFonts w:hint="eastAsia"/>
        </w:rPr>
        <w:t>24.</w:t>
      </w:r>
      <w:r w:rsidRPr="006E4947">
        <w:t>Carbaugh, D. (2007). Cultural Discourse Analysis: Communication Practices and Intercultural Encounters.</w:t>
      </w:r>
      <w:r w:rsidRPr="006E4947">
        <w:rPr>
          <w:i/>
          <w:iCs/>
        </w:rPr>
        <w:t xml:space="preserve"> Journal of Intercultural Communication Research</w:t>
      </w:r>
      <w:r w:rsidRPr="006E4947">
        <w:t xml:space="preserve">, 36(3), pp.167–182. </w:t>
      </w:r>
      <w:proofErr w:type="spellStart"/>
      <w:proofErr w:type="gramStart"/>
      <w:r w:rsidRPr="006E4947">
        <w:t>doi:https</w:t>
      </w:r>
      <w:proofErr w:type="spellEnd"/>
      <w:r w:rsidRPr="006E4947">
        <w:t>://doi.org/10.1080/17475750701737090</w:t>
      </w:r>
      <w:proofErr w:type="gramEnd"/>
      <w:r w:rsidRPr="006E4947">
        <w:t>.</w:t>
      </w:r>
    </w:p>
    <w:p w14:paraId="65864BCC" w14:textId="40580B79" w:rsidR="006E4947" w:rsidRDefault="006E4947">
      <w:pPr>
        <w:rPr>
          <w:rFonts w:hint="eastAsia"/>
        </w:rPr>
      </w:pPr>
      <w:r>
        <w:rPr>
          <w:rFonts w:hint="eastAsia"/>
        </w:rPr>
        <w:t>25.</w:t>
      </w:r>
      <w:r w:rsidR="00144BE4" w:rsidRPr="00144BE4">
        <w:t xml:space="preserve"> </w:t>
      </w:r>
      <w:r w:rsidR="00144BE4" w:rsidRPr="00144BE4">
        <w:t>Doole, I. and Lowe, R. (2005).</w:t>
      </w:r>
      <w:r w:rsidR="00144BE4" w:rsidRPr="00144BE4">
        <w:rPr>
          <w:i/>
          <w:iCs/>
        </w:rPr>
        <w:t xml:space="preserve"> Strategic marketing decisions in Global markets.</w:t>
      </w:r>
      <w:r w:rsidR="00144BE4" w:rsidRPr="00144BE4">
        <w:t xml:space="preserve"> London: Thomson Learning.</w:t>
      </w:r>
    </w:p>
    <w:sectPr w:rsidR="006E4947" w:rsidSect="00571F12">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D7605" w14:textId="77777777" w:rsidR="00EC40D5" w:rsidRDefault="00EC40D5" w:rsidP="00E54F52">
      <w:pPr>
        <w:spacing w:after="0" w:line="240" w:lineRule="auto"/>
      </w:pPr>
      <w:r>
        <w:separator/>
      </w:r>
    </w:p>
  </w:endnote>
  <w:endnote w:type="continuationSeparator" w:id="0">
    <w:p w14:paraId="4AB8ABF1" w14:textId="77777777" w:rsidR="00EC40D5" w:rsidRDefault="00EC40D5" w:rsidP="00E54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4751933"/>
      <w:docPartObj>
        <w:docPartGallery w:val="Page Numbers (Bottom of Page)"/>
        <w:docPartUnique/>
      </w:docPartObj>
    </w:sdtPr>
    <w:sdtContent>
      <w:p w14:paraId="731AA8AA" w14:textId="7184BD3A" w:rsidR="005F485A" w:rsidRDefault="005F485A">
        <w:pPr>
          <w:pStyle w:val="aa"/>
          <w:jc w:val="center"/>
        </w:pPr>
        <w:r>
          <w:fldChar w:fldCharType="begin"/>
        </w:r>
        <w:r>
          <w:instrText>PAGE   \* MERGEFORMAT</w:instrText>
        </w:r>
        <w:r>
          <w:fldChar w:fldCharType="separate"/>
        </w:r>
        <w:r>
          <w:rPr>
            <w:lang w:val="zh-CN"/>
          </w:rPr>
          <w:t>2</w:t>
        </w:r>
        <w:r>
          <w:fldChar w:fldCharType="end"/>
        </w:r>
      </w:p>
    </w:sdtContent>
  </w:sdt>
  <w:p w14:paraId="089134BF" w14:textId="77777777" w:rsidR="005F485A" w:rsidRDefault="005F485A">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5749606"/>
      <w:docPartObj>
        <w:docPartGallery w:val="Page Numbers (Bottom of Page)"/>
        <w:docPartUnique/>
      </w:docPartObj>
    </w:sdtPr>
    <w:sdtContent>
      <w:p w14:paraId="365A7B0D" w14:textId="570A05A8" w:rsidR="00E54F52" w:rsidRDefault="005F485A">
        <w:pPr>
          <w:pStyle w:val="aa"/>
          <w:jc w:val="center"/>
        </w:pPr>
        <w:r>
          <w:rPr>
            <w:rFonts w:hint="eastAsia"/>
          </w:rPr>
          <w:t>0</w:t>
        </w:r>
      </w:p>
      <w:p w14:paraId="12724226" w14:textId="5A8B8AD9" w:rsidR="00E54F52" w:rsidRDefault="00000000" w:rsidP="00E54F52">
        <w:pPr>
          <w:pStyle w:val="aa"/>
        </w:pPr>
      </w:p>
    </w:sdtContent>
  </w:sdt>
  <w:p w14:paraId="6F6D5C6F" w14:textId="77777777" w:rsidR="00E54F52" w:rsidRDefault="00E54F5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F0764" w14:textId="77777777" w:rsidR="00EC40D5" w:rsidRDefault="00EC40D5" w:rsidP="00E54F52">
      <w:pPr>
        <w:spacing w:after="0" w:line="240" w:lineRule="auto"/>
      </w:pPr>
      <w:r>
        <w:separator/>
      </w:r>
    </w:p>
  </w:footnote>
  <w:footnote w:type="continuationSeparator" w:id="0">
    <w:p w14:paraId="2D2A200A" w14:textId="77777777" w:rsidR="00EC40D5" w:rsidRDefault="00EC40D5" w:rsidP="00E54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3682E"/>
    <w:rsid w:val="0004791B"/>
    <w:rsid w:val="00062A8E"/>
    <w:rsid w:val="000E3BCD"/>
    <w:rsid w:val="00102068"/>
    <w:rsid w:val="00102B0E"/>
    <w:rsid w:val="00144BE4"/>
    <w:rsid w:val="0014616C"/>
    <w:rsid w:val="001652C1"/>
    <w:rsid w:val="00195BB0"/>
    <w:rsid w:val="0020514D"/>
    <w:rsid w:val="00254EDB"/>
    <w:rsid w:val="00264CE2"/>
    <w:rsid w:val="00390E8A"/>
    <w:rsid w:val="003E71F9"/>
    <w:rsid w:val="003F5DF2"/>
    <w:rsid w:val="00404EC6"/>
    <w:rsid w:val="00435A99"/>
    <w:rsid w:val="00446F97"/>
    <w:rsid w:val="004C5ECB"/>
    <w:rsid w:val="00554A7A"/>
    <w:rsid w:val="00571F12"/>
    <w:rsid w:val="005F485A"/>
    <w:rsid w:val="00627E70"/>
    <w:rsid w:val="006E4947"/>
    <w:rsid w:val="00755C9F"/>
    <w:rsid w:val="00755E27"/>
    <w:rsid w:val="0079661A"/>
    <w:rsid w:val="007C3612"/>
    <w:rsid w:val="007C4355"/>
    <w:rsid w:val="007D1DF9"/>
    <w:rsid w:val="0087480C"/>
    <w:rsid w:val="008D00E3"/>
    <w:rsid w:val="00905F82"/>
    <w:rsid w:val="00910B9D"/>
    <w:rsid w:val="0091625C"/>
    <w:rsid w:val="00A64167"/>
    <w:rsid w:val="00A85BB5"/>
    <w:rsid w:val="00B5042A"/>
    <w:rsid w:val="00BF1610"/>
    <w:rsid w:val="00C060AB"/>
    <w:rsid w:val="00C2223D"/>
    <w:rsid w:val="00D462AB"/>
    <w:rsid w:val="00D63E9B"/>
    <w:rsid w:val="00D86589"/>
    <w:rsid w:val="00DA378F"/>
    <w:rsid w:val="00E07779"/>
    <w:rsid w:val="00E54F52"/>
    <w:rsid w:val="00E6541B"/>
    <w:rsid w:val="00E80491"/>
    <w:rsid w:val="00E86364"/>
    <w:rsid w:val="00EC40D5"/>
    <w:rsid w:val="00ED03DB"/>
    <w:rsid w:val="00F21781"/>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65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F485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F485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1652C1"/>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Date"/>
    <w:basedOn w:val="a"/>
    <w:next w:val="a"/>
    <w:link w:val="a7"/>
    <w:uiPriority w:val="99"/>
    <w:semiHidden/>
    <w:unhideWhenUsed/>
    <w:rsid w:val="00C060AB"/>
    <w:pPr>
      <w:ind w:leftChars="2500" w:left="100"/>
    </w:pPr>
  </w:style>
  <w:style w:type="character" w:customStyle="1" w:styleId="a7">
    <w:name w:val="日期 字符"/>
    <w:basedOn w:val="a0"/>
    <w:link w:val="a6"/>
    <w:uiPriority w:val="99"/>
    <w:semiHidden/>
    <w:rsid w:val="00C060AB"/>
  </w:style>
  <w:style w:type="paragraph" w:styleId="a8">
    <w:name w:val="header"/>
    <w:basedOn w:val="a"/>
    <w:link w:val="a9"/>
    <w:uiPriority w:val="99"/>
    <w:unhideWhenUsed/>
    <w:rsid w:val="00E54F52"/>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E54F52"/>
    <w:rPr>
      <w:sz w:val="18"/>
      <w:szCs w:val="18"/>
    </w:rPr>
  </w:style>
  <w:style w:type="paragraph" w:styleId="aa">
    <w:name w:val="footer"/>
    <w:basedOn w:val="a"/>
    <w:link w:val="ab"/>
    <w:uiPriority w:val="99"/>
    <w:unhideWhenUsed/>
    <w:rsid w:val="00E54F52"/>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E54F52"/>
    <w:rPr>
      <w:sz w:val="18"/>
      <w:szCs w:val="18"/>
    </w:rPr>
  </w:style>
  <w:style w:type="character" w:customStyle="1" w:styleId="20">
    <w:name w:val="标题 2 字符"/>
    <w:basedOn w:val="a0"/>
    <w:link w:val="2"/>
    <w:uiPriority w:val="9"/>
    <w:rsid w:val="005F485A"/>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F485A"/>
    <w:rPr>
      <w:b/>
      <w:bCs/>
      <w:sz w:val="32"/>
      <w:szCs w:val="32"/>
    </w:rPr>
  </w:style>
  <w:style w:type="paragraph" w:styleId="TOC2">
    <w:name w:val="toc 2"/>
    <w:basedOn w:val="a"/>
    <w:next w:val="a"/>
    <w:autoRedefine/>
    <w:uiPriority w:val="39"/>
    <w:unhideWhenUsed/>
    <w:rsid w:val="00435A99"/>
    <w:pPr>
      <w:spacing w:after="100"/>
      <w:ind w:left="220"/>
    </w:pPr>
    <w:rPr>
      <w:rFonts w:cs="Times New Roman"/>
      <w:lang w:val="en-US"/>
    </w:rPr>
  </w:style>
  <w:style w:type="paragraph" w:styleId="TOC1">
    <w:name w:val="toc 1"/>
    <w:basedOn w:val="a"/>
    <w:next w:val="a"/>
    <w:autoRedefine/>
    <w:uiPriority w:val="39"/>
    <w:unhideWhenUsed/>
    <w:rsid w:val="00435A99"/>
    <w:pPr>
      <w:spacing w:after="100"/>
    </w:pPr>
    <w:rPr>
      <w:rFonts w:cs="Times New Roman"/>
      <w:lang w:val="en-US"/>
    </w:rPr>
  </w:style>
  <w:style w:type="paragraph" w:styleId="TOC3">
    <w:name w:val="toc 3"/>
    <w:basedOn w:val="a"/>
    <w:next w:val="a"/>
    <w:autoRedefine/>
    <w:uiPriority w:val="39"/>
    <w:unhideWhenUsed/>
    <w:rsid w:val="00435A99"/>
    <w:pPr>
      <w:spacing w:after="100"/>
      <w:ind w:left="440"/>
    </w:pPr>
    <w:rPr>
      <w:rFonts w:cs="Times New Roman"/>
      <w:lang w:val="en-US"/>
    </w:rPr>
  </w:style>
  <w:style w:type="character" w:styleId="ac">
    <w:name w:val="Hyperlink"/>
    <w:basedOn w:val="a0"/>
    <w:uiPriority w:val="99"/>
    <w:unhideWhenUsed/>
    <w:rsid w:val="00435A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Intercultural negotiation entails understanding cultural dynamics first, showing respect and finding common ground, and finally building trust through transparent and respectful dialogue.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3049</TotalTime>
  <Pages>14</Pages>
  <Words>4034</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 report</dc:title>
  <dc:subject>Analysis of the expansion of the Japanese market</dc:subject>
  <dc:creator>Gwyneth Jones</dc:creator>
  <cp:keywords/>
  <dc:description/>
  <cp:lastModifiedBy>T12672</cp:lastModifiedBy>
  <cp:revision>1</cp:revision>
  <dcterms:created xsi:type="dcterms:W3CDTF">2023-10-23T22:25:00Z</dcterms:created>
  <dcterms:modified xsi:type="dcterms:W3CDTF">2024-12-10T21:34:00Z</dcterms:modified>
  <cp:category>Internation Business Communication</cp:category>
</cp:coreProperties>
</file>