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53E12" w14:textId="77777777" w:rsidR="00F16147" w:rsidRPr="00632DCF" w:rsidRDefault="00F16147" w:rsidP="00632DCF">
      <w:pPr>
        <w:spacing w:after="0" w:afterAutospacing="0" w:line="360" w:lineRule="auto"/>
        <w:ind w:firstLine="0"/>
        <w:contextualSpacing/>
        <w:rPr>
          <w:rFonts w:ascii="Arial" w:hAnsi="Arial" w:cs="Arial"/>
          <w:sz w:val="24"/>
          <w:szCs w:val="24"/>
        </w:rPr>
      </w:pPr>
    </w:p>
    <w:p w14:paraId="452B252F" w14:textId="77777777" w:rsidR="00167DAB" w:rsidRDefault="00167DAB" w:rsidP="00632DCF">
      <w:pPr>
        <w:spacing w:after="0" w:afterAutospacing="0" w:line="360" w:lineRule="auto"/>
        <w:ind w:firstLine="0"/>
        <w:contextualSpacing/>
        <w:rPr>
          <w:rFonts w:ascii="Arial" w:hAnsi="Arial" w:cs="Arial"/>
          <w:sz w:val="24"/>
          <w:szCs w:val="24"/>
        </w:rPr>
      </w:pPr>
    </w:p>
    <w:p w14:paraId="0B9DA008" w14:textId="77777777" w:rsidR="00632DCF" w:rsidRDefault="00632DCF" w:rsidP="00632DCF">
      <w:pPr>
        <w:spacing w:after="0" w:afterAutospacing="0" w:line="360" w:lineRule="auto"/>
        <w:ind w:firstLine="0"/>
        <w:contextualSpacing/>
        <w:rPr>
          <w:rFonts w:ascii="Arial" w:hAnsi="Arial" w:cs="Arial"/>
          <w:sz w:val="24"/>
          <w:szCs w:val="24"/>
        </w:rPr>
      </w:pPr>
    </w:p>
    <w:p w14:paraId="5C51593B" w14:textId="77777777" w:rsidR="00632DCF" w:rsidRDefault="00632DCF" w:rsidP="00632DCF">
      <w:pPr>
        <w:spacing w:after="0" w:afterAutospacing="0" w:line="360" w:lineRule="auto"/>
        <w:ind w:firstLine="0"/>
        <w:contextualSpacing/>
        <w:rPr>
          <w:rFonts w:ascii="Arial" w:hAnsi="Arial" w:cs="Arial"/>
          <w:sz w:val="24"/>
          <w:szCs w:val="24"/>
        </w:rPr>
      </w:pPr>
    </w:p>
    <w:p w14:paraId="1D50CBE7" w14:textId="77777777" w:rsidR="00632DCF" w:rsidRPr="00632DCF" w:rsidRDefault="00632DCF" w:rsidP="00632DCF">
      <w:pPr>
        <w:spacing w:after="0" w:afterAutospacing="0" w:line="360" w:lineRule="auto"/>
        <w:ind w:firstLine="0"/>
        <w:contextualSpacing/>
        <w:rPr>
          <w:rFonts w:ascii="Arial" w:hAnsi="Arial" w:cs="Arial"/>
          <w:sz w:val="24"/>
          <w:szCs w:val="24"/>
        </w:rPr>
      </w:pPr>
    </w:p>
    <w:p w14:paraId="233E6474" w14:textId="77777777" w:rsidR="00606625" w:rsidRPr="00632DCF" w:rsidRDefault="00606625" w:rsidP="00632DCF">
      <w:pPr>
        <w:spacing w:after="0" w:afterAutospacing="0" w:line="360" w:lineRule="auto"/>
        <w:ind w:firstLine="0"/>
        <w:contextualSpacing/>
        <w:rPr>
          <w:rFonts w:ascii="Arial" w:hAnsi="Arial" w:cs="Arial"/>
          <w:sz w:val="24"/>
          <w:szCs w:val="24"/>
        </w:rPr>
      </w:pPr>
    </w:p>
    <w:p w14:paraId="2BA06A98" w14:textId="77777777" w:rsidR="00606625" w:rsidRPr="00632DCF" w:rsidRDefault="00606625" w:rsidP="00632DCF">
      <w:pPr>
        <w:spacing w:after="0" w:afterAutospacing="0" w:line="360" w:lineRule="auto"/>
        <w:ind w:firstLine="0"/>
        <w:contextualSpacing/>
        <w:rPr>
          <w:rFonts w:ascii="Arial" w:hAnsi="Arial" w:cs="Arial"/>
          <w:sz w:val="24"/>
          <w:szCs w:val="24"/>
        </w:rPr>
      </w:pPr>
    </w:p>
    <w:p w14:paraId="44260264" w14:textId="77777777" w:rsidR="00606625" w:rsidRPr="00632DCF" w:rsidRDefault="00606625" w:rsidP="00632DCF">
      <w:pPr>
        <w:spacing w:after="0" w:afterAutospacing="0" w:line="360" w:lineRule="auto"/>
        <w:ind w:firstLine="0"/>
        <w:contextualSpacing/>
        <w:rPr>
          <w:rFonts w:ascii="Arial" w:hAnsi="Arial" w:cs="Arial"/>
          <w:sz w:val="24"/>
          <w:szCs w:val="24"/>
        </w:rPr>
      </w:pPr>
    </w:p>
    <w:p w14:paraId="01368083" w14:textId="77777777" w:rsidR="00606625" w:rsidRPr="00632DCF" w:rsidRDefault="00000000" w:rsidP="00632DCF">
      <w:pPr>
        <w:spacing w:after="0" w:afterAutospacing="0" w:line="360" w:lineRule="auto"/>
        <w:ind w:firstLine="0"/>
        <w:contextualSpacing/>
        <w:jc w:val="center"/>
        <w:rPr>
          <w:rFonts w:ascii="Arial" w:hAnsi="Arial" w:cs="Arial"/>
          <w:b/>
          <w:bCs/>
          <w:sz w:val="24"/>
          <w:szCs w:val="24"/>
        </w:rPr>
      </w:pPr>
      <w:r w:rsidRPr="00632DCF">
        <w:rPr>
          <w:rFonts w:ascii="Arial" w:hAnsi="Arial" w:cs="Arial"/>
          <w:b/>
          <w:bCs/>
          <w:sz w:val="24"/>
          <w:szCs w:val="24"/>
        </w:rPr>
        <w:t>Sustainable Practices in the Hotel Industry: A Case Study on Hilton Garden Inn London Heathrow</w:t>
      </w:r>
    </w:p>
    <w:p w14:paraId="22ECCE53" w14:textId="77777777" w:rsidR="003571E3" w:rsidRPr="00632DCF" w:rsidRDefault="003571E3" w:rsidP="00632DCF">
      <w:pPr>
        <w:spacing w:after="0" w:afterAutospacing="0" w:line="360" w:lineRule="auto"/>
        <w:ind w:firstLine="0"/>
        <w:contextualSpacing/>
        <w:jc w:val="center"/>
        <w:rPr>
          <w:rFonts w:ascii="Arial" w:hAnsi="Arial" w:cs="Arial"/>
          <w:b/>
          <w:bCs/>
          <w:sz w:val="24"/>
          <w:szCs w:val="24"/>
        </w:rPr>
      </w:pPr>
    </w:p>
    <w:p w14:paraId="71B40A7C" w14:textId="77777777" w:rsidR="003571E3" w:rsidRPr="00632DCF" w:rsidRDefault="00000000" w:rsidP="00632DCF">
      <w:pPr>
        <w:spacing w:after="0" w:afterAutospacing="0" w:line="360" w:lineRule="auto"/>
        <w:ind w:firstLine="0"/>
        <w:contextualSpacing/>
        <w:jc w:val="center"/>
        <w:rPr>
          <w:rFonts w:ascii="Arial" w:hAnsi="Arial" w:cs="Arial"/>
          <w:sz w:val="24"/>
          <w:szCs w:val="24"/>
        </w:rPr>
      </w:pPr>
      <w:r w:rsidRPr="00632DCF">
        <w:rPr>
          <w:rFonts w:ascii="Arial" w:hAnsi="Arial" w:cs="Arial"/>
          <w:sz w:val="24"/>
          <w:szCs w:val="24"/>
        </w:rPr>
        <w:t>Student’s Name</w:t>
      </w:r>
    </w:p>
    <w:p w14:paraId="23033591" w14:textId="77777777" w:rsidR="003571E3" w:rsidRPr="00632DCF" w:rsidRDefault="00000000" w:rsidP="00632DCF">
      <w:pPr>
        <w:spacing w:after="0" w:afterAutospacing="0" w:line="360" w:lineRule="auto"/>
        <w:ind w:firstLine="0"/>
        <w:contextualSpacing/>
        <w:jc w:val="center"/>
        <w:rPr>
          <w:rFonts w:ascii="Arial" w:hAnsi="Arial" w:cs="Arial"/>
          <w:sz w:val="24"/>
          <w:szCs w:val="24"/>
        </w:rPr>
      </w:pPr>
      <w:r w:rsidRPr="00632DCF">
        <w:rPr>
          <w:rFonts w:ascii="Arial" w:hAnsi="Arial" w:cs="Arial"/>
          <w:sz w:val="24"/>
          <w:szCs w:val="24"/>
        </w:rPr>
        <w:t>Institutional Affiliation</w:t>
      </w:r>
    </w:p>
    <w:p w14:paraId="4D2AB6F2" w14:textId="77777777" w:rsidR="003571E3" w:rsidRPr="00632DCF" w:rsidRDefault="00000000" w:rsidP="00632DCF">
      <w:pPr>
        <w:spacing w:after="0" w:afterAutospacing="0" w:line="360" w:lineRule="auto"/>
        <w:ind w:firstLine="0"/>
        <w:contextualSpacing/>
        <w:jc w:val="center"/>
        <w:rPr>
          <w:rFonts w:ascii="Arial" w:hAnsi="Arial" w:cs="Arial"/>
          <w:sz w:val="24"/>
          <w:szCs w:val="24"/>
        </w:rPr>
      </w:pPr>
      <w:r w:rsidRPr="00632DCF">
        <w:rPr>
          <w:rFonts w:ascii="Arial" w:hAnsi="Arial" w:cs="Arial"/>
          <w:sz w:val="24"/>
          <w:szCs w:val="24"/>
        </w:rPr>
        <w:t>Course</w:t>
      </w:r>
    </w:p>
    <w:p w14:paraId="7AB92F63" w14:textId="77777777" w:rsidR="003571E3" w:rsidRPr="00632DCF" w:rsidRDefault="00000000" w:rsidP="00632DCF">
      <w:pPr>
        <w:spacing w:after="0" w:afterAutospacing="0" w:line="360" w:lineRule="auto"/>
        <w:ind w:firstLine="0"/>
        <w:contextualSpacing/>
        <w:jc w:val="center"/>
        <w:rPr>
          <w:rFonts w:ascii="Arial" w:hAnsi="Arial" w:cs="Arial"/>
          <w:sz w:val="24"/>
          <w:szCs w:val="24"/>
        </w:rPr>
      </w:pPr>
      <w:r w:rsidRPr="00632DCF">
        <w:rPr>
          <w:rFonts w:ascii="Arial" w:hAnsi="Arial" w:cs="Arial"/>
          <w:sz w:val="24"/>
          <w:szCs w:val="24"/>
        </w:rPr>
        <w:t>Professor’s Name</w:t>
      </w:r>
    </w:p>
    <w:p w14:paraId="2D5BE220" w14:textId="77777777" w:rsidR="003571E3" w:rsidRPr="00632DCF" w:rsidRDefault="00000000" w:rsidP="00632DCF">
      <w:pPr>
        <w:spacing w:after="0" w:afterAutospacing="0" w:line="360" w:lineRule="auto"/>
        <w:ind w:firstLine="0"/>
        <w:contextualSpacing/>
        <w:jc w:val="center"/>
        <w:rPr>
          <w:rFonts w:ascii="Arial" w:hAnsi="Arial" w:cs="Arial"/>
          <w:sz w:val="24"/>
          <w:szCs w:val="24"/>
        </w:rPr>
      </w:pPr>
      <w:r w:rsidRPr="00632DCF">
        <w:rPr>
          <w:rFonts w:ascii="Arial" w:hAnsi="Arial" w:cs="Arial"/>
          <w:sz w:val="24"/>
          <w:szCs w:val="24"/>
        </w:rPr>
        <w:t>Date</w:t>
      </w:r>
    </w:p>
    <w:p w14:paraId="38FEB486" w14:textId="77777777" w:rsidR="003571E3" w:rsidRPr="00632DCF" w:rsidRDefault="003571E3" w:rsidP="00632DCF">
      <w:pPr>
        <w:spacing w:after="0" w:afterAutospacing="0" w:line="360" w:lineRule="auto"/>
        <w:ind w:firstLine="0"/>
        <w:contextualSpacing/>
        <w:jc w:val="center"/>
        <w:rPr>
          <w:rFonts w:ascii="Arial" w:hAnsi="Arial" w:cs="Arial"/>
          <w:sz w:val="24"/>
          <w:szCs w:val="24"/>
        </w:rPr>
      </w:pPr>
    </w:p>
    <w:p w14:paraId="1E605CC9" w14:textId="77777777" w:rsidR="003571E3" w:rsidRPr="00632DCF" w:rsidRDefault="003571E3" w:rsidP="00632DCF">
      <w:pPr>
        <w:spacing w:after="0" w:afterAutospacing="0" w:line="360" w:lineRule="auto"/>
        <w:ind w:firstLine="0"/>
        <w:contextualSpacing/>
        <w:jc w:val="center"/>
        <w:rPr>
          <w:rFonts w:ascii="Arial" w:hAnsi="Arial" w:cs="Arial"/>
          <w:sz w:val="24"/>
          <w:szCs w:val="24"/>
        </w:rPr>
      </w:pPr>
    </w:p>
    <w:p w14:paraId="71D45845" w14:textId="77777777" w:rsidR="003571E3" w:rsidRPr="00632DCF" w:rsidRDefault="003571E3" w:rsidP="00632DCF">
      <w:pPr>
        <w:spacing w:after="0" w:afterAutospacing="0" w:line="360" w:lineRule="auto"/>
        <w:ind w:firstLine="0"/>
        <w:contextualSpacing/>
        <w:jc w:val="center"/>
        <w:rPr>
          <w:rFonts w:ascii="Arial" w:hAnsi="Arial" w:cs="Arial"/>
          <w:sz w:val="24"/>
          <w:szCs w:val="24"/>
        </w:rPr>
      </w:pPr>
    </w:p>
    <w:p w14:paraId="7A4B3351" w14:textId="77777777" w:rsidR="003571E3" w:rsidRPr="00632DCF" w:rsidRDefault="003571E3" w:rsidP="00632DCF">
      <w:pPr>
        <w:spacing w:after="0" w:afterAutospacing="0" w:line="360" w:lineRule="auto"/>
        <w:ind w:firstLine="0"/>
        <w:contextualSpacing/>
        <w:jc w:val="center"/>
        <w:rPr>
          <w:rFonts w:ascii="Arial" w:hAnsi="Arial" w:cs="Arial"/>
          <w:sz w:val="24"/>
          <w:szCs w:val="24"/>
        </w:rPr>
      </w:pPr>
    </w:p>
    <w:p w14:paraId="31FCAC21" w14:textId="77777777" w:rsidR="003571E3" w:rsidRPr="00632DCF" w:rsidRDefault="003571E3" w:rsidP="00632DCF">
      <w:pPr>
        <w:spacing w:after="0" w:afterAutospacing="0" w:line="360" w:lineRule="auto"/>
        <w:ind w:firstLine="0"/>
        <w:contextualSpacing/>
        <w:jc w:val="center"/>
        <w:rPr>
          <w:rFonts w:ascii="Arial" w:hAnsi="Arial" w:cs="Arial"/>
          <w:sz w:val="24"/>
          <w:szCs w:val="24"/>
        </w:rPr>
      </w:pPr>
    </w:p>
    <w:p w14:paraId="456431A6" w14:textId="77777777" w:rsidR="003571E3" w:rsidRPr="00632DCF" w:rsidRDefault="003571E3" w:rsidP="00632DCF">
      <w:pPr>
        <w:spacing w:after="0" w:afterAutospacing="0" w:line="360" w:lineRule="auto"/>
        <w:ind w:firstLine="0"/>
        <w:contextualSpacing/>
        <w:jc w:val="center"/>
        <w:rPr>
          <w:rFonts w:ascii="Arial" w:hAnsi="Arial" w:cs="Arial"/>
          <w:sz w:val="24"/>
          <w:szCs w:val="24"/>
        </w:rPr>
      </w:pPr>
    </w:p>
    <w:p w14:paraId="2FD187F8" w14:textId="77777777" w:rsidR="003571E3" w:rsidRPr="00632DCF" w:rsidRDefault="003571E3" w:rsidP="00632DCF">
      <w:pPr>
        <w:spacing w:after="0" w:afterAutospacing="0" w:line="360" w:lineRule="auto"/>
        <w:ind w:firstLine="0"/>
        <w:contextualSpacing/>
        <w:jc w:val="center"/>
        <w:rPr>
          <w:rFonts w:ascii="Arial" w:hAnsi="Arial" w:cs="Arial"/>
          <w:sz w:val="24"/>
          <w:szCs w:val="24"/>
        </w:rPr>
      </w:pPr>
    </w:p>
    <w:p w14:paraId="145A06B2" w14:textId="77777777" w:rsidR="00606625"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br w:type="page"/>
      </w:r>
    </w:p>
    <w:p w14:paraId="5CBF86B8" w14:textId="77777777" w:rsidR="003571E3" w:rsidRPr="00632DCF" w:rsidRDefault="00000000" w:rsidP="00632DCF">
      <w:pPr>
        <w:pStyle w:val="Heading1"/>
        <w:spacing w:before="0" w:afterAutospacing="0" w:line="360" w:lineRule="auto"/>
        <w:ind w:firstLine="0"/>
        <w:contextualSpacing/>
        <w:jc w:val="center"/>
        <w:rPr>
          <w:rFonts w:ascii="Arial" w:hAnsi="Arial" w:cs="Arial"/>
          <w:b/>
          <w:bCs/>
          <w:color w:val="auto"/>
          <w:sz w:val="24"/>
          <w:szCs w:val="24"/>
        </w:rPr>
      </w:pPr>
      <w:bookmarkStart w:id="0" w:name="_Toc182091750"/>
      <w:r w:rsidRPr="00632DCF">
        <w:rPr>
          <w:rFonts w:ascii="Arial" w:hAnsi="Arial" w:cs="Arial"/>
          <w:b/>
          <w:bCs/>
          <w:color w:val="auto"/>
          <w:sz w:val="24"/>
          <w:szCs w:val="24"/>
        </w:rPr>
        <w:lastRenderedPageBreak/>
        <w:t>Acknowledgment</w:t>
      </w:r>
      <w:bookmarkEnd w:id="0"/>
    </w:p>
    <w:p w14:paraId="3AA0398E" w14:textId="77777777" w:rsidR="003571E3" w:rsidRPr="00632DCF" w:rsidRDefault="00000000" w:rsidP="00632DCF">
      <w:pPr>
        <w:spacing w:after="0" w:afterAutospacing="0" w:line="360" w:lineRule="auto"/>
        <w:ind w:firstLine="0"/>
        <w:contextualSpacing/>
        <w:rPr>
          <w:rFonts w:ascii="Arial" w:hAnsi="Arial" w:cs="Arial"/>
          <w:sz w:val="24"/>
          <w:szCs w:val="24"/>
        </w:rPr>
      </w:pPr>
      <w:r w:rsidRPr="00632DCF">
        <w:rPr>
          <w:rFonts w:ascii="Arial" w:hAnsi="Arial" w:cs="Arial"/>
          <w:sz w:val="24"/>
          <w:szCs w:val="24"/>
        </w:rPr>
        <w:tab/>
        <w:t>I confirm that I have not used any AI tools in the research and creation of this assignment. I confirm that I have not presented any AI-generated materials as my work. I confirm that I have copies of my drafts, notes, and other resources I used, which I may be asked to provide in evidence.</w:t>
      </w:r>
    </w:p>
    <w:p w14:paraId="2FCCC7F7"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E201E3A"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11348C90"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28011C99"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4DB2DA78"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617412F8"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3D08AB15"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10980931"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33A557FF"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692D9824"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15329A5C"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15889DF"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4CAE10AB"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4CC25619"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66DDF16"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0143F4F"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33CD9E41" w14:textId="77777777" w:rsidR="003571E3"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br w:type="page"/>
      </w:r>
    </w:p>
    <w:p w14:paraId="723CF44F" w14:textId="77777777" w:rsidR="00606625" w:rsidRPr="00632DCF" w:rsidRDefault="00000000" w:rsidP="00632DCF">
      <w:pPr>
        <w:pStyle w:val="Heading1"/>
        <w:spacing w:before="0" w:afterAutospacing="0" w:line="360" w:lineRule="auto"/>
        <w:ind w:firstLine="0"/>
        <w:contextualSpacing/>
        <w:jc w:val="center"/>
        <w:rPr>
          <w:rFonts w:ascii="Arial" w:hAnsi="Arial" w:cs="Arial"/>
          <w:b/>
          <w:bCs/>
          <w:color w:val="auto"/>
          <w:sz w:val="24"/>
          <w:szCs w:val="24"/>
        </w:rPr>
      </w:pPr>
      <w:bookmarkStart w:id="1" w:name="_Toc182091751"/>
      <w:r w:rsidRPr="00632DCF">
        <w:rPr>
          <w:rFonts w:ascii="Arial" w:hAnsi="Arial" w:cs="Arial"/>
          <w:b/>
          <w:bCs/>
          <w:color w:val="auto"/>
          <w:sz w:val="24"/>
          <w:szCs w:val="24"/>
        </w:rPr>
        <w:lastRenderedPageBreak/>
        <w:t>Executive Summary</w:t>
      </w:r>
      <w:bookmarkEnd w:id="1"/>
    </w:p>
    <w:p w14:paraId="27756C98" w14:textId="77777777" w:rsidR="003571E3"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t>This paper aims to analyze sustainability within the context of the hotel sector in general, concerning the Hilton Garden Inn London Heathrow. Hilton Garden Inn, a Green Key-certified hotel and restaurant, has already embraced energy efficiency by deploying sunlight and water-energy conservation devices, particularly in areas where water consumption is high, like dishwashing. However, there is still significant room for improvement in reducing the hotel's environmental impact, particularly in water efficiency. Among these, the most strategic interventions include gray water recycling, the water used in sinks, showers, and washing machines for purposes other than drinking. The practice supports water-saving efforts and the worldwide trend of environmental manufacturing in the hotel industry. This research indicates that implementing a greywater recycling system would increase the ecological stewardship of the hotel and optimize performance. Additionally, it would strengthen Hilton Garden Inn's strategy to attract environmentally conscious consumers who prioritize ecologically friendly products and services. This report's research analyzes the risks and opportunities of implementing greywater recycling, providing specific recommendations on how this hotel can enhance sustainability and its brand.</w:t>
      </w:r>
    </w:p>
    <w:p w14:paraId="5ED3BA4A" w14:textId="77777777" w:rsidR="003571E3" w:rsidRPr="00632DCF" w:rsidRDefault="00000000" w:rsidP="00632DCF">
      <w:pPr>
        <w:spacing w:after="0" w:afterAutospacing="0" w:line="360" w:lineRule="auto"/>
        <w:ind w:firstLine="0"/>
        <w:contextualSpacing/>
        <w:rPr>
          <w:rFonts w:ascii="Arial" w:hAnsi="Arial" w:cs="Arial"/>
          <w:sz w:val="24"/>
          <w:szCs w:val="24"/>
        </w:rPr>
      </w:pPr>
      <w:r w:rsidRPr="00632DCF">
        <w:rPr>
          <w:rFonts w:ascii="Arial" w:hAnsi="Arial" w:cs="Arial"/>
          <w:sz w:val="24"/>
          <w:szCs w:val="24"/>
        </w:rPr>
        <w:t> </w:t>
      </w:r>
    </w:p>
    <w:p w14:paraId="7B9E9620" w14:textId="77777777" w:rsidR="003571E3" w:rsidRPr="00632DCF" w:rsidRDefault="00000000" w:rsidP="00632DCF">
      <w:pPr>
        <w:spacing w:after="0" w:afterAutospacing="0" w:line="360" w:lineRule="auto"/>
        <w:ind w:firstLine="0"/>
        <w:contextualSpacing/>
        <w:rPr>
          <w:rFonts w:ascii="Arial" w:hAnsi="Arial" w:cs="Arial"/>
          <w:sz w:val="24"/>
          <w:szCs w:val="24"/>
        </w:rPr>
      </w:pPr>
      <w:r w:rsidRPr="00632DCF">
        <w:rPr>
          <w:rFonts w:ascii="Arial" w:hAnsi="Arial" w:cs="Arial"/>
          <w:sz w:val="24"/>
          <w:szCs w:val="24"/>
        </w:rPr>
        <w:t> </w:t>
      </w:r>
    </w:p>
    <w:p w14:paraId="0DF24363"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220FE6E3"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7195599"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01F5C533" w14:textId="77777777" w:rsidR="003571E3"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br w:type="page"/>
      </w:r>
    </w:p>
    <w:sdt>
      <w:sdtPr>
        <w:rPr>
          <w:rFonts w:ascii="Arial" w:eastAsiaTheme="minorHAnsi" w:hAnsi="Arial" w:cs="Arial"/>
          <w:color w:val="auto"/>
          <w:kern w:val="2"/>
          <w:sz w:val="24"/>
          <w:szCs w:val="24"/>
          <w14:ligatures w14:val="standardContextual"/>
        </w:rPr>
        <w:id w:val="886846016"/>
        <w:docPartObj>
          <w:docPartGallery w:val="Table of Contents"/>
          <w:docPartUnique/>
        </w:docPartObj>
      </w:sdtPr>
      <w:sdtEndPr>
        <w:rPr>
          <w:noProof/>
        </w:rPr>
      </w:sdtEndPr>
      <w:sdtContent>
        <w:p w14:paraId="4C9AD73F" w14:textId="77777777" w:rsidR="003571E3" w:rsidRPr="00632DCF" w:rsidRDefault="00000000" w:rsidP="00632DCF">
          <w:pPr>
            <w:pStyle w:val="TOCHeading"/>
            <w:spacing w:before="0" w:line="360" w:lineRule="auto"/>
            <w:contextualSpacing/>
            <w:jc w:val="center"/>
            <w:rPr>
              <w:rFonts w:ascii="Arial" w:hAnsi="Arial" w:cs="Arial"/>
              <w:b/>
              <w:bCs/>
              <w:color w:val="auto"/>
              <w:sz w:val="24"/>
              <w:szCs w:val="24"/>
            </w:rPr>
          </w:pPr>
          <w:r w:rsidRPr="00632DCF">
            <w:rPr>
              <w:rFonts w:ascii="Arial" w:hAnsi="Arial" w:cs="Arial"/>
              <w:b/>
              <w:bCs/>
              <w:color w:val="auto"/>
              <w:sz w:val="24"/>
              <w:szCs w:val="24"/>
            </w:rPr>
            <w:t>Table of Contents</w:t>
          </w:r>
        </w:p>
        <w:p w14:paraId="6B405BAF" w14:textId="78A4B417" w:rsidR="003571E3" w:rsidRPr="00632DCF" w:rsidRDefault="00000000" w:rsidP="00632DCF">
          <w:pPr>
            <w:pStyle w:val="TOC1"/>
            <w:tabs>
              <w:tab w:val="right" w:leader="dot" w:pos="9350"/>
            </w:tabs>
            <w:spacing w:after="0" w:afterAutospacing="0" w:line="360" w:lineRule="auto"/>
            <w:ind w:firstLine="0"/>
            <w:contextualSpacing/>
            <w:rPr>
              <w:rFonts w:ascii="Arial" w:eastAsiaTheme="minorEastAsia" w:hAnsi="Arial" w:cs="Arial"/>
              <w:noProof/>
              <w:sz w:val="24"/>
              <w:szCs w:val="24"/>
            </w:rPr>
          </w:pPr>
          <w:r w:rsidRPr="00632DCF">
            <w:rPr>
              <w:rFonts w:ascii="Arial" w:hAnsi="Arial" w:cs="Arial"/>
              <w:sz w:val="24"/>
              <w:szCs w:val="24"/>
            </w:rPr>
            <w:fldChar w:fldCharType="begin"/>
          </w:r>
          <w:r w:rsidRPr="00632DCF">
            <w:rPr>
              <w:rFonts w:ascii="Arial" w:hAnsi="Arial" w:cs="Arial"/>
              <w:sz w:val="24"/>
              <w:szCs w:val="24"/>
            </w:rPr>
            <w:instrText xml:space="preserve"> TOC \o "1-3" \h \z \u </w:instrText>
          </w:r>
          <w:r w:rsidRPr="00632DCF">
            <w:rPr>
              <w:rFonts w:ascii="Arial" w:hAnsi="Arial" w:cs="Arial"/>
              <w:sz w:val="24"/>
              <w:szCs w:val="24"/>
            </w:rPr>
            <w:fldChar w:fldCharType="separate"/>
          </w:r>
          <w:hyperlink w:anchor="_Toc182091750" w:history="1">
            <w:r w:rsidR="003571E3" w:rsidRPr="00632DCF">
              <w:rPr>
                <w:rStyle w:val="Hyperlink"/>
                <w:rFonts w:ascii="Arial" w:hAnsi="Arial" w:cs="Arial"/>
                <w:noProof/>
                <w:color w:val="auto"/>
                <w:sz w:val="24"/>
                <w:szCs w:val="24"/>
              </w:rPr>
              <w:t>Acknowledgement</w:t>
            </w:r>
            <w:r w:rsidR="003571E3" w:rsidRPr="00632DCF">
              <w:rPr>
                <w:rFonts w:ascii="Arial" w:hAnsi="Arial" w:cs="Arial"/>
                <w:noProof/>
                <w:webHidden/>
                <w:sz w:val="24"/>
                <w:szCs w:val="24"/>
              </w:rPr>
              <w:tab/>
            </w:r>
            <w:r w:rsidR="003571E3" w:rsidRPr="00632DCF">
              <w:rPr>
                <w:rFonts w:ascii="Arial" w:hAnsi="Arial" w:cs="Arial"/>
                <w:noProof/>
                <w:webHidden/>
                <w:sz w:val="24"/>
                <w:szCs w:val="24"/>
              </w:rPr>
              <w:fldChar w:fldCharType="begin"/>
            </w:r>
            <w:r w:rsidR="003571E3" w:rsidRPr="00632DCF">
              <w:rPr>
                <w:rFonts w:ascii="Arial" w:hAnsi="Arial" w:cs="Arial"/>
                <w:noProof/>
                <w:webHidden/>
                <w:sz w:val="24"/>
                <w:szCs w:val="24"/>
              </w:rPr>
              <w:instrText xml:space="preserve"> PAGEREF _Toc182091750 \h </w:instrText>
            </w:r>
            <w:r w:rsidR="003571E3" w:rsidRPr="00632DCF">
              <w:rPr>
                <w:rFonts w:ascii="Arial" w:hAnsi="Arial" w:cs="Arial"/>
                <w:noProof/>
                <w:webHidden/>
                <w:sz w:val="24"/>
                <w:szCs w:val="24"/>
              </w:rPr>
            </w:r>
            <w:r w:rsidR="003571E3" w:rsidRPr="00632DCF">
              <w:rPr>
                <w:rFonts w:ascii="Arial" w:hAnsi="Arial" w:cs="Arial"/>
                <w:noProof/>
                <w:webHidden/>
                <w:sz w:val="24"/>
                <w:szCs w:val="24"/>
              </w:rPr>
              <w:fldChar w:fldCharType="separate"/>
            </w:r>
            <w:r w:rsidR="001D779C">
              <w:rPr>
                <w:rFonts w:ascii="Arial" w:hAnsi="Arial" w:cs="Arial"/>
                <w:noProof/>
                <w:webHidden/>
                <w:sz w:val="24"/>
                <w:szCs w:val="24"/>
              </w:rPr>
              <w:t>2</w:t>
            </w:r>
            <w:r w:rsidR="003571E3" w:rsidRPr="00632DCF">
              <w:rPr>
                <w:rFonts w:ascii="Arial" w:hAnsi="Arial" w:cs="Arial"/>
                <w:noProof/>
                <w:webHidden/>
                <w:sz w:val="24"/>
                <w:szCs w:val="24"/>
              </w:rPr>
              <w:fldChar w:fldCharType="end"/>
            </w:r>
          </w:hyperlink>
        </w:p>
        <w:p w14:paraId="1F0A4A94" w14:textId="7FC6F77C" w:rsidR="003571E3" w:rsidRPr="00632DCF" w:rsidRDefault="003571E3" w:rsidP="00632DCF">
          <w:pPr>
            <w:pStyle w:val="TOC1"/>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1" w:history="1">
            <w:r w:rsidRPr="00632DCF">
              <w:rPr>
                <w:rStyle w:val="Hyperlink"/>
                <w:rFonts w:ascii="Arial" w:hAnsi="Arial" w:cs="Arial"/>
                <w:noProof/>
                <w:color w:val="auto"/>
                <w:sz w:val="24"/>
                <w:szCs w:val="24"/>
              </w:rPr>
              <w:t>Executive Summary</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_Toc182091751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3</w:t>
            </w:r>
            <w:r w:rsidRPr="00632DCF">
              <w:rPr>
                <w:rFonts w:ascii="Arial" w:hAnsi="Arial" w:cs="Arial"/>
                <w:noProof/>
                <w:webHidden/>
                <w:sz w:val="24"/>
                <w:szCs w:val="24"/>
              </w:rPr>
              <w:fldChar w:fldCharType="end"/>
            </w:r>
          </w:hyperlink>
        </w:p>
        <w:p w14:paraId="68DBC8EF" w14:textId="2654982B" w:rsidR="003571E3" w:rsidRPr="00632DCF" w:rsidRDefault="003571E3" w:rsidP="00632DCF">
          <w:pPr>
            <w:pStyle w:val="TOC1"/>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2" w:history="1">
            <w:r w:rsidRPr="00632DCF">
              <w:rPr>
                <w:rStyle w:val="Hyperlink"/>
                <w:rFonts w:ascii="Arial" w:hAnsi="Arial" w:cs="Arial"/>
                <w:noProof/>
                <w:color w:val="auto"/>
                <w:sz w:val="24"/>
                <w:szCs w:val="24"/>
              </w:rPr>
              <w:t>Introduction</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_Toc182091752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5</w:t>
            </w:r>
            <w:r w:rsidRPr="00632DCF">
              <w:rPr>
                <w:rFonts w:ascii="Arial" w:hAnsi="Arial" w:cs="Arial"/>
                <w:noProof/>
                <w:webHidden/>
                <w:sz w:val="24"/>
                <w:szCs w:val="24"/>
              </w:rPr>
              <w:fldChar w:fldCharType="end"/>
            </w:r>
          </w:hyperlink>
        </w:p>
        <w:p w14:paraId="52B8695E" w14:textId="4098D20D" w:rsidR="003571E3" w:rsidRPr="00632DCF" w:rsidRDefault="003571E3" w:rsidP="00632DCF">
          <w:pPr>
            <w:pStyle w:val="TOC1"/>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3" w:history="1">
            <w:r w:rsidRPr="00632DCF">
              <w:rPr>
                <w:rStyle w:val="Hyperlink"/>
                <w:rFonts w:ascii="Arial" w:hAnsi="Arial" w:cs="Arial"/>
                <w:noProof/>
                <w:color w:val="auto"/>
                <w:sz w:val="24"/>
                <w:szCs w:val="24"/>
              </w:rPr>
              <w:t>Main Findings</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_Toc182091753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5</w:t>
            </w:r>
            <w:r w:rsidRPr="00632DCF">
              <w:rPr>
                <w:rFonts w:ascii="Arial" w:hAnsi="Arial" w:cs="Arial"/>
                <w:noProof/>
                <w:webHidden/>
                <w:sz w:val="24"/>
                <w:szCs w:val="24"/>
              </w:rPr>
              <w:fldChar w:fldCharType="end"/>
            </w:r>
          </w:hyperlink>
        </w:p>
        <w:p w14:paraId="07AF0E3F" w14:textId="5ADFC356" w:rsidR="003571E3" w:rsidRPr="00632DCF" w:rsidRDefault="003571E3" w:rsidP="00632DCF">
          <w:pPr>
            <w:pStyle w:val="TOC2"/>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4" w:history="1">
            <w:r w:rsidRPr="00632DCF">
              <w:rPr>
                <w:rStyle w:val="Hyperlink"/>
                <w:rFonts w:ascii="Arial" w:hAnsi="Arial" w:cs="Arial"/>
                <w:noProof/>
                <w:color w:val="auto"/>
                <w:sz w:val="24"/>
                <w:szCs w:val="24"/>
              </w:rPr>
              <w:t>Overview of Greener Practices in Hospitality</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_Toc182091754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5</w:t>
            </w:r>
            <w:r w:rsidRPr="00632DCF">
              <w:rPr>
                <w:rFonts w:ascii="Arial" w:hAnsi="Arial" w:cs="Arial"/>
                <w:noProof/>
                <w:webHidden/>
                <w:sz w:val="24"/>
                <w:szCs w:val="24"/>
              </w:rPr>
              <w:fldChar w:fldCharType="end"/>
            </w:r>
          </w:hyperlink>
        </w:p>
        <w:p w14:paraId="61C24B38" w14:textId="51B6BD6D" w:rsidR="003571E3" w:rsidRPr="00632DCF" w:rsidRDefault="003571E3" w:rsidP="00632DCF">
          <w:pPr>
            <w:pStyle w:val="TOC2"/>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5" w:history="1">
            <w:r w:rsidRPr="00632DCF">
              <w:rPr>
                <w:rStyle w:val="Hyperlink"/>
                <w:rFonts w:ascii="Arial" w:hAnsi="Arial" w:cs="Arial"/>
                <w:noProof/>
                <w:color w:val="auto"/>
                <w:sz w:val="24"/>
                <w:szCs w:val="24"/>
              </w:rPr>
              <w:t>Benefits of Integrating Sustainable Practices</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_Toc182091755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7</w:t>
            </w:r>
            <w:r w:rsidRPr="00632DCF">
              <w:rPr>
                <w:rFonts w:ascii="Arial" w:hAnsi="Arial" w:cs="Arial"/>
                <w:noProof/>
                <w:webHidden/>
                <w:sz w:val="24"/>
                <w:szCs w:val="24"/>
              </w:rPr>
              <w:fldChar w:fldCharType="end"/>
            </w:r>
          </w:hyperlink>
        </w:p>
        <w:p w14:paraId="75CC965B" w14:textId="5FB4E6D9" w:rsidR="003571E3" w:rsidRPr="00632DCF" w:rsidRDefault="003571E3" w:rsidP="00632DCF">
          <w:pPr>
            <w:pStyle w:val="TOC2"/>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6" w:history="1">
            <w:r w:rsidRPr="00632DCF">
              <w:rPr>
                <w:rStyle w:val="Hyperlink"/>
                <w:rFonts w:ascii="Arial" w:hAnsi="Arial" w:cs="Arial"/>
                <w:noProof/>
                <w:color w:val="auto"/>
                <w:sz w:val="24"/>
                <w:szCs w:val="24"/>
              </w:rPr>
              <w:t>Challenges of Implementing Sustainable Initiatives</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_Toc182091756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7</w:t>
            </w:r>
            <w:r w:rsidRPr="00632DCF">
              <w:rPr>
                <w:rFonts w:ascii="Arial" w:hAnsi="Arial" w:cs="Arial"/>
                <w:noProof/>
                <w:webHidden/>
                <w:sz w:val="24"/>
                <w:szCs w:val="24"/>
              </w:rPr>
              <w:fldChar w:fldCharType="end"/>
            </w:r>
          </w:hyperlink>
        </w:p>
        <w:p w14:paraId="44B11A4B" w14:textId="05E1D7D6" w:rsidR="003571E3" w:rsidRPr="00632DCF" w:rsidRDefault="003571E3" w:rsidP="00632DCF">
          <w:pPr>
            <w:pStyle w:val="TOC2"/>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7" w:history="1">
            <w:r w:rsidRPr="00632DCF">
              <w:rPr>
                <w:rStyle w:val="Hyperlink"/>
                <w:rFonts w:ascii="Arial" w:hAnsi="Arial" w:cs="Arial"/>
                <w:noProof/>
                <w:color w:val="auto"/>
                <w:sz w:val="24"/>
                <w:szCs w:val="24"/>
              </w:rPr>
              <w:t>Analysis of Greywater Recycling Systems</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_Toc182091757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8</w:t>
            </w:r>
            <w:r w:rsidRPr="00632DCF">
              <w:rPr>
                <w:rFonts w:ascii="Arial" w:hAnsi="Arial" w:cs="Arial"/>
                <w:noProof/>
                <w:webHidden/>
                <w:sz w:val="24"/>
                <w:szCs w:val="24"/>
              </w:rPr>
              <w:fldChar w:fldCharType="end"/>
            </w:r>
          </w:hyperlink>
        </w:p>
        <w:p w14:paraId="594A8530" w14:textId="654CD75D" w:rsidR="003571E3" w:rsidRPr="00632DCF" w:rsidRDefault="003571E3" w:rsidP="00632DCF">
          <w:pPr>
            <w:pStyle w:val="TOC2"/>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8" w:history="1">
            <w:r w:rsidRPr="00632DCF">
              <w:rPr>
                <w:rStyle w:val="Hyperlink"/>
                <w:rFonts w:ascii="Arial" w:hAnsi="Arial" w:cs="Arial"/>
                <w:noProof/>
                <w:color w:val="auto"/>
                <w:sz w:val="24"/>
                <w:szCs w:val="24"/>
              </w:rPr>
              <w:t>Suitability for Hilton Garden Inn London Heathrow</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_Toc182091758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9</w:t>
            </w:r>
            <w:r w:rsidRPr="00632DCF">
              <w:rPr>
                <w:rFonts w:ascii="Arial" w:hAnsi="Arial" w:cs="Arial"/>
                <w:noProof/>
                <w:webHidden/>
                <w:sz w:val="24"/>
                <w:szCs w:val="24"/>
              </w:rPr>
              <w:fldChar w:fldCharType="end"/>
            </w:r>
          </w:hyperlink>
        </w:p>
        <w:p w14:paraId="1AE46964" w14:textId="1DD09CC0" w:rsidR="003571E3" w:rsidRPr="00632DCF" w:rsidRDefault="003571E3" w:rsidP="00632DCF">
          <w:pPr>
            <w:pStyle w:val="TOC1"/>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59" w:history="1">
            <w:r w:rsidRPr="00632DCF">
              <w:rPr>
                <w:rStyle w:val="Hyperlink"/>
                <w:rFonts w:ascii="Arial" w:hAnsi="Arial" w:cs="Arial"/>
                <w:noProof/>
                <w:color w:val="auto"/>
                <w:sz w:val="24"/>
                <w:szCs w:val="24"/>
              </w:rPr>
              <w:t>Conclusion and Recommendations</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_Toc182091759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9</w:t>
            </w:r>
            <w:r w:rsidRPr="00632DCF">
              <w:rPr>
                <w:rFonts w:ascii="Arial" w:hAnsi="Arial" w:cs="Arial"/>
                <w:noProof/>
                <w:webHidden/>
                <w:sz w:val="24"/>
                <w:szCs w:val="24"/>
              </w:rPr>
              <w:fldChar w:fldCharType="end"/>
            </w:r>
          </w:hyperlink>
        </w:p>
        <w:p w14:paraId="47ABEAD5" w14:textId="761D99AC" w:rsidR="003571E3" w:rsidRPr="00632DCF" w:rsidRDefault="003571E3" w:rsidP="00632DCF">
          <w:pPr>
            <w:pStyle w:val="TOC1"/>
            <w:tabs>
              <w:tab w:val="right" w:leader="dot" w:pos="9350"/>
            </w:tabs>
            <w:spacing w:after="0" w:afterAutospacing="0" w:line="360" w:lineRule="auto"/>
            <w:ind w:firstLine="0"/>
            <w:contextualSpacing/>
            <w:rPr>
              <w:rFonts w:ascii="Arial" w:eastAsiaTheme="minorEastAsia" w:hAnsi="Arial" w:cs="Arial"/>
              <w:noProof/>
              <w:sz w:val="24"/>
              <w:szCs w:val="24"/>
            </w:rPr>
          </w:pPr>
          <w:hyperlink w:anchor="_Toc182091760" w:history="1">
            <w:r w:rsidRPr="00632DCF">
              <w:rPr>
                <w:rStyle w:val="Hyperlink"/>
                <w:rFonts w:ascii="Arial" w:hAnsi="Arial" w:cs="Arial"/>
                <w:noProof/>
                <w:color w:val="auto"/>
                <w:sz w:val="24"/>
                <w:szCs w:val="24"/>
              </w:rPr>
              <w:t>References</w:t>
            </w:r>
            <w:r w:rsidRPr="00632DCF">
              <w:rPr>
                <w:rFonts w:ascii="Arial" w:hAnsi="Arial" w:cs="Arial"/>
                <w:noProof/>
                <w:webHidden/>
                <w:sz w:val="24"/>
                <w:szCs w:val="24"/>
              </w:rPr>
              <w:tab/>
            </w:r>
            <w:r w:rsidRPr="00632DCF">
              <w:rPr>
                <w:rFonts w:ascii="Arial" w:hAnsi="Arial" w:cs="Arial"/>
                <w:noProof/>
                <w:webHidden/>
                <w:sz w:val="24"/>
                <w:szCs w:val="24"/>
              </w:rPr>
              <w:fldChar w:fldCharType="begin"/>
            </w:r>
            <w:r w:rsidRPr="00632DCF">
              <w:rPr>
                <w:rFonts w:ascii="Arial" w:hAnsi="Arial" w:cs="Arial"/>
                <w:noProof/>
                <w:webHidden/>
                <w:sz w:val="24"/>
                <w:szCs w:val="24"/>
              </w:rPr>
              <w:instrText xml:space="preserve"> PAGEREF _Toc182091760 \h </w:instrText>
            </w:r>
            <w:r w:rsidRPr="00632DCF">
              <w:rPr>
                <w:rFonts w:ascii="Arial" w:hAnsi="Arial" w:cs="Arial"/>
                <w:noProof/>
                <w:webHidden/>
                <w:sz w:val="24"/>
                <w:szCs w:val="24"/>
              </w:rPr>
            </w:r>
            <w:r w:rsidRPr="00632DCF">
              <w:rPr>
                <w:rFonts w:ascii="Arial" w:hAnsi="Arial" w:cs="Arial"/>
                <w:noProof/>
                <w:webHidden/>
                <w:sz w:val="24"/>
                <w:szCs w:val="24"/>
              </w:rPr>
              <w:fldChar w:fldCharType="separate"/>
            </w:r>
            <w:r w:rsidR="001D779C">
              <w:rPr>
                <w:rFonts w:ascii="Arial" w:hAnsi="Arial" w:cs="Arial"/>
                <w:noProof/>
                <w:webHidden/>
                <w:sz w:val="24"/>
                <w:szCs w:val="24"/>
              </w:rPr>
              <w:t>11</w:t>
            </w:r>
            <w:r w:rsidRPr="00632DCF">
              <w:rPr>
                <w:rFonts w:ascii="Arial" w:hAnsi="Arial" w:cs="Arial"/>
                <w:noProof/>
                <w:webHidden/>
                <w:sz w:val="24"/>
                <w:szCs w:val="24"/>
              </w:rPr>
              <w:fldChar w:fldCharType="end"/>
            </w:r>
          </w:hyperlink>
        </w:p>
        <w:p w14:paraId="295CCE7D" w14:textId="77777777" w:rsidR="003571E3"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noProof/>
              <w:sz w:val="24"/>
              <w:szCs w:val="24"/>
            </w:rPr>
            <w:fldChar w:fldCharType="end"/>
          </w:r>
        </w:p>
      </w:sdtContent>
    </w:sdt>
    <w:p w14:paraId="686A5478"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2376F3C"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33B3435D"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7F2C1635"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95CDDC6"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AB4CBC5"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64FA3269"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6D6CCAEC"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01B1A557" w14:textId="77777777" w:rsidR="003571E3"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br w:type="page"/>
      </w:r>
    </w:p>
    <w:p w14:paraId="1720B9C6" w14:textId="77777777" w:rsidR="00606625" w:rsidRPr="00632DCF" w:rsidRDefault="00000000" w:rsidP="00632DCF">
      <w:pPr>
        <w:pStyle w:val="Heading1"/>
        <w:spacing w:before="0" w:afterAutospacing="0" w:line="360" w:lineRule="auto"/>
        <w:ind w:firstLine="0"/>
        <w:contextualSpacing/>
        <w:jc w:val="center"/>
        <w:rPr>
          <w:rFonts w:ascii="Arial" w:hAnsi="Arial" w:cs="Arial"/>
          <w:b/>
          <w:bCs/>
          <w:color w:val="auto"/>
          <w:sz w:val="24"/>
          <w:szCs w:val="24"/>
        </w:rPr>
      </w:pPr>
      <w:bookmarkStart w:id="2" w:name="_Toc182091752"/>
      <w:r w:rsidRPr="00632DCF">
        <w:rPr>
          <w:rFonts w:ascii="Arial" w:hAnsi="Arial" w:cs="Arial"/>
          <w:b/>
          <w:bCs/>
          <w:color w:val="auto"/>
          <w:sz w:val="24"/>
          <w:szCs w:val="24"/>
        </w:rPr>
        <w:lastRenderedPageBreak/>
        <w:t>Introduction</w:t>
      </w:r>
      <w:bookmarkEnd w:id="2"/>
    </w:p>
    <w:p w14:paraId="5D839920" w14:textId="223D3A02" w:rsidR="006000D0" w:rsidRPr="00632DCF" w:rsidRDefault="00000000" w:rsidP="00632DCF">
      <w:pPr>
        <w:spacing w:after="0" w:afterAutospacing="0" w:line="360" w:lineRule="auto"/>
        <w:ind w:firstLine="0"/>
        <w:contextualSpacing/>
        <w:rPr>
          <w:rFonts w:ascii="Arial" w:hAnsi="Arial" w:cs="Arial"/>
          <w:sz w:val="24"/>
          <w:szCs w:val="24"/>
        </w:rPr>
      </w:pPr>
      <w:r w:rsidRPr="00632DCF">
        <w:rPr>
          <w:rFonts w:ascii="Arial" w:hAnsi="Arial" w:cs="Arial"/>
          <w:sz w:val="24"/>
          <w:szCs w:val="24"/>
        </w:rPr>
        <w:tab/>
        <w:t>The hotel industry has adopted an ecological approach, prioritizing resource utilization, minimizing pollution, and enhancing operational efficiency to reduce environmental impacts (Shrestha et al., 2021). Hotel companies employ various strategies to reduce waste, reduce energy consumption, and implement water-efficient methods, thereby reducing or eliminating negative environmental impacts. Additionally, customers tend to favor businesses that adopt sustainable practices</w:t>
      </w:r>
      <w:r w:rsidR="00D1644C">
        <w:rPr>
          <w:rFonts w:ascii="Arial" w:hAnsi="Arial" w:cs="Arial"/>
          <w:sz w:val="24"/>
          <w:szCs w:val="24"/>
        </w:rPr>
        <w:t xml:space="preserve"> (</w:t>
      </w:r>
      <w:r w:rsidR="00D1644C" w:rsidRPr="00632DCF">
        <w:rPr>
          <w:rFonts w:ascii="Arial" w:hAnsi="Arial" w:cs="Arial"/>
          <w:sz w:val="24"/>
          <w:szCs w:val="24"/>
        </w:rPr>
        <w:t>Jiakui</w:t>
      </w:r>
      <w:r w:rsidR="00D1644C">
        <w:rPr>
          <w:rFonts w:ascii="Arial" w:hAnsi="Arial" w:cs="Arial"/>
          <w:sz w:val="24"/>
          <w:szCs w:val="24"/>
        </w:rPr>
        <w:t xml:space="preserve"> et al., 2023)</w:t>
      </w:r>
      <w:r w:rsidRPr="00632DCF">
        <w:rPr>
          <w:rFonts w:ascii="Arial" w:hAnsi="Arial" w:cs="Arial"/>
          <w:sz w:val="24"/>
          <w:szCs w:val="24"/>
        </w:rPr>
        <w:t>. Hotels that strictly adhere to environmental regulations receive environmental certifications such as Green Key, demonstrating to customers their environmental stewardship and ability to draw in eco-friendly tourists (Sharpley &amp; Telfer, 2023). Hilton Garden Inn London Heathrow has implemented several sustainability initiatives, including solar panels and water-saving technologies. Such action has helped minimize energy and water use, proving that environmental concern is achievable with high service standards</w:t>
      </w:r>
      <w:r w:rsidR="00024B18">
        <w:rPr>
          <w:rFonts w:ascii="Arial" w:hAnsi="Arial" w:cs="Arial"/>
          <w:sz w:val="24"/>
          <w:szCs w:val="24"/>
        </w:rPr>
        <w:t xml:space="preserve"> (</w:t>
      </w:r>
      <w:r w:rsidR="00024B18" w:rsidRPr="00632DCF">
        <w:rPr>
          <w:rFonts w:ascii="Arial" w:hAnsi="Arial" w:cs="Arial"/>
          <w:sz w:val="24"/>
          <w:szCs w:val="24"/>
        </w:rPr>
        <w:t>World Trade Organization</w:t>
      </w:r>
      <w:r w:rsidR="00024B18">
        <w:rPr>
          <w:rFonts w:ascii="Arial" w:hAnsi="Arial" w:cs="Arial"/>
          <w:sz w:val="24"/>
          <w:szCs w:val="24"/>
        </w:rPr>
        <w:t>, n.d)</w:t>
      </w:r>
      <w:r w:rsidRPr="00632DCF">
        <w:rPr>
          <w:rFonts w:ascii="Arial" w:hAnsi="Arial" w:cs="Arial"/>
          <w:sz w:val="24"/>
          <w:szCs w:val="24"/>
        </w:rPr>
        <w:t xml:space="preserve">. </w:t>
      </w:r>
    </w:p>
    <w:p w14:paraId="1C965A50" w14:textId="14FAC5D4" w:rsidR="00606625"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t>However, the management has the potential to broaden its sustainable initiatives by incorporating gray water recycling, which involves repurposing shower and sink water for irrigation and flushing. This method could reduce water usage in the hotel by up to 40%, thus significantly reducing its impact on the environment (Tripathy et al., 2024). Implementing such an innovative water management strategy could extend the hotel's environmentally friendly image and become the best practice for other hotels in the hospitality industry</w:t>
      </w:r>
      <w:r w:rsidR="00D1644C">
        <w:rPr>
          <w:rFonts w:ascii="Arial" w:hAnsi="Arial" w:cs="Arial"/>
          <w:sz w:val="24"/>
          <w:szCs w:val="24"/>
        </w:rPr>
        <w:t xml:space="preserve"> (</w:t>
      </w:r>
      <w:r w:rsidR="00D1644C" w:rsidRPr="00632DCF">
        <w:rPr>
          <w:rFonts w:ascii="Arial" w:hAnsi="Arial" w:cs="Arial"/>
          <w:sz w:val="24"/>
          <w:szCs w:val="24"/>
        </w:rPr>
        <w:t>Jiakui</w:t>
      </w:r>
      <w:r w:rsidR="00D1644C">
        <w:rPr>
          <w:rFonts w:ascii="Arial" w:hAnsi="Arial" w:cs="Arial"/>
          <w:sz w:val="24"/>
          <w:szCs w:val="24"/>
        </w:rPr>
        <w:t xml:space="preserve"> et al., 2023)</w:t>
      </w:r>
      <w:r w:rsidRPr="00632DCF">
        <w:rPr>
          <w:rFonts w:ascii="Arial" w:hAnsi="Arial" w:cs="Arial"/>
          <w:sz w:val="24"/>
          <w:szCs w:val="24"/>
        </w:rPr>
        <w:t>. This paper evaluates greywater recycling as a practical, sustainable, and cost-efficient technique that could help the hotel continue its ecological efforts, develop an appealing brand image, and act as an example for other Hilton hotels.</w:t>
      </w:r>
    </w:p>
    <w:p w14:paraId="4F1361F0" w14:textId="77777777" w:rsidR="006000D0" w:rsidRPr="00632DCF" w:rsidRDefault="00000000" w:rsidP="00632DCF">
      <w:pPr>
        <w:pStyle w:val="Heading1"/>
        <w:spacing w:before="0" w:afterAutospacing="0" w:line="360" w:lineRule="auto"/>
        <w:ind w:firstLine="0"/>
        <w:contextualSpacing/>
        <w:jc w:val="center"/>
        <w:rPr>
          <w:rFonts w:ascii="Arial" w:hAnsi="Arial" w:cs="Arial"/>
          <w:b/>
          <w:bCs/>
          <w:color w:val="auto"/>
          <w:sz w:val="24"/>
          <w:szCs w:val="24"/>
        </w:rPr>
      </w:pPr>
      <w:bookmarkStart w:id="3" w:name="_Toc182091753"/>
      <w:r w:rsidRPr="00632DCF">
        <w:rPr>
          <w:rFonts w:ascii="Arial" w:hAnsi="Arial" w:cs="Arial"/>
          <w:b/>
          <w:bCs/>
          <w:color w:val="auto"/>
          <w:sz w:val="24"/>
          <w:szCs w:val="24"/>
        </w:rPr>
        <w:t>Main Findings</w:t>
      </w:r>
      <w:bookmarkEnd w:id="3"/>
    </w:p>
    <w:p w14:paraId="35A11AD7" w14:textId="77777777" w:rsidR="006000D0" w:rsidRPr="00632DCF" w:rsidRDefault="00000000" w:rsidP="00632DCF">
      <w:pPr>
        <w:pStyle w:val="Heading2"/>
        <w:spacing w:before="0" w:afterAutospacing="0" w:line="360" w:lineRule="auto"/>
        <w:ind w:firstLine="0"/>
        <w:contextualSpacing/>
        <w:rPr>
          <w:rFonts w:ascii="Arial" w:hAnsi="Arial" w:cs="Arial"/>
          <w:b/>
          <w:bCs/>
          <w:color w:val="auto"/>
          <w:sz w:val="24"/>
          <w:szCs w:val="24"/>
        </w:rPr>
      </w:pPr>
      <w:bookmarkStart w:id="4" w:name="_Toc182091754"/>
      <w:r w:rsidRPr="00632DCF">
        <w:rPr>
          <w:rFonts w:ascii="Arial" w:hAnsi="Arial" w:cs="Arial"/>
          <w:b/>
          <w:bCs/>
          <w:color w:val="auto"/>
          <w:sz w:val="24"/>
          <w:szCs w:val="24"/>
        </w:rPr>
        <w:t>Overview of Greener Practices in Hospitality</w:t>
      </w:r>
      <w:bookmarkEnd w:id="4"/>
    </w:p>
    <w:p w14:paraId="008F7E1B" w14:textId="60EC8474" w:rsidR="006000D0"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t xml:space="preserve">More and more hotel establishments are introducing environmentally friendly practices in their properties due to increasing consciousness of sustainable effects for resources. Since hospitality belongs to the energy-intensive sector that utilizes water and other natural resources, the focus is on adopting measures to introduce sustainable practices to create cost-efficiency and customer loyalty among environmentally sensitive </w:t>
      </w:r>
      <w:r w:rsidRPr="00632DCF">
        <w:rPr>
          <w:rFonts w:ascii="Arial" w:hAnsi="Arial" w:cs="Arial"/>
          <w:sz w:val="24"/>
          <w:szCs w:val="24"/>
        </w:rPr>
        <w:lastRenderedPageBreak/>
        <w:t>tourists (Anguelovski et al., 2020). Today, there is a growing trend in hotels to become green-certified, which indicates that the Green Key certification is given only to organizations that meet or exceed the designed standards in environmental stewardship, particularly in areas involving energy, water, and waste</w:t>
      </w:r>
      <w:r w:rsidR="00D1644C">
        <w:rPr>
          <w:rFonts w:ascii="Arial" w:hAnsi="Arial" w:cs="Arial"/>
          <w:sz w:val="24"/>
          <w:szCs w:val="24"/>
        </w:rPr>
        <w:t xml:space="preserve"> (</w:t>
      </w:r>
      <w:r w:rsidR="00D1644C" w:rsidRPr="00632DCF">
        <w:rPr>
          <w:rFonts w:ascii="Arial" w:hAnsi="Arial" w:cs="Arial"/>
          <w:sz w:val="24"/>
          <w:szCs w:val="24"/>
        </w:rPr>
        <w:t>Edgell</w:t>
      </w:r>
      <w:r w:rsidR="00D1644C">
        <w:rPr>
          <w:rFonts w:ascii="Arial" w:hAnsi="Arial" w:cs="Arial"/>
          <w:sz w:val="24"/>
          <w:szCs w:val="24"/>
        </w:rPr>
        <w:t>, 2020)</w:t>
      </w:r>
      <w:r w:rsidRPr="00632DCF">
        <w:rPr>
          <w:rFonts w:ascii="Arial" w:hAnsi="Arial" w:cs="Arial"/>
          <w:sz w:val="24"/>
          <w:szCs w:val="24"/>
        </w:rPr>
        <w:t>. Such status not only sets a standard regarding the interaction of a hotel with the external environment but also improves the image, along with meeting the expectations of consumers who understand that environmental protection is a significant value (Sharpley &amp; Telfer, 2023).</w:t>
      </w:r>
    </w:p>
    <w:p w14:paraId="1BE576AD" w14:textId="4E228BF7" w:rsidR="003571E3"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t>The Hilton Garden Inn London Heathrow has successfully implemented several environmentally friendly policies. Photovoltaic structures installed on the property harness power from the sun, thus minimizing the use of other resources that emit carbon. This sustainable energy initiative demonstrates the hotel's environmental consciousness by utilizing renewable energy sources instead of fossil fuels (Khajvand et al., 2022). However, the hotel uses lighting more efficiently by implementing energy conservation measures. For instance, the hotel only uses high-intensity lighting in certain areas, such as car parks and adjacent paths, and only activates it at dusk. Hilton Garden Inn also aims to utilize water using various technologies efficiently, with particular emphasis on areas where water usage is often high, such as the dish area</w:t>
      </w:r>
      <w:r w:rsidR="00D1644C">
        <w:rPr>
          <w:rFonts w:ascii="Arial" w:hAnsi="Arial" w:cs="Arial"/>
          <w:sz w:val="24"/>
          <w:szCs w:val="24"/>
        </w:rPr>
        <w:t xml:space="preserve"> </w:t>
      </w:r>
      <w:r w:rsidRPr="00632DCF">
        <w:rPr>
          <w:rFonts w:ascii="Arial" w:hAnsi="Arial" w:cs="Arial"/>
          <w:sz w:val="24"/>
          <w:szCs w:val="24"/>
        </w:rPr>
        <w:t>. Such systems use less water but work efficiently to meet the required levels of hygiene and thus enhance food security in the hotel</w:t>
      </w:r>
      <w:r w:rsidR="00D1644C">
        <w:rPr>
          <w:rFonts w:ascii="Arial" w:hAnsi="Arial" w:cs="Arial"/>
          <w:sz w:val="24"/>
          <w:szCs w:val="24"/>
        </w:rPr>
        <w:t xml:space="preserve"> (</w:t>
      </w:r>
      <w:r w:rsidR="00D1644C" w:rsidRPr="00632DCF">
        <w:rPr>
          <w:rFonts w:ascii="Arial" w:hAnsi="Arial" w:cs="Arial"/>
          <w:sz w:val="24"/>
          <w:szCs w:val="24"/>
        </w:rPr>
        <w:t>Edgell</w:t>
      </w:r>
      <w:r w:rsidR="00D1644C">
        <w:rPr>
          <w:rFonts w:ascii="Arial" w:hAnsi="Arial" w:cs="Arial"/>
          <w:sz w:val="24"/>
          <w:szCs w:val="24"/>
        </w:rPr>
        <w:t>, 2020)</w:t>
      </w:r>
      <w:r w:rsidRPr="00632DCF">
        <w:rPr>
          <w:rFonts w:ascii="Arial" w:hAnsi="Arial" w:cs="Arial"/>
          <w:sz w:val="24"/>
          <w:szCs w:val="24"/>
        </w:rPr>
        <w:t>. By following such practices, the Hilton Garden Inn can show how proper resource utilization would be instrumental in promoting sustainability in the hospitality business.</w:t>
      </w:r>
    </w:p>
    <w:p w14:paraId="4D068C69" w14:textId="6BA9E57F" w:rsidR="006000D0"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t>Some of the emerging measures identified as effective are life cycle assessments, green roofs, and gray water recycling in hotels. This practice involves using water that has been used sometimes in showering and washing dishes and then reusing it in cases that do not require clean water, such as in flushing toilets and watering plants</w:t>
      </w:r>
      <w:r w:rsidR="00024B18">
        <w:rPr>
          <w:rFonts w:ascii="Arial" w:hAnsi="Arial" w:cs="Arial"/>
          <w:sz w:val="24"/>
          <w:szCs w:val="24"/>
        </w:rPr>
        <w:t xml:space="preserve"> (</w:t>
      </w:r>
      <w:r w:rsidR="00024B18" w:rsidRPr="00632DCF">
        <w:rPr>
          <w:rFonts w:ascii="Arial" w:hAnsi="Arial" w:cs="Arial"/>
          <w:sz w:val="24"/>
          <w:szCs w:val="24"/>
        </w:rPr>
        <w:t>World Trade Organization</w:t>
      </w:r>
      <w:r w:rsidR="00024B18">
        <w:rPr>
          <w:rFonts w:ascii="Arial" w:hAnsi="Arial" w:cs="Arial"/>
          <w:sz w:val="24"/>
          <w:szCs w:val="24"/>
        </w:rPr>
        <w:t>, n.d)</w:t>
      </w:r>
      <w:r w:rsidRPr="00632DCF">
        <w:rPr>
          <w:rFonts w:ascii="Arial" w:hAnsi="Arial" w:cs="Arial"/>
          <w:sz w:val="24"/>
          <w:szCs w:val="24"/>
        </w:rPr>
        <w:t xml:space="preserve">. Different wastewater recycling systems, such as greywater recycling, can reduce freshwater consumption by up to 40%, allowing Hilton Garden Inn to reduce its dependency on municipal water supply and demonstrate responsible water use (Tripathy et al., 2024). By such approaches, hotels effectively respond to sustainability issues and appeal to the increasing number </w:t>
      </w:r>
      <w:r w:rsidRPr="00632DCF">
        <w:rPr>
          <w:rFonts w:ascii="Arial" w:hAnsi="Arial" w:cs="Arial"/>
          <w:sz w:val="24"/>
          <w:szCs w:val="24"/>
        </w:rPr>
        <w:lastRenderedPageBreak/>
        <w:t>of customers who look for eco-friendly accommodation (Costa &amp; Costa, 2022). Major hotel chains attempt to make sustainability a core strategy, reflecting the sector's focus on environmentally friendly practices. Firstly, they establish minimum eco-responsibility standards for the hotel industry, paving the way for others to follow and showcasing the integration of environmental responsibility into hotel business operations</w:t>
      </w:r>
      <w:r w:rsidR="00D1644C">
        <w:rPr>
          <w:rFonts w:ascii="Arial" w:hAnsi="Arial" w:cs="Arial"/>
          <w:sz w:val="24"/>
          <w:szCs w:val="24"/>
        </w:rPr>
        <w:t xml:space="preserve"> (</w:t>
      </w:r>
      <w:r w:rsidR="00D1644C" w:rsidRPr="00632DCF">
        <w:rPr>
          <w:rFonts w:ascii="Arial" w:hAnsi="Arial" w:cs="Arial"/>
          <w:sz w:val="24"/>
          <w:szCs w:val="24"/>
        </w:rPr>
        <w:t>IGI Global</w:t>
      </w:r>
      <w:r w:rsidR="00D1644C">
        <w:rPr>
          <w:rFonts w:ascii="Arial" w:hAnsi="Arial" w:cs="Arial"/>
          <w:sz w:val="24"/>
          <w:szCs w:val="24"/>
        </w:rPr>
        <w:t>, 2019)</w:t>
      </w:r>
      <w:r w:rsidRPr="00632DCF">
        <w:rPr>
          <w:rFonts w:ascii="Arial" w:hAnsi="Arial" w:cs="Arial"/>
          <w:sz w:val="24"/>
          <w:szCs w:val="24"/>
        </w:rPr>
        <w:t>. Since tourists pay more attention to sustainable travel, hotels that promote sustainable services stand out and have the potential to meet environmental objectives further. This trend again points to the hospitality industry as an agent of change for the common good, society, and the business's longevity (Sarkis et al., 2021).</w:t>
      </w:r>
    </w:p>
    <w:p w14:paraId="0F457B04" w14:textId="77777777" w:rsidR="006000D0" w:rsidRPr="00632DCF" w:rsidRDefault="00000000" w:rsidP="00632DCF">
      <w:pPr>
        <w:pStyle w:val="Heading2"/>
        <w:spacing w:before="0" w:afterAutospacing="0" w:line="360" w:lineRule="auto"/>
        <w:ind w:firstLine="0"/>
        <w:contextualSpacing/>
        <w:rPr>
          <w:rFonts w:ascii="Arial" w:hAnsi="Arial" w:cs="Arial"/>
          <w:b/>
          <w:bCs/>
          <w:color w:val="auto"/>
          <w:sz w:val="24"/>
          <w:szCs w:val="24"/>
        </w:rPr>
      </w:pPr>
      <w:bookmarkStart w:id="5" w:name="_Toc182091755"/>
      <w:r w:rsidRPr="00632DCF">
        <w:rPr>
          <w:rFonts w:ascii="Arial" w:hAnsi="Arial" w:cs="Arial"/>
          <w:b/>
          <w:bCs/>
          <w:color w:val="auto"/>
          <w:sz w:val="24"/>
          <w:szCs w:val="24"/>
        </w:rPr>
        <w:t>Benefits of Integrating Sustainable Practices</w:t>
      </w:r>
      <w:bookmarkEnd w:id="5"/>
    </w:p>
    <w:p w14:paraId="778D0298" w14:textId="29EF3CD8" w:rsidR="006E4BD2" w:rsidRPr="00632DCF" w:rsidRDefault="00000000" w:rsidP="00632DCF">
      <w:pPr>
        <w:spacing w:after="0" w:afterAutospacing="0" w:line="360" w:lineRule="auto"/>
        <w:ind w:firstLine="0"/>
        <w:contextualSpacing/>
        <w:rPr>
          <w:rFonts w:ascii="Arial" w:hAnsi="Arial" w:cs="Arial"/>
          <w:sz w:val="24"/>
          <w:szCs w:val="24"/>
        </w:rPr>
      </w:pPr>
      <w:r w:rsidRPr="00632DCF">
        <w:rPr>
          <w:rFonts w:ascii="Arial" w:hAnsi="Arial" w:cs="Arial"/>
          <w:b/>
          <w:bCs/>
          <w:sz w:val="24"/>
          <w:szCs w:val="24"/>
        </w:rPr>
        <w:tab/>
      </w:r>
      <w:r w:rsidRPr="00632DCF">
        <w:rPr>
          <w:rFonts w:ascii="Arial" w:hAnsi="Arial" w:cs="Arial"/>
          <w:sz w:val="24"/>
          <w:szCs w:val="24"/>
        </w:rPr>
        <w:t>Including sustainability in hospitality management yields several significant advantages, including conserving natural resources. For example, greywater recycling can save up to 40% of the water used and help hotels decrease their consumption of water and related utilities. Stang et al. (2021) supported this economic advantage by establishing that improved hotel water systems generate significant cost savings, which operators can utilize to fund other sustainability initiatives. In addition to revenues, sustainability improves a hotel brand image, which is highly beneficial in attracting eco-conscious consumers ready to spend more on services from companies that contribute to environmental conservation (</w:t>
      </w:r>
      <w:r w:rsidR="00D1644C">
        <w:rPr>
          <w:rFonts w:ascii="Arial" w:hAnsi="Arial" w:cs="Arial"/>
          <w:sz w:val="24"/>
          <w:szCs w:val="24"/>
        </w:rPr>
        <w:t>Peng et al., 2020</w:t>
      </w:r>
      <w:r w:rsidRPr="00632DCF">
        <w:rPr>
          <w:rFonts w:ascii="Arial" w:hAnsi="Arial" w:cs="Arial"/>
          <w:sz w:val="24"/>
          <w:szCs w:val="24"/>
        </w:rPr>
        <w:t>). Sarkis et al. (2021) established that hotels that adopted sustainable strategies produced higher customer satisfaction and loyalty as they embraced changing consumer values for the environment. This reputational advantage is essential for Hilton and other global chains where brand image plays a significant role in competitive strategy (Costa &amp; Costa, 2022). Sustainable activities also help hotels achieve corporate responsibility objectives, serving as a basis for improving the state of the environment and increasing the company's compliance with ethical standards (Amjad et al., 2021). For properties like the Hilton Garden Inn London Heathrow, implementing sustainable practices enhances the organizational business appeal and improves resource utilization efficiency.</w:t>
      </w:r>
    </w:p>
    <w:p w14:paraId="77A97F9F" w14:textId="77777777" w:rsidR="006000D0" w:rsidRPr="00632DCF" w:rsidRDefault="00000000" w:rsidP="00632DCF">
      <w:pPr>
        <w:pStyle w:val="Heading2"/>
        <w:spacing w:before="0" w:afterAutospacing="0" w:line="360" w:lineRule="auto"/>
        <w:ind w:firstLine="0"/>
        <w:contextualSpacing/>
        <w:rPr>
          <w:rFonts w:ascii="Arial" w:hAnsi="Arial" w:cs="Arial"/>
          <w:b/>
          <w:bCs/>
          <w:color w:val="auto"/>
          <w:sz w:val="24"/>
          <w:szCs w:val="24"/>
        </w:rPr>
      </w:pPr>
      <w:bookmarkStart w:id="6" w:name="_Toc182091756"/>
      <w:r w:rsidRPr="00632DCF">
        <w:rPr>
          <w:rFonts w:ascii="Arial" w:hAnsi="Arial" w:cs="Arial"/>
          <w:b/>
          <w:bCs/>
          <w:color w:val="auto"/>
          <w:sz w:val="24"/>
          <w:szCs w:val="24"/>
        </w:rPr>
        <w:t>Challenges of Implementing Sustainable Initiatives</w:t>
      </w:r>
      <w:bookmarkEnd w:id="6"/>
    </w:p>
    <w:p w14:paraId="3C91E116" w14:textId="0F497D41" w:rsidR="006E4BD2" w:rsidRPr="00632DCF" w:rsidRDefault="00000000" w:rsidP="00632DCF">
      <w:pPr>
        <w:spacing w:after="0" w:afterAutospacing="0" w:line="360" w:lineRule="auto"/>
        <w:ind w:firstLine="0"/>
        <w:contextualSpacing/>
        <w:rPr>
          <w:rFonts w:ascii="Arial" w:hAnsi="Arial" w:cs="Arial"/>
          <w:sz w:val="24"/>
          <w:szCs w:val="24"/>
        </w:rPr>
      </w:pPr>
      <w:r w:rsidRPr="00632DCF">
        <w:rPr>
          <w:rFonts w:ascii="Arial" w:hAnsi="Arial" w:cs="Arial"/>
          <w:sz w:val="24"/>
          <w:szCs w:val="24"/>
        </w:rPr>
        <w:tab/>
        <w:t xml:space="preserve">Despite the apparent benefits of sustainable practices, their implementation presents challenges, primarily related to cost, support, and sustenance issues. The </w:t>
      </w:r>
      <w:r w:rsidRPr="00632DCF">
        <w:rPr>
          <w:rFonts w:ascii="Arial" w:hAnsi="Arial" w:cs="Arial"/>
          <w:sz w:val="24"/>
          <w:szCs w:val="24"/>
        </w:rPr>
        <w:lastRenderedPageBreak/>
        <w:t>initial cost of introducing a system like greywater recycling is high, which may discourage hotels, particularly those with a low brand or independently run establishments, from considering such solutions (Khajvand et al., 2022). Furthermore, integrating greywater recycling into existing buildings often requires significant alterations to the existing infrastructure, resulting in higher initial implementation costs. Another drawback is maintenance, a problem that arises from the need for specially trained personnel to service the systems for extended periods, thereby increasing operation costs (Hooshyari et al., 2022). These aspects extend beyond mere financial considerations, as the equitable staffing of sustainable measures not only makes these environmental improvements accessible to a hotel's employees but also to the nearby population. Using technologies such as greywater recycling can reduce water use by up to 75%</w:t>
      </w:r>
      <w:r w:rsidR="00D1644C">
        <w:rPr>
          <w:rFonts w:ascii="Arial" w:hAnsi="Arial" w:cs="Arial"/>
          <w:sz w:val="24"/>
          <w:szCs w:val="24"/>
        </w:rPr>
        <w:t xml:space="preserve"> (</w:t>
      </w:r>
      <w:r w:rsidR="00D1644C" w:rsidRPr="00632DCF">
        <w:rPr>
          <w:rFonts w:ascii="Arial" w:hAnsi="Arial" w:cs="Arial"/>
          <w:sz w:val="24"/>
          <w:szCs w:val="24"/>
        </w:rPr>
        <w:t>Korstanje</w:t>
      </w:r>
      <w:r w:rsidR="00D1644C">
        <w:rPr>
          <w:rFonts w:ascii="Arial" w:hAnsi="Arial" w:cs="Arial"/>
          <w:sz w:val="24"/>
          <w:szCs w:val="24"/>
        </w:rPr>
        <w:t xml:space="preserve"> </w:t>
      </w:r>
      <w:r w:rsidR="00D1644C" w:rsidRPr="00632DCF">
        <w:rPr>
          <w:rFonts w:ascii="Arial" w:hAnsi="Arial" w:cs="Arial"/>
          <w:sz w:val="24"/>
          <w:szCs w:val="24"/>
        </w:rPr>
        <w:t>&amp; Nedelea</w:t>
      </w:r>
      <w:r w:rsidR="00D1644C">
        <w:rPr>
          <w:rFonts w:ascii="Arial" w:hAnsi="Arial" w:cs="Arial"/>
          <w:sz w:val="24"/>
          <w:szCs w:val="24"/>
        </w:rPr>
        <w:t>, 2020)</w:t>
      </w:r>
      <w:r w:rsidRPr="00632DCF">
        <w:rPr>
          <w:rFonts w:ascii="Arial" w:hAnsi="Arial" w:cs="Arial"/>
          <w:sz w:val="24"/>
          <w:szCs w:val="24"/>
        </w:rPr>
        <w:t>. However, there are certain risks involved, one of which is the potential for water supply contamination. Professional maintenance personnel and proper working policies and protocols are necessary to mitigate this risk. Therefore, green practices such as greywater recycling require integrating the economics, logistic flows, and social impact to effectively change the environment without harming other aspects (Sukmoko et al., 2021).</w:t>
      </w:r>
    </w:p>
    <w:p w14:paraId="4374D93E" w14:textId="77777777" w:rsidR="006000D0" w:rsidRPr="00632DCF" w:rsidRDefault="00000000" w:rsidP="00632DCF">
      <w:pPr>
        <w:pStyle w:val="Heading2"/>
        <w:spacing w:before="0" w:afterAutospacing="0" w:line="360" w:lineRule="auto"/>
        <w:ind w:firstLine="0"/>
        <w:contextualSpacing/>
        <w:rPr>
          <w:rFonts w:ascii="Arial" w:hAnsi="Arial" w:cs="Arial"/>
          <w:b/>
          <w:bCs/>
          <w:color w:val="auto"/>
          <w:sz w:val="24"/>
          <w:szCs w:val="24"/>
        </w:rPr>
      </w:pPr>
      <w:bookmarkStart w:id="7" w:name="_Toc182091757"/>
      <w:r w:rsidRPr="00632DCF">
        <w:rPr>
          <w:rFonts w:ascii="Arial" w:hAnsi="Arial" w:cs="Arial"/>
          <w:b/>
          <w:bCs/>
          <w:color w:val="auto"/>
          <w:sz w:val="24"/>
          <w:szCs w:val="24"/>
        </w:rPr>
        <w:t>Analysis of Greywater Recycling Systems</w:t>
      </w:r>
      <w:bookmarkEnd w:id="7"/>
    </w:p>
    <w:p w14:paraId="74BEE79A" w14:textId="6D9E5A8A" w:rsidR="006E4BD2" w:rsidRPr="00632DCF" w:rsidRDefault="00000000" w:rsidP="00632DCF">
      <w:pPr>
        <w:spacing w:after="0" w:afterAutospacing="0" w:line="360" w:lineRule="auto"/>
        <w:ind w:firstLine="0"/>
        <w:contextualSpacing/>
        <w:rPr>
          <w:rFonts w:ascii="Arial" w:hAnsi="Arial" w:cs="Arial"/>
          <w:sz w:val="24"/>
          <w:szCs w:val="24"/>
        </w:rPr>
      </w:pPr>
      <w:r w:rsidRPr="00632DCF">
        <w:rPr>
          <w:rFonts w:ascii="Arial" w:hAnsi="Arial" w:cs="Arial"/>
          <w:b/>
          <w:bCs/>
          <w:sz w:val="24"/>
          <w:szCs w:val="24"/>
        </w:rPr>
        <w:tab/>
      </w:r>
      <w:r w:rsidRPr="00632DCF">
        <w:rPr>
          <w:rFonts w:ascii="Arial" w:hAnsi="Arial" w:cs="Arial"/>
          <w:sz w:val="24"/>
          <w:szCs w:val="24"/>
        </w:rPr>
        <w:t>Recently, the hospitality industry has conceptualized grey water recycling as a strategy for water conservation, which involves repurposing treated shower, sink, and laundry water for uses beyond drinking, such as toilet flushing and irrigation (Tripathy et al., 2024). This system has the potential to help hotels in water-stressed regions achieve water conservation targets by reducing water consumption by 30 to 50%</w:t>
      </w:r>
      <w:r w:rsidR="00D1644C">
        <w:rPr>
          <w:rFonts w:ascii="Arial" w:hAnsi="Arial" w:cs="Arial"/>
          <w:sz w:val="24"/>
          <w:szCs w:val="24"/>
        </w:rPr>
        <w:t xml:space="preserve"> (</w:t>
      </w:r>
      <w:r w:rsidR="00D1644C" w:rsidRPr="00632DCF">
        <w:rPr>
          <w:rFonts w:ascii="Arial" w:hAnsi="Arial" w:cs="Arial"/>
          <w:sz w:val="24"/>
          <w:szCs w:val="24"/>
        </w:rPr>
        <w:t>IGI Global</w:t>
      </w:r>
      <w:r w:rsidR="00D1644C">
        <w:rPr>
          <w:rFonts w:ascii="Arial" w:hAnsi="Arial" w:cs="Arial"/>
          <w:sz w:val="24"/>
          <w:szCs w:val="24"/>
        </w:rPr>
        <w:t>, 2019)</w:t>
      </w:r>
      <w:r w:rsidRPr="00632DCF">
        <w:rPr>
          <w:rFonts w:ascii="Arial" w:hAnsi="Arial" w:cs="Arial"/>
          <w:sz w:val="24"/>
          <w:szCs w:val="24"/>
        </w:rPr>
        <w:t>. From a cost perspective, future savings on water costs can be the significant economic benefit realized from greywater recycling; this will improve the efficiency and revenue of the hotels (Stang et al., 2021). Greywater recycling can also address the environmental argument by reducing the strain on the available water supply in the area and reducing wastewater discharges, thereby minimizing pollution (</w:t>
      </w:r>
      <w:r w:rsidR="00D1644C" w:rsidRPr="00632DCF">
        <w:rPr>
          <w:rFonts w:ascii="Arial" w:hAnsi="Arial" w:cs="Arial"/>
          <w:sz w:val="24"/>
          <w:szCs w:val="24"/>
        </w:rPr>
        <w:t>Sandra Marcelline</w:t>
      </w:r>
      <w:r w:rsidR="00D1644C">
        <w:rPr>
          <w:rFonts w:ascii="Arial" w:hAnsi="Arial" w:cs="Arial"/>
          <w:sz w:val="24"/>
          <w:szCs w:val="24"/>
        </w:rPr>
        <w:t xml:space="preserve"> et al., 2022</w:t>
      </w:r>
      <w:r w:rsidRPr="00632DCF">
        <w:rPr>
          <w:rFonts w:ascii="Arial" w:hAnsi="Arial" w:cs="Arial"/>
          <w:sz w:val="24"/>
          <w:szCs w:val="24"/>
        </w:rPr>
        <w:t xml:space="preserve">). The next level of greywater reuse supports organizations' sustainability strategies in the hospitality industry, enhancing hotels' affinity for eco-certification and attracting consumers with modest carbon footprints. The </w:t>
      </w:r>
      <w:r w:rsidRPr="00632DCF">
        <w:rPr>
          <w:rFonts w:ascii="Arial" w:hAnsi="Arial" w:cs="Arial"/>
          <w:sz w:val="24"/>
          <w:szCs w:val="24"/>
        </w:rPr>
        <w:lastRenderedPageBreak/>
        <w:t>review by Tripathy et al. (2024) has also shown that greywater recycling is feasible at an industrial scale for such prominent organizations as hotels. However, these systems initially require capital investment and recurrent maintenance costs in the long run. The return in terms of environmental and economic gains makes these systems reasonable and feasible to incorporate in hospitality ventures for improving sustainability</w:t>
      </w:r>
      <w:r w:rsidR="00D1644C">
        <w:rPr>
          <w:rFonts w:ascii="Arial" w:hAnsi="Arial" w:cs="Arial"/>
          <w:sz w:val="24"/>
          <w:szCs w:val="24"/>
        </w:rPr>
        <w:t xml:space="preserve"> (</w:t>
      </w:r>
      <w:r w:rsidR="00D1644C" w:rsidRPr="00632DCF">
        <w:rPr>
          <w:rFonts w:ascii="Arial" w:hAnsi="Arial" w:cs="Arial"/>
          <w:sz w:val="24"/>
          <w:szCs w:val="24"/>
        </w:rPr>
        <w:t>Jauhari</w:t>
      </w:r>
      <w:r w:rsidR="00D1644C">
        <w:rPr>
          <w:rFonts w:ascii="Arial" w:hAnsi="Arial" w:cs="Arial"/>
          <w:sz w:val="24"/>
          <w:szCs w:val="24"/>
        </w:rPr>
        <w:t>, 2021)</w:t>
      </w:r>
      <w:r w:rsidRPr="00632DCF">
        <w:rPr>
          <w:rFonts w:ascii="Arial" w:hAnsi="Arial" w:cs="Arial"/>
          <w:sz w:val="24"/>
          <w:szCs w:val="24"/>
        </w:rPr>
        <w:t>.</w:t>
      </w:r>
    </w:p>
    <w:p w14:paraId="5AC7F51B" w14:textId="77777777" w:rsidR="006000D0" w:rsidRPr="00632DCF" w:rsidRDefault="00000000" w:rsidP="00632DCF">
      <w:pPr>
        <w:pStyle w:val="Heading2"/>
        <w:spacing w:before="0" w:afterAutospacing="0" w:line="360" w:lineRule="auto"/>
        <w:ind w:firstLine="0"/>
        <w:contextualSpacing/>
        <w:rPr>
          <w:rFonts w:ascii="Arial" w:hAnsi="Arial" w:cs="Arial"/>
          <w:b/>
          <w:bCs/>
          <w:color w:val="auto"/>
          <w:sz w:val="24"/>
          <w:szCs w:val="24"/>
        </w:rPr>
      </w:pPr>
      <w:bookmarkStart w:id="8" w:name="_Toc182091758"/>
      <w:r w:rsidRPr="00632DCF">
        <w:rPr>
          <w:rFonts w:ascii="Arial" w:hAnsi="Arial" w:cs="Arial"/>
          <w:b/>
          <w:bCs/>
          <w:color w:val="auto"/>
          <w:sz w:val="24"/>
          <w:szCs w:val="24"/>
        </w:rPr>
        <w:t>Suitability for Hilton Garden Inn London Heathrow</w:t>
      </w:r>
      <w:bookmarkEnd w:id="8"/>
    </w:p>
    <w:p w14:paraId="4412F7E2" w14:textId="1ECFFD24" w:rsidR="006E4BD2" w:rsidRPr="00632DCF" w:rsidRDefault="00000000" w:rsidP="00632DCF">
      <w:pPr>
        <w:spacing w:after="0" w:afterAutospacing="0" w:line="360" w:lineRule="auto"/>
        <w:ind w:firstLine="0"/>
        <w:contextualSpacing/>
        <w:rPr>
          <w:rFonts w:ascii="Arial" w:hAnsi="Arial" w:cs="Arial"/>
          <w:sz w:val="24"/>
          <w:szCs w:val="24"/>
        </w:rPr>
      </w:pPr>
      <w:r w:rsidRPr="00632DCF">
        <w:rPr>
          <w:rFonts w:ascii="Arial" w:hAnsi="Arial" w:cs="Arial"/>
          <w:sz w:val="24"/>
          <w:szCs w:val="24"/>
        </w:rPr>
        <w:tab/>
        <w:t>The Hilton Garden Inn London Heathrow is a perfect example of a hotel that can successfully introduce greywater recycling because of its constant focus on environmental issues. In this regard, the hotel has already established a good background by implementing solar panels and other water-efficient technologies on its premises, which shall act as a springboard towards promoting other sustainable practices in the hotel concern (</w:t>
      </w:r>
      <w:r w:rsidR="00D1644C" w:rsidRPr="00632DCF">
        <w:rPr>
          <w:rFonts w:ascii="Arial" w:hAnsi="Arial" w:cs="Arial"/>
          <w:sz w:val="24"/>
          <w:szCs w:val="24"/>
        </w:rPr>
        <w:t>Mondejar</w:t>
      </w:r>
      <w:r w:rsidR="00D1644C" w:rsidRPr="00632DCF">
        <w:rPr>
          <w:rFonts w:ascii="Arial" w:hAnsi="Arial" w:cs="Arial"/>
          <w:sz w:val="24"/>
          <w:szCs w:val="24"/>
        </w:rPr>
        <w:t xml:space="preserve"> </w:t>
      </w:r>
      <w:r w:rsidRPr="00632DCF">
        <w:rPr>
          <w:rFonts w:ascii="Arial" w:hAnsi="Arial" w:cs="Arial"/>
          <w:sz w:val="24"/>
          <w:szCs w:val="24"/>
        </w:rPr>
        <w:t>et al., 202</w:t>
      </w:r>
      <w:r w:rsidR="00D1644C">
        <w:rPr>
          <w:rFonts w:ascii="Arial" w:hAnsi="Arial" w:cs="Arial"/>
          <w:sz w:val="24"/>
          <w:szCs w:val="24"/>
        </w:rPr>
        <w:t>1</w:t>
      </w:r>
      <w:r w:rsidRPr="00632DCF">
        <w:rPr>
          <w:rFonts w:ascii="Arial" w:hAnsi="Arial" w:cs="Arial"/>
          <w:sz w:val="24"/>
          <w:szCs w:val="24"/>
        </w:rPr>
        <w:t>). With the integration of a greywater recycling system, the hotel would be able to conserve up to 40% of water consumption, hence cutting operation costs and attracting environmentally friendly tourists (</w:t>
      </w:r>
      <w:r w:rsidR="00D1644C" w:rsidRPr="00632DCF">
        <w:rPr>
          <w:rFonts w:ascii="Arial" w:hAnsi="Arial" w:cs="Arial"/>
          <w:sz w:val="24"/>
          <w:szCs w:val="24"/>
        </w:rPr>
        <w:t>Wickham</w:t>
      </w:r>
      <w:r w:rsidR="00D1644C">
        <w:rPr>
          <w:rFonts w:ascii="Arial" w:hAnsi="Arial" w:cs="Arial"/>
          <w:sz w:val="24"/>
          <w:szCs w:val="24"/>
        </w:rPr>
        <w:t xml:space="preserve"> et al., 2021</w:t>
      </w:r>
      <w:r w:rsidRPr="00632DCF">
        <w:rPr>
          <w:rFonts w:ascii="Arial" w:hAnsi="Arial" w:cs="Arial"/>
          <w:sz w:val="24"/>
          <w:szCs w:val="24"/>
        </w:rPr>
        <w:t>). Hilton's general long-term sustainability objectives align with this initiative, and its expansion to other hotel entities within the Hilton hospitality portfolio can solidify the brand's industry-wide sustainable leadership (Costa &amp; Costa, 2022). The hotel is located close to Heathrow, the world's busiest airport, and this enables the hotel to capture travelers who are environmentally conscious and will provide more customers, leading to an increase in occupancy rates (Amjad et al., 2021). Despite this, an additional case-specific analysis is needed to evaluate the feasibility of GW treatment and recovery thoroughly. This analysis should include a detailed cost analysis of the implemented options, encompassing initial investments and infrastructure adjustments</w:t>
      </w:r>
      <w:r w:rsidR="00D1644C">
        <w:rPr>
          <w:rFonts w:ascii="Arial" w:hAnsi="Arial" w:cs="Arial"/>
          <w:sz w:val="24"/>
          <w:szCs w:val="24"/>
        </w:rPr>
        <w:t xml:space="preserve"> (</w:t>
      </w:r>
      <w:r w:rsidR="00D1644C" w:rsidRPr="00632DCF">
        <w:rPr>
          <w:rFonts w:ascii="Arial" w:hAnsi="Arial" w:cs="Arial"/>
          <w:sz w:val="24"/>
          <w:szCs w:val="24"/>
        </w:rPr>
        <w:t>Jauhari</w:t>
      </w:r>
      <w:r w:rsidR="00D1644C">
        <w:rPr>
          <w:rFonts w:ascii="Arial" w:hAnsi="Arial" w:cs="Arial"/>
          <w:sz w:val="24"/>
          <w:szCs w:val="24"/>
        </w:rPr>
        <w:t>, 2021)</w:t>
      </w:r>
      <w:r w:rsidRPr="00632DCF">
        <w:rPr>
          <w:rFonts w:ascii="Arial" w:hAnsi="Arial" w:cs="Arial"/>
          <w:sz w:val="24"/>
          <w:szCs w:val="24"/>
        </w:rPr>
        <w:t>. Such reasons would provide a clear perspective on the long-term cost advantage that offsets the initial capital expense for investment in sustainable development across Hilton Garden Inn London Heathrow (</w:t>
      </w:r>
      <w:r w:rsidR="00D1644C" w:rsidRPr="00632DCF">
        <w:rPr>
          <w:rFonts w:ascii="Arial" w:hAnsi="Arial" w:cs="Arial"/>
          <w:sz w:val="24"/>
          <w:szCs w:val="24"/>
        </w:rPr>
        <w:t>Wickham</w:t>
      </w:r>
      <w:r w:rsidR="00D1644C">
        <w:rPr>
          <w:rFonts w:ascii="Arial" w:hAnsi="Arial" w:cs="Arial"/>
          <w:sz w:val="24"/>
          <w:szCs w:val="24"/>
        </w:rPr>
        <w:t xml:space="preserve"> et al., 2021</w:t>
      </w:r>
      <w:r w:rsidRPr="00632DCF">
        <w:rPr>
          <w:rFonts w:ascii="Arial" w:hAnsi="Arial" w:cs="Arial"/>
          <w:sz w:val="24"/>
          <w:szCs w:val="24"/>
        </w:rPr>
        <w:t>).</w:t>
      </w:r>
    </w:p>
    <w:p w14:paraId="26BC623C" w14:textId="77777777" w:rsidR="00606625" w:rsidRPr="00632DCF" w:rsidRDefault="00000000" w:rsidP="00632DCF">
      <w:pPr>
        <w:pStyle w:val="Heading1"/>
        <w:spacing w:before="0" w:afterAutospacing="0" w:line="360" w:lineRule="auto"/>
        <w:ind w:firstLine="0"/>
        <w:contextualSpacing/>
        <w:jc w:val="center"/>
        <w:rPr>
          <w:rFonts w:ascii="Arial" w:hAnsi="Arial" w:cs="Arial"/>
          <w:b/>
          <w:bCs/>
          <w:color w:val="auto"/>
          <w:sz w:val="24"/>
          <w:szCs w:val="24"/>
        </w:rPr>
      </w:pPr>
      <w:bookmarkStart w:id="9" w:name="_Toc182091759"/>
      <w:r w:rsidRPr="00632DCF">
        <w:rPr>
          <w:rFonts w:ascii="Arial" w:hAnsi="Arial" w:cs="Arial"/>
          <w:b/>
          <w:bCs/>
          <w:color w:val="auto"/>
          <w:sz w:val="24"/>
          <w:szCs w:val="24"/>
        </w:rPr>
        <w:t>Conclusion and Recommendations</w:t>
      </w:r>
      <w:bookmarkEnd w:id="9"/>
    </w:p>
    <w:p w14:paraId="24115610" w14:textId="77777777" w:rsidR="006000D0"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t xml:space="preserve">In conclusion, incorporating sustainability concerns has emerged as necessary for any hotel seeking to meet new global environmental benchmarks and respond to </w:t>
      </w:r>
      <w:r w:rsidRPr="00632DCF">
        <w:rPr>
          <w:rFonts w:ascii="Arial" w:hAnsi="Arial" w:cs="Arial"/>
          <w:sz w:val="24"/>
          <w:szCs w:val="24"/>
        </w:rPr>
        <w:lastRenderedPageBreak/>
        <w:t>consumers' changing expectations. The Hilton Garden Inn London Heathrow is trying to enhance its environmental friendliness by implementing specific equipment such as solar panels, which they have permission to install and use, and energy-efficient dishwashing machines, among others. However, there are still numerous areas for improvement, with the preservation of water resources being one of the most significant. Implementing a greywater recycling system could significantly impact the hotel, primarily by providing opportunities to reuse wastewater from sinks, showers, and laundry that does not directly connect to drinking water, such as watering plants and flushing toilets. This would significantly reduce the hotel's water consumption and increase environmental conservation.</w:t>
      </w:r>
    </w:p>
    <w:p w14:paraId="481F7B7A" w14:textId="77777777" w:rsidR="006000D0"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t xml:space="preserve"> It has been observed that installing a greywater recycling system necessitates initial costs, structural modifications, and an annual maintenance cost analysis, and the extensive financial and environmental benefits can aid in conducting a cost-effective study. Long-term benefits include reduced water bills, a lesser negative environmental impact, and meeting the increasing demand for sustainability in the hotel industry. It is about time that Hilton Garden Inn London Heathrow embraced greywater recycling, thus enhancing its sustainability and becoming a model for benchmarking operational efficiency within the industry. By committing to similar kinds of sustainable innovations, the hotel could effectively market itself as an environmentally friendly hotel to clients who value sustainable living and continuously uphold the primary function of protecting the future generations' environment.</w:t>
      </w:r>
    </w:p>
    <w:p w14:paraId="7AD0E516" w14:textId="77777777" w:rsidR="00606625" w:rsidRPr="00632DCF" w:rsidRDefault="00606625" w:rsidP="00632DCF">
      <w:pPr>
        <w:spacing w:after="0" w:afterAutospacing="0" w:line="360" w:lineRule="auto"/>
        <w:ind w:firstLine="0"/>
        <w:contextualSpacing/>
        <w:rPr>
          <w:rFonts w:ascii="Arial" w:hAnsi="Arial" w:cs="Arial"/>
          <w:sz w:val="24"/>
          <w:szCs w:val="24"/>
        </w:rPr>
      </w:pPr>
    </w:p>
    <w:p w14:paraId="3AF1812B" w14:textId="77777777" w:rsidR="00167DAB" w:rsidRPr="00632DCF" w:rsidRDefault="00167DAB" w:rsidP="00632DCF">
      <w:pPr>
        <w:spacing w:after="0" w:afterAutospacing="0" w:line="360" w:lineRule="auto"/>
        <w:ind w:firstLine="0"/>
        <w:contextualSpacing/>
        <w:rPr>
          <w:rFonts w:ascii="Arial" w:hAnsi="Arial" w:cs="Arial"/>
          <w:sz w:val="24"/>
          <w:szCs w:val="24"/>
        </w:rPr>
      </w:pPr>
    </w:p>
    <w:p w14:paraId="5DF511FB"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1DBFAF57"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5DB65852"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381CC866"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4340C69F" w14:textId="77777777" w:rsidR="003571E3" w:rsidRPr="00632DCF" w:rsidRDefault="003571E3" w:rsidP="00632DCF">
      <w:pPr>
        <w:spacing w:after="0" w:afterAutospacing="0" w:line="360" w:lineRule="auto"/>
        <w:ind w:firstLine="0"/>
        <w:contextualSpacing/>
        <w:rPr>
          <w:rFonts w:ascii="Arial" w:hAnsi="Arial" w:cs="Arial"/>
          <w:sz w:val="24"/>
          <w:szCs w:val="24"/>
        </w:rPr>
      </w:pPr>
    </w:p>
    <w:p w14:paraId="2710AC3D" w14:textId="77777777" w:rsidR="003571E3" w:rsidRPr="00632DCF" w:rsidRDefault="00000000" w:rsidP="00632DCF">
      <w:pPr>
        <w:spacing w:after="0" w:afterAutospacing="0" w:line="360" w:lineRule="auto"/>
        <w:contextualSpacing/>
        <w:rPr>
          <w:rFonts w:ascii="Arial" w:hAnsi="Arial" w:cs="Arial"/>
          <w:sz w:val="24"/>
          <w:szCs w:val="24"/>
        </w:rPr>
      </w:pPr>
      <w:r w:rsidRPr="00632DCF">
        <w:rPr>
          <w:rFonts w:ascii="Arial" w:hAnsi="Arial" w:cs="Arial"/>
          <w:sz w:val="24"/>
          <w:szCs w:val="24"/>
        </w:rPr>
        <w:br w:type="page"/>
      </w:r>
    </w:p>
    <w:p w14:paraId="45AC57E8" w14:textId="77777777" w:rsidR="003571E3" w:rsidRPr="00632DCF" w:rsidRDefault="00000000" w:rsidP="00632DCF">
      <w:pPr>
        <w:pStyle w:val="Heading1"/>
        <w:spacing w:before="0" w:afterAutospacing="0" w:line="360" w:lineRule="auto"/>
        <w:ind w:firstLine="0"/>
        <w:contextualSpacing/>
        <w:jc w:val="center"/>
        <w:rPr>
          <w:rFonts w:ascii="Arial" w:hAnsi="Arial" w:cs="Arial"/>
          <w:b/>
          <w:bCs/>
          <w:color w:val="auto"/>
          <w:sz w:val="24"/>
          <w:szCs w:val="24"/>
        </w:rPr>
      </w:pPr>
      <w:bookmarkStart w:id="10" w:name="_Toc182091760"/>
      <w:r w:rsidRPr="00632DCF">
        <w:rPr>
          <w:rFonts w:ascii="Arial" w:hAnsi="Arial" w:cs="Arial"/>
          <w:b/>
          <w:bCs/>
          <w:color w:val="auto"/>
          <w:sz w:val="24"/>
          <w:szCs w:val="24"/>
        </w:rPr>
        <w:lastRenderedPageBreak/>
        <w:t>References</w:t>
      </w:r>
      <w:bookmarkEnd w:id="10"/>
    </w:p>
    <w:p w14:paraId="7FB53E83"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Amjad, F., Abbas, W., Zia-Ur-Rehman, M., Baig, S. A., Hashim, M., Khan, A., &amp; Rehman, H. U. (2021). Effect of green human resource management practices on organizational sustainability: the mediating role of environmental and employee performance. </w:t>
      </w:r>
      <w:r w:rsidRPr="00632DCF">
        <w:rPr>
          <w:rFonts w:ascii="Arial" w:hAnsi="Arial" w:cs="Arial"/>
          <w:i/>
          <w:iCs/>
          <w:sz w:val="24"/>
          <w:szCs w:val="24"/>
        </w:rPr>
        <w:t>Environmental Science and Pollution Research</w:t>
      </w:r>
      <w:r w:rsidRPr="00632DCF">
        <w:rPr>
          <w:rFonts w:ascii="Arial" w:hAnsi="Arial" w:cs="Arial"/>
          <w:sz w:val="24"/>
          <w:szCs w:val="24"/>
        </w:rPr>
        <w:t>, </w:t>
      </w:r>
      <w:r w:rsidRPr="00632DCF">
        <w:rPr>
          <w:rFonts w:ascii="Arial" w:hAnsi="Arial" w:cs="Arial"/>
          <w:i/>
          <w:iCs/>
          <w:sz w:val="24"/>
          <w:szCs w:val="24"/>
        </w:rPr>
        <w:t>28</w:t>
      </w:r>
      <w:r w:rsidRPr="00632DCF">
        <w:rPr>
          <w:rFonts w:ascii="Arial" w:hAnsi="Arial" w:cs="Arial"/>
          <w:sz w:val="24"/>
          <w:szCs w:val="24"/>
        </w:rPr>
        <w:t>, 28191-28206.</w:t>
      </w:r>
    </w:p>
    <w:p w14:paraId="672C229F"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Anguelovski, I., Brand, A. L., Connolly, J. J., Corbera, E., Kotsila, P., Steil, J., ... &amp; Argüelles Ramos, L. (2020). Expanding the boundaries of justice in urban greening scholarship: toward an emancipatory, antisubordination, intersectional, and relational approach. </w:t>
      </w:r>
      <w:r w:rsidRPr="00632DCF">
        <w:rPr>
          <w:rFonts w:ascii="Arial" w:hAnsi="Arial" w:cs="Arial"/>
          <w:i/>
          <w:iCs/>
          <w:sz w:val="24"/>
          <w:szCs w:val="24"/>
        </w:rPr>
        <w:t>Annals of the American Association of Geographers</w:t>
      </w:r>
      <w:r w:rsidRPr="00632DCF">
        <w:rPr>
          <w:rFonts w:ascii="Arial" w:hAnsi="Arial" w:cs="Arial"/>
          <w:sz w:val="24"/>
          <w:szCs w:val="24"/>
        </w:rPr>
        <w:t>, </w:t>
      </w:r>
      <w:r w:rsidRPr="00632DCF">
        <w:rPr>
          <w:rFonts w:ascii="Arial" w:hAnsi="Arial" w:cs="Arial"/>
          <w:i/>
          <w:iCs/>
          <w:sz w:val="24"/>
          <w:szCs w:val="24"/>
        </w:rPr>
        <w:t>110</w:t>
      </w:r>
      <w:r w:rsidRPr="00632DCF">
        <w:rPr>
          <w:rFonts w:ascii="Arial" w:hAnsi="Arial" w:cs="Arial"/>
          <w:sz w:val="24"/>
          <w:szCs w:val="24"/>
        </w:rPr>
        <w:t>(6), 1743-1769.</w:t>
      </w:r>
    </w:p>
    <w:p w14:paraId="2339117E"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 xml:space="preserve">Costa, C., &amp; Costa, C. (Eds.). (2022). </w:t>
      </w:r>
      <w:r w:rsidRPr="00632DCF">
        <w:rPr>
          <w:rFonts w:ascii="Arial" w:hAnsi="Arial" w:cs="Arial"/>
          <w:i/>
          <w:iCs/>
          <w:sz w:val="24"/>
          <w:szCs w:val="24"/>
        </w:rPr>
        <w:t>Sustainability and competitiveness in the hospitality industry</w:t>
      </w:r>
      <w:r w:rsidRPr="00632DCF">
        <w:rPr>
          <w:rFonts w:ascii="Arial" w:hAnsi="Arial" w:cs="Arial"/>
          <w:sz w:val="24"/>
          <w:szCs w:val="24"/>
        </w:rPr>
        <w:t>. Business Science Reference.</w:t>
      </w:r>
    </w:p>
    <w:p w14:paraId="5F60DF8B"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 xml:space="preserve">Edgell, D. L. (2020). </w:t>
      </w:r>
      <w:r w:rsidRPr="00632DCF">
        <w:rPr>
          <w:rFonts w:ascii="Arial" w:hAnsi="Arial" w:cs="Arial"/>
          <w:i/>
          <w:iCs/>
          <w:sz w:val="24"/>
          <w:szCs w:val="24"/>
        </w:rPr>
        <w:t>Managing sustainable tourism: A legacy for the future</w:t>
      </w:r>
      <w:r w:rsidRPr="00632DCF">
        <w:rPr>
          <w:rFonts w:ascii="Arial" w:hAnsi="Arial" w:cs="Arial"/>
          <w:sz w:val="24"/>
          <w:szCs w:val="24"/>
        </w:rPr>
        <w:t xml:space="preserve"> (3rd ed.). Routledge.</w:t>
      </w:r>
    </w:p>
    <w:p w14:paraId="226CD05C"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i/>
          <w:iCs/>
          <w:sz w:val="24"/>
          <w:szCs w:val="24"/>
        </w:rPr>
        <w:t>Sustainable tourism: Breakthroughs in research and practice</w:t>
      </w:r>
      <w:r w:rsidRPr="00632DCF">
        <w:rPr>
          <w:rFonts w:ascii="Arial" w:hAnsi="Arial" w:cs="Arial"/>
          <w:sz w:val="24"/>
          <w:szCs w:val="24"/>
        </w:rPr>
        <w:t>. (2019). IGI Global.</w:t>
      </w:r>
    </w:p>
    <w:p w14:paraId="43820C60"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Hooshyari, G., Jackson, W., Gray, E., Song, L., Bose, A., &amp; Callahan, M. (2022, July). Demonstration of a Full Size Integrated Greywater Recycling System Combining Biological Pretreatment with Reverse Osmosis. 51st International Conference on Environmental Systems.</w:t>
      </w:r>
    </w:p>
    <w:p w14:paraId="6F218621"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 xml:space="preserve">Jauhari, V. (2021). </w:t>
      </w:r>
      <w:r w:rsidRPr="00632DCF">
        <w:rPr>
          <w:rFonts w:ascii="Arial" w:hAnsi="Arial" w:cs="Arial"/>
          <w:i/>
          <w:iCs/>
          <w:sz w:val="24"/>
          <w:szCs w:val="24"/>
        </w:rPr>
        <w:t>Managing sustainability in the hospitality and tourism industry: Paradigms and directions for the future</w:t>
      </w:r>
      <w:r w:rsidRPr="00632DCF">
        <w:rPr>
          <w:rFonts w:ascii="Arial" w:hAnsi="Arial" w:cs="Arial"/>
          <w:sz w:val="24"/>
          <w:szCs w:val="24"/>
        </w:rPr>
        <w:t xml:space="preserve"> (9th ed.). Apple Academic Press.</w:t>
      </w:r>
    </w:p>
    <w:p w14:paraId="74239639"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Jiakui, C., Abbas, J., Najam, H., Liu, J., &amp; Abbas, J. (2023). Green technological innovation, green finance, and financial development and their role in green total factor productivity: Empirical insights from China. </w:t>
      </w:r>
      <w:r w:rsidRPr="00632DCF">
        <w:rPr>
          <w:rFonts w:ascii="Arial" w:hAnsi="Arial" w:cs="Arial"/>
          <w:i/>
          <w:iCs/>
          <w:sz w:val="24"/>
          <w:szCs w:val="24"/>
        </w:rPr>
        <w:t>Journal of Cleaner Production</w:t>
      </w:r>
      <w:r w:rsidRPr="00632DCF">
        <w:rPr>
          <w:rFonts w:ascii="Arial" w:hAnsi="Arial" w:cs="Arial"/>
          <w:sz w:val="24"/>
          <w:szCs w:val="24"/>
        </w:rPr>
        <w:t>, </w:t>
      </w:r>
      <w:r w:rsidRPr="00632DCF">
        <w:rPr>
          <w:rFonts w:ascii="Arial" w:hAnsi="Arial" w:cs="Arial"/>
          <w:i/>
          <w:iCs/>
          <w:sz w:val="24"/>
          <w:szCs w:val="24"/>
        </w:rPr>
        <w:t>382</w:t>
      </w:r>
      <w:r w:rsidRPr="00632DCF">
        <w:rPr>
          <w:rFonts w:ascii="Arial" w:hAnsi="Arial" w:cs="Arial"/>
          <w:sz w:val="24"/>
          <w:szCs w:val="24"/>
        </w:rPr>
        <w:t>, 135131.</w:t>
      </w:r>
    </w:p>
    <w:p w14:paraId="1446FAD3"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Khajvand, M., Mostafazadeh, A. K., Drogui, P., &amp; Tyagi, R. D. (2022). Management of greywater: environmental impact, treatment, resource recovery, water recycling, and decentralization. </w:t>
      </w:r>
      <w:r w:rsidRPr="00632DCF">
        <w:rPr>
          <w:rFonts w:ascii="Arial" w:hAnsi="Arial" w:cs="Arial"/>
          <w:i/>
          <w:iCs/>
          <w:sz w:val="24"/>
          <w:szCs w:val="24"/>
        </w:rPr>
        <w:t>Water Science &amp; Technology</w:t>
      </w:r>
      <w:r w:rsidRPr="00632DCF">
        <w:rPr>
          <w:rFonts w:ascii="Arial" w:hAnsi="Arial" w:cs="Arial"/>
          <w:sz w:val="24"/>
          <w:szCs w:val="24"/>
        </w:rPr>
        <w:t>, </w:t>
      </w:r>
      <w:r w:rsidRPr="00632DCF">
        <w:rPr>
          <w:rFonts w:ascii="Arial" w:hAnsi="Arial" w:cs="Arial"/>
          <w:i/>
          <w:iCs/>
          <w:sz w:val="24"/>
          <w:szCs w:val="24"/>
        </w:rPr>
        <w:t>86</w:t>
      </w:r>
      <w:r w:rsidRPr="00632DCF">
        <w:rPr>
          <w:rFonts w:ascii="Arial" w:hAnsi="Arial" w:cs="Arial"/>
          <w:sz w:val="24"/>
          <w:szCs w:val="24"/>
        </w:rPr>
        <w:t>(5), 909-937.</w:t>
      </w:r>
    </w:p>
    <w:p w14:paraId="02113CB5"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 xml:space="preserve">Korstanje, M. B., &amp; Nedelea, A. (2020). </w:t>
      </w:r>
      <w:r w:rsidRPr="00632DCF">
        <w:rPr>
          <w:rFonts w:ascii="Arial" w:hAnsi="Arial" w:cs="Arial"/>
          <w:i/>
          <w:iCs/>
          <w:sz w:val="24"/>
          <w:szCs w:val="24"/>
        </w:rPr>
        <w:t>Strategies for promoting sustainable hospitality and tourism services</w:t>
      </w:r>
      <w:r w:rsidRPr="00632DCF">
        <w:rPr>
          <w:rFonts w:ascii="Arial" w:hAnsi="Arial" w:cs="Arial"/>
          <w:sz w:val="24"/>
          <w:szCs w:val="24"/>
        </w:rPr>
        <w:t>. IGI Global.</w:t>
      </w:r>
    </w:p>
    <w:p w14:paraId="6A52AD3D"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lastRenderedPageBreak/>
        <w:t>Liu, Z., Wang, J., Wang, X., &amp; Wang, Y. (2020). Understanding the impacts of ‘Grain for Greenland management practice on land greening dynamics over the Loess Plateau of China. </w:t>
      </w:r>
      <w:r w:rsidRPr="00632DCF">
        <w:rPr>
          <w:rFonts w:ascii="Arial" w:hAnsi="Arial" w:cs="Arial"/>
          <w:i/>
          <w:iCs/>
          <w:sz w:val="24"/>
          <w:szCs w:val="24"/>
        </w:rPr>
        <w:t>Land Use Policy</w:t>
      </w:r>
      <w:r w:rsidRPr="00632DCF">
        <w:rPr>
          <w:rFonts w:ascii="Arial" w:hAnsi="Arial" w:cs="Arial"/>
          <w:sz w:val="24"/>
          <w:szCs w:val="24"/>
        </w:rPr>
        <w:t>, </w:t>
      </w:r>
      <w:r w:rsidRPr="00632DCF">
        <w:rPr>
          <w:rFonts w:ascii="Arial" w:hAnsi="Arial" w:cs="Arial"/>
          <w:i/>
          <w:iCs/>
          <w:sz w:val="24"/>
          <w:szCs w:val="24"/>
        </w:rPr>
        <w:t>99</w:t>
      </w:r>
      <w:r w:rsidRPr="00632DCF">
        <w:rPr>
          <w:rFonts w:ascii="Arial" w:hAnsi="Arial" w:cs="Arial"/>
          <w:sz w:val="24"/>
          <w:szCs w:val="24"/>
        </w:rPr>
        <w:t>, 105084.</w:t>
      </w:r>
    </w:p>
    <w:p w14:paraId="00CCF3EE"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Mondejar, M. E., Avtar, R., Diaz, H. L. B., Dubey, R. K., Esteban, J., Gómez-Morales, A., ... &amp; Garcia-Segura, S. (2021). Digitalization to achieve sustainable development goals: Steps towards a Smart Green Planet. </w:t>
      </w:r>
      <w:r w:rsidRPr="00632DCF">
        <w:rPr>
          <w:rFonts w:ascii="Arial" w:hAnsi="Arial" w:cs="Arial"/>
          <w:i/>
          <w:iCs/>
          <w:sz w:val="24"/>
          <w:szCs w:val="24"/>
        </w:rPr>
        <w:t>Science of The Total Environment</w:t>
      </w:r>
      <w:r w:rsidRPr="00632DCF">
        <w:rPr>
          <w:rFonts w:ascii="Arial" w:hAnsi="Arial" w:cs="Arial"/>
          <w:sz w:val="24"/>
          <w:szCs w:val="24"/>
        </w:rPr>
        <w:t>, </w:t>
      </w:r>
      <w:r w:rsidRPr="00632DCF">
        <w:rPr>
          <w:rFonts w:ascii="Arial" w:hAnsi="Arial" w:cs="Arial"/>
          <w:i/>
          <w:iCs/>
          <w:sz w:val="24"/>
          <w:szCs w:val="24"/>
        </w:rPr>
        <w:t>794</w:t>
      </w:r>
      <w:r w:rsidRPr="00632DCF">
        <w:rPr>
          <w:rFonts w:ascii="Arial" w:hAnsi="Arial" w:cs="Arial"/>
          <w:sz w:val="24"/>
          <w:szCs w:val="24"/>
        </w:rPr>
        <w:t>, 148539.</w:t>
      </w:r>
    </w:p>
    <w:p w14:paraId="51B691C1"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i/>
          <w:iCs/>
          <w:sz w:val="24"/>
          <w:szCs w:val="24"/>
        </w:rPr>
        <w:t>New governance and management in touristic destinations</w:t>
      </w:r>
      <w:r w:rsidRPr="00632DCF">
        <w:rPr>
          <w:rFonts w:ascii="Arial" w:hAnsi="Arial" w:cs="Arial"/>
          <w:sz w:val="24"/>
          <w:szCs w:val="24"/>
        </w:rPr>
        <w:t>. (2022). IGI Global.</w:t>
      </w:r>
    </w:p>
    <w:p w14:paraId="64027DF7"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Peng, L. L., Jiang, Z., Yang, X., He, Y., Xu, T., &amp; Chen, S. S. (2020). Cooling effects of block-scale facade greening and their relationship with urban form. </w:t>
      </w:r>
      <w:r w:rsidRPr="00632DCF">
        <w:rPr>
          <w:rFonts w:ascii="Arial" w:hAnsi="Arial" w:cs="Arial"/>
          <w:i/>
          <w:iCs/>
          <w:sz w:val="24"/>
          <w:szCs w:val="24"/>
        </w:rPr>
        <w:t>Building and Environment</w:t>
      </w:r>
      <w:r w:rsidRPr="00632DCF">
        <w:rPr>
          <w:rFonts w:ascii="Arial" w:hAnsi="Arial" w:cs="Arial"/>
          <w:sz w:val="24"/>
          <w:szCs w:val="24"/>
        </w:rPr>
        <w:t>, </w:t>
      </w:r>
      <w:r w:rsidRPr="00632DCF">
        <w:rPr>
          <w:rFonts w:ascii="Arial" w:hAnsi="Arial" w:cs="Arial"/>
          <w:i/>
          <w:iCs/>
          <w:sz w:val="24"/>
          <w:szCs w:val="24"/>
        </w:rPr>
        <w:t>169</w:t>
      </w:r>
      <w:r w:rsidRPr="00632DCF">
        <w:rPr>
          <w:rFonts w:ascii="Arial" w:hAnsi="Arial" w:cs="Arial"/>
          <w:sz w:val="24"/>
          <w:szCs w:val="24"/>
        </w:rPr>
        <w:t>, 106552.</w:t>
      </w:r>
    </w:p>
    <w:p w14:paraId="4EA764C4"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Sandra Marcelline, T. R., Chengang, Y., Ralison Ny Avotra, A. A., Hussain, Z., Zonia, J. E., &amp; Nawaz, A. (2022). Impact of green construction procurement on achieving sustainable economic growth influencing green logistic services management and innovation practices. </w:t>
      </w:r>
      <w:r w:rsidRPr="00632DCF">
        <w:rPr>
          <w:rFonts w:ascii="Arial" w:hAnsi="Arial" w:cs="Arial"/>
          <w:i/>
          <w:iCs/>
          <w:sz w:val="24"/>
          <w:szCs w:val="24"/>
        </w:rPr>
        <w:t>Frontiers in Environmental Science</w:t>
      </w:r>
      <w:r w:rsidRPr="00632DCF">
        <w:rPr>
          <w:rFonts w:ascii="Arial" w:hAnsi="Arial" w:cs="Arial"/>
          <w:sz w:val="24"/>
          <w:szCs w:val="24"/>
        </w:rPr>
        <w:t>, </w:t>
      </w:r>
      <w:r w:rsidRPr="00632DCF">
        <w:rPr>
          <w:rFonts w:ascii="Arial" w:hAnsi="Arial" w:cs="Arial"/>
          <w:i/>
          <w:iCs/>
          <w:sz w:val="24"/>
          <w:szCs w:val="24"/>
        </w:rPr>
        <w:t>9</w:t>
      </w:r>
      <w:r w:rsidRPr="00632DCF">
        <w:rPr>
          <w:rFonts w:ascii="Arial" w:hAnsi="Arial" w:cs="Arial"/>
          <w:sz w:val="24"/>
          <w:szCs w:val="24"/>
        </w:rPr>
        <w:t>, 815928.</w:t>
      </w:r>
    </w:p>
    <w:p w14:paraId="06D18C99"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Sarkis, J., Kouhizadeh, M., &amp; Zhu, Q. S. (2021). Digitalization and the greening of supply chains. </w:t>
      </w:r>
      <w:r w:rsidRPr="00632DCF">
        <w:rPr>
          <w:rFonts w:ascii="Arial" w:hAnsi="Arial" w:cs="Arial"/>
          <w:i/>
          <w:iCs/>
          <w:sz w:val="24"/>
          <w:szCs w:val="24"/>
        </w:rPr>
        <w:t>Industrial Management &amp; Data Systems</w:t>
      </w:r>
      <w:r w:rsidRPr="00632DCF">
        <w:rPr>
          <w:rFonts w:ascii="Arial" w:hAnsi="Arial" w:cs="Arial"/>
          <w:sz w:val="24"/>
          <w:szCs w:val="24"/>
        </w:rPr>
        <w:t>, </w:t>
      </w:r>
      <w:r w:rsidRPr="00632DCF">
        <w:rPr>
          <w:rFonts w:ascii="Arial" w:hAnsi="Arial" w:cs="Arial"/>
          <w:i/>
          <w:iCs/>
          <w:sz w:val="24"/>
          <w:szCs w:val="24"/>
        </w:rPr>
        <w:t>121</w:t>
      </w:r>
      <w:r w:rsidRPr="00632DCF">
        <w:rPr>
          <w:rFonts w:ascii="Arial" w:hAnsi="Arial" w:cs="Arial"/>
          <w:sz w:val="24"/>
          <w:szCs w:val="24"/>
        </w:rPr>
        <w:t>(1), 65-85.</w:t>
      </w:r>
    </w:p>
    <w:p w14:paraId="300B7172"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Sharpley, R., &amp; Telfer, D. J. (2023). Tourism supply in a growth-based economy. In </w:t>
      </w:r>
      <w:r w:rsidRPr="00632DCF">
        <w:rPr>
          <w:rFonts w:ascii="Arial" w:hAnsi="Arial" w:cs="Arial"/>
          <w:i/>
          <w:iCs/>
          <w:sz w:val="24"/>
          <w:szCs w:val="24"/>
        </w:rPr>
        <w:t>Rethinking Tourism and Development</w:t>
      </w:r>
      <w:r w:rsidRPr="00632DCF">
        <w:rPr>
          <w:rFonts w:ascii="Arial" w:hAnsi="Arial" w:cs="Arial"/>
          <w:sz w:val="24"/>
          <w:szCs w:val="24"/>
        </w:rPr>
        <w:t xml:space="preserve"> (pp. 102–129). Edward Elgar Publishing.</w:t>
      </w:r>
    </w:p>
    <w:p w14:paraId="420BEE2B"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Shrestha, J., Subedi, S., Timsina, K. P., Subedi, S., Pandey, M., Shrestha, A., ... &amp; Hossain, M. A. (2021). Sustainable intensification in agriculture: an approach for making agriculture greener and productive.</w:t>
      </w:r>
    </w:p>
    <w:p w14:paraId="5EBCB399"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Stang, S., Khalkhali, M., Petrik, M., Palace, M., Lu, Z., &amp; Mo, W. (2021). Spatially optimized distribution of household rainwater harvesting and greywater recycling systems. </w:t>
      </w:r>
      <w:r w:rsidRPr="00632DCF">
        <w:rPr>
          <w:rFonts w:ascii="Arial" w:hAnsi="Arial" w:cs="Arial"/>
          <w:i/>
          <w:iCs/>
          <w:sz w:val="24"/>
          <w:szCs w:val="24"/>
        </w:rPr>
        <w:t>Journal of Cleaner Production</w:t>
      </w:r>
      <w:r w:rsidRPr="00632DCF">
        <w:rPr>
          <w:rFonts w:ascii="Arial" w:hAnsi="Arial" w:cs="Arial"/>
          <w:sz w:val="24"/>
          <w:szCs w:val="24"/>
        </w:rPr>
        <w:t>, </w:t>
      </w:r>
      <w:r w:rsidRPr="00632DCF">
        <w:rPr>
          <w:rFonts w:ascii="Arial" w:hAnsi="Arial" w:cs="Arial"/>
          <w:i/>
          <w:iCs/>
          <w:sz w:val="24"/>
          <w:szCs w:val="24"/>
        </w:rPr>
        <w:t>312</w:t>
      </w:r>
      <w:r w:rsidRPr="00632DCF">
        <w:rPr>
          <w:rFonts w:ascii="Arial" w:hAnsi="Arial" w:cs="Arial"/>
          <w:sz w:val="24"/>
          <w:szCs w:val="24"/>
        </w:rPr>
        <w:t>, 127736.</w:t>
      </w:r>
    </w:p>
    <w:p w14:paraId="0842D578"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Tripathy, P., Prakash, O., Sharma, A., Juneja, C., Hiwrale, I., Shukla, V., &amp; Pal, S. (2024). Facets of cost-benefit analysis of greywater recycling system in the framework of sustainable water security. </w:t>
      </w:r>
      <w:r w:rsidRPr="00632DCF">
        <w:rPr>
          <w:rFonts w:ascii="Arial" w:hAnsi="Arial" w:cs="Arial"/>
          <w:i/>
          <w:iCs/>
          <w:sz w:val="24"/>
          <w:szCs w:val="24"/>
        </w:rPr>
        <w:t>Journal of Cleaner Production</w:t>
      </w:r>
      <w:r w:rsidRPr="00632DCF">
        <w:rPr>
          <w:rFonts w:ascii="Arial" w:hAnsi="Arial" w:cs="Arial"/>
          <w:sz w:val="24"/>
          <w:szCs w:val="24"/>
        </w:rPr>
        <w:t>, 142048.</w:t>
      </w:r>
    </w:p>
    <w:p w14:paraId="07040AC1"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lastRenderedPageBreak/>
        <w:t>Tu, Y., &amp; Wu, W. (2021). How does green innovation improve enterprises’ competitive advantage? The role of organizational learning. </w:t>
      </w:r>
      <w:r w:rsidRPr="00632DCF">
        <w:rPr>
          <w:rFonts w:ascii="Arial" w:hAnsi="Arial" w:cs="Arial"/>
          <w:i/>
          <w:iCs/>
          <w:sz w:val="24"/>
          <w:szCs w:val="24"/>
        </w:rPr>
        <w:t>Sustainable Production and Consumption</w:t>
      </w:r>
      <w:r w:rsidRPr="00632DCF">
        <w:rPr>
          <w:rFonts w:ascii="Arial" w:hAnsi="Arial" w:cs="Arial"/>
          <w:sz w:val="24"/>
          <w:szCs w:val="24"/>
        </w:rPr>
        <w:t>, </w:t>
      </w:r>
      <w:r w:rsidRPr="00632DCF">
        <w:rPr>
          <w:rFonts w:ascii="Arial" w:hAnsi="Arial" w:cs="Arial"/>
          <w:i/>
          <w:iCs/>
          <w:sz w:val="24"/>
          <w:szCs w:val="24"/>
        </w:rPr>
        <w:t>26</w:t>
      </w:r>
      <w:r w:rsidRPr="00632DCF">
        <w:rPr>
          <w:rFonts w:ascii="Arial" w:hAnsi="Arial" w:cs="Arial"/>
          <w:sz w:val="24"/>
          <w:szCs w:val="24"/>
        </w:rPr>
        <w:t>, 504-516.</w:t>
      </w:r>
    </w:p>
    <w:p w14:paraId="411D3D65"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 xml:space="preserve">Wickham, D., Donnelly, T., &amp; French, L. (2021). Strategic sustainability management in the event sector. </w:t>
      </w:r>
      <w:r w:rsidRPr="00632DCF">
        <w:rPr>
          <w:rFonts w:ascii="Arial" w:hAnsi="Arial" w:cs="Arial"/>
          <w:i/>
          <w:iCs/>
          <w:sz w:val="24"/>
          <w:szCs w:val="24"/>
        </w:rPr>
        <w:t>Event Management, 25</w:t>
      </w:r>
      <w:r w:rsidRPr="00632DCF">
        <w:rPr>
          <w:rFonts w:ascii="Arial" w:hAnsi="Arial" w:cs="Arial"/>
          <w:sz w:val="24"/>
          <w:szCs w:val="24"/>
        </w:rPr>
        <w:t>(3), 279–296.</w:t>
      </w:r>
    </w:p>
    <w:p w14:paraId="19C916C6"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 xml:space="preserve">World Trade Organization. (2024). </w:t>
      </w:r>
      <w:r w:rsidRPr="00632DCF">
        <w:rPr>
          <w:rFonts w:ascii="Arial" w:hAnsi="Arial" w:cs="Arial"/>
          <w:i/>
          <w:iCs/>
          <w:sz w:val="24"/>
          <w:szCs w:val="24"/>
        </w:rPr>
        <w:t>Trade and climate change</w:t>
      </w:r>
      <w:r w:rsidRPr="00632DCF">
        <w:rPr>
          <w:rFonts w:ascii="Arial" w:hAnsi="Arial" w:cs="Arial"/>
          <w:sz w:val="24"/>
          <w:szCs w:val="24"/>
        </w:rPr>
        <w:t xml:space="preserve">. </w:t>
      </w:r>
      <w:hyperlink r:id="rId8" w:tgtFrame="_new" w:history="1">
        <w:r w:rsidR="003571E3" w:rsidRPr="00632DCF">
          <w:rPr>
            <w:rStyle w:val="Hyperlink"/>
            <w:rFonts w:ascii="Arial" w:hAnsi="Arial" w:cs="Arial"/>
            <w:color w:val="auto"/>
            <w:sz w:val="24"/>
            <w:szCs w:val="24"/>
          </w:rPr>
          <w:t>https://www.wto.org/english/tratop_e/envir_e/climate_intro_e.htm</w:t>
        </w:r>
      </w:hyperlink>
    </w:p>
    <w:p w14:paraId="527B5D8E" w14:textId="77777777" w:rsidR="003571E3" w:rsidRPr="00632DCF" w:rsidRDefault="00000000" w:rsidP="00632DCF">
      <w:pPr>
        <w:spacing w:after="0" w:afterAutospacing="0" w:line="360" w:lineRule="auto"/>
        <w:ind w:left="720" w:hanging="720"/>
        <w:contextualSpacing/>
        <w:rPr>
          <w:rFonts w:ascii="Arial" w:hAnsi="Arial" w:cs="Arial"/>
          <w:sz w:val="24"/>
          <w:szCs w:val="24"/>
        </w:rPr>
      </w:pPr>
      <w:r w:rsidRPr="00632DCF">
        <w:rPr>
          <w:rFonts w:ascii="Arial" w:hAnsi="Arial" w:cs="Arial"/>
          <w:sz w:val="24"/>
          <w:szCs w:val="24"/>
        </w:rPr>
        <w:t xml:space="preserve">World Trade Organization. (n.d.). </w:t>
      </w:r>
      <w:r w:rsidRPr="00632DCF">
        <w:rPr>
          <w:rFonts w:ascii="Arial" w:hAnsi="Arial" w:cs="Arial"/>
          <w:i/>
          <w:iCs/>
          <w:sz w:val="24"/>
          <w:szCs w:val="24"/>
        </w:rPr>
        <w:t>Home page – Global trade</w:t>
      </w:r>
      <w:r w:rsidRPr="00632DCF">
        <w:rPr>
          <w:rFonts w:ascii="Arial" w:hAnsi="Arial" w:cs="Arial"/>
          <w:sz w:val="24"/>
          <w:szCs w:val="24"/>
        </w:rPr>
        <w:t xml:space="preserve">. </w:t>
      </w:r>
      <w:hyperlink r:id="rId9" w:tgtFrame="_new" w:history="1">
        <w:r w:rsidR="003571E3" w:rsidRPr="00632DCF">
          <w:rPr>
            <w:rStyle w:val="Hyperlink"/>
            <w:rFonts w:ascii="Arial" w:hAnsi="Arial" w:cs="Arial"/>
            <w:color w:val="auto"/>
            <w:sz w:val="24"/>
            <w:szCs w:val="24"/>
          </w:rPr>
          <w:t>https://www.wto.org</w:t>
        </w:r>
      </w:hyperlink>
    </w:p>
    <w:sectPr w:rsidR="003571E3" w:rsidRPr="00632DC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0A18C" w14:textId="77777777" w:rsidR="008F6881" w:rsidRDefault="008F6881">
      <w:pPr>
        <w:spacing w:after="0"/>
      </w:pPr>
      <w:r>
        <w:separator/>
      </w:r>
    </w:p>
  </w:endnote>
  <w:endnote w:type="continuationSeparator" w:id="0">
    <w:p w14:paraId="0588D9C7" w14:textId="77777777" w:rsidR="008F6881" w:rsidRDefault="008F68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AC952" w14:textId="77777777" w:rsidR="008F6881" w:rsidRDefault="008F6881">
      <w:pPr>
        <w:spacing w:after="0"/>
      </w:pPr>
      <w:r>
        <w:separator/>
      </w:r>
    </w:p>
  </w:footnote>
  <w:footnote w:type="continuationSeparator" w:id="0">
    <w:p w14:paraId="7A9A4564" w14:textId="77777777" w:rsidR="008F6881" w:rsidRDefault="008F688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769733860"/>
      <w:docPartObj>
        <w:docPartGallery w:val="Page Numbers (Top of Page)"/>
        <w:docPartUnique/>
      </w:docPartObj>
    </w:sdtPr>
    <w:sdtEndPr>
      <w:rPr>
        <w:noProof/>
      </w:rPr>
    </w:sdtEndPr>
    <w:sdtContent>
      <w:p w14:paraId="670D0481" w14:textId="77777777" w:rsidR="00167DAB" w:rsidRPr="00167DAB" w:rsidRDefault="00000000" w:rsidP="00167DAB">
        <w:pPr>
          <w:pStyle w:val="Header"/>
          <w:spacing w:line="480" w:lineRule="auto"/>
          <w:jc w:val="right"/>
          <w:rPr>
            <w:rFonts w:ascii="Times New Roman" w:hAnsi="Times New Roman" w:cs="Times New Roman"/>
            <w:sz w:val="24"/>
            <w:szCs w:val="24"/>
          </w:rPr>
        </w:pPr>
        <w:r w:rsidRPr="00167DAB">
          <w:rPr>
            <w:rFonts w:ascii="Times New Roman" w:hAnsi="Times New Roman" w:cs="Times New Roman"/>
            <w:sz w:val="24"/>
            <w:szCs w:val="24"/>
          </w:rPr>
          <w:fldChar w:fldCharType="begin"/>
        </w:r>
        <w:r w:rsidRPr="00167DAB">
          <w:rPr>
            <w:rFonts w:ascii="Times New Roman" w:hAnsi="Times New Roman" w:cs="Times New Roman"/>
            <w:sz w:val="24"/>
            <w:szCs w:val="24"/>
          </w:rPr>
          <w:instrText xml:space="preserve"> PAGE   \* MERGEFORMAT </w:instrText>
        </w:r>
        <w:r w:rsidRPr="00167DAB">
          <w:rPr>
            <w:rFonts w:ascii="Times New Roman" w:hAnsi="Times New Roman" w:cs="Times New Roman"/>
            <w:sz w:val="24"/>
            <w:szCs w:val="24"/>
          </w:rPr>
          <w:fldChar w:fldCharType="separate"/>
        </w:r>
        <w:r w:rsidRPr="00167DAB">
          <w:rPr>
            <w:rFonts w:ascii="Times New Roman" w:hAnsi="Times New Roman" w:cs="Times New Roman"/>
            <w:noProof/>
            <w:sz w:val="24"/>
            <w:szCs w:val="24"/>
          </w:rPr>
          <w:t>2</w:t>
        </w:r>
        <w:r w:rsidRPr="00167DAB">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1D2D01"/>
    <w:multiLevelType w:val="multilevel"/>
    <w:tmpl w:val="8F2627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3700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DAB"/>
    <w:rsid w:val="00024B18"/>
    <w:rsid w:val="000A13AE"/>
    <w:rsid w:val="001306FA"/>
    <w:rsid w:val="00167DAB"/>
    <w:rsid w:val="001D779C"/>
    <w:rsid w:val="00303D71"/>
    <w:rsid w:val="003571E3"/>
    <w:rsid w:val="005214C0"/>
    <w:rsid w:val="00596F39"/>
    <w:rsid w:val="006000D0"/>
    <w:rsid w:val="00606625"/>
    <w:rsid w:val="00632DCF"/>
    <w:rsid w:val="006E4BD2"/>
    <w:rsid w:val="006E5D98"/>
    <w:rsid w:val="00736B2A"/>
    <w:rsid w:val="007B1A0D"/>
    <w:rsid w:val="007C570E"/>
    <w:rsid w:val="00896ECA"/>
    <w:rsid w:val="008F6881"/>
    <w:rsid w:val="0090536C"/>
    <w:rsid w:val="00C214AA"/>
    <w:rsid w:val="00CD3380"/>
    <w:rsid w:val="00D1644C"/>
    <w:rsid w:val="00DD04A4"/>
    <w:rsid w:val="00E34A16"/>
    <w:rsid w:val="00F16147"/>
    <w:rsid w:val="00F55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9379B"/>
  <w15:chartTrackingRefBased/>
  <w15:docId w15:val="{478A9D28-4B92-4F51-978F-A8F856985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00" w:afterAutospacing="1"/>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0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00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000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7DAB"/>
    <w:rPr>
      <w:color w:val="0563C1" w:themeColor="hyperlink"/>
      <w:u w:val="single"/>
    </w:rPr>
  </w:style>
  <w:style w:type="character" w:styleId="FollowedHyperlink">
    <w:name w:val="FollowedHyperlink"/>
    <w:basedOn w:val="DefaultParagraphFont"/>
    <w:uiPriority w:val="99"/>
    <w:semiHidden/>
    <w:unhideWhenUsed/>
    <w:rsid w:val="00167DAB"/>
    <w:rPr>
      <w:color w:val="954F72" w:themeColor="followedHyperlink"/>
      <w:u w:val="single"/>
    </w:rPr>
  </w:style>
  <w:style w:type="paragraph" w:styleId="ListParagraph">
    <w:name w:val="List Paragraph"/>
    <w:basedOn w:val="Normal"/>
    <w:uiPriority w:val="34"/>
    <w:qFormat/>
    <w:rsid w:val="00167DAB"/>
    <w:pPr>
      <w:ind w:left="720"/>
      <w:contextualSpacing/>
    </w:pPr>
  </w:style>
  <w:style w:type="paragraph" w:styleId="Header">
    <w:name w:val="header"/>
    <w:basedOn w:val="Normal"/>
    <w:link w:val="HeaderChar"/>
    <w:uiPriority w:val="99"/>
    <w:unhideWhenUsed/>
    <w:rsid w:val="00167DAB"/>
    <w:pPr>
      <w:tabs>
        <w:tab w:val="center" w:pos="4680"/>
        <w:tab w:val="right" w:pos="9360"/>
      </w:tabs>
      <w:spacing w:after="0"/>
    </w:pPr>
  </w:style>
  <w:style w:type="character" w:customStyle="1" w:styleId="HeaderChar">
    <w:name w:val="Header Char"/>
    <w:basedOn w:val="DefaultParagraphFont"/>
    <w:link w:val="Header"/>
    <w:uiPriority w:val="99"/>
    <w:rsid w:val="00167DAB"/>
  </w:style>
  <w:style w:type="paragraph" w:styleId="Footer">
    <w:name w:val="footer"/>
    <w:basedOn w:val="Normal"/>
    <w:link w:val="FooterChar"/>
    <w:uiPriority w:val="99"/>
    <w:unhideWhenUsed/>
    <w:rsid w:val="00167DAB"/>
    <w:pPr>
      <w:tabs>
        <w:tab w:val="center" w:pos="4680"/>
        <w:tab w:val="right" w:pos="9360"/>
      </w:tabs>
      <w:spacing w:after="0"/>
    </w:pPr>
  </w:style>
  <w:style w:type="character" w:customStyle="1" w:styleId="FooterChar">
    <w:name w:val="Footer Char"/>
    <w:basedOn w:val="DefaultParagraphFont"/>
    <w:link w:val="Footer"/>
    <w:uiPriority w:val="99"/>
    <w:rsid w:val="00167DAB"/>
  </w:style>
  <w:style w:type="character" w:customStyle="1" w:styleId="Heading1Char">
    <w:name w:val="Heading 1 Char"/>
    <w:basedOn w:val="DefaultParagraphFont"/>
    <w:link w:val="Heading1"/>
    <w:uiPriority w:val="9"/>
    <w:rsid w:val="006000D0"/>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6000D0"/>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6000D0"/>
    <w:rPr>
      <w:rFonts w:ascii="Times New Roman" w:hAnsi="Times New Roman" w:cs="Times New Roman"/>
      <w:sz w:val="24"/>
      <w:szCs w:val="24"/>
    </w:rPr>
  </w:style>
  <w:style w:type="character" w:customStyle="1" w:styleId="Heading2Char">
    <w:name w:val="Heading 2 Char"/>
    <w:basedOn w:val="DefaultParagraphFont"/>
    <w:link w:val="Heading2"/>
    <w:uiPriority w:val="9"/>
    <w:rsid w:val="006000D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571E3"/>
    <w:pPr>
      <w:spacing w:afterAutospacing="0" w:line="259" w:lineRule="auto"/>
      <w:ind w:firstLine="0"/>
      <w:outlineLvl w:val="9"/>
    </w:pPr>
    <w:rPr>
      <w:kern w:val="0"/>
      <w14:ligatures w14:val="none"/>
    </w:rPr>
  </w:style>
  <w:style w:type="paragraph" w:styleId="TOC1">
    <w:name w:val="toc 1"/>
    <w:basedOn w:val="Normal"/>
    <w:next w:val="Normal"/>
    <w:autoRedefine/>
    <w:uiPriority w:val="39"/>
    <w:unhideWhenUsed/>
    <w:rsid w:val="003571E3"/>
  </w:style>
  <w:style w:type="paragraph" w:styleId="TOC2">
    <w:name w:val="toc 2"/>
    <w:basedOn w:val="Normal"/>
    <w:next w:val="Normal"/>
    <w:autoRedefine/>
    <w:uiPriority w:val="39"/>
    <w:unhideWhenUsed/>
    <w:rsid w:val="003571E3"/>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to.org/english/tratop_e/envir_e/climate_intro_e.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52B-A0C4-49A8-8937-F9CCFC24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3236</Words>
  <Characters>18447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dcterms:created xsi:type="dcterms:W3CDTF">2024-11-09T20:45:00Z</dcterms:created>
  <dcterms:modified xsi:type="dcterms:W3CDTF">2024-11-09T22:16:00Z</dcterms:modified>
</cp:coreProperties>
</file>