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AAA27" w14:textId="73679C33" w:rsidR="00FD3B97" w:rsidRDefault="00FD3B97" w:rsidP="00E02C9B">
      <w:pPr>
        <w:jc w:val="center"/>
      </w:pPr>
    </w:p>
    <w:p w14:paraId="68E04B42" w14:textId="7FB41131" w:rsidR="00B36FF5" w:rsidRDefault="00B36FF5" w:rsidP="00E02C9B">
      <w:pPr>
        <w:jc w:val="center"/>
      </w:pPr>
    </w:p>
    <w:p w14:paraId="3A048C6C" w14:textId="5B8BDC61" w:rsidR="00B36FF5" w:rsidRDefault="00B36FF5" w:rsidP="00E02C9B">
      <w:pPr>
        <w:jc w:val="center"/>
      </w:pPr>
    </w:p>
    <w:p w14:paraId="1F926A94" w14:textId="4F0F7479" w:rsidR="00B36FF5" w:rsidRDefault="00B36FF5" w:rsidP="00E02C9B">
      <w:pPr>
        <w:jc w:val="center"/>
      </w:pPr>
    </w:p>
    <w:p w14:paraId="1EF43574" w14:textId="19B36169" w:rsidR="00B36FF5" w:rsidRDefault="00B36FF5" w:rsidP="00E02C9B">
      <w:pPr>
        <w:jc w:val="center"/>
      </w:pPr>
    </w:p>
    <w:p w14:paraId="11ACAA73" w14:textId="2813C530" w:rsidR="00B36FF5" w:rsidRDefault="00B36FF5" w:rsidP="00E02C9B">
      <w:pPr>
        <w:jc w:val="center"/>
      </w:pPr>
    </w:p>
    <w:p w14:paraId="198079E3" w14:textId="70D0BCD3" w:rsidR="00B36FF5" w:rsidRDefault="00B36FF5" w:rsidP="00E02C9B">
      <w:pPr>
        <w:jc w:val="center"/>
      </w:pPr>
    </w:p>
    <w:p w14:paraId="12E8CFCF" w14:textId="0878F412" w:rsidR="00B36FF5" w:rsidRDefault="00B36FF5" w:rsidP="00E02C9B">
      <w:pPr>
        <w:jc w:val="center"/>
      </w:pPr>
    </w:p>
    <w:p w14:paraId="23380F09" w14:textId="77777777" w:rsidR="00B36FF5" w:rsidRDefault="00B36FF5" w:rsidP="00E02C9B">
      <w:pPr>
        <w:jc w:val="center"/>
      </w:pPr>
    </w:p>
    <w:p w14:paraId="035F8D10" w14:textId="77777777" w:rsidR="00FD3B97" w:rsidRDefault="00FD3B97" w:rsidP="00E02C9B">
      <w:pPr>
        <w:jc w:val="center"/>
      </w:pPr>
    </w:p>
    <w:p w14:paraId="12EFA0F8" w14:textId="77777777" w:rsidR="00FD3B97" w:rsidRDefault="00FD3B97" w:rsidP="00E02C9B">
      <w:pPr>
        <w:jc w:val="center"/>
      </w:pPr>
    </w:p>
    <w:p w14:paraId="0C8042A0" w14:textId="77777777" w:rsidR="00FD3B97" w:rsidRDefault="00FD3B97" w:rsidP="00E02C9B">
      <w:pPr>
        <w:jc w:val="center"/>
      </w:pPr>
    </w:p>
    <w:p w14:paraId="296D06CA" w14:textId="5FA13195" w:rsidR="00FD3B97" w:rsidRPr="00FD3B97" w:rsidRDefault="00FD3B97" w:rsidP="00E02C9B">
      <w:pPr>
        <w:jc w:val="center"/>
        <w:rPr>
          <w:color w:val="2F5496" w:themeColor="accent1" w:themeShade="BF"/>
          <w:sz w:val="44"/>
          <w:szCs w:val="44"/>
        </w:rPr>
      </w:pPr>
      <w:r w:rsidRPr="00FD3B97">
        <w:rPr>
          <w:color w:val="2F5496" w:themeColor="accent1" w:themeShade="BF"/>
          <w:sz w:val="44"/>
          <w:szCs w:val="44"/>
        </w:rPr>
        <w:t xml:space="preserve">CENTRED-CARE VIRTUAL WARD </w:t>
      </w:r>
    </w:p>
    <w:p w14:paraId="0756DDC1" w14:textId="2A85D9E8" w:rsidR="00FD3B97" w:rsidRPr="00FD3B97" w:rsidRDefault="00FD3B97" w:rsidP="00E02C9B">
      <w:pPr>
        <w:jc w:val="center"/>
        <w:rPr>
          <w:color w:val="2F5496" w:themeColor="accent1" w:themeShade="BF"/>
          <w:sz w:val="44"/>
          <w:szCs w:val="44"/>
        </w:rPr>
      </w:pPr>
    </w:p>
    <w:p w14:paraId="6C0553DF" w14:textId="420E721E" w:rsidR="00FD3B97" w:rsidRDefault="00FD3B97" w:rsidP="00E02C9B">
      <w:pPr>
        <w:jc w:val="center"/>
      </w:pPr>
    </w:p>
    <w:p w14:paraId="3F3CC68F" w14:textId="199A37BD" w:rsidR="00FD3B97" w:rsidRDefault="00FD3B97" w:rsidP="00E02C9B">
      <w:pPr>
        <w:jc w:val="center"/>
      </w:pPr>
    </w:p>
    <w:p w14:paraId="4C5914B1" w14:textId="59A91584" w:rsidR="00FD3B97" w:rsidRDefault="00FD3B97" w:rsidP="00E02C9B">
      <w:pPr>
        <w:jc w:val="center"/>
      </w:pPr>
    </w:p>
    <w:p w14:paraId="46AB4E2E" w14:textId="34E323C3" w:rsidR="00FD3B97" w:rsidRDefault="00FD3B97" w:rsidP="00E02C9B">
      <w:pPr>
        <w:jc w:val="center"/>
      </w:pPr>
    </w:p>
    <w:p w14:paraId="08DFBCA5" w14:textId="0A54C064" w:rsidR="00FD3B97" w:rsidRDefault="00FD3B97" w:rsidP="00E02C9B">
      <w:pPr>
        <w:jc w:val="center"/>
      </w:pPr>
    </w:p>
    <w:p w14:paraId="70656383" w14:textId="7CA798B7" w:rsidR="00FD3B97" w:rsidRDefault="00FD3B97" w:rsidP="00E02C9B">
      <w:pPr>
        <w:jc w:val="center"/>
      </w:pPr>
    </w:p>
    <w:p w14:paraId="044EE4A9" w14:textId="61A6CCDB" w:rsidR="00FD3B97" w:rsidRDefault="00FD3B97" w:rsidP="00E02C9B">
      <w:pPr>
        <w:jc w:val="center"/>
      </w:pPr>
    </w:p>
    <w:p w14:paraId="570DE6DE" w14:textId="4FAB226C" w:rsidR="00FD3B97" w:rsidRDefault="00FD3B97" w:rsidP="00E02C9B">
      <w:pPr>
        <w:jc w:val="center"/>
      </w:pPr>
    </w:p>
    <w:p w14:paraId="7354750E" w14:textId="0A1B828A" w:rsidR="00FD3B97" w:rsidRDefault="00FD3B97" w:rsidP="00E02C9B">
      <w:pPr>
        <w:jc w:val="center"/>
      </w:pPr>
    </w:p>
    <w:p w14:paraId="5C6BA3B3" w14:textId="2873F361" w:rsidR="00FD3B97" w:rsidRDefault="00FD3B97" w:rsidP="00E02C9B">
      <w:pPr>
        <w:jc w:val="center"/>
      </w:pPr>
    </w:p>
    <w:p w14:paraId="034C928E" w14:textId="2B9EFB8C" w:rsidR="00FD3B97" w:rsidRDefault="00FD3B97" w:rsidP="00E02C9B">
      <w:pPr>
        <w:jc w:val="center"/>
      </w:pPr>
    </w:p>
    <w:p w14:paraId="0D24F8EA" w14:textId="5E6DE553" w:rsidR="00FD3B97" w:rsidRDefault="00FD3B97" w:rsidP="00E02C9B">
      <w:pPr>
        <w:jc w:val="center"/>
      </w:pPr>
    </w:p>
    <w:p w14:paraId="39038376" w14:textId="56D70555" w:rsidR="00FD3B97" w:rsidRDefault="00FD3B97" w:rsidP="00E02C9B">
      <w:pPr>
        <w:jc w:val="center"/>
      </w:pPr>
    </w:p>
    <w:p w14:paraId="11F461F4" w14:textId="675E7979" w:rsidR="00FD3B97" w:rsidRDefault="00FD3B97" w:rsidP="00E02C9B">
      <w:pPr>
        <w:jc w:val="center"/>
      </w:pPr>
    </w:p>
    <w:p w14:paraId="2E66FAC3" w14:textId="3FAEE295" w:rsidR="00FD3B97" w:rsidRDefault="00FD3B97" w:rsidP="00E02C9B">
      <w:pPr>
        <w:jc w:val="center"/>
      </w:pPr>
    </w:p>
    <w:p w14:paraId="33373C81" w14:textId="6918FA8D" w:rsidR="00FD3B97" w:rsidRDefault="00FD3B97" w:rsidP="00E02C9B">
      <w:pPr>
        <w:jc w:val="center"/>
      </w:pPr>
    </w:p>
    <w:p w14:paraId="7E50DD51" w14:textId="7F47746B" w:rsidR="00FD3B97" w:rsidRDefault="00FD3B97" w:rsidP="00E02C9B">
      <w:pPr>
        <w:jc w:val="center"/>
      </w:pPr>
    </w:p>
    <w:p w14:paraId="734A20C8" w14:textId="7DD898DB" w:rsidR="00FD3B97" w:rsidRDefault="00FD3B97" w:rsidP="00E02C9B">
      <w:pPr>
        <w:jc w:val="center"/>
      </w:pPr>
    </w:p>
    <w:p w14:paraId="796D01AA" w14:textId="77777777" w:rsidR="00FD3B97" w:rsidRDefault="00FD3B97" w:rsidP="00E02C9B">
      <w:pPr>
        <w:jc w:val="center"/>
      </w:pPr>
    </w:p>
    <w:p w14:paraId="0A7C240B" w14:textId="28757AA4" w:rsidR="00FD3B97" w:rsidRPr="00FD3B97" w:rsidRDefault="00FD3B97" w:rsidP="00E02C9B">
      <w:pPr>
        <w:jc w:val="center"/>
        <w:rPr>
          <w:sz w:val="32"/>
          <w:szCs w:val="32"/>
        </w:rPr>
      </w:pPr>
      <w:r w:rsidRPr="00FD3B97">
        <w:rPr>
          <w:sz w:val="32"/>
          <w:szCs w:val="32"/>
        </w:rPr>
        <w:t>Student: Elisabeta-Alexandra Enache 2011897</w:t>
      </w:r>
    </w:p>
    <w:p w14:paraId="4D6F79F3" w14:textId="7BE2A3E5" w:rsidR="00FD3B97" w:rsidRPr="00FD3B97" w:rsidRDefault="00FD3B97" w:rsidP="00E02C9B">
      <w:pPr>
        <w:jc w:val="center"/>
        <w:rPr>
          <w:sz w:val="32"/>
          <w:szCs w:val="32"/>
        </w:rPr>
      </w:pPr>
      <w:r w:rsidRPr="00FD3B97">
        <w:rPr>
          <w:sz w:val="32"/>
          <w:szCs w:val="32"/>
        </w:rPr>
        <w:t xml:space="preserve">Module: Developing Innovation and Creativity for Business Advantage </w:t>
      </w:r>
    </w:p>
    <w:p w14:paraId="40B680FA" w14:textId="3DEEAA4A" w:rsidR="00FD3B97" w:rsidRPr="00FD3B97" w:rsidRDefault="00FD3B97" w:rsidP="00E02C9B">
      <w:pPr>
        <w:jc w:val="center"/>
        <w:rPr>
          <w:sz w:val="32"/>
          <w:szCs w:val="32"/>
        </w:rPr>
      </w:pPr>
      <w:r w:rsidRPr="00FD3B97">
        <w:rPr>
          <w:sz w:val="32"/>
          <w:szCs w:val="32"/>
        </w:rPr>
        <w:t>Module code: BMSW6102_LON</w:t>
      </w:r>
    </w:p>
    <w:p w14:paraId="0A8856E3" w14:textId="27DF31B8" w:rsidR="00FD3B97" w:rsidRPr="00FD3B97" w:rsidRDefault="00FD3B97" w:rsidP="00E02C9B">
      <w:pPr>
        <w:jc w:val="center"/>
        <w:rPr>
          <w:sz w:val="32"/>
          <w:szCs w:val="32"/>
        </w:rPr>
      </w:pPr>
      <w:r w:rsidRPr="00FD3B97">
        <w:rPr>
          <w:sz w:val="32"/>
          <w:szCs w:val="32"/>
        </w:rPr>
        <w:t xml:space="preserve">Lecturer: </w:t>
      </w:r>
      <w:proofErr w:type="spellStart"/>
      <w:r w:rsidRPr="00FD3B97">
        <w:rPr>
          <w:sz w:val="32"/>
          <w:szCs w:val="32"/>
        </w:rPr>
        <w:t>Rexon</w:t>
      </w:r>
      <w:proofErr w:type="spellEnd"/>
      <w:r w:rsidRPr="00FD3B97">
        <w:rPr>
          <w:sz w:val="32"/>
          <w:szCs w:val="32"/>
        </w:rPr>
        <w:t xml:space="preserve"> </w:t>
      </w:r>
      <w:proofErr w:type="spellStart"/>
      <w:r w:rsidRPr="00FD3B97">
        <w:rPr>
          <w:sz w:val="32"/>
          <w:szCs w:val="32"/>
        </w:rPr>
        <w:t>Kniting</w:t>
      </w:r>
      <w:proofErr w:type="spellEnd"/>
    </w:p>
    <w:p w14:paraId="38833783" w14:textId="1639D1FA" w:rsidR="00FD3B97" w:rsidRPr="00FD3B97" w:rsidRDefault="00FD3B97" w:rsidP="00E02C9B">
      <w:pPr>
        <w:jc w:val="center"/>
        <w:rPr>
          <w:sz w:val="32"/>
          <w:szCs w:val="32"/>
        </w:rPr>
      </w:pPr>
      <w:r w:rsidRPr="00FD3B97">
        <w:rPr>
          <w:sz w:val="32"/>
          <w:szCs w:val="32"/>
        </w:rPr>
        <w:t xml:space="preserve">Programme: BA (HONS) Leadership and Management – level 6 </w:t>
      </w:r>
    </w:p>
    <w:p w14:paraId="43392F93" w14:textId="3EA2B773" w:rsidR="00FD3B97" w:rsidRPr="00FD3B97" w:rsidRDefault="00FD3B97" w:rsidP="00E02C9B">
      <w:pPr>
        <w:jc w:val="center"/>
        <w:rPr>
          <w:sz w:val="32"/>
          <w:szCs w:val="32"/>
        </w:rPr>
      </w:pPr>
      <w:r w:rsidRPr="00FD3B97">
        <w:rPr>
          <w:sz w:val="32"/>
          <w:szCs w:val="32"/>
        </w:rPr>
        <w:t>University of Wales Trinity Saint David</w:t>
      </w:r>
    </w:p>
    <w:p w14:paraId="03649ABC" w14:textId="2ED91937" w:rsidR="00FD3B97" w:rsidRPr="00FD3B97" w:rsidRDefault="00FD3B97" w:rsidP="00E02C9B">
      <w:pPr>
        <w:jc w:val="center"/>
        <w:rPr>
          <w:sz w:val="32"/>
          <w:szCs w:val="32"/>
        </w:rPr>
      </w:pPr>
      <w:r w:rsidRPr="00FD3B97">
        <w:rPr>
          <w:sz w:val="32"/>
          <w:szCs w:val="32"/>
        </w:rPr>
        <w:t>London Campus</w:t>
      </w:r>
    </w:p>
    <w:p w14:paraId="369C108A" w14:textId="77777777" w:rsidR="00FD3B97" w:rsidRPr="00FD3B97" w:rsidRDefault="00FD3B97" w:rsidP="00E02C9B">
      <w:pPr>
        <w:jc w:val="center"/>
        <w:rPr>
          <w:sz w:val="32"/>
          <w:szCs w:val="32"/>
        </w:rPr>
      </w:pPr>
    </w:p>
    <w:p w14:paraId="7FC05D06" w14:textId="11BDA0ED" w:rsidR="00FD3B97" w:rsidRPr="00FD3B97" w:rsidRDefault="00FD3B97" w:rsidP="00E02C9B">
      <w:pPr>
        <w:jc w:val="center"/>
        <w:rPr>
          <w:sz w:val="32"/>
          <w:szCs w:val="32"/>
        </w:rPr>
      </w:pPr>
    </w:p>
    <w:p w14:paraId="32D34D62" w14:textId="6F4C85A9" w:rsidR="00FD3B97" w:rsidRDefault="00FD3B97" w:rsidP="00E02C9B">
      <w:pPr>
        <w:jc w:val="center"/>
      </w:pPr>
    </w:p>
    <w:p w14:paraId="5D5EA104" w14:textId="3819B371" w:rsidR="00FD3B97" w:rsidRDefault="00FD3B97" w:rsidP="00E02C9B">
      <w:pPr>
        <w:jc w:val="center"/>
      </w:pPr>
    </w:p>
    <w:p w14:paraId="3CFC1377" w14:textId="77777777" w:rsidR="00FD3B97" w:rsidRDefault="00FD3B97" w:rsidP="00E02C9B">
      <w:pPr>
        <w:jc w:val="center"/>
      </w:pPr>
    </w:p>
    <w:p w14:paraId="2B85C932" w14:textId="77777777" w:rsidR="00FD3B97" w:rsidRDefault="00FD3B97" w:rsidP="00E02C9B">
      <w:pPr>
        <w:jc w:val="center"/>
      </w:pPr>
    </w:p>
    <w:p w14:paraId="5DBA4F00" w14:textId="77777777" w:rsidR="00FD3B97" w:rsidRDefault="00FD3B97" w:rsidP="00E02C9B">
      <w:pPr>
        <w:jc w:val="center"/>
      </w:pPr>
    </w:p>
    <w:p w14:paraId="6F0CFEB8" w14:textId="77777777" w:rsidR="00FD3B97" w:rsidRDefault="00FD3B97" w:rsidP="00E02C9B">
      <w:pPr>
        <w:jc w:val="center"/>
      </w:pPr>
    </w:p>
    <w:p w14:paraId="46BC911C" w14:textId="77777777" w:rsidR="00FD3B97" w:rsidRDefault="00FD3B97" w:rsidP="00E02C9B">
      <w:pPr>
        <w:jc w:val="center"/>
      </w:pPr>
    </w:p>
    <w:p w14:paraId="68A893AE" w14:textId="77777777" w:rsidR="00FD3B97" w:rsidRDefault="00FD3B97" w:rsidP="00E02C9B">
      <w:pPr>
        <w:jc w:val="center"/>
      </w:pPr>
    </w:p>
    <w:p w14:paraId="12A9EA31" w14:textId="77777777" w:rsidR="00FD3B97" w:rsidRDefault="00FD3B97" w:rsidP="00E02C9B">
      <w:pPr>
        <w:jc w:val="center"/>
      </w:pPr>
    </w:p>
    <w:sdt>
      <w:sdtPr>
        <w:rPr>
          <w:rFonts w:ascii="Arial" w:hAnsi="Arial" w:cs="Arial"/>
          <w:sz w:val="22"/>
          <w:szCs w:val="22"/>
        </w:rPr>
        <w:id w:val="188872686"/>
        <w:docPartObj>
          <w:docPartGallery w:val="Table of Contents"/>
          <w:docPartUnique/>
        </w:docPartObj>
      </w:sdtPr>
      <w:sdtEndPr>
        <w:rPr>
          <w:rFonts w:eastAsiaTheme="minorEastAsia"/>
          <w:b/>
          <w:bCs/>
          <w:noProof/>
          <w:color w:val="auto"/>
          <w:lang w:val="en-GB" w:eastAsia="zh-CN"/>
        </w:rPr>
      </w:sdtEndPr>
      <w:sdtContent>
        <w:p w14:paraId="0B804DEF" w14:textId="6C8A02F6" w:rsidR="00B36FF5" w:rsidRPr="00182A1C" w:rsidRDefault="00B36FF5">
          <w:pPr>
            <w:pStyle w:val="TOCHeading"/>
            <w:rPr>
              <w:rFonts w:ascii="Arial" w:hAnsi="Arial" w:cs="Arial"/>
              <w:sz w:val="22"/>
              <w:szCs w:val="22"/>
            </w:rPr>
          </w:pPr>
          <w:r w:rsidRPr="00182A1C">
            <w:rPr>
              <w:rFonts w:ascii="Arial" w:hAnsi="Arial" w:cs="Arial"/>
              <w:sz w:val="22"/>
              <w:szCs w:val="22"/>
            </w:rPr>
            <w:t>Contents</w:t>
          </w:r>
        </w:p>
        <w:p w14:paraId="2E186498" w14:textId="5B8FF9D5" w:rsidR="00182A1C" w:rsidRDefault="00B36FF5">
          <w:pPr>
            <w:pStyle w:val="TOC1"/>
            <w:tabs>
              <w:tab w:val="right" w:leader="dot" w:pos="9016"/>
            </w:tabs>
            <w:rPr>
              <w:noProof/>
            </w:rPr>
          </w:pPr>
          <w:r w:rsidRPr="00182A1C">
            <w:rPr>
              <w:rFonts w:ascii="Arial" w:hAnsi="Arial" w:cs="Arial"/>
            </w:rPr>
            <w:fldChar w:fldCharType="begin"/>
          </w:r>
          <w:r w:rsidRPr="00182A1C">
            <w:rPr>
              <w:rFonts w:ascii="Arial" w:hAnsi="Arial" w:cs="Arial"/>
            </w:rPr>
            <w:instrText xml:space="preserve"> TOC \o "1-3" \h \z \u </w:instrText>
          </w:r>
          <w:r w:rsidRPr="00182A1C">
            <w:rPr>
              <w:rFonts w:ascii="Arial" w:hAnsi="Arial" w:cs="Arial"/>
            </w:rPr>
            <w:fldChar w:fldCharType="separate"/>
          </w:r>
          <w:hyperlink w:anchor="_Toc134089359" w:history="1">
            <w:r w:rsidR="00182A1C" w:rsidRPr="00237CD3">
              <w:rPr>
                <w:rStyle w:val="Hyperlink"/>
                <w:rFonts w:ascii="Arial" w:hAnsi="Arial" w:cs="Arial"/>
                <w:noProof/>
              </w:rPr>
              <w:t>Conceptual Issues</w:t>
            </w:r>
            <w:r w:rsidR="00182A1C">
              <w:rPr>
                <w:noProof/>
                <w:webHidden/>
              </w:rPr>
              <w:tab/>
            </w:r>
            <w:r w:rsidR="00182A1C">
              <w:rPr>
                <w:noProof/>
                <w:webHidden/>
              </w:rPr>
              <w:fldChar w:fldCharType="begin"/>
            </w:r>
            <w:r w:rsidR="00182A1C">
              <w:rPr>
                <w:noProof/>
                <w:webHidden/>
              </w:rPr>
              <w:instrText xml:space="preserve"> PAGEREF _Toc134089359 \h </w:instrText>
            </w:r>
            <w:r w:rsidR="00182A1C">
              <w:rPr>
                <w:noProof/>
                <w:webHidden/>
              </w:rPr>
            </w:r>
            <w:r w:rsidR="00182A1C">
              <w:rPr>
                <w:noProof/>
                <w:webHidden/>
              </w:rPr>
              <w:fldChar w:fldCharType="separate"/>
            </w:r>
            <w:r w:rsidR="00182A1C">
              <w:rPr>
                <w:noProof/>
                <w:webHidden/>
              </w:rPr>
              <w:t>4</w:t>
            </w:r>
            <w:r w:rsidR="00182A1C">
              <w:rPr>
                <w:noProof/>
                <w:webHidden/>
              </w:rPr>
              <w:fldChar w:fldCharType="end"/>
            </w:r>
          </w:hyperlink>
        </w:p>
        <w:p w14:paraId="78D7EF49" w14:textId="44378389" w:rsidR="00182A1C" w:rsidRDefault="00182A1C">
          <w:pPr>
            <w:pStyle w:val="TOC1"/>
            <w:tabs>
              <w:tab w:val="right" w:leader="dot" w:pos="9016"/>
            </w:tabs>
            <w:rPr>
              <w:noProof/>
            </w:rPr>
          </w:pPr>
          <w:hyperlink w:anchor="_Toc134089360" w:history="1">
            <w:r w:rsidRPr="00237CD3">
              <w:rPr>
                <w:rStyle w:val="Hyperlink"/>
                <w:rFonts w:ascii="Arial" w:hAnsi="Arial" w:cs="Arial"/>
                <w:noProof/>
              </w:rPr>
              <w:t>Centred-Care Project</w:t>
            </w:r>
            <w:r>
              <w:rPr>
                <w:noProof/>
                <w:webHidden/>
              </w:rPr>
              <w:tab/>
            </w:r>
            <w:r>
              <w:rPr>
                <w:noProof/>
                <w:webHidden/>
              </w:rPr>
              <w:fldChar w:fldCharType="begin"/>
            </w:r>
            <w:r>
              <w:rPr>
                <w:noProof/>
                <w:webHidden/>
              </w:rPr>
              <w:instrText xml:space="preserve"> PAGEREF _Toc134089360 \h </w:instrText>
            </w:r>
            <w:r>
              <w:rPr>
                <w:noProof/>
                <w:webHidden/>
              </w:rPr>
            </w:r>
            <w:r>
              <w:rPr>
                <w:noProof/>
                <w:webHidden/>
              </w:rPr>
              <w:fldChar w:fldCharType="separate"/>
            </w:r>
            <w:r>
              <w:rPr>
                <w:noProof/>
                <w:webHidden/>
              </w:rPr>
              <w:t>5</w:t>
            </w:r>
            <w:r>
              <w:rPr>
                <w:noProof/>
                <w:webHidden/>
              </w:rPr>
              <w:fldChar w:fldCharType="end"/>
            </w:r>
          </w:hyperlink>
        </w:p>
        <w:p w14:paraId="0F03BC15" w14:textId="0AFF91C1" w:rsidR="00182A1C" w:rsidRDefault="00182A1C">
          <w:pPr>
            <w:pStyle w:val="TOC1"/>
            <w:tabs>
              <w:tab w:val="right" w:leader="dot" w:pos="9016"/>
            </w:tabs>
            <w:rPr>
              <w:noProof/>
            </w:rPr>
          </w:pPr>
          <w:hyperlink w:anchor="_Toc134089361" w:history="1">
            <w:r w:rsidRPr="00237CD3">
              <w:rPr>
                <w:rStyle w:val="Hyperlink"/>
                <w:rFonts w:ascii="Arial" w:hAnsi="Arial" w:cs="Arial"/>
                <w:noProof/>
              </w:rPr>
              <w:t>PESTEL analysis</w:t>
            </w:r>
            <w:r>
              <w:rPr>
                <w:noProof/>
                <w:webHidden/>
              </w:rPr>
              <w:tab/>
            </w:r>
            <w:r>
              <w:rPr>
                <w:noProof/>
                <w:webHidden/>
              </w:rPr>
              <w:fldChar w:fldCharType="begin"/>
            </w:r>
            <w:r>
              <w:rPr>
                <w:noProof/>
                <w:webHidden/>
              </w:rPr>
              <w:instrText xml:space="preserve"> PAGEREF _Toc134089361 \h </w:instrText>
            </w:r>
            <w:r>
              <w:rPr>
                <w:noProof/>
                <w:webHidden/>
              </w:rPr>
            </w:r>
            <w:r>
              <w:rPr>
                <w:noProof/>
                <w:webHidden/>
              </w:rPr>
              <w:fldChar w:fldCharType="separate"/>
            </w:r>
            <w:r>
              <w:rPr>
                <w:noProof/>
                <w:webHidden/>
              </w:rPr>
              <w:t>6</w:t>
            </w:r>
            <w:r>
              <w:rPr>
                <w:noProof/>
                <w:webHidden/>
              </w:rPr>
              <w:fldChar w:fldCharType="end"/>
            </w:r>
          </w:hyperlink>
        </w:p>
        <w:p w14:paraId="1D532F26" w14:textId="1B044D57" w:rsidR="00182A1C" w:rsidRDefault="00182A1C">
          <w:pPr>
            <w:pStyle w:val="TOC1"/>
            <w:tabs>
              <w:tab w:val="right" w:leader="dot" w:pos="9016"/>
            </w:tabs>
            <w:rPr>
              <w:noProof/>
            </w:rPr>
          </w:pPr>
          <w:hyperlink w:anchor="_Toc134089362" w:history="1">
            <w:r w:rsidRPr="00237CD3">
              <w:rPr>
                <w:rStyle w:val="Hyperlink"/>
                <w:rFonts w:ascii="Arial" w:hAnsi="Arial" w:cs="Arial"/>
                <w:noProof/>
              </w:rPr>
              <w:t>STP model</w:t>
            </w:r>
            <w:r>
              <w:rPr>
                <w:noProof/>
                <w:webHidden/>
              </w:rPr>
              <w:tab/>
            </w:r>
            <w:r>
              <w:rPr>
                <w:noProof/>
                <w:webHidden/>
              </w:rPr>
              <w:fldChar w:fldCharType="begin"/>
            </w:r>
            <w:r>
              <w:rPr>
                <w:noProof/>
                <w:webHidden/>
              </w:rPr>
              <w:instrText xml:space="preserve"> PAGEREF _Toc134089362 \h </w:instrText>
            </w:r>
            <w:r>
              <w:rPr>
                <w:noProof/>
                <w:webHidden/>
              </w:rPr>
            </w:r>
            <w:r>
              <w:rPr>
                <w:noProof/>
                <w:webHidden/>
              </w:rPr>
              <w:fldChar w:fldCharType="separate"/>
            </w:r>
            <w:r>
              <w:rPr>
                <w:noProof/>
                <w:webHidden/>
              </w:rPr>
              <w:t>7</w:t>
            </w:r>
            <w:r>
              <w:rPr>
                <w:noProof/>
                <w:webHidden/>
              </w:rPr>
              <w:fldChar w:fldCharType="end"/>
            </w:r>
          </w:hyperlink>
        </w:p>
        <w:p w14:paraId="1B447D27" w14:textId="457D5DDD" w:rsidR="00182A1C" w:rsidRDefault="00182A1C">
          <w:pPr>
            <w:pStyle w:val="TOC1"/>
            <w:tabs>
              <w:tab w:val="right" w:leader="dot" w:pos="9016"/>
            </w:tabs>
            <w:rPr>
              <w:noProof/>
            </w:rPr>
          </w:pPr>
          <w:hyperlink w:anchor="_Toc134089363" w:history="1">
            <w:r w:rsidRPr="00237CD3">
              <w:rPr>
                <w:rStyle w:val="Hyperlink"/>
                <w:rFonts w:ascii="Arial" w:hAnsi="Arial" w:cs="Arial"/>
                <w:noProof/>
              </w:rPr>
              <w:t>Porter’s five forces</w:t>
            </w:r>
            <w:r>
              <w:rPr>
                <w:noProof/>
                <w:webHidden/>
              </w:rPr>
              <w:tab/>
            </w:r>
            <w:r>
              <w:rPr>
                <w:noProof/>
                <w:webHidden/>
              </w:rPr>
              <w:fldChar w:fldCharType="begin"/>
            </w:r>
            <w:r>
              <w:rPr>
                <w:noProof/>
                <w:webHidden/>
              </w:rPr>
              <w:instrText xml:space="preserve"> PAGEREF _Toc134089363 \h </w:instrText>
            </w:r>
            <w:r>
              <w:rPr>
                <w:noProof/>
                <w:webHidden/>
              </w:rPr>
            </w:r>
            <w:r>
              <w:rPr>
                <w:noProof/>
                <w:webHidden/>
              </w:rPr>
              <w:fldChar w:fldCharType="separate"/>
            </w:r>
            <w:r>
              <w:rPr>
                <w:noProof/>
                <w:webHidden/>
              </w:rPr>
              <w:t>8</w:t>
            </w:r>
            <w:r>
              <w:rPr>
                <w:noProof/>
                <w:webHidden/>
              </w:rPr>
              <w:fldChar w:fldCharType="end"/>
            </w:r>
          </w:hyperlink>
        </w:p>
        <w:p w14:paraId="2D820B6C" w14:textId="71E15184" w:rsidR="00182A1C" w:rsidRDefault="00182A1C">
          <w:pPr>
            <w:pStyle w:val="TOC1"/>
            <w:tabs>
              <w:tab w:val="right" w:leader="dot" w:pos="9016"/>
            </w:tabs>
            <w:rPr>
              <w:noProof/>
            </w:rPr>
          </w:pPr>
          <w:hyperlink w:anchor="_Toc134089364" w:history="1">
            <w:r w:rsidRPr="00237CD3">
              <w:rPr>
                <w:rStyle w:val="Hyperlink"/>
                <w:rFonts w:ascii="Arial" w:hAnsi="Arial" w:cs="Arial"/>
                <w:noProof/>
              </w:rPr>
              <w:t>Open Innovation business</w:t>
            </w:r>
            <w:r>
              <w:rPr>
                <w:noProof/>
                <w:webHidden/>
              </w:rPr>
              <w:tab/>
            </w:r>
            <w:r>
              <w:rPr>
                <w:noProof/>
                <w:webHidden/>
              </w:rPr>
              <w:fldChar w:fldCharType="begin"/>
            </w:r>
            <w:r>
              <w:rPr>
                <w:noProof/>
                <w:webHidden/>
              </w:rPr>
              <w:instrText xml:space="preserve"> PAGEREF _Toc134089364 \h </w:instrText>
            </w:r>
            <w:r>
              <w:rPr>
                <w:noProof/>
                <w:webHidden/>
              </w:rPr>
            </w:r>
            <w:r>
              <w:rPr>
                <w:noProof/>
                <w:webHidden/>
              </w:rPr>
              <w:fldChar w:fldCharType="separate"/>
            </w:r>
            <w:r>
              <w:rPr>
                <w:noProof/>
                <w:webHidden/>
              </w:rPr>
              <w:t>9</w:t>
            </w:r>
            <w:r>
              <w:rPr>
                <w:noProof/>
                <w:webHidden/>
              </w:rPr>
              <w:fldChar w:fldCharType="end"/>
            </w:r>
          </w:hyperlink>
        </w:p>
        <w:p w14:paraId="70FD084C" w14:textId="0832B793" w:rsidR="00182A1C" w:rsidRDefault="00182A1C">
          <w:pPr>
            <w:pStyle w:val="TOC1"/>
            <w:tabs>
              <w:tab w:val="right" w:leader="dot" w:pos="9016"/>
            </w:tabs>
            <w:rPr>
              <w:noProof/>
            </w:rPr>
          </w:pPr>
          <w:hyperlink w:anchor="_Toc134089365" w:history="1">
            <w:r w:rsidRPr="00237CD3">
              <w:rPr>
                <w:rStyle w:val="Hyperlink"/>
                <w:rFonts w:ascii="Arial" w:hAnsi="Arial" w:cs="Arial"/>
                <w:noProof/>
              </w:rPr>
              <w:t>Sustainability</w:t>
            </w:r>
            <w:r>
              <w:rPr>
                <w:noProof/>
                <w:webHidden/>
              </w:rPr>
              <w:tab/>
            </w:r>
            <w:r>
              <w:rPr>
                <w:noProof/>
                <w:webHidden/>
              </w:rPr>
              <w:fldChar w:fldCharType="begin"/>
            </w:r>
            <w:r>
              <w:rPr>
                <w:noProof/>
                <w:webHidden/>
              </w:rPr>
              <w:instrText xml:space="preserve"> PAGEREF _Toc134089365 \h </w:instrText>
            </w:r>
            <w:r>
              <w:rPr>
                <w:noProof/>
                <w:webHidden/>
              </w:rPr>
            </w:r>
            <w:r>
              <w:rPr>
                <w:noProof/>
                <w:webHidden/>
              </w:rPr>
              <w:fldChar w:fldCharType="separate"/>
            </w:r>
            <w:r>
              <w:rPr>
                <w:noProof/>
                <w:webHidden/>
              </w:rPr>
              <w:t>9</w:t>
            </w:r>
            <w:r>
              <w:rPr>
                <w:noProof/>
                <w:webHidden/>
              </w:rPr>
              <w:fldChar w:fldCharType="end"/>
            </w:r>
          </w:hyperlink>
        </w:p>
        <w:p w14:paraId="36343230" w14:textId="1C100717" w:rsidR="00182A1C" w:rsidRDefault="00182A1C">
          <w:pPr>
            <w:pStyle w:val="TOC1"/>
            <w:tabs>
              <w:tab w:val="right" w:leader="dot" w:pos="9016"/>
            </w:tabs>
            <w:rPr>
              <w:noProof/>
            </w:rPr>
          </w:pPr>
          <w:hyperlink w:anchor="_Toc134089366" w:history="1">
            <w:r w:rsidRPr="00237CD3">
              <w:rPr>
                <w:rStyle w:val="Hyperlink"/>
                <w:rFonts w:ascii="Arial" w:hAnsi="Arial" w:cs="Arial"/>
                <w:noProof/>
              </w:rPr>
              <w:t>Business Marketing and Promotion</w:t>
            </w:r>
            <w:r>
              <w:rPr>
                <w:noProof/>
                <w:webHidden/>
              </w:rPr>
              <w:tab/>
            </w:r>
            <w:r>
              <w:rPr>
                <w:noProof/>
                <w:webHidden/>
              </w:rPr>
              <w:fldChar w:fldCharType="begin"/>
            </w:r>
            <w:r>
              <w:rPr>
                <w:noProof/>
                <w:webHidden/>
              </w:rPr>
              <w:instrText xml:space="preserve"> PAGEREF _Toc134089366 \h </w:instrText>
            </w:r>
            <w:r>
              <w:rPr>
                <w:noProof/>
                <w:webHidden/>
              </w:rPr>
            </w:r>
            <w:r>
              <w:rPr>
                <w:noProof/>
                <w:webHidden/>
              </w:rPr>
              <w:fldChar w:fldCharType="separate"/>
            </w:r>
            <w:r>
              <w:rPr>
                <w:noProof/>
                <w:webHidden/>
              </w:rPr>
              <w:t>10</w:t>
            </w:r>
            <w:r>
              <w:rPr>
                <w:noProof/>
                <w:webHidden/>
              </w:rPr>
              <w:fldChar w:fldCharType="end"/>
            </w:r>
          </w:hyperlink>
        </w:p>
        <w:p w14:paraId="0B76288B" w14:textId="62742803" w:rsidR="00182A1C" w:rsidRDefault="00182A1C">
          <w:pPr>
            <w:pStyle w:val="TOC1"/>
            <w:tabs>
              <w:tab w:val="right" w:leader="dot" w:pos="9016"/>
            </w:tabs>
            <w:rPr>
              <w:noProof/>
            </w:rPr>
          </w:pPr>
          <w:hyperlink w:anchor="_Toc134089367" w:history="1">
            <w:r w:rsidRPr="00237CD3">
              <w:rPr>
                <w:rStyle w:val="Hyperlink"/>
                <w:rFonts w:ascii="Arial" w:hAnsi="Arial" w:cs="Arial"/>
                <w:noProof/>
              </w:rPr>
              <w:t>Payment and facilities</w:t>
            </w:r>
            <w:r>
              <w:rPr>
                <w:noProof/>
                <w:webHidden/>
              </w:rPr>
              <w:tab/>
            </w:r>
            <w:r>
              <w:rPr>
                <w:noProof/>
                <w:webHidden/>
              </w:rPr>
              <w:fldChar w:fldCharType="begin"/>
            </w:r>
            <w:r>
              <w:rPr>
                <w:noProof/>
                <w:webHidden/>
              </w:rPr>
              <w:instrText xml:space="preserve"> PAGEREF _Toc134089367 \h </w:instrText>
            </w:r>
            <w:r>
              <w:rPr>
                <w:noProof/>
                <w:webHidden/>
              </w:rPr>
            </w:r>
            <w:r>
              <w:rPr>
                <w:noProof/>
                <w:webHidden/>
              </w:rPr>
              <w:fldChar w:fldCharType="separate"/>
            </w:r>
            <w:r>
              <w:rPr>
                <w:noProof/>
                <w:webHidden/>
              </w:rPr>
              <w:t>11</w:t>
            </w:r>
            <w:r>
              <w:rPr>
                <w:noProof/>
                <w:webHidden/>
              </w:rPr>
              <w:fldChar w:fldCharType="end"/>
            </w:r>
          </w:hyperlink>
        </w:p>
        <w:p w14:paraId="4EFE0C73" w14:textId="39828206" w:rsidR="00182A1C" w:rsidRDefault="00182A1C">
          <w:pPr>
            <w:pStyle w:val="TOC1"/>
            <w:tabs>
              <w:tab w:val="right" w:leader="dot" w:pos="9016"/>
            </w:tabs>
            <w:rPr>
              <w:noProof/>
            </w:rPr>
          </w:pPr>
          <w:hyperlink w:anchor="_Toc134089368" w:history="1">
            <w:r w:rsidRPr="00237CD3">
              <w:rPr>
                <w:rStyle w:val="Hyperlink"/>
                <w:rFonts w:ascii="Arial" w:hAnsi="Arial" w:cs="Arial"/>
                <w:noProof/>
              </w:rPr>
              <w:t>Marketing mix</w:t>
            </w:r>
            <w:r>
              <w:rPr>
                <w:noProof/>
                <w:webHidden/>
              </w:rPr>
              <w:tab/>
            </w:r>
            <w:r>
              <w:rPr>
                <w:noProof/>
                <w:webHidden/>
              </w:rPr>
              <w:fldChar w:fldCharType="begin"/>
            </w:r>
            <w:r>
              <w:rPr>
                <w:noProof/>
                <w:webHidden/>
              </w:rPr>
              <w:instrText xml:space="preserve"> PAGEREF _Toc134089368 \h </w:instrText>
            </w:r>
            <w:r>
              <w:rPr>
                <w:noProof/>
                <w:webHidden/>
              </w:rPr>
            </w:r>
            <w:r>
              <w:rPr>
                <w:noProof/>
                <w:webHidden/>
              </w:rPr>
              <w:fldChar w:fldCharType="separate"/>
            </w:r>
            <w:r>
              <w:rPr>
                <w:noProof/>
                <w:webHidden/>
              </w:rPr>
              <w:t>12</w:t>
            </w:r>
            <w:r>
              <w:rPr>
                <w:noProof/>
                <w:webHidden/>
              </w:rPr>
              <w:fldChar w:fldCharType="end"/>
            </w:r>
          </w:hyperlink>
        </w:p>
        <w:p w14:paraId="03307B36" w14:textId="485BC029" w:rsidR="00182A1C" w:rsidRDefault="00182A1C">
          <w:pPr>
            <w:pStyle w:val="TOC1"/>
            <w:tabs>
              <w:tab w:val="right" w:leader="dot" w:pos="9016"/>
            </w:tabs>
            <w:rPr>
              <w:noProof/>
            </w:rPr>
          </w:pPr>
          <w:hyperlink w:anchor="_Toc134089369" w:history="1">
            <w:r w:rsidRPr="00237CD3">
              <w:rPr>
                <w:rStyle w:val="Hyperlink"/>
                <w:rFonts w:ascii="Arial" w:hAnsi="Arial" w:cs="Arial"/>
                <w:noProof/>
              </w:rPr>
              <w:t>Communication mix</w:t>
            </w:r>
            <w:r>
              <w:rPr>
                <w:noProof/>
                <w:webHidden/>
              </w:rPr>
              <w:tab/>
            </w:r>
            <w:r>
              <w:rPr>
                <w:noProof/>
                <w:webHidden/>
              </w:rPr>
              <w:fldChar w:fldCharType="begin"/>
            </w:r>
            <w:r>
              <w:rPr>
                <w:noProof/>
                <w:webHidden/>
              </w:rPr>
              <w:instrText xml:space="preserve"> PAGEREF _Toc134089369 \h </w:instrText>
            </w:r>
            <w:r>
              <w:rPr>
                <w:noProof/>
                <w:webHidden/>
              </w:rPr>
            </w:r>
            <w:r>
              <w:rPr>
                <w:noProof/>
                <w:webHidden/>
              </w:rPr>
              <w:fldChar w:fldCharType="separate"/>
            </w:r>
            <w:r>
              <w:rPr>
                <w:noProof/>
                <w:webHidden/>
              </w:rPr>
              <w:t>12</w:t>
            </w:r>
            <w:r>
              <w:rPr>
                <w:noProof/>
                <w:webHidden/>
              </w:rPr>
              <w:fldChar w:fldCharType="end"/>
            </w:r>
          </w:hyperlink>
        </w:p>
        <w:p w14:paraId="75F37B83" w14:textId="39DD033C" w:rsidR="00182A1C" w:rsidRDefault="00182A1C">
          <w:pPr>
            <w:pStyle w:val="TOC1"/>
            <w:tabs>
              <w:tab w:val="right" w:leader="dot" w:pos="9016"/>
            </w:tabs>
            <w:rPr>
              <w:noProof/>
            </w:rPr>
          </w:pPr>
          <w:hyperlink w:anchor="_Toc134089370" w:history="1">
            <w:r w:rsidRPr="00237CD3">
              <w:rPr>
                <w:rStyle w:val="Hyperlink"/>
                <w:rFonts w:ascii="Arial" w:hAnsi="Arial" w:cs="Arial"/>
                <w:noProof/>
              </w:rPr>
              <w:t>Data Protection and GDPR</w:t>
            </w:r>
            <w:r>
              <w:rPr>
                <w:noProof/>
                <w:webHidden/>
              </w:rPr>
              <w:tab/>
            </w:r>
            <w:r>
              <w:rPr>
                <w:noProof/>
                <w:webHidden/>
              </w:rPr>
              <w:fldChar w:fldCharType="begin"/>
            </w:r>
            <w:r>
              <w:rPr>
                <w:noProof/>
                <w:webHidden/>
              </w:rPr>
              <w:instrText xml:space="preserve"> PAGEREF _Toc134089370 \h </w:instrText>
            </w:r>
            <w:r>
              <w:rPr>
                <w:noProof/>
                <w:webHidden/>
              </w:rPr>
            </w:r>
            <w:r>
              <w:rPr>
                <w:noProof/>
                <w:webHidden/>
              </w:rPr>
              <w:fldChar w:fldCharType="separate"/>
            </w:r>
            <w:r>
              <w:rPr>
                <w:noProof/>
                <w:webHidden/>
              </w:rPr>
              <w:t>13</w:t>
            </w:r>
            <w:r>
              <w:rPr>
                <w:noProof/>
                <w:webHidden/>
              </w:rPr>
              <w:fldChar w:fldCharType="end"/>
            </w:r>
          </w:hyperlink>
        </w:p>
        <w:p w14:paraId="18D659F0" w14:textId="3C3DAD1F" w:rsidR="00182A1C" w:rsidRDefault="00182A1C">
          <w:pPr>
            <w:pStyle w:val="TOC1"/>
            <w:tabs>
              <w:tab w:val="right" w:leader="dot" w:pos="9016"/>
            </w:tabs>
            <w:rPr>
              <w:noProof/>
            </w:rPr>
          </w:pPr>
          <w:hyperlink w:anchor="_Toc134089371" w:history="1">
            <w:r w:rsidRPr="00237CD3">
              <w:rPr>
                <w:rStyle w:val="Hyperlink"/>
                <w:rFonts w:ascii="Arial" w:hAnsi="Arial" w:cs="Arial"/>
                <w:noProof/>
              </w:rPr>
              <w:t>GDPR compliance</w:t>
            </w:r>
            <w:r>
              <w:rPr>
                <w:noProof/>
                <w:webHidden/>
              </w:rPr>
              <w:tab/>
            </w:r>
            <w:r>
              <w:rPr>
                <w:noProof/>
                <w:webHidden/>
              </w:rPr>
              <w:fldChar w:fldCharType="begin"/>
            </w:r>
            <w:r>
              <w:rPr>
                <w:noProof/>
                <w:webHidden/>
              </w:rPr>
              <w:instrText xml:space="preserve"> PAGEREF _Toc134089371 \h </w:instrText>
            </w:r>
            <w:r>
              <w:rPr>
                <w:noProof/>
                <w:webHidden/>
              </w:rPr>
            </w:r>
            <w:r>
              <w:rPr>
                <w:noProof/>
                <w:webHidden/>
              </w:rPr>
              <w:fldChar w:fldCharType="separate"/>
            </w:r>
            <w:r>
              <w:rPr>
                <w:noProof/>
                <w:webHidden/>
              </w:rPr>
              <w:t>14</w:t>
            </w:r>
            <w:r>
              <w:rPr>
                <w:noProof/>
                <w:webHidden/>
              </w:rPr>
              <w:fldChar w:fldCharType="end"/>
            </w:r>
          </w:hyperlink>
        </w:p>
        <w:p w14:paraId="724514A4" w14:textId="1A476585" w:rsidR="00182A1C" w:rsidRDefault="00182A1C">
          <w:pPr>
            <w:pStyle w:val="TOC1"/>
            <w:tabs>
              <w:tab w:val="right" w:leader="dot" w:pos="9016"/>
            </w:tabs>
            <w:rPr>
              <w:noProof/>
            </w:rPr>
          </w:pPr>
          <w:hyperlink w:anchor="_Toc134089372" w:history="1">
            <w:r w:rsidRPr="00237CD3">
              <w:rPr>
                <w:rStyle w:val="Hyperlink"/>
                <w:rFonts w:ascii="Arial" w:hAnsi="Arial" w:cs="Arial"/>
                <w:noProof/>
              </w:rPr>
              <w:t>PECR compliance</w:t>
            </w:r>
            <w:r>
              <w:rPr>
                <w:noProof/>
                <w:webHidden/>
              </w:rPr>
              <w:tab/>
            </w:r>
            <w:r>
              <w:rPr>
                <w:noProof/>
                <w:webHidden/>
              </w:rPr>
              <w:fldChar w:fldCharType="begin"/>
            </w:r>
            <w:r>
              <w:rPr>
                <w:noProof/>
                <w:webHidden/>
              </w:rPr>
              <w:instrText xml:space="preserve"> PAGEREF _Toc134089372 \h </w:instrText>
            </w:r>
            <w:r>
              <w:rPr>
                <w:noProof/>
                <w:webHidden/>
              </w:rPr>
            </w:r>
            <w:r>
              <w:rPr>
                <w:noProof/>
                <w:webHidden/>
              </w:rPr>
              <w:fldChar w:fldCharType="separate"/>
            </w:r>
            <w:r>
              <w:rPr>
                <w:noProof/>
                <w:webHidden/>
              </w:rPr>
              <w:t>15</w:t>
            </w:r>
            <w:r>
              <w:rPr>
                <w:noProof/>
                <w:webHidden/>
              </w:rPr>
              <w:fldChar w:fldCharType="end"/>
            </w:r>
          </w:hyperlink>
        </w:p>
        <w:p w14:paraId="5F35CA38" w14:textId="51414362" w:rsidR="00182A1C" w:rsidRDefault="00182A1C">
          <w:pPr>
            <w:pStyle w:val="TOC1"/>
            <w:tabs>
              <w:tab w:val="right" w:leader="dot" w:pos="9016"/>
            </w:tabs>
            <w:rPr>
              <w:noProof/>
            </w:rPr>
          </w:pPr>
          <w:hyperlink w:anchor="_Toc134089373" w:history="1">
            <w:r w:rsidRPr="00237CD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_Toc134089373 \h </w:instrText>
            </w:r>
            <w:r>
              <w:rPr>
                <w:noProof/>
                <w:webHidden/>
              </w:rPr>
            </w:r>
            <w:r>
              <w:rPr>
                <w:noProof/>
                <w:webHidden/>
              </w:rPr>
              <w:fldChar w:fldCharType="separate"/>
            </w:r>
            <w:r>
              <w:rPr>
                <w:noProof/>
                <w:webHidden/>
              </w:rPr>
              <w:t>15</w:t>
            </w:r>
            <w:r>
              <w:rPr>
                <w:noProof/>
                <w:webHidden/>
              </w:rPr>
              <w:fldChar w:fldCharType="end"/>
            </w:r>
          </w:hyperlink>
        </w:p>
        <w:p w14:paraId="2D9B9CE3" w14:textId="184D7612" w:rsidR="00182A1C" w:rsidRDefault="00182A1C">
          <w:pPr>
            <w:pStyle w:val="TOC1"/>
            <w:tabs>
              <w:tab w:val="right" w:leader="dot" w:pos="9016"/>
            </w:tabs>
            <w:rPr>
              <w:noProof/>
            </w:rPr>
          </w:pPr>
          <w:hyperlink w:anchor="_Toc134089374" w:history="1">
            <w:r w:rsidRPr="00237CD3">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_Toc134089374 \h </w:instrText>
            </w:r>
            <w:r>
              <w:rPr>
                <w:noProof/>
                <w:webHidden/>
              </w:rPr>
            </w:r>
            <w:r>
              <w:rPr>
                <w:noProof/>
                <w:webHidden/>
              </w:rPr>
              <w:fldChar w:fldCharType="separate"/>
            </w:r>
            <w:r>
              <w:rPr>
                <w:noProof/>
                <w:webHidden/>
              </w:rPr>
              <w:t>16</w:t>
            </w:r>
            <w:r>
              <w:rPr>
                <w:noProof/>
                <w:webHidden/>
              </w:rPr>
              <w:fldChar w:fldCharType="end"/>
            </w:r>
          </w:hyperlink>
        </w:p>
        <w:p w14:paraId="543A90A1" w14:textId="45DE8270" w:rsidR="00B36FF5" w:rsidRPr="00182A1C" w:rsidRDefault="00B36FF5">
          <w:pPr>
            <w:rPr>
              <w:rFonts w:ascii="Arial" w:hAnsi="Arial" w:cs="Arial"/>
            </w:rPr>
          </w:pPr>
          <w:r w:rsidRPr="00182A1C">
            <w:rPr>
              <w:rFonts w:ascii="Arial" w:hAnsi="Arial" w:cs="Arial"/>
              <w:b/>
              <w:bCs/>
              <w:noProof/>
            </w:rPr>
            <w:fldChar w:fldCharType="end"/>
          </w:r>
        </w:p>
      </w:sdtContent>
    </w:sdt>
    <w:p w14:paraId="1C00B963" w14:textId="77777777" w:rsidR="00FD3B97" w:rsidRPr="00182A1C" w:rsidRDefault="00FD3B97" w:rsidP="00B36FF5">
      <w:pPr>
        <w:rPr>
          <w:rFonts w:ascii="Arial" w:hAnsi="Arial" w:cs="Arial"/>
        </w:rPr>
      </w:pPr>
    </w:p>
    <w:p w14:paraId="195B070A" w14:textId="77777777" w:rsidR="00FD3B97" w:rsidRPr="00182A1C" w:rsidRDefault="00FD3B97" w:rsidP="00E02C9B">
      <w:pPr>
        <w:jc w:val="center"/>
        <w:rPr>
          <w:rFonts w:ascii="Arial" w:hAnsi="Arial" w:cs="Arial"/>
        </w:rPr>
      </w:pPr>
    </w:p>
    <w:p w14:paraId="6448FD7C" w14:textId="77777777" w:rsidR="00FD3B97" w:rsidRPr="00182A1C" w:rsidRDefault="00FD3B97" w:rsidP="00E02C9B">
      <w:pPr>
        <w:jc w:val="center"/>
        <w:rPr>
          <w:rFonts w:ascii="Arial" w:hAnsi="Arial" w:cs="Arial"/>
        </w:rPr>
      </w:pPr>
    </w:p>
    <w:p w14:paraId="03D747B3" w14:textId="77777777" w:rsidR="00FD3B97" w:rsidRPr="00182A1C" w:rsidRDefault="00FD3B97" w:rsidP="00E02C9B">
      <w:pPr>
        <w:jc w:val="center"/>
        <w:rPr>
          <w:rFonts w:ascii="Arial" w:hAnsi="Arial" w:cs="Arial"/>
        </w:rPr>
      </w:pPr>
    </w:p>
    <w:p w14:paraId="43A929D6" w14:textId="77777777" w:rsidR="00FD3B97" w:rsidRPr="00182A1C" w:rsidRDefault="00FD3B97" w:rsidP="00E02C9B">
      <w:pPr>
        <w:jc w:val="center"/>
        <w:rPr>
          <w:rFonts w:ascii="Arial" w:hAnsi="Arial" w:cs="Arial"/>
        </w:rPr>
      </w:pPr>
    </w:p>
    <w:p w14:paraId="3F0AFA33" w14:textId="77777777" w:rsidR="00FD3B97" w:rsidRPr="00182A1C" w:rsidRDefault="00FD3B97" w:rsidP="00E02C9B">
      <w:pPr>
        <w:jc w:val="center"/>
        <w:rPr>
          <w:rFonts w:ascii="Arial" w:hAnsi="Arial" w:cs="Arial"/>
        </w:rPr>
      </w:pPr>
    </w:p>
    <w:p w14:paraId="1A600F9E" w14:textId="77777777" w:rsidR="00FD3B97" w:rsidRPr="00182A1C" w:rsidRDefault="00FD3B97" w:rsidP="00E02C9B">
      <w:pPr>
        <w:jc w:val="center"/>
        <w:rPr>
          <w:rFonts w:ascii="Arial" w:hAnsi="Arial" w:cs="Arial"/>
        </w:rPr>
      </w:pPr>
    </w:p>
    <w:p w14:paraId="33799821" w14:textId="77777777" w:rsidR="00FD3B97" w:rsidRPr="00182A1C" w:rsidRDefault="00FD3B97" w:rsidP="00E02C9B">
      <w:pPr>
        <w:jc w:val="center"/>
        <w:rPr>
          <w:rFonts w:ascii="Arial" w:hAnsi="Arial" w:cs="Arial"/>
        </w:rPr>
      </w:pPr>
    </w:p>
    <w:p w14:paraId="29B84D3F" w14:textId="77777777" w:rsidR="00FD3B97" w:rsidRPr="00182A1C" w:rsidRDefault="00FD3B97" w:rsidP="00E02C9B">
      <w:pPr>
        <w:jc w:val="center"/>
        <w:rPr>
          <w:rFonts w:ascii="Arial" w:hAnsi="Arial" w:cs="Arial"/>
        </w:rPr>
      </w:pPr>
    </w:p>
    <w:p w14:paraId="02307D45" w14:textId="77777777" w:rsidR="00FD3B97" w:rsidRPr="00182A1C" w:rsidRDefault="00FD3B97" w:rsidP="00E02C9B">
      <w:pPr>
        <w:jc w:val="center"/>
        <w:rPr>
          <w:rFonts w:ascii="Arial" w:hAnsi="Arial" w:cs="Arial"/>
        </w:rPr>
      </w:pPr>
    </w:p>
    <w:p w14:paraId="25856B1A" w14:textId="77777777" w:rsidR="00FD3B97" w:rsidRPr="00182A1C" w:rsidRDefault="00FD3B97" w:rsidP="00E02C9B">
      <w:pPr>
        <w:jc w:val="center"/>
        <w:rPr>
          <w:rFonts w:ascii="Arial" w:hAnsi="Arial" w:cs="Arial"/>
        </w:rPr>
      </w:pPr>
    </w:p>
    <w:p w14:paraId="368690DB" w14:textId="77777777" w:rsidR="00FD3B97" w:rsidRPr="00182A1C" w:rsidRDefault="00FD3B97" w:rsidP="00E02C9B">
      <w:pPr>
        <w:jc w:val="center"/>
        <w:rPr>
          <w:rFonts w:ascii="Arial" w:hAnsi="Arial" w:cs="Arial"/>
        </w:rPr>
      </w:pPr>
    </w:p>
    <w:p w14:paraId="5B1D5D70" w14:textId="77777777" w:rsidR="00FD3B97" w:rsidRPr="00182A1C" w:rsidRDefault="00FD3B97" w:rsidP="00E02C9B">
      <w:pPr>
        <w:jc w:val="center"/>
        <w:rPr>
          <w:rFonts w:ascii="Arial" w:hAnsi="Arial" w:cs="Arial"/>
        </w:rPr>
      </w:pPr>
    </w:p>
    <w:p w14:paraId="7A2897DA" w14:textId="77777777" w:rsidR="00FD3B97" w:rsidRPr="00182A1C" w:rsidRDefault="00FD3B97" w:rsidP="00E02C9B">
      <w:pPr>
        <w:jc w:val="center"/>
        <w:rPr>
          <w:rFonts w:ascii="Arial" w:hAnsi="Arial" w:cs="Arial"/>
        </w:rPr>
      </w:pPr>
    </w:p>
    <w:p w14:paraId="4BED6EB2" w14:textId="77777777" w:rsidR="00FD3B97" w:rsidRPr="00182A1C" w:rsidRDefault="00FD3B97" w:rsidP="00E02C9B">
      <w:pPr>
        <w:jc w:val="center"/>
        <w:rPr>
          <w:rFonts w:ascii="Arial" w:hAnsi="Arial" w:cs="Arial"/>
        </w:rPr>
      </w:pPr>
    </w:p>
    <w:p w14:paraId="51125D40" w14:textId="77777777" w:rsidR="00FD3B97" w:rsidRPr="00182A1C" w:rsidRDefault="00FD3B97" w:rsidP="00E02C9B">
      <w:pPr>
        <w:jc w:val="center"/>
        <w:rPr>
          <w:rFonts w:ascii="Arial" w:hAnsi="Arial" w:cs="Arial"/>
        </w:rPr>
      </w:pPr>
    </w:p>
    <w:p w14:paraId="633631D0" w14:textId="77777777" w:rsidR="00FD3B97" w:rsidRPr="00182A1C" w:rsidRDefault="00FD3B97" w:rsidP="00E02C9B">
      <w:pPr>
        <w:jc w:val="center"/>
        <w:rPr>
          <w:rFonts w:ascii="Arial" w:hAnsi="Arial" w:cs="Arial"/>
        </w:rPr>
      </w:pPr>
    </w:p>
    <w:p w14:paraId="7ECD0ED2" w14:textId="77777777" w:rsidR="00FD3B97" w:rsidRPr="00182A1C" w:rsidRDefault="00FD3B97" w:rsidP="00E02C9B">
      <w:pPr>
        <w:jc w:val="center"/>
        <w:rPr>
          <w:rFonts w:ascii="Arial" w:hAnsi="Arial" w:cs="Arial"/>
        </w:rPr>
      </w:pPr>
    </w:p>
    <w:p w14:paraId="7805CE2C" w14:textId="77777777" w:rsidR="00FD3B97" w:rsidRPr="00182A1C" w:rsidRDefault="00FD3B97" w:rsidP="00E02C9B">
      <w:pPr>
        <w:jc w:val="center"/>
        <w:rPr>
          <w:rFonts w:ascii="Arial" w:hAnsi="Arial" w:cs="Arial"/>
        </w:rPr>
      </w:pPr>
    </w:p>
    <w:p w14:paraId="119D96CE" w14:textId="77777777" w:rsidR="00FD3B97" w:rsidRPr="00182A1C" w:rsidRDefault="00FD3B97" w:rsidP="00E02C9B">
      <w:pPr>
        <w:jc w:val="center"/>
        <w:rPr>
          <w:rFonts w:ascii="Arial" w:hAnsi="Arial" w:cs="Arial"/>
        </w:rPr>
      </w:pPr>
    </w:p>
    <w:p w14:paraId="09DAAA2D" w14:textId="77777777" w:rsidR="00FD3B97" w:rsidRPr="00182A1C" w:rsidRDefault="00FD3B97" w:rsidP="00E02C9B">
      <w:pPr>
        <w:jc w:val="center"/>
        <w:rPr>
          <w:rFonts w:ascii="Arial" w:hAnsi="Arial" w:cs="Arial"/>
        </w:rPr>
      </w:pPr>
    </w:p>
    <w:p w14:paraId="55ACDD67" w14:textId="77777777" w:rsidR="00FD3B97" w:rsidRPr="00182A1C" w:rsidRDefault="00FD3B97" w:rsidP="00E02C9B">
      <w:pPr>
        <w:jc w:val="center"/>
        <w:rPr>
          <w:rFonts w:ascii="Arial" w:hAnsi="Arial" w:cs="Arial"/>
        </w:rPr>
      </w:pPr>
    </w:p>
    <w:p w14:paraId="6E4C5D30" w14:textId="77777777" w:rsidR="00FD3B97" w:rsidRPr="00182A1C" w:rsidRDefault="00FD3B97" w:rsidP="00E02C9B">
      <w:pPr>
        <w:jc w:val="center"/>
        <w:rPr>
          <w:rFonts w:ascii="Arial" w:hAnsi="Arial" w:cs="Arial"/>
        </w:rPr>
      </w:pPr>
    </w:p>
    <w:p w14:paraId="28DE9A24" w14:textId="77777777" w:rsidR="00FD3B97" w:rsidRPr="00182A1C" w:rsidRDefault="00FD3B97" w:rsidP="00182A1C">
      <w:pPr>
        <w:rPr>
          <w:rFonts w:ascii="Arial" w:hAnsi="Arial" w:cs="Arial"/>
        </w:rPr>
      </w:pPr>
    </w:p>
    <w:p w14:paraId="77FC75E1" w14:textId="77777777" w:rsidR="00FD3B97" w:rsidRPr="00182A1C" w:rsidRDefault="00FD3B97" w:rsidP="00E02C9B">
      <w:pPr>
        <w:jc w:val="center"/>
        <w:rPr>
          <w:rFonts w:ascii="Arial" w:hAnsi="Arial" w:cs="Arial"/>
        </w:rPr>
      </w:pPr>
    </w:p>
    <w:p w14:paraId="4C9BCAEB" w14:textId="77777777" w:rsidR="00FD3B97" w:rsidRPr="00182A1C" w:rsidRDefault="00FD3B97" w:rsidP="00B36FF5">
      <w:pPr>
        <w:pStyle w:val="Title"/>
        <w:rPr>
          <w:rFonts w:ascii="Arial" w:hAnsi="Arial" w:cs="Arial"/>
          <w:sz w:val="22"/>
          <w:szCs w:val="22"/>
        </w:rPr>
      </w:pPr>
    </w:p>
    <w:p w14:paraId="3A1E5AEC" w14:textId="76738452" w:rsidR="00D9608F" w:rsidRPr="00182A1C" w:rsidRDefault="00E02C9B" w:rsidP="00182A1C">
      <w:pPr>
        <w:pStyle w:val="Title"/>
      </w:pPr>
      <w:r w:rsidRPr="00182A1C">
        <w:t>Centred-care Virtual ward</w:t>
      </w:r>
    </w:p>
    <w:p w14:paraId="48A82E1B" w14:textId="76FDA66F" w:rsidR="00FD3B97" w:rsidRPr="00182A1C" w:rsidRDefault="00FD3B97" w:rsidP="00E02C9B">
      <w:pPr>
        <w:jc w:val="center"/>
        <w:rPr>
          <w:rFonts w:ascii="Arial" w:hAnsi="Arial" w:cs="Arial"/>
        </w:rPr>
      </w:pPr>
    </w:p>
    <w:p w14:paraId="7BE6EE5A" w14:textId="77777777" w:rsidR="00FD3B97" w:rsidRPr="00182A1C" w:rsidRDefault="00FD3B97" w:rsidP="00E02C9B">
      <w:pPr>
        <w:jc w:val="center"/>
        <w:rPr>
          <w:rFonts w:ascii="Arial" w:hAnsi="Arial" w:cs="Arial"/>
        </w:rPr>
      </w:pPr>
    </w:p>
    <w:p w14:paraId="2D7E83D6" w14:textId="699461AF" w:rsidR="00E02C9B" w:rsidRPr="00182A1C" w:rsidRDefault="00E02C9B" w:rsidP="00E02C9B">
      <w:pPr>
        <w:jc w:val="center"/>
        <w:rPr>
          <w:rFonts w:ascii="Arial" w:hAnsi="Arial" w:cs="Arial"/>
        </w:rPr>
      </w:pPr>
    </w:p>
    <w:p w14:paraId="7C747892" w14:textId="77777777" w:rsidR="00E02C9B" w:rsidRPr="00182A1C" w:rsidRDefault="00E02C9B" w:rsidP="00E02C9B">
      <w:pPr>
        <w:jc w:val="center"/>
        <w:rPr>
          <w:rFonts w:ascii="Arial" w:hAnsi="Arial" w:cs="Arial"/>
        </w:rPr>
      </w:pPr>
    </w:p>
    <w:p w14:paraId="19529AD9" w14:textId="110B2A50" w:rsidR="008C1ABB" w:rsidRPr="00182A1C" w:rsidRDefault="008C1ABB">
      <w:pPr>
        <w:rPr>
          <w:rFonts w:ascii="Arial" w:hAnsi="Arial" w:cs="Arial"/>
        </w:rPr>
      </w:pPr>
    </w:p>
    <w:p w14:paraId="7462EA5E" w14:textId="1A333626" w:rsidR="008C1ABB" w:rsidRPr="00182A1C" w:rsidRDefault="008C1ABB">
      <w:pPr>
        <w:rPr>
          <w:rFonts w:ascii="Arial" w:hAnsi="Arial" w:cs="Arial"/>
        </w:rPr>
      </w:pPr>
      <w:r w:rsidRPr="00182A1C">
        <w:rPr>
          <w:rFonts w:ascii="Arial" w:hAnsi="Arial" w:cs="Arial"/>
        </w:rPr>
        <w:t>The aim of the report is to deliver an innovative service that aims to easy of the burden of healthcare public services and to assist individuals that struggle with chronic diseases and have a hard time being hospitalised. The report is sectioned into three sections:</w:t>
      </w:r>
    </w:p>
    <w:p w14:paraId="39B0FEDC" w14:textId="4E7D4EA3" w:rsidR="008C1ABB" w:rsidRPr="00182A1C" w:rsidRDefault="008C1ABB">
      <w:pPr>
        <w:rPr>
          <w:rFonts w:ascii="Arial" w:hAnsi="Arial" w:cs="Arial"/>
        </w:rPr>
      </w:pPr>
      <w:r w:rsidRPr="00182A1C">
        <w:rPr>
          <w:rFonts w:ascii="Arial" w:hAnsi="Arial" w:cs="Arial"/>
        </w:rPr>
        <w:t xml:space="preserve">Section 1: </w:t>
      </w:r>
      <w:r w:rsidR="00883FD5" w:rsidRPr="00182A1C">
        <w:rPr>
          <w:rFonts w:ascii="Arial" w:hAnsi="Arial" w:cs="Arial"/>
        </w:rPr>
        <w:t xml:space="preserve"> Introduction- Contextual issues and </w:t>
      </w:r>
      <w:r w:rsidRPr="00182A1C">
        <w:rPr>
          <w:rFonts w:ascii="Arial" w:hAnsi="Arial" w:cs="Arial"/>
        </w:rPr>
        <w:t>Business Case</w:t>
      </w:r>
    </w:p>
    <w:p w14:paraId="46283A09" w14:textId="0C333C0D" w:rsidR="008C1ABB" w:rsidRPr="00182A1C" w:rsidRDefault="008C1ABB">
      <w:pPr>
        <w:rPr>
          <w:rFonts w:ascii="Arial" w:hAnsi="Arial" w:cs="Arial"/>
        </w:rPr>
      </w:pPr>
      <w:r w:rsidRPr="00182A1C">
        <w:rPr>
          <w:rFonts w:ascii="Arial" w:hAnsi="Arial" w:cs="Arial"/>
        </w:rPr>
        <w:t>Section 2:</w:t>
      </w:r>
      <w:r w:rsidR="00883FD5" w:rsidRPr="00182A1C">
        <w:rPr>
          <w:rFonts w:ascii="Arial" w:hAnsi="Arial" w:cs="Arial"/>
        </w:rPr>
        <w:t xml:space="preserve"> Main body- Marketing</w:t>
      </w:r>
      <w:r w:rsidRPr="00182A1C">
        <w:rPr>
          <w:rFonts w:ascii="Arial" w:hAnsi="Arial" w:cs="Arial"/>
        </w:rPr>
        <w:t xml:space="preserve"> analysis</w:t>
      </w:r>
      <w:r w:rsidR="00883FD5" w:rsidRPr="00182A1C">
        <w:rPr>
          <w:rFonts w:ascii="Arial" w:hAnsi="Arial" w:cs="Arial"/>
        </w:rPr>
        <w:t>, Communication mix, Open Innovation model, STP model, PESTEL, Porter five forces, Privacy and data protection</w:t>
      </w:r>
    </w:p>
    <w:p w14:paraId="194B47CE" w14:textId="708C80AE" w:rsidR="008C1ABB" w:rsidRPr="00182A1C" w:rsidRDefault="008C1ABB">
      <w:pPr>
        <w:rPr>
          <w:rFonts w:ascii="Arial" w:hAnsi="Arial" w:cs="Arial"/>
        </w:rPr>
      </w:pPr>
      <w:r w:rsidRPr="00182A1C">
        <w:rPr>
          <w:rFonts w:ascii="Arial" w:hAnsi="Arial" w:cs="Arial"/>
        </w:rPr>
        <w:t xml:space="preserve">Section 3: </w:t>
      </w:r>
      <w:r w:rsidR="00883FD5" w:rsidRPr="00182A1C">
        <w:rPr>
          <w:rFonts w:ascii="Arial" w:hAnsi="Arial" w:cs="Arial"/>
        </w:rPr>
        <w:t xml:space="preserve">Conclusion and recommendation </w:t>
      </w:r>
    </w:p>
    <w:p w14:paraId="31546F8A" w14:textId="0F47C685" w:rsidR="00883FD5" w:rsidRPr="00182A1C" w:rsidRDefault="00883FD5">
      <w:pPr>
        <w:rPr>
          <w:rFonts w:ascii="Arial" w:hAnsi="Arial" w:cs="Arial"/>
        </w:rPr>
      </w:pPr>
    </w:p>
    <w:p w14:paraId="4F97976F" w14:textId="77777777" w:rsidR="00883FD5" w:rsidRPr="00182A1C" w:rsidRDefault="00883FD5">
      <w:pPr>
        <w:rPr>
          <w:rFonts w:ascii="Arial" w:hAnsi="Arial" w:cs="Arial"/>
        </w:rPr>
      </w:pPr>
    </w:p>
    <w:p w14:paraId="36C16504" w14:textId="251780C8" w:rsidR="007E2FBE" w:rsidRPr="00182A1C" w:rsidRDefault="00FD3B97">
      <w:pPr>
        <w:rPr>
          <w:rFonts w:ascii="Arial" w:hAnsi="Arial" w:cs="Arial"/>
        </w:rPr>
      </w:pPr>
      <w:r w:rsidRPr="00182A1C">
        <w:rPr>
          <w:rFonts w:ascii="Arial" w:hAnsi="Arial" w:cs="Arial"/>
        </w:rPr>
        <w:t>Section 1</w:t>
      </w:r>
    </w:p>
    <w:p w14:paraId="11B43428" w14:textId="49418F30" w:rsidR="00FD3B97" w:rsidRPr="00182A1C" w:rsidRDefault="00FD3B97">
      <w:pPr>
        <w:rPr>
          <w:rFonts w:ascii="Arial" w:hAnsi="Arial" w:cs="Arial"/>
        </w:rPr>
      </w:pPr>
    </w:p>
    <w:p w14:paraId="731F082A" w14:textId="77777777" w:rsidR="00FD3B97" w:rsidRPr="00182A1C" w:rsidRDefault="00FD3B97">
      <w:pPr>
        <w:rPr>
          <w:rFonts w:ascii="Arial" w:hAnsi="Arial" w:cs="Arial"/>
        </w:rPr>
      </w:pPr>
    </w:p>
    <w:p w14:paraId="0D708EB1" w14:textId="77345CCC" w:rsidR="007E2FBE" w:rsidRPr="00182A1C" w:rsidRDefault="00883FD5" w:rsidP="00B36FF5">
      <w:pPr>
        <w:pStyle w:val="Heading1"/>
        <w:rPr>
          <w:rFonts w:ascii="Arial" w:hAnsi="Arial" w:cs="Arial"/>
        </w:rPr>
      </w:pPr>
      <w:bookmarkStart w:id="0" w:name="_Toc134089359"/>
      <w:r w:rsidRPr="00182A1C">
        <w:rPr>
          <w:rFonts w:ascii="Arial" w:hAnsi="Arial" w:cs="Arial"/>
        </w:rPr>
        <w:t>Conceptual Issues</w:t>
      </w:r>
      <w:bookmarkEnd w:id="0"/>
    </w:p>
    <w:p w14:paraId="2ED8F566" w14:textId="544B0420" w:rsidR="00E02C9B" w:rsidRPr="00182A1C" w:rsidRDefault="00E02C9B" w:rsidP="00883FD5">
      <w:pPr>
        <w:jc w:val="center"/>
        <w:rPr>
          <w:rFonts w:ascii="Arial" w:hAnsi="Arial" w:cs="Arial"/>
        </w:rPr>
      </w:pPr>
    </w:p>
    <w:p w14:paraId="5CEA10B2" w14:textId="77777777" w:rsidR="00E02C9B" w:rsidRPr="00182A1C" w:rsidRDefault="00E02C9B" w:rsidP="00883FD5">
      <w:pPr>
        <w:jc w:val="center"/>
        <w:rPr>
          <w:rFonts w:ascii="Arial" w:hAnsi="Arial" w:cs="Arial"/>
        </w:rPr>
      </w:pPr>
    </w:p>
    <w:p w14:paraId="61BA069D" w14:textId="389C8E5A" w:rsidR="007E2FBE" w:rsidRPr="00182A1C" w:rsidRDefault="007E2FBE">
      <w:pPr>
        <w:rPr>
          <w:rFonts w:ascii="Arial" w:hAnsi="Arial" w:cs="Arial"/>
        </w:rPr>
      </w:pPr>
    </w:p>
    <w:p w14:paraId="2A656DF3" w14:textId="4A714A18" w:rsidR="007E2FBE" w:rsidRPr="00182A1C" w:rsidRDefault="007E2FBE" w:rsidP="007E2FBE">
      <w:pPr>
        <w:rPr>
          <w:rFonts w:ascii="Arial" w:hAnsi="Arial" w:cs="Arial"/>
        </w:rPr>
      </w:pPr>
      <w:r w:rsidRPr="00182A1C">
        <w:rPr>
          <w:rFonts w:ascii="Arial" w:hAnsi="Arial" w:cs="Arial"/>
        </w:rPr>
        <w:t>The lack of hospital beds and resources in the public healthcare sector is a significant challenge faced by many countries worldwide. There are several reasons for this issue, including funding constraints, inadequate staffing, and an aging population. Here are some citations and references that support this claim:</w:t>
      </w:r>
    </w:p>
    <w:p w14:paraId="462587DE" w14:textId="77777777" w:rsidR="007E2FBE" w:rsidRPr="00182A1C" w:rsidRDefault="007E2FBE" w:rsidP="007E2FBE">
      <w:pPr>
        <w:rPr>
          <w:rFonts w:ascii="Arial" w:hAnsi="Arial" w:cs="Arial"/>
        </w:rPr>
      </w:pPr>
      <w:r w:rsidRPr="00182A1C">
        <w:rPr>
          <w:rFonts w:ascii="Arial" w:hAnsi="Arial" w:cs="Arial"/>
        </w:rPr>
        <w:t>According to a report by the World Health Organization (WHO), many low- and middle-income countries have fewer hospital beds per capita than high-income countries, resulting in limited access to care for patients (WHO, 2020). This is due to inadequate funding, which limits the number of resources available for the public healthcare sector.</w:t>
      </w:r>
    </w:p>
    <w:p w14:paraId="50D5C065" w14:textId="295F8A13" w:rsidR="007E2FBE" w:rsidRPr="00182A1C" w:rsidRDefault="007E2FBE" w:rsidP="007E2FBE">
      <w:pPr>
        <w:rPr>
          <w:rFonts w:ascii="Arial" w:hAnsi="Arial" w:cs="Arial"/>
        </w:rPr>
      </w:pPr>
      <w:r w:rsidRPr="00182A1C">
        <w:rPr>
          <w:rFonts w:ascii="Arial" w:hAnsi="Arial" w:cs="Arial"/>
        </w:rPr>
        <w:t>According to a report by the European Observatory on Health Systems and Policies, many European countries are facing a shortage of hospital beds due to an aging population and increased demand for healthcare services (</w:t>
      </w:r>
      <w:bookmarkStart w:id="1" w:name="_Hlk133400868"/>
      <w:r w:rsidRPr="00182A1C">
        <w:rPr>
          <w:rFonts w:ascii="Arial" w:hAnsi="Arial" w:cs="Arial"/>
        </w:rPr>
        <w:t>European Observatory on Health Systems and Policies, 2018</w:t>
      </w:r>
      <w:bookmarkEnd w:id="1"/>
      <w:r w:rsidRPr="00182A1C">
        <w:rPr>
          <w:rFonts w:ascii="Arial" w:hAnsi="Arial" w:cs="Arial"/>
        </w:rPr>
        <w:t>). This has resulted in overcrowding in hospitals and limited access to care for patients.</w:t>
      </w:r>
    </w:p>
    <w:p w14:paraId="3A6AF77B" w14:textId="77777777" w:rsidR="001B7568" w:rsidRPr="00182A1C" w:rsidRDefault="001B7568" w:rsidP="001B7568">
      <w:pPr>
        <w:rPr>
          <w:rFonts w:ascii="Arial" w:hAnsi="Arial" w:cs="Arial"/>
        </w:rPr>
      </w:pPr>
      <w:r w:rsidRPr="00182A1C">
        <w:rPr>
          <w:rFonts w:ascii="Arial" w:hAnsi="Arial" w:cs="Arial"/>
        </w:rPr>
        <w:t>According to a report by The King's Fund, a UK-based health charity, the number of hospital beds in England has decreased by almost a third over the past 30 years, resulting in a shortage of beds for patients (</w:t>
      </w:r>
      <w:bookmarkStart w:id="2" w:name="_Hlk133399026"/>
      <w:r w:rsidRPr="00182A1C">
        <w:rPr>
          <w:rFonts w:ascii="Arial" w:hAnsi="Arial" w:cs="Arial"/>
        </w:rPr>
        <w:t>The King's Fund, 2021</w:t>
      </w:r>
      <w:bookmarkEnd w:id="2"/>
      <w:r w:rsidRPr="00182A1C">
        <w:rPr>
          <w:rFonts w:ascii="Arial" w:hAnsi="Arial" w:cs="Arial"/>
        </w:rPr>
        <w:t>). This is due to funding constraints and a focus on community-based care, which has led to a reduction in the number of hospital beds.</w:t>
      </w:r>
    </w:p>
    <w:p w14:paraId="3AAFEFE7" w14:textId="77777777" w:rsidR="001B7568" w:rsidRPr="00182A1C" w:rsidRDefault="001B7568" w:rsidP="001B7568">
      <w:pPr>
        <w:rPr>
          <w:rFonts w:ascii="Arial" w:hAnsi="Arial" w:cs="Arial"/>
        </w:rPr>
      </w:pPr>
      <w:r w:rsidRPr="00182A1C">
        <w:rPr>
          <w:rFonts w:ascii="Arial" w:hAnsi="Arial" w:cs="Arial"/>
        </w:rPr>
        <w:t>The National Health Service (NHS), the public healthcare provider in the UK, has been facing staffing shortages for many years, leading to a strain on resources and limited access to care for patients (BBC News, 2021). The COVID-19 pandemic has further exacerbated this issue, with many healthcare professionals leaving the workforce due to burnout and stress.</w:t>
      </w:r>
    </w:p>
    <w:p w14:paraId="4E99924E" w14:textId="77777777" w:rsidR="001B7568" w:rsidRPr="00182A1C" w:rsidRDefault="001B7568" w:rsidP="001B7568">
      <w:pPr>
        <w:rPr>
          <w:rFonts w:ascii="Arial" w:hAnsi="Arial" w:cs="Arial"/>
        </w:rPr>
      </w:pPr>
      <w:r w:rsidRPr="00182A1C">
        <w:rPr>
          <w:rFonts w:ascii="Arial" w:hAnsi="Arial" w:cs="Arial"/>
        </w:rPr>
        <w:t>In addition to the shortage of hospital beds and staff, the NHS has also been struggling to meet demand for healthcare services, resulting in longer wait times for patients seeking care (The Guardian, 2021). This is due to a combination of factors, including an aging population, increased demand for healthcare services, and funding constraints.</w:t>
      </w:r>
    </w:p>
    <w:p w14:paraId="1D55CE55" w14:textId="77777777" w:rsidR="001B7568" w:rsidRPr="00182A1C" w:rsidRDefault="001B7568" w:rsidP="001B7568">
      <w:pPr>
        <w:rPr>
          <w:rFonts w:ascii="Arial" w:hAnsi="Arial" w:cs="Arial"/>
        </w:rPr>
      </w:pPr>
      <w:r w:rsidRPr="00182A1C">
        <w:rPr>
          <w:rFonts w:ascii="Arial" w:hAnsi="Arial" w:cs="Arial"/>
        </w:rPr>
        <w:t>According to a report by the Care Quality Commission, the regulatory body for healthcare providers in England, many hospitals in the UK are facing significant challenges, including overcrowding, a lack of resources, and staffing shortages (Care Quality Commission, 2020). This has led to a decline in the quality of care provided to patients and a strain on healthcare professionals.</w:t>
      </w:r>
    </w:p>
    <w:p w14:paraId="5140B9FE" w14:textId="4EF3D124" w:rsidR="001B7568" w:rsidRPr="00182A1C" w:rsidRDefault="001B7568" w:rsidP="001B7568">
      <w:pPr>
        <w:rPr>
          <w:rFonts w:ascii="Arial" w:hAnsi="Arial" w:cs="Arial"/>
        </w:rPr>
      </w:pPr>
      <w:r w:rsidRPr="00182A1C">
        <w:rPr>
          <w:rFonts w:ascii="Arial" w:hAnsi="Arial" w:cs="Arial"/>
        </w:rPr>
        <w:t>In conclusion, the public healthcare sector in the UK has been facing significant challenges, including a shortage of hospital beds, resources, and staff, leading to longer wait times for patients seeking care and limited access to healthcare services. Funding constraints, an aging population, and increased demand for healthcare services are among the primary reasons for this issue.</w:t>
      </w:r>
    </w:p>
    <w:p w14:paraId="3342C8AB" w14:textId="77777777" w:rsidR="007E2FBE" w:rsidRPr="00182A1C" w:rsidRDefault="007E2FBE" w:rsidP="007E2FBE">
      <w:pPr>
        <w:rPr>
          <w:rFonts w:ascii="Arial" w:hAnsi="Arial" w:cs="Arial"/>
        </w:rPr>
      </w:pPr>
    </w:p>
    <w:p w14:paraId="20449A0E" w14:textId="02D6D425" w:rsidR="008C1ABB" w:rsidRPr="00182A1C" w:rsidRDefault="008C1ABB">
      <w:pPr>
        <w:rPr>
          <w:rFonts w:ascii="Arial" w:hAnsi="Arial" w:cs="Arial"/>
        </w:rPr>
      </w:pPr>
    </w:p>
    <w:p w14:paraId="069546BE" w14:textId="27C79C74" w:rsidR="008C1ABB" w:rsidRPr="00182A1C" w:rsidRDefault="008C1ABB">
      <w:pPr>
        <w:rPr>
          <w:rFonts w:ascii="Arial" w:hAnsi="Arial" w:cs="Arial"/>
        </w:rPr>
      </w:pPr>
    </w:p>
    <w:p w14:paraId="2FC9C5CE" w14:textId="1A8F6B09" w:rsidR="008C1ABB" w:rsidRPr="00182A1C" w:rsidRDefault="008C1ABB" w:rsidP="00B36FF5">
      <w:pPr>
        <w:pStyle w:val="Heading1"/>
        <w:rPr>
          <w:rFonts w:ascii="Arial" w:hAnsi="Arial" w:cs="Arial"/>
        </w:rPr>
      </w:pPr>
      <w:bookmarkStart w:id="3" w:name="_Toc134089360"/>
      <w:r w:rsidRPr="00182A1C">
        <w:rPr>
          <w:rFonts w:ascii="Arial" w:hAnsi="Arial" w:cs="Arial"/>
        </w:rPr>
        <w:t>Centred-Care Project</w:t>
      </w:r>
      <w:bookmarkEnd w:id="3"/>
      <w:r w:rsidRPr="00182A1C">
        <w:rPr>
          <w:rFonts w:ascii="Arial" w:hAnsi="Arial" w:cs="Arial"/>
        </w:rPr>
        <w:t xml:space="preserve"> </w:t>
      </w:r>
    </w:p>
    <w:p w14:paraId="0B0A011A" w14:textId="19D90B34" w:rsidR="00E02C9B" w:rsidRPr="00182A1C" w:rsidRDefault="00E02C9B" w:rsidP="008C1ABB">
      <w:pPr>
        <w:jc w:val="center"/>
        <w:rPr>
          <w:rFonts w:ascii="Arial" w:hAnsi="Arial" w:cs="Arial"/>
        </w:rPr>
      </w:pPr>
    </w:p>
    <w:p w14:paraId="368F8BAE" w14:textId="77777777" w:rsidR="00E02C9B" w:rsidRPr="00182A1C" w:rsidRDefault="00E02C9B" w:rsidP="008C1ABB">
      <w:pPr>
        <w:jc w:val="center"/>
        <w:rPr>
          <w:rFonts w:ascii="Arial" w:hAnsi="Arial" w:cs="Arial"/>
        </w:rPr>
      </w:pPr>
    </w:p>
    <w:p w14:paraId="27064322" w14:textId="364A3C01" w:rsidR="008C1ABB" w:rsidRPr="00182A1C" w:rsidRDefault="008C1ABB" w:rsidP="008C1ABB">
      <w:pPr>
        <w:jc w:val="center"/>
        <w:rPr>
          <w:rFonts w:ascii="Arial" w:hAnsi="Arial" w:cs="Arial"/>
        </w:rPr>
      </w:pPr>
    </w:p>
    <w:p w14:paraId="328DC6AE" w14:textId="351C2394" w:rsidR="008C1ABB" w:rsidRPr="00182A1C" w:rsidRDefault="008C1ABB" w:rsidP="008C1ABB">
      <w:pPr>
        <w:rPr>
          <w:rFonts w:ascii="Arial" w:hAnsi="Arial" w:cs="Arial"/>
        </w:rPr>
      </w:pPr>
      <w:r w:rsidRPr="00182A1C">
        <w:rPr>
          <w:rFonts w:ascii="Arial" w:hAnsi="Arial" w:cs="Arial"/>
        </w:rPr>
        <w:t xml:space="preserve">Numerous studies identified a need in the healthcare industry for a more convenient and accessible way for patients to receive medical care, particularly for those who require ongoing monitoring and management of chronic conditions. </w:t>
      </w:r>
      <w:r w:rsidR="00C96E82" w:rsidRPr="00182A1C">
        <w:rPr>
          <w:rFonts w:ascii="Arial" w:hAnsi="Arial" w:cs="Arial"/>
        </w:rPr>
        <w:t>The solution</w:t>
      </w:r>
      <w:r w:rsidRPr="00182A1C">
        <w:rPr>
          <w:rFonts w:ascii="Arial" w:hAnsi="Arial" w:cs="Arial"/>
        </w:rPr>
        <w:t xml:space="preserve"> is a virtual ward that allows patients to receive comprehensive medical care from the comfort of their own homes. </w:t>
      </w:r>
      <w:r w:rsidR="003E3259" w:rsidRPr="00182A1C">
        <w:rPr>
          <w:rFonts w:ascii="Arial" w:hAnsi="Arial" w:cs="Arial"/>
        </w:rPr>
        <w:t xml:space="preserve">The </w:t>
      </w:r>
      <w:r w:rsidRPr="00182A1C">
        <w:rPr>
          <w:rFonts w:ascii="Arial" w:hAnsi="Arial" w:cs="Arial"/>
        </w:rPr>
        <w:t xml:space="preserve">virtual ward will be staffed by a team of healthcare professionals who will be responsible for managing patients' care remotely. This includes physicians, nurses, and other healthcare providers who will be available to patients 24/7 through a secure online platform. Patients will have access to a range of medical services, including consultations, medication management, monitoring of vital signs, and </w:t>
      </w:r>
      <w:r w:rsidR="003E3259" w:rsidRPr="00182A1C">
        <w:rPr>
          <w:rFonts w:ascii="Arial" w:hAnsi="Arial" w:cs="Arial"/>
        </w:rPr>
        <w:t>more. To</w:t>
      </w:r>
      <w:r w:rsidRPr="00182A1C">
        <w:rPr>
          <w:rFonts w:ascii="Arial" w:hAnsi="Arial" w:cs="Arial"/>
        </w:rPr>
        <w:t xml:space="preserve"> ensure the highest quality of care, </w:t>
      </w:r>
      <w:r w:rsidR="003E3259" w:rsidRPr="00182A1C">
        <w:rPr>
          <w:rFonts w:ascii="Arial" w:hAnsi="Arial" w:cs="Arial"/>
        </w:rPr>
        <w:t>the</w:t>
      </w:r>
      <w:r w:rsidRPr="00182A1C">
        <w:rPr>
          <w:rFonts w:ascii="Arial" w:hAnsi="Arial" w:cs="Arial"/>
        </w:rPr>
        <w:t xml:space="preserve"> virtual ward will utilize advanced technologies such as telemedicine, remote monitoring, and electronic health records. Patients will be able to use a range of devices, such as smartwatches and blood pressure monitors, to collect and transmit health data to their healthcare providers in real-time. This will allow providers to closely monitor patients' health and intervene quickly if necessary.</w:t>
      </w:r>
    </w:p>
    <w:p w14:paraId="5632AFA5" w14:textId="5E4BF30F" w:rsidR="008C1ABB" w:rsidRPr="00182A1C" w:rsidRDefault="00C96E82" w:rsidP="008C1ABB">
      <w:pPr>
        <w:rPr>
          <w:rFonts w:ascii="Arial" w:hAnsi="Arial" w:cs="Arial"/>
        </w:rPr>
      </w:pPr>
      <w:r w:rsidRPr="00182A1C">
        <w:rPr>
          <w:rFonts w:ascii="Arial" w:hAnsi="Arial" w:cs="Arial"/>
        </w:rPr>
        <w:t>The</w:t>
      </w:r>
      <w:r w:rsidR="008C1ABB" w:rsidRPr="00182A1C">
        <w:rPr>
          <w:rFonts w:ascii="Arial" w:hAnsi="Arial" w:cs="Arial"/>
        </w:rPr>
        <w:t xml:space="preserve"> virtual ward will provide significant benefits to patients, including:</w:t>
      </w:r>
    </w:p>
    <w:p w14:paraId="34E6C0BC" w14:textId="77777777" w:rsidR="008C1ABB" w:rsidRPr="00182A1C" w:rsidRDefault="008C1ABB" w:rsidP="008C1ABB">
      <w:pPr>
        <w:rPr>
          <w:rFonts w:ascii="Arial" w:hAnsi="Arial" w:cs="Arial"/>
        </w:rPr>
      </w:pPr>
      <w:r w:rsidRPr="00182A1C">
        <w:rPr>
          <w:rFonts w:ascii="Arial" w:hAnsi="Arial" w:cs="Arial"/>
        </w:rPr>
        <w:t>Convenience: Patients will no longer need to travel to medical appointments, saving time and reducing the burden of transportation.</w:t>
      </w:r>
    </w:p>
    <w:p w14:paraId="137CC517" w14:textId="72F6A203" w:rsidR="008C1ABB" w:rsidRPr="00182A1C" w:rsidRDefault="008C1ABB" w:rsidP="008C1ABB">
      <w:pPr>
        <w:rPr>
          <w:rFonts w:ascii="Arial" w:hAnsi="Arial" w:cs="Arial"/>
        </w:rPr>
      </w:pPr>
      <w:r w:rsidRPr="00182A1C">
        <w:rPr>
          <w:rFonts w:ascii="Arial" w:hAnsi="Arial" w:cs="Arial"/>
        </w:rPr>
        <w:t xml:space="preserve">Cost savings: </w:t>
      </w:r>
      <w:r w:rsidR="00C96E82" w:rsidRPr="00182A1C">
        <w:rPr>
          <w:rFonts w:ascii="Arial" w:hAnsi="Arial" w:cs="Arial"/>
        </w:rPr>
        <w:t xml:space="preserve">The </w:t>
      </w:r>
      <w:r w:rsidRPr="00182A1C">
        <w:rPr>
          <w:rFonts w:ascii="Arial" w:hAnsi="Arial" w:cs="Arial"/>
        </w:rPr>
        <w:t>virtual ward will be more cost-effective than traditional in-person medical care, allowing patients to save money on medical expenses.</w:t>
      </w:r>
    </w:p>
    <w:p w14:paraId="34A1C033" w14:textId="18B97C76" w:rsidR="008C1ABB" w:rsidRPr="00182A1C" w:rsidRDefault="008C1ABB" w:rsidP="008C1ABB">
      <w:pPr>
        <w:rPr>
          <w:rFonts w:ascii="Arial" w:hAnsi="Arial" w:cs="Arial"/>
        </w:rPr>
      </w:pPr>
      <w:r w:rsidRPr="00182A1C">
        <w:rPr>
          <w:rFonts w:ascii="Arial" w:hAnsi="Arial" w:cs="Arial"/>
        </w:rPr>
        <w:t xml:space="preserve">Improved health outcomes: By closely monitoring patients' health and intervening, </w:t>
      </w:r>
      <w:r w:rsidR="000710E2">
        <w:rPr>
          <w:rFonts w:ascii="Arial" w:hAnsi="Arial" w:cs="Arial"/>
        </w:rPr>
        <w:t xml:space="preserve">it is </w:t>
      </w:r>
      <w:r w:rsidRPr="00182A1C">
        <w:rPr>
          <w:rFonts w:ascii="Arial" w:hAnsi="Arial" w:cs="Arial"/>
        </w:rPr>
        <w:t>believe</w:t>
      </w:r>
      <w:r w:rsidR="000710E2">
        <w:rPr>
          <w:rFonts w:ascii="Arial" w:hAnsi="Arial" w:cs="Arial"/>
        </w:rPr>
        <w:t>d</w:t>
      </w:r>
      <w:r w:rsidRPr="00182A1C">
        <w:rPr>
          <w:rFonts w:ascii="Arial" w:hAnsi="Arial" w:cs="Arial"/>
        </w:rPr>
        <w:t xml:space="preserve"> </w:t>
      </w:r>
      <w:r w:rsidR="000710E2">
        <w:rPr>
          <w:rFonts w:ascii="Arial" w:hAnsi="Arial" w:cs="Arial"/>
        </w:rPr>
        <w:t xml:space="preserve">that </w:t>
      </w:r>
      <w:r w:rsidRPr="00182A1C">
        <w:rPr>
          <w:rFonts w:ascii="Arial" w:hAnsi="Arial" w:cs="Arial"/>
        </w:rPr>
        <w:t>virtual ward will lead to improved health outcomes and better quality for</w:t>
      </w:r>
      <w:r w:rsidR="000710E2">
        <w:rPr>
          <w:rFonts w:ascii="Arial" w:hAnsi="Arial" w:cs="Arial"/>
        </w:rPr>
        <w:t xml:space="preserve"> the</w:t>
      </w:r>
      <w:r w:rsidRPr="00182A1C">
        <w:rPr>
          <w:rFonts w:ascii="Arial" w:hAnsi="Arial" w:cs="Arial"/>
        </w:rPr>
        <w:t xml:space="preserve"> patients.</w:t>
      </w:r>
    </w:p>
    <w:p w14:paraId="58ECC53C" w14:textId="0087989F" w:rsidR="008C1ABB" w:rsidRPr="00182A1C" w:rsidRDefault="008C1ABB" w:rsidP="008C1ABB">
      <w:pPr>
        <w:rPr>
          <w:rFonts w:ascii="Arial" w:hAnsi="Arial" w:cs="Arial"/>
        </w:rPr>
      </w:pPr>
      <w:r w:rsidRPr="00182A1C">
        <w:rPr>
          <w:rFonts w:ascii="Arial" w:hAnsi="Arial" w:cs="Arial"/>
        </w:rPr>
        <w:t>In addition, our virtual ward will also benefit healthcare providers by allowing them to manage patients' care more efficiently and effectively. This will enable providers to see more patients and reduce the burden of administrative tasks.</w:t>
      </w:r>
    </w:p>
    <w:p w14:paraId="6CF6BB0A" w14:textId="50726013" w:rsidR="006007BD" w:rsidRPr="00182A1C" w:rsidRDefault="006007BD" w:rsidP="008C1ABB">
      <w:pPr>
        <w:rPr>
          <w:rFonts w:ascii="Arial" w:hAnsi="Arial" w:cs="Arial"/>
        </w:rPr>
      </w:pPr>
    </w:p>
    <w:p w14:paraId="4EDC9E6E" w14:textId="00B6C086" w:rsidR="006007BD" w:rsidRPr="00182A1C" w:rsidRDefault="006007BD" w:rsidP="008C1ABB">
      <w:pPr>
        <w:rPr>
          <w:rFonts w:ascii="Arial" w:hAnsi="Arial" w:cs="Arial"/>
        </w:rPr>
      </w:pPr>
    </w:p>
    <w:p w14:paraId="7E0490FE" w14:textId="103B68F2" w:rsidR="006007BD" w:rsidRPr="00182A1C" w:rsidRDefault="006007BD" w:rsidP="008C1ABB">
      <w:pPr>
        <w:rPr>
          <w:rFonts w:ascii="Arial" w:hAnsi="Arial" w:cs="Arial"/>
        </w:rPr>
      </w:pPr>
    </w:p>
    <w:p w14:paraId="5235D6EB" w14:textId="193D5CCA" w:rsidR="006007BD" w:rsidRPr="00182A1C" w:rsidRDefault="006007BD" w:rsidP="008C1ABB">
      <w:pPr>
        <w:rPr>
          <w:rFonts w:ascii="Arial" w:hAnsi="Arial" w:cs="Arial"/>
        </w:rPr>
      </w:pPr>
      <w:r w:rsidRPr="00182A1C">
        <w:rPr>
          <w:rFonts w:ascii="Arial" w:hAnsi="Arial" w:cs="Arial"/>
        </w:rPr>
        <w:t>SECTION2</w:t>
      </w:r>
    </w:p>
    <w:p w14:paraId="621D726B" w14:textId="77777777" w:rsidR="00B36FF5" w:rsidRPr="00182A1C" w:rsidRDefault="00B36FF5" w:rsidP="008C1ABB">
      <w:pPr>
        <w:rPr>
          <w:rFonts w:ascii="Arial" w:hAnsi="Arial" w:cs="Arial"/>
        </w:rPr>
      </w:pPr>
    </w:p>
    <w:p w14:paraId="069EECC0" w14:textId="65B7542B" w:rsidR="003E3259" w:rsidRPr="00182A1C" w:rsidRDefault="003E3259" w:rsidP="008C1ABB">
      <w:pPr>
        <w:rPr>
          <w:rFonts w:ascii="Arial" w:hAnsi="Arial" w:cs="Arial"/>
        </w:rPr>
      </w:pPr>
    </w:p>
    <w:p w14:paraId="4524D801" w14:textId="317F7BCD" w:rsidR="003E3259" w:rsidRPr="00182A1C" w:rsidRDefault="003E3259" w:rsidP="008C1ABB">
      <w:pPr>
        <w:rPr>
          <w:rFonts w:ascii="Arial" w:hAnsi="Arial" w:cs="Arial"/>
          <w:sz w:val="32"/>
          <w:szCs w:val="32"/>
        </w:rPr>
      </w:pPr>
    </w:p>
    <w:p w14:paraId="1B51935D" w14:textId="1EBB6630" w:rsidR="003E3259" w:rsidRPr="00182A1C" w:rsidRDefault="003E3259" w:rsidP="00B36FF5">
      <w:pPr>
        <w:pStyle w:val="Heading1"/>
        <w:rPr>
          <w:rFonts w:ascii="Arial" w:hAnsi="Arial" w:cs="Arial"/>
        </w:rPr>
      </w:pPr>
      <w:bookmarkStart w:id="4" w:name="_Toc134089361"/>
      <w:r w:rsidRPr="00182A1C">
        <w:rPr>
          <w:rFonts w:ascii="Arial" w:hAnsi="Arial" w:cs="Arial"/>
        </w:rPr>
        <w:t>PESTEL analysis</w:t>
      </w:r>
      <w:bookmarkEnd w:id="4"/>
    </w:p>
    <w:p w14:paraId="164C07D2" w14:textId="77777777" w:rsidR="00B36FF5" w:rsidRPr="00182A1C" w:rsidRDefault="00B36FF5" w:rsidP="003E3259">
      <w:pPr>
        <w:jc w:val="center"/>
        <w:rPr>
          <w:rFonts w:ascii="Arial" w:hAnsi="Arial" w:cs="Arial"/>
        </w:rPr>
      </w:pPr>
    </w:p>
    <w:p w14:paraId="41B762CC" w14:textId="77777777" w:rsidR="00E02C9B" w:rsidRPr="00182A1C" w:rsidRDefault="00E02C9B" w:rsidP="003E3259">
      <w:pPr>
        <w:jc w:val="center"/>
        <w:rPr>
          <w:rFonts w:ascii="Arial" w:hAnsi="Arial" w:cs="Arial"/>
          <w:b/>
          <w:bCs/>
        </w:rPr>
      </w:pPr>
    </w:p>
    <w:p w14:paraId="5E130969" w14:textId="1B5CF3DD" w:rsidR="00D119C7" w:rsidRPr="00182A1C" w:rsidRDefault="00D119C7" w:rsidP="003E3259">
      <w:pPr>
        <w:jc w:val="center"/>
        <w:rPr>
          <w:rFonts w:ascii="Arial" w:hAnsi="Arial" w:cs="Arial"/>
          <w:b/>
          <w:bCs/>
        </w:rPr>
      </w:pPr>
    </w:p>
    <w:p w14:paraId="3BF4FFA1" w14:textId="5643C8F2" w:rsidR="00783F56" w:rsidRPr="00182A1C" w:rsidRDefault="00783F56" w:rsidP="00783F56">
      <w:pPr>
        <w:rPr>
          <w:rFonts w:ascii="Arial" w:hAnsi="Arial" w:cs="Arial"/>
        </w:rPr>
      </w:pPr>
      <w:r w:rsidRPr="00182A1C">
        <w:rPr>
          <w:rFonts w:ascii="Arial" w:hAnsi="Arial" w:cs="Arial"/>
        </w:rPr>
        <w:t xml:space="preserve">PESTEL analysis is a framework </w:t>
      </w:r>
      <w:r w:rsidR="000710E2">
        <w:rPr>
          <w:rFonts w:ascii="Arial" w:hAnsi="Arial" w:cs="Arial"/>
        </w:rPr>
        <w:t xml:space="preserve">that </w:t>
      </w:r>
      <w:r w:rsidRPr="00182A1C">
        <w:rPr>
          <w:rFonts w:ascii="Arial" w:hAnsi="Arial" w:cs="Arial"/>
        </w:rPr>
        <w:t>evaluate</w:t>
      </w:r>
      <w:r w:rsidR="000710E2">
        <w:rPr>
          <w:rFonts w:ascii="Arial" w:hAnsi="Arial" w:cs="Arial"/>
        </w:rPr>
        <w:t>s</w:t>
      </w:r>
      <w:r w:rsidRPr="00182A1C">
        <w:rPr>
          <w:rFonts w:ascii="Arial" w:hAnsi="Arial" w:cs="Arial"/>
        </w:rPr>
        <w:t xml:space="preserve"> the external factors that m</w:t>
      </w:r>
      <w:r w:rsidR="000710E2">
        <w:rPr>
          <w:rFonts w:ascii="Arial" w:hAnsi="Arial" w:cs="Arial"/>
        </w:rPr>
        <w:t>ight</w:t>
      </w:r>
      <w:r w:rsidRPr="00182A1C">
        <w:rPr>
          <w:rFonts w:ascii="Arial" w:hAnsi="Arial" w:cs="Arial"/>
        </w:rPr>
        <w:t xml:space="preserve"> impact </w:t>
      </w:r>
      <w:r w:rsidR="000710E2">
        <w:rPr>
          <w:rFonts w:ascii="Arial" w:hAnsi="Arial" w:cs="Arial"/>
        </w:rPr>
        <w:t>the virtual ward</w:t>
      </w:r>
      <w:r w:rsidRPr="00182A1C">
        <w:rPr>
          <w:rFonts w:ascii="Arial" w:hAnsi="Arial" w:cs="Arial"/>
        </w:rPr>
        <w:t xml:space="preserve"> or industry. </w:t>
      </w:r>
    </w:p>
    <w:p w14:paraId="40FF8B6B" w14:textId="77777777" w:rsidR="00783F56" w:rsidRPr="00182A1C" w:rsidRDefault="00783F56" w:rsidP="00783F56">
      <w:pPr>
        <w:rPr>
          <w:rFonts w:ascii="Arial" w:hAnsi="Arial" w:cs="Arial"/>
        </w:rPr>
      </w:pPr>
      <w:r w:rsidRPr="00182A1C">
        <w:rPr>
          <w:rFonts w:ascii="Arial" w:hAnsi="Arial" w:cs="Arial"/>
        </w:rPr>
        <w:t>Political: The political factors that may impact a virtual ward include changes in government regulations, policies, and funding. For example, changes in healthcare policies or funding may impact the virtual ward's ability to provide high-quality services to patients. Additionally, changes in data privacy regulations, such as GDPR, may require virtual wards to implement additional data protection measures.</w:t>
      </w:r>
    </w:p>
    <w:p w14:paraId="26947019" w14:textId="77777777" w:rsidR="00783F56" w:rsidRPr="00182A1C" w:rsidRDefault="00783F56" w:rsidP="00783F56">
      <w:pPr>
        <w:rPr>
          <w:rFonts w:ascii="Arial" w:hAnsi="Arial" w:cs="Arial"/>
        </w:rPr>
      </w:pPr>
    </w:p>
    <w:p w14:paraId="279D3BF6" w14:textId="77777777" w:rsidR="00783F56" w:rsidRPr="00182A1C" w:rsidRDefault="00783F56" w:rsidP="00783F56">
      <w:pPr>
        <w:rPr>
          <w:rFonts w:ascii="Arial" w:hAnsi="Arial" w:cs="Arial"/>
        </w:rPr>
      </w:pPr>
      <w:r w:rsidRPr="00182A1C">
        <w:rPr>
          <w:rFonts w:ascii="Arial" w:hAnsi="Arial" w:cs="Arial"/>
        </w:rPr>
        <w:t>Economic: The economic factors that may impact a virtual ward include changes in healthcare spending, patient demographics, and healthcare trends. For example, an aging population may increase demand for healthcare services, including virtual wards. However, economic downturns or reductions in healthcare spending may limit the ability of virtual wards to provide services to patients.</w:t>
      </w:r>
    </w:p>
    <w:p w14:paraId="56120DC7" w14:textId="77777777" w:rsidR="00783F56" w:rsidRPr="00182A1C" w:rsidRDefault="00783F56" w:rsidP="00783F56">
      <w:pPr>
        <w:rPr>
          <w:rFonts w:ascii="Arial" w:hAnsi="Arial" w:cs="Arial"/>
        </w:rPr>
      </w:pPr>
    </w:p>
    <w:p w14:paraId="0DA77B17" w14:textId="77777777" w:rsidR="00783F56" w:rsidRPr="00182A1C" w:rsidRDefault="00783F56" w:rsidP="00783F56">
      <w:pPr>
        <w:rPr>
          <w:rFonts w:ascii="Arial" w:hAnsi="Arial" w:cs="Arial"/>
        </w:rPr>
      </w:pPr>
      <w:r w:rsidRPr="00182A1C">
        <w:rPr>
          <w:rFonts w:ascii="Arial" w:hAnsi="Arial" w:cs="Arial"/>
        </w:rPr>
        <w:t>Social: The social factors that may impact a virtual ward include changes in patient preferences and demographics. For example, younger patients may be more likely to use virtual healthcare services, while older patients may prefer in-person care. Additionally, changes in social attitudes towards healthcare, such as increased interest in preventive care, may impact the types of services that virtual wards provide.</w:t>
      </w:r>
    </w:p>
    <w:p w14:paraId="6D29D521" w14:textId="77777777" w:rsidR="00783F56" w:rsidRPr="00182A1C" w:rsidRDefault="00783F56" w:rsidP="00783F56">
      <w:pPr>
        <w:rPr>
          <w:rFonts w:ascii="Arial" w:hAnsi="Arial" w:cs="Arial"/>
        </w:rPr>
      </w:pPr>
    </w:p>
    <w:p w14:paraId="78E24088" w14:textId="77777777" w:rsidR="00783F56" w:rsidRPr="00182A1C" w:rsidRDefault="00783F56" w:rsidP="00783F56">
      <w:pPr>
        <w:rPr>
          <w:rFonts w:ascii="Arial" w:hAnsi="Arial" w:cs="Arial"/>
        </w:rPr>
      </w:pPr>
      <w:r w:rsidRPr="00182A1C">
        <w:rPr>
          <w:rFonts w:ascii="Arial" w:hAnsi="Arial" w:cs="Arial"/>
        </w:rPr>
        <w:t>Technological: The technological factors that may impact a virtual ward include advances in telemedicine technology and remote patient monitoring devices. Virtual wards can leverage these technologies to provide high-quality care to patients, but may also face challenges related to data security and privacy. Additionally, virtual wards may need to invest in technology infrastructure and training to ensure that healthcare providers can effectively use virtual care technologies.</w:t>
      </w:r>
    </w:p>
    <w:p w14:paraId="1AD290D4" w14:textId="77777777" w:rsidR="00783F56" w:rsidRPr="00182A1C" w:rsidRDefault="00783F56" w:rsidP="00783F56">
      <w:pPr>
        <w:rPr>
          <w:rFonts w:ascii="Arial" w:hAnsi="Arial" w:cs="Arial"/>
        </w:rPr>
      </w:pPr>
    </w:p>
    <w:p w14:paraId="1B0ACC64" w14:textId="77777777" w:rsidR="00783F56" w:rsidRPr="00182A1C" w:rsidRDefault="00783F56" w:rsidP="00783F56">
      <w:pPr>
        <w:rPr>
          <w:rFonts w:ascii="Arial" w:hAnsi="Arial" w:cs="Arial"/>
        </w:rPr>
      </w:pPr>
      <w:r w:rsidRPr="00182A1C">
        <w:rPr>
          <w:rFonts w:ascii="Arial" w:hAnsi="Arial" w:cs="Arial"/>
        </w:rPr>
        <w:t>Environmental: The environmental factors that may impact a virtual ward include natural disasters, public health crises, and climate change. These factors may impact the availability of healthcare providers and resources, and may also impact patient access to healthcare services. Virtual wards may need to develop contingency plans to ensure continuity of care in the event of an environmental crisis.</w:t>
      </w:r>
    </w:p>
    <w:p w14:paraId="084FD4B9" w14:textId="77777777" w:rsidR="00783F56" w:rsidRPr="00182A1C" w:rsidRDefault="00783F56" w:rsidP="00783F56">
      <w:pPr>
        <w:rPr>
          <w:rFonts w:ascii="Arial" w:hAnsi="Arial" w:cs="Arial"/>
        </w:rPr>
      </w:pPr>
    </w:p>
    <w:p w14:paraId="79A0801D" w14:textId="77777777" w:rsidR="00783F56" w:rsidRPr="00182A1C" w:rsidRDefault="00783F56" w:rsidP="00783F56">
      <w:pPr>
        <w:rPr>
          <w:rFonts w:ascii="Arial" w:hAnsi="Arial" w:cs="Arial"/>
        </w:rPr>
      </w:pPr>
      <w:r w:rsidRPr="00182A1C">
        <w:rPr>
          <w:rFonts w:ascii="Arial" w:hAnsi="Arial" w:cs="Arial"/>
        </w:rPr>
        <w:t>Legal: The legal factors that may impact a virtual ward include changes in healthcare regulations and data privacy laws. Virtual wards may need to comply with various regulations, such as HIPAA and GDPR, to ensure patient data privacy and protection. Additionally, virtual wards may need to develop legal agreements with healthcare providers and patients to ensure that all parties are protected.</w:t>
      </w:r>
    </w:p>
    <w:p w14:paraId="1D5FE09B" w14:textId="77777777" w:rsidR="00783F56" w:rsidRPr="00182A1C" w:rsidRDefault="00783F56" w:rsidP="00783F56">
      <w:pPr>
        <w:rPr>
          <w:rFonts w:ascii="Arial" w:hAnsi="Arial" w:cs="Arial"/>
        </w:rPr>
      </w:pPr>
    </w:p>
    <w:p w14:paraId="58041C48" w14:textId="02386EC2" w:rsidR="00D119C7" w:rsidRPr="00182A1C" w:rsidRDefault="00783F56" w:rsidP="00783F56">
      <w:pPr>
        <w:rPr>
          <w:rFonts w:ascii="Arial" w:hAnsi="Arial" w:cs="Arial"/>
        </w:rPr>
      </w:pPr>
      <w:r w:rsidRPr="00182A1C">
        <w:rPr>
          <w:rFonts w:ascii="Arial" w:hAnsi="Arial" w:cs="Arial"/>
        </w:rPr>
        <w:t>Overall, a PESTEL analysis highlights the various external factors that may impact a virtual ward's ability to provide high-quality, patient-</w:t>
      </w:r>
      <w:proofErr w:type="spellStart"/>
      <w:r w:rsidRPr="00182A1C">
        <w:rPr>
          <w:rFonts w:ascii="Arial" w:hAnsi="Arial" w:cs="Arial"/>
        </w:rPr>
        <w:t>centered</w:t>
      </w:r>
      <w:proofErr w:type="spellEnd"/>
      <w:r w:rsidRPr="00182A1C">
        <w:rPr>
          <w:rFonts w:ascii="Arial" w:hAnsi="Arial" w:cs="Arial"/>
        </w:rPr>
        <w:t xml:space="preserve"> care. By carefully considering these factors and developing appropriate strategies to address them, virtual wards can provide effective and efficient healthcare services that meet the needs of their target population.</w:t>
      </w:r>
    </w:p>
    <w:p w14:paraId="1CEB0624" w14:textId="08305023" w:rsidR="003E3259" w:rsidRPr="00182A1C" w:rsidRDefault="003E3259" w:rsidP="003E3259">
      <w:pPr>
        <w:rPr>
          <w:rFonts w:ascii="Arial" w:hAnsi="Arial" w:cs="Arial"/>
        </w:rPr>
      </w:pPr>
    </w:p>
    <w:p w14:paraId="407EFDD8" w14:textId="62DD2AF9" w:rsidR="00783F56" w:rsidRPr="00182A1C" w:rsidRDefault="00783F56" w:rsidP="003E3259">
      <w:pPr>
        <w:rPr>
          <w:rFonts w:ascii="Arial" w:hAnsi="Arial" w:cs="Arial"/>
          <w:u w:val="single"/>
        </w:rPr>
      </w:pPr>
    </w:p>
    <w:p w14:paraId="59C674B0" w14:textId="2D7762CC" w:rsidR="00783F56" w:rsidRPr="00182A1C" w:rsidRDefault="00783F56" w:rsidP="003E3259">
      <w:pPr>
        <w:rPr>
          <w:rFonts w:ascii="Arial" w:hAnsi="Arial" w:cs="Arial"/>
          <w:u w:val="single"/>
        </w:rPr>
      </w:pPr>
    </w:p>
    <w:p w14:paraId="5816044D" w14:textId="5FAFCFCB" w:rsidR="00783F56" w:rsidRPr="00182A1C" w:rsidRDefault="00783F56" w:rsidP="003E3259">
      <w:pPr>
        <w:rPr>
          <w:rFonts w:ascii="Arial" w:hAnsi="Arial" w:cs="Arial"/>
          <w:u w:val="single"/>
        </w:rPr>
      </w:pPr>
    </w:p>
    <w:p w14:paraId="76C38612" w14:textId="77777777" w:rsidR="00783F56" w:rsidRPr="00182A1C" w:rsidRDefault="00783F56" w:rsidP="003E3259">
      <w:pPr>
        <w:rPr>
          <w:rFonts w:ascii="Arial" w:hAnsi="Arial" w:cs="Arial"/>
        </w:rPr>
      </w:pPr>
    </w:p>
    <w:p w14:paraId="539EF738" w14:textId="542DD080" w:rsidR="003E3259" w:rsidRPr="00182A1C" w:rsidRDefault="003E3259" w:rsidP="00B36FF5">
      <w:pPr>
        <w:pStyle w:val="Heading1"/>
        <w:rPr>
          <w:rFonts w:ascii="Arial" w:hAnsi="Arial" w:cs="Arial"/>
          <w:sz w:val="22"/>
          <w:szCs w:val="22"/>
        </w:rPr>
      </w:pPr>
      <w:bookmarkStart w:id="5" w:name="_Toc134089362"/>
      <w:r w:rsidRPr="00182A1C">
        <w:rPr>
          <w:rFonts w:ascii="Arial" w:hAnsi="Arial" w:cs="Arial"/>
          <w:sz w:val="22"/>
          <w:szCs w:val="22"/>
        </w:rPr>
        <w:t>STP model</w:t>
      </w:r>
      <w:bookmarkEnd w:id="5"/>
      <w:r w:rsidRPr="00182A1C">
        <w:rPr>
          <w:rFonts w:ascii="Arial" w:hAnsi="Arial" w:cs="Arial"/>
          <w:sz w:val="22"/>
          <w:szCs w:val="22"/>
        </w:rPr>
        <w:t xml:space="preserve"> </w:t>
      </w:r>
    </w:p>
    <w:p w14:paraId="7CA4AC57" w14:textId="547490BF" w:rsidR="003E3259" w:rsidRPr="00182A1C" w:rsidRDefault="003E3259" w:rsidP="003E3259">
      <w:pPr>
        <w:jc w:val="center"/>
        <w:rPr>
          <w:rFonts w:ascii="Arial" w:hAnsi="Arial" w:cs="Arial"/>
          <w:u w:val="single"/>
        </w:rPr>
      </w:pPr>
    </w:p>
    <w:p w14:paraId="1F43F360" w14:textId="77777777" w:rsidR="003E3259" w:rsidRPr="00182A1C" w:rsidRDefault="003E3259" w:rsidP="003E3259">
      <w:pPr>
        <w:rPr>
          <w:rFonts w:ascii="Arial" w:hAnsi="Arial" w:cs="Arial"/>
          <w:u w:val="single"/>
        </w:rPr>
      </w:pPr>
      <w:r w:rsidRPr="00182A1C">
        <w:rPr>
          <w:rFonts w:ascii="Arial" w:hAnsi="Arial" w:cs="Arial"/>
          <w:u w:val="single"/>
        </w:rPr>
        <w:t>Segmentation:</w:t>
      </w:r>
    </w:p>
    <w:p w14:paraId="0CDC66A5" w14:textId="77777777" w:rsidR="003E3259" w:rsidRPr="00182A1C" w:rsidRDefault="003E3259" w:rsidP="003E3259">
      <w:pPr>
        <w:rPr>
          <w:rFonts w:ascii="Arial" w:hAnsi="Arial" w:cs="Arial"/>
        </w:rPr>
      </w:pPr>
      <w:r w:rsidRPr="00182A1C">
        <w:rPr>
          <w:rFonts w:ascii="Arial" w:hAnsi="Arial" w:cs="Arial"/>
        </w:rPr>
        <w:t>The virtual healthcare ward can segment its potential patient base based on various criteria, such as:</w:t>
      </w:r>
    </w:p>
    <w:p w14:paraId="7E5A8754" w14:textId="105B345B" w:rsidR="003E3259" w:rsidRPr="00182A1C" w:rsidRDefault="003E3259" w:rsidP="003E3259">
      <w:pPr>
        <w:rPr>
          <w:rFonts w:ascii="Arial" w:hAnsi="Arial" w:cs="Arial"/>
        </w:rPr>
      </w:pPr>
      <w:r w:rsidRPr="00182A1C">
        <w:rPr>
          <w:rFonts w:ascii="Arial" w:hAnsi="Arial" w:cs="Arial"/>
        </w:rPr>
        <w:t>Demographics: Age, gender, location, income, education level</w:t>
      </w:r>
      <w:r w:rsidR="00C96E82" w:rsidRPr="00182A1C">
        <w:rPr>
          <w:rFonts w:ascii="Arial" w:hAnsi="Arial" w:cs="Arial"/>
        </w:rPr>
        <w:t xml:space="preserve">. In this context, the virtual ward is </w:t>
      </w:r>
      <w:r w:rsidRPr="00182A1C">
        <w:rPr>
          <w:rFonts w:ascii="Arial" w:hAnsi="Arial" w:cs="Arial"/>
        </w:rPr>
        <w:t>targeting seniors living in urban areas who may need ongoing monitoring and support for chronic conditions.</w:t>
      </w:r>
    </w:p>
    <w:p w14:paraId="2648EB68" w14:textId="77777777" w:rsidR="006007BD" w:rsidRPr="00182A1C" w:rsidRDefault="003E3259" w:rsidP="003E3259">
      <w:pPr>
        <w:rPr>
          <w:rFonts w:ascii="Arial" w:hAnsi="Arial" w:cs="Arial"/>
        </w:rPr>
      </w:pPr>
      <w:r w:rsidRPr="00182A1C">
        <w:rPr>
          <w:rFonts w:ascii="Arial" w:hAnsi="Arial" w:cs="Arial"/>
        </w:rPr>
        <w:t>Medical conditions: Patients with specific medical conditions, such as diabetes, heart disease, or mental health issues, who require ongoing support and care</w:t>
      </w:r>
    </w:p>
    <w:p w14:paraId="720694FA" w14:textId="7CD5847F" w:rsidR="003E3259" w:rsidRPr="00182A1C" w:rsidRDefault="003E3259" w:rsidP="003E3259">
      <w:pPr>
        <w:rPr>
          <w:rFonts w:ascii="Arial" w:hAnsi="Arial" w:cs="Arial"/>
        </w:rPr>
      </w:pPr>
      <w:r w:rsidRPr="00182A1C">
        <w:rPr>
          <w:rFonts w:ascii="Arial" w:hAnsi="Arial" w:cs="Arial"/>
        </w:rPr>
        <w:t>.</w:t>
      </w:r>
    </w:p>
    <w:p w14:paraId="018E3794" w14:textId="20397185" w:rsidR="003E3259" w:rsidRPr="00182A1C" w:rsidRDefault="006007BD" w:rsidP="003E3259">
      <w:pPr>
        <w:rPr>
          <w:rFonts w:ascii="Arial" w:hAnsi="Arial" w:cs="Arial"/>
        </w:rPr>
      </w:pPr>
      <w:r w:rsidRPr="00182A1C">
        <w:rPr>
          <w:rFonts w:ascii="Arial" w:hAnsi="Arial" w:cs="Arial"/>
          <w:u w:val="single"/>
        </w:rPr>
        <w:t>Behavioural</w:t>
      </w:r>
      <w:r w:rsidR="003E3259" w:rsidRPr="00182A1C">
        <w:rPr>
          <w:rFonts w:ascii="Arial" w:hAnsi="Arial" w:cs="Arial"/>
          <w:u w:val="single"/>
        </w:rPr>
        <w:t>:</w:t>
      </w:r>
      <w:r w:rsidR="003E3259" w:rsidRPr="00182A1C">
        <w:rPr>
          <w:rFonts w:ascii="Arial" w:hAnsi="Arial" w:cs="Arial"/>
        </w:rPr>
        <w:t xml:space="preserve"> Patients who prefer convenience and ease of access to healthcare services, who may not have</w:t>
      </w:r>
      <w:r w:rsidR="000710E2">
        <w:rPr>
          <w:rFonts w:ascii="Arial" w:hAnsi="Arial" w:cs="Arial"/>
        </w:rPr>
        <w:t xml:space="preserve"> </w:t>
      </w:r>
      <w:r w:rsidR="003E3259" w:rsidRPr="00182A1C">
        <w:rPr>
          <w:rFonts w:ascii="Arial" w:hAnsi="Arial" w:cs="Arial"/>
        </w:rPr>
        <w:t>access to traditional healthcare providers, or who prefer digital solutions.</w:t>
      </w:r>
    </w:p>
    <w:p w14:paraId="1EB93C10" w14:textId="77777777" w:rsidR="006007BD" w:rsidRPr="00182A1C" w:rsidRDefault="006007BD" w:rsidP="003E3259">
      <w:pPr>
        <w:rPr>
          <w:rFonts w:ascii="Arial" w:hAnsi="Arial" w:cs="Arial"/>
        </w:rPr>
      </w:pPr>
    </w:p>
    <w:p w14:paraId="47F6ECE0" w14:textId="77777777" w:rsidR="003E3259" w:rsidRPr="00182A1C" w:rsidRDefault="003E3259" w:rsidP="003E3259">
      <w:pPr>
        <w:rPr>
          <w:rFonts w:ascii="Arial" w:hAnsi="Arial" w:cs="Arial"/>
          <w:u w:val="single"/>
        </w:rPr>
      </w:pPr>
      <w:r w:rsidRPr="00182A1C">
        <w:rPr>
          <w:rFonts w:ascii="Arial" w:hAnsi="Arial" w:cs="Arial"/>
          <w:u w:val="single"/>
        </w:rPr>
        <w:t>Targeting:</w:t>
      </w:r>
    </w:p>
    <w:p w14:paraId="66EA2B7C" w14:textId="7FD540E4" w:rsidR="003E3259" w:rsidRPr="00182A1C" w:rsidRDefault="003E3259" w:rsidP="003E3259">
      <w:pPr>
        <w:rPr>
          <w:rFonts w:ascii="Arial" w:hAnsi="Arial" w:cs="Arial"/>
        </w:rPr>
      </w:pPr>
      <w:r w:rsidRPr="00182A1C">
        <w:rPr>
          <w:rFonts w:ascii="Arial" w:hAnsi="Arial" w:cs="Arial"/>
        </w:rPr>
        <w:t>Once the virtual healthcare ward has identified its target segments, it can develop strategies to reach them. Some possible targeting strategies include:</w:t>
      </w:r>
    </w:p>
    <w:p w14:paraId="40931EBF" w14:textId="4E2EAB20" w:rsidR="003E3259" w:rsidRPr="00182A1C" w:rsidRDefault="003E3259" w:rsidP="003E3259">
      <w:pPr>
        <w:rPr>
          <w:rFonts w:ascii="Arial" w:hAnsi="Arial" w:cs="Arial"/>
        </w:rPr>
      </w:pPr>
      <w:r w:rsidRPr="00182A1C">
        <w:rPr>
          <w:rFonts w:ascii="Arial" w:hAnsi="Arial" w:cs="Arial"/>
        </w:rPr>
        <w:t>Developing targeted marketing campaigns that speak to the specific needs and preferences of each segment, such as advertising to seniors through social media</w:t>
      </w:r>
      <w:r w:rsidR="00C96E82" w:rsidRPr="00182A1C">
        <w:rPr>
          <w:rFonts w:ascii="Arial" w:hAnsi="Arial" w:cs="Arial"/>
        </w:rPr>
        <w:t>( Facebook, flyers, newspaper announces)</w:t>
      </w:r>
      <w:r w:rsidRPr="00182A1C">
        <w:rPr>
          <w:rFonts w:ascii="Arial" w:hAnsi="Arial" w:cs="Arial"/>
        </w:rPr>
        <w:t xml:space="preserve"> or partnering with local healthcare providers to offer digital healthcare solutions</w:t>
      </w:r>
      <w:r w:rsidR="00C96E82" w:rsidRPr="00182A1C">
        <w:rPr>
          <w:rFonts w:ascii="Arial" w:hAnsi="Arial" w:cs="Arial"/>
        </w:rPr>
        <w:t>- establish partnership with the General practices in the area</w:t>
      </w:r>
    </w:p>
    <w:p w14:paraId="670F5209" w14:textId="4341FCBE" w:rsidR="003E3259" w:rsidRPr="00182A1C" w:rsidRDefault="003E3259" w:rsidP="003E3259">
      <w:pPr>
        <w:rPr>
          <w:rFonts w:ascii="Arial" w:hAnsi="Arial" w:cs="Arial"/>
        </w:rPr>
      </w:pPr>
      <w:r w:rsidRPr="00182A1C">
        <w:rPr>
          <w:rFonts w:ascii="Arial" w:hAnsi="Arial" w:cs="Arial"/>
        </w:rPr>
        <w:t>Offering specialized packages that are tailored to the needs of each segment, such as telemedicine consultations for patients with chronic conditions, remote patient monitoring for patients with mental health issues, or at-home testing kits for patients who prefer to avoid in-person appointments.</w:t>
      </w:r>
    </w:p>
    <w:p w14:paraId="5589D113" w14:textId="77777777" w:rsidR="006007BD" w:rsidRPr="00182A1C" w:rsidRDefault="006007BD" w:rsidP="003E3259">
      <w:pPr>
        <w:rPr>
          <w:rFonts w:ascii="Arial" w:hAnsi="Arial" w:cs="Arial"/>
        </w:rPr>
      </w:pPr>
    </w:p>
    <w:p w14:paraId="51CB1C81" w14:textId="77777777" w:rsidR="003E3259" w:rsidRPr="00182A1C" w:rsidRDefault="003E3259" w:rsidP="003E3259">
      <w:pPr>
        <w:rPr>
          <w:rFonts w:ascii="Arial" w:hAnsi="Arial" w:cs="Arial"/>
          <w:u w:val="single"/>
        </w:rPr>
      </w:pPr>
      <w:r w:rsidRPr="00182A1C">
        <w:rPr>
          <w:rFonts w:ascii="Arial" w:hAnsi="Arial" w:cs="Arial"/>
          <w:u w:val="single"/>
        </w:rPr>
        <w:t>Positioning:</w:t>
      </w:r>
    </w:p>
    <w:p w14:paraId="781156A7" w14:textId="76AE3110" w:rsidR="003E3259" w:rsidRPr="00182A1C" w:rsidRDefault="003E3259" w:rsidP="003E3259">
      <w:pPr>
        <w:rPr>
          <w:rFonts w:ascii="Arial" w:hAnsi="Arial" w:cs="Arial"/>
        </w:rPr>
      </w:pPr>
      <w:r w:rsidRPr="00182A1C">
        <w:rPr>
          <w:rFonts w:ascii="Arial" w:hAnsi="Arial" w:cs="Arial"/>
        </w:rPr>
        <w:t>Finally, the virtual healthcare ward must determine how it wants to position itself in the market. Some potential positioning strate</w:t>
      </w:r>
      <w:r w:rsidR="00C96E82" w:rsidRPr="00182A1C">
        <w:rPr>
          <w:rFonts w:ascii="Arial" w:hAnsi="Arial" w:cs="Arial"/>
        </w:rPr>
        <w:t>gies</w:t>
      </w:r>
      <w:r w:rsidRPr="00182A1C">
        <w:rPr>
          <w:rFonts w:ascii="Arial" w:hAnsi="Arial" w:cs="Arial"/>
        </w:rPr>
        <w:t xml:space="preserve"> include:</w:t>
      </w:r>
    </w:p>
    <w:p w14:paraId="4C36440C" w14:textId="77777777" w:rsidR="003E3259" w:rsidRPr="00182A1C" w:rsidRDefault="003E3259" w:rsidP="003E3259">
      <w:pPr>
        <w:rPr>
          <w:rFonts w:ascii="Arial" w:hAnsi="Arial" w:cs="Arial"/>
        </w:rPr>
      </w:pPr>
      <w:r w:rsidRPr="00182A1C">
        <w:rPr>
          <w:rFonts w:ascii="Arial" w:hAnsi="Arial" w:cs="Arial"/>
        </w:rPr>
        <w:t>Emphasizing the convenience and accessibility of virtual healthcare services, such as 24/7 availability and the ability to access healthcare from the comfort of one's home.</w:t>
      </w:r>
    </w:p>
    <w:p w14:paraId="58DD521B" w14:textId="77777777" w:rsidR="003E3259" w:rsidRPr="00182A1C" w:rsidRDefault="003E3259" w:rsidP="003E3259">
      <w:pPr>
        <w:rPr>
          <w:rFonts w:ascii="Arial" w:hAnsi="Arial" w:cs="Arial"/>
        </w:rPr>
      </w:pPr>
      <w:r w:rsidRPr="00182A1C">
        <w:rPr>
          <w:rFonts w:ascii="Arial" w:hAnsi="Arial" w:cs="Arial"/>
        </w:rPr>
        <w:t>Focusing on the quality of care and expertise of the virtual healthcare ward's staff, such as highlighting the qualifications and experience of the virtual healthcare ward's physicians and care teams.</w:t>
      </w:r>
    </w:p>
    <w:p w14:paraId="16E1D511" w14:textId="2326ADC1" w:rsidR="003E3259" w:rsidRPr="00182A1C" w:rsidRDefault="003E3259" w:rsidP="003E3259">
      <w:pPr>
        <w:rPr>
          <w:rFonts w:ascii="Arial" w:hAnsi="Arial" w:cs="Arial"/>
        </w:rPr>
      </w:pPr>
      <w:r w:rsidRPr="00182A1C">
        <w:rPr>
          <w:rFonts w:ascii="Arial" w:hAnsi="Arial" w:cs="Arial"/>
        </w:rPr>
        <w:t>Highlighting the cost savings that patients can achieve by using virtual healthcare services, such as reduced travel and time costs associated with in-person healthcare appointments.</w:t>
      </w:r>
    </w:p>
    <w:p w14:paraId="1DE49584" w14:textId="6548989B" w:rsidR="006007BD" w:rsidRPr="00182A1C" w:rsidRDefault="006007BD" w:rsidP="003E3259">
      <w:pPr>
        <w:rPr>
          <w:rFonts w:ascii="Arial" w:hAnsi="Arial" w:cs="Arial"/>
        </w:rPr>
      </w:pPr>
    </w:p>
    <w:p w14:paraId="2D13603B" w14:textId="5B5F7CD1" w:rsidR="006007BD" w:rsidRPr="00182A1C" w:rsidRDefault="006007BD" w:rsidP="003E3259">
      <w:pPr>
        <w:rPr>
          <w:rFonts w:ascii="Arial" w:hAnsi="Arial" w:cs="Arial"/>
        </w:rPr>
      </w:pPr>
    </w:p>
    <w:p w14:paraId="79443F68" w14:textId="4A415EAF" w:rsidR="006007BD" w:rsidRPr="00182A1C" w:rsidRDefault="006007BD" w:rsidP="003E3259">
      <w:pPr>
        <w:rPr>
          <w:rFonts w:ascii="Arial" w:hAnsi="Arial" w:cs="Arial"/>
        </w:rPr>
      </w:pPr>
    </w:p>
    <w:p w14:paraId="48DA3A9D" w14:textId="7707671B" w:rsidR="006007BD" w:rsidRPr="00182A1C" w:rsidRDefault="006007BD" w:rsidP="003E3259">
      <w:pPr>
        <w:rPr>
          <w:rFonts w:ascii="Arial" w:hAnsi="Arial" w:cs="Arial"/>
        </w:rPr>
      </w:pPr>
    </w:p>
    <w:p w14:paraId="6E33BFE8" w14:textId="3047C6B0" w:rsidR="003E3259" w:rsidRPr="00182A1C" w:rsidRDefault="005A670A" w:rsidP="00B36FF5">
      <w:pPr>
        <w:pStyle w:val="Heading1"/>
        <w:rPr>
          <w:rFonts w:ascii="Arial" w:hAnsi="Arial" w:cs="Arial"/>
        </w:rPr>
      </w:pPr>
      <w:bookmarkStart w:id="6" w:name="_Toc134089363"/>
      <w:r w:rsidRPr="00182A1C">
        <w:rPr>
          <w:rFonts w:ascii="Arial" w:hAnsi="Arial" w:cs="Arial"/>
        </w:rPr>
        <w:t>Porter’s five forces</w:t>
      </w:r>
      <w:bookmarkEnd w:id="6"/>
    </w:p>
    <w:p w14:paraId="4C9E07EE" w14:textId="65A325ED" w:rsidR="005A670A" w:rsidRPr="00182A1C" w:rsidRDefault="005A670A" w:rsidP="006007BD">
      <w:pPr>
        <w:rPr>
          <w:rFonts w:ascii="Arial" w:hAnsi="Arial" w:cs="Arial"/>
          <w:b/>
          <w:bCs/>
        </w:rPr>
      </w:pPr>
    </w:p>
    <w:p w14:paraId="3EF2E797" w14:textId="77777777" w:rsidR="005A670A" w:rsidRPr="00182A1C" w:rsidRDefault="005A670A" w:rsidP="006007BD">
      <w:pPr>
        <w:rPr>
          <w:rFonts w:ascii="Arial" w:hAnsi="Arial" w:cs="Arial"/>
          <w:b/>
          <w:bCs/>
        </w:rPr>
      </w:pPr>
    </w:p>
    <w:p w14:paraId="5FF9AD29" w14:textId="77777777" w:rsidR="005A670A" w:rsidRPr="00182A1C" w:rsidRDefault="005A670A" w:rsidP="006007BD">
      <w:pPr>
        <w:rPr>
          <w:rFonts w:ascii="Arial" w:hAnsi="Arial" w:cs="Arial"/>
          <w:u w:val="single"/>
        </w:rPr>
      </w:pPr>
      <w:r w:rsidRPr="00182A1C">
        <w:rPr>
          <w:rFonts w:ascii="Arial" w:hAnsi="Arial" w:cs="Arial"/>
          <w:u w:val="single"/>
        </w:rPr>
        <w:t>Threat of new entrants:</w:t>
      </w:r>
    </w:p>
    <w:p w14:paraId="0874D783" w14:textId="1BA11451" w:rsidR="005A670A" w:rsidRPr="00182A1C" w:rsidRDefault="005A670A" w:rsidP="006007BD">
      <w:pPr>
        <w:rPr>
          <w:rFonts w:ascii="Arial" w:hAnsi="Arial" w:cs="Arial"/>
        </w:rPr>
      </w:pPr>
      <w:r w:rsidRPr="00182A1C">
        <w:rPr>
          <w:rFonts w:ascii="Arial" w:hAnsi="Arial" w:cs="Arial"/>
        </w:rPr>
        <w:t>The virtual healthcare industry is relatively new and rapidly growing, which means that the threat of new entrants is high. New companies can</w:t>
      </w:r>
      <w:r w:rsidR="000710E2">
        <w:rPr>
          <w:rFonts w:ascii="Arial" w:hAnsi="Arial" w:cs="Arial"/>
        </w:rPr>
        <w:t xml:space="preserve"> </w:t>
      </w:r>
      <w:r w:rsidRPr="00182A1C">
        <w:rPr>
          <w:rFonts w:ascii="Arial" w:hAnsi="Arial" w:cs="Arial"/>
        </w:rPr>
        <w:t xml:space="preserve">enter the market </w:t>
      </w:r>
      <w:r w:rsidR="000710E2">
        <w:rPr>
          <w:rFonts w:ascii="Arial" w:hAnsi="Arial" w:cs="Arial"/>
        </w:rPr>
        <w:t xml:space="preserve"> easily </w:t>
      </w:r>
      <w:r w:rsidRPr="00182A1C">
        <w:rPr>
          <w:rFonts w:ascii="Arial" w:hAnsi="Arial" w:cs="Arial"/>
        </w:rPr>
        <w:t>and offer virtual healthcare services, making it more competitive for existing virtual healthcare wards. However, existing virtual healthcare wards can maintain a competitive advantage by leveraging their existing patient base, brand reputation, and technology infrastructure.</w:t>
      </w:r>
    </w:p>
    <w:p w14:paraId="057C795C" w14:textId="77777777" w:rsidR="005A670A" w:rsidRPr="00182A1C" w:rsidRDefault="005A670A" w:rsidP="006007BD">
      <w:pPr>
        <w:rPr>
          <w:rFonts w:ascii="Arial" w:hAnsi="Arial" w:cs="Arial"/>
        </w:rPr>
      </w:pPr>
    </w:p>
    <w:p w14:paraId="13487DD0" w14:textId="77777777" w:rsidR="005A670A" w:rsidRPr="00182A1C" w:rsidRDefault="005A670A" w:rsidP="006007BD">
      <w:pPr>
        <w:rPr>
          <w:rFonts w:ascii="Arial" w:hAnsi="Arial" w:cs="Arial"/>
          <w:u w:val="single"/>
        </w:rPr>
      </w:pPr>
      <w:r w:rsidRPr="00182A1C">
        <w:rPr>
          <w:rFonts w:ascii="Arial" w:hAnsi="Arial" w:cs="Arial"/>
          <w:u w:val="single"/>
        </w:rPr>
        <w:t>Bargaining power of suppliers:</w:t>
      </w:r>
    </w:p>
    <w:p w14:paraId="5F0F61AA" w14:textId="7E9E03D2" w:rsidR="005A670A" w:rsidRPr="00182A1C" w:rsidRDefault="005A670A" w:rsidP="006007BD">
      <w:pPr>
        <w:rPr>
          <w:rFonts w:ascii="Arial" w:hAnsi="Arial" w:cs="Arial"/>
        </w:rPr>
      </w:pPr>
      <w:r w:rsidRPr="00182A1C">
        <w:rPr>
          <w:rFonts w:ascii="Arial" w:hAnsi="Arial" w:cs="Arial"/>
        </w:rPr>
        <w:t xml:space="preserve">In the virtual healthcare industry, the bargaining power of suppliers is relatively low. Virtual healthcare wards rely on a variety of suppliers, such as technology providers, medical equipment providers, and pharmaceutical companies. However, due to the competitive nature of the industry, virtual healthcare wards can often negotiate </w:t>
      </w:r>
      <w:r w:rsidR="00C96E82" w:rsidRPr="00182A1C">
        <w:rPr>
          <w:rFonts w:ascii="Arial" w:hAnsi="Arial" w:cs="Arial"/>
        </w:rPr>
        <w:t>favourable</w:t>
      </w:r>
      <w:r w:rsidRPr="00182A1C">
        <w:rPr>
          <w:rFonts w:ascii="Arial" w:hAnsi="Arial" w:cs="Arial"/>
        </w:rPr>
        <w:t xml:space="preserve"> terms with their suppliers.</w:t>
      </w:r>
    </w:p>
    <w:p w14:paraId="6C228D13" w14:textId="77777777" w:rsidR="005A670A" w:rsidRPr="00182A1C" w:rsidRDefault="005A670A" w:rsidP="006007BD">
      <w:pPr>
        <w:rPr>
          <w:rFonts w:ascii="Arial" w:hAnsi="Arial" w:cs="Arial"/>
          <w:u w:val="single"/>
        </w:rPr>
      </w:pPr>
    </w:p>
    <w:p w14:paraId="048AF556" w14:textId="77777777" w:rsidR="005A670A" w:rsidRPr="00182A1C" w:rsidRDefault="005A670A" w:rsidP="006007BD">
      <w:pPr>
        <w:rPr>
          <w:rFonts w:ascii="Arial" w:hAnsi="Arial" w:cs="Arial"/>
          <w:u w:val="single"/>
        </w:rPr>
      </w:pPr>
      <w:r w:rsidRPr="00182A1C">
        <w:rPr>
          <w:rFonts w:ascii="Arial" w:hAnsi="Arial" w:cs="Arial"/>
          <w:u w:val="single"/>
        </w:rPr>
        <w:t>Bargaining power of buyers:</w:t>
      </w:r>
    </w:p>
    <w:p w14:paraId="61F29937" w14:textId="77777777" w:rsidR="005A670A" w:rsidRPr="00182A1C" w:rsidRDefault="005A670A" w:rsidP="006007BD">
      <w:pPr>
        <w:rPr>
          <w:rFonts w:ascii="Arial" w:hAnsi="Arial" w:cs="Arial"/>
        </w:rPr>
      </w:pPr>
      <w:r w:rsidRPr="00182A1C">
        <w:rPr>
          <w:rFonts w:ascii="Arial" w:hAnsi="Arial" w:cs="Arial"/>
        </w:rPr>
        <w:t>The bargaining power of buyers is high in the virtual healthcare industry. Patients have a wide range of options when it comes to virtual healthcare providers, which means that virtual healthcare wards must compete on factors such as price, quality of care, and convenience to attract and retain patients. This can lead to downward pressure on prices and margins.</w:t>
      </w:r>
    </w:p>
    <w:p w14:paraId="32ECBCEE" w14:textId="77777777" w:rsidR="005A670A" w:rsidRPr="00182A1C" w:rsidRDefault="005A670A" w:rsidP="006007BD">
      <w:pPr>
        <w:rPr>
          <w:rFonts w:ascii="Arial" w:hAnsi="Arial" w:cs="Arial"/>
        </w:rPr>
      </w:pPr>
    </w:p>
    <w:p w14:paraId="3F18CA28" w14:textId="77777777" w:rsidR="005A670A" w:rsidRPr="00182A1C" w:rsidRDefault="005A670A" w:rsidP="006007BD">
      <w:pPr>
        <w:rPr>
          <w:rFonts w:ascii="Arial" w:hAnsi="Arial" w:cs="Arial"/>
        </w:rPr>
      </w:pPr>
      <w:r w:rsidRPr="00182A1C">
        <w:rPr>
          <w:rFonts w:ascii="Arial" w:hAnsi="Arial" w:cs="Arial"/>
          <w:u w:val="single"/>
        </w:rPr>
        <w:t>Threat of substitutes</w:t>
      </w:r>
      <w:r w:rsidRPr="00182A1C">
        <w:rPr>
          <w:rFonts w:ascii="Arial" w:hAnsi="Arial" w:cs="Arial"/>
        </w:rPr>
        <w:t>:</w:t>
      </w:r>
    </w:p>
    <w:p w14:paraId="35103640" w14:textId="77777777" w:rsidR="005A670A" w:rsidRPr="00182A1C" w:rsidRDefault="005A670A" w:rsidP="006007BD">
      <w:pPr>
        <w:rPr>
          <w:rFonts w:ascii="Arial" w:hAnsi="Arial" w:cs="Arial"/>
        </w:rPr>
      </w:pPr>
      <w:r w:rsidRPr="00182A1C">
        <w:rPr>
          <w:rFonts w:ascii="Arial" w:hAnsi="Arial" w:cs="Arial"/>
        </w:rPr>
        <w:t>The threat of substitutes is relatively low in the virtual healthcare industry. While patients can choose to visit traditional healthcare providers, virtual healthcare services offer unique benefits, such as convenience, cost-effectiveness, and accessibility. Therefore, virtual healthcare wards can differentiate themselves from traditional healthcare providers by emphasizing these benefits.</w:t>
      </w:r>
    </w:p>
    <w:p w14:paraId="49FE074C" w14:textId="77777777" w:rsidR="005A670A" w:rsidRPr="00182A1C" w:rsidRDefault="005A670A" w:rsidP="006007BD">
      <w:pPr>
        <w:rPr>
          <w:rFonts w:ascii="Arial" w:hAnsi="Arial" w:cs="Arial"/>
        </w:rPr>
      </w:pPr>
    </w:p>
    <w:p w14:paraId="316AC47A" w14:textId="77777777" w:rsidR="005A670A" w:rsidRPr="00182A1C" w:rsidRDefault="005A670A" w:rsidP="006007BD">
      <w:pPr>
        <w:rPr>
          <w:rFonts w:ascii="Arial" w:hAnsi="Arial" w:cs="Arial"/>
          <w:u w:val="single"/>
        </w:rPr>
      </w:pPr>
      <w:r w:rsidRPr="00182A1C">
        <w:rPr>
          <w:rFonts w:ascii="Arial" w:hAnsi="Arial" w:cs="Arial"/>
          <w:u w:val="single"/>
        </w:rPr>
        <w:t>Competitive rivalry:</w:t>
      </w:r>
    </w:p>
    <w:p w14:paraId="68005C4D" w14:textId="77777777" w:rsidR="005A670A" w:rsidRPr="00182A1C" w:rsidRDefault="005A670A" w:rsidP="006007BD">
      <w:pPr>
        <w:rPr>
          <w:rFonts w:ascii="Arial" w:hAnsi="Arial" w:cs="Arial"/>
        </w:rPr>
      </w:pPr>
      <w:r w:rsidRPr="00182A1C">
        <w:rPr>
          <w:rFonts w:ascii="Arial" w:hAnsi="Arial" w:cs="Arial"/>
        </w:rPr>
        <w:t>Competition is high in the virtual healthcare industry, with many virtual healthcare wards vying for market share. Virtual healthcare wards must compete on factors such as price, quality of care, and technology infrastructure to differentiate themselves from their competitors. However, established virtual healthcare wards may have a competitive advantage due to their existing patient base, brand reputation, and expertise in the virtual healthcare space.</w:t>
      </w:r>
    </w:p>
    <w:p w14:paraId="70E1E9F6" w14:textId="77777777" w:rsidR="005A670A" w:rsidRPr="00182A1C" w:rsidRDefault="005A670A" w:rsidP="006007BD">
      <w:pPr>
        <w:rPr>
          <w:rFonts w:ascii="Arial" w:hAnsi="Arial" w:cs="Arial"/>
        </w:rPr>
      </w:pPr>
    </w:p>
    <w:p w14:paraId="00040407" w14:textId="3E460637" w:rsidR="008C1ABB" w:rsidRPr="00182A1C" w:rsidRDefault="005A670A" w:rsidP="006007BD">
      <w:pPr>
        <w:rPr>
          <w:rFonts w:ascii="Arial" w:hAnsi="Arial" w:cs="Arial"/>
        </w:rPr>
      </w:pPr>
      <w:r w:rsidRPr="00182A1C">
        <w:rPr>
          <w:rFonts w:ascii="Arial" w:hAnsi="Arial" w:cs="Arial"/>
        </w:rPr>
        <w:t>In summary, the virtual healthcare industry is a relatively new and rapidly growing industry, with high competition and the threat of new entrants. Virtual healthcare wards must differentiate themselves by leveraging their existing patient base, brand reputation, technology infrastructure, and providing high-quality care and convenience to attract and retain patients.</w:t>
      </w:r>
    </w:p>
    <w:p w14:paraId="1F6946F2" w14:textId="24D37906" w:rsidR="006007BD" w:rsidRPr="00182A1C" w:rsidRDefault="006007BD" w:rsidP="006007BD">
      <w:pPr>
        <w:rPr>
          <w:rFonts w:ascii="Arial" w:hAnsi="Arial" w:cs="Arial"/>
        </w:rPr>
      </w:pPr>
    </w:p>
    <w:p w14:paraId="5FD69D1D" w14:textId="47565BBE" w:rsidR="006007BD" w:rsidRPr="00182A1C" w:rsidRDefault="006007BD" w:rsidP="006007BD">
      <w:pPr>
        <w:rPr>
          <w:rFonts w:ascii="Arial" w:hAnsi="Arial" w:cs="Arial"/>
        </w:rPr>
      </w:pPr>
    </w:p>
    <w:p w14:paraId="570A6BAD" w14:textId="77777777" w:rsidR="006007BD" w:rsidRPr="00182A1C" w:rsidRDefault="006007BD" w:rsidP="006007BD">
      <w:pPr>
        <w:rPr>
          <w:rFonts w:ascii="Arial" w:hAnsi="Arial" w:cs="Arial"/>
        </w:rPr>
      </w:pPr>
    </w:p>
    <w:p w14:paraId="0A073081" w14:textId="50DC72CB" w:rsidR="00791086" w:rsidRPr="00182A1C" w:rsidRDefault="00791086" w:rsidP="006007BD">
      <w:pPr>
        <w:rPr>
          <w:rFonts w:ascii="Arial" w:hAnsi="Arial" w:cs="Arial"/>
        </w:rPr>
      </w:pPr>
    </w:p>
    <w:p w14:paraId="342CBCD9" w14:textId="3355A846" w:rsidR="00791086" w:rsidRPr="00182A1C" w:rsidRDefault="00791086" w:rsidP="006007BD">
      <w:pPr>
        <w:rPr>
          <w:rFonts w:ascii="Arial" w:hAnsi="Arial" w:cs="Arial"/>
        </w:rPr>
      </w:pPr>
    </w:p>
    <w:p w14:paraId="78255E4B" w14:textId="6E8DD020" w:rsidR="00791086" w:rsidRPr="00182A1C" w:rsidRDefault="00791086" w:rsidP="006007BD">
      <w:pPr>
        <w:rPr>
          <w:rFonts w:ascii="Arial" w:hAnsi="Arial" w:cs="Arial"/>
        </w:rPr>
      </w:pPr>
    </w:p>
    <w:p w14:paraId="51765E99" w14:textId="451800E7" w:rsidR="00B36FF5" w:rsidRPr="00182A1C" w:rsidRDefault="00B36FF5" w:rsidP="006007BD">
      <w:pPr>
        <w:rPr>
          <w:rFonts w:ascii="Arial" w:hAnsi="Arial" w:cs="Arial"/>
        </w:rPr>
      </w:pPr>
    </w:p>
    <w:p w14:paraId="44E77848" w14:textId="7EFE3E3D" w:rsidR="00B36FF5" w:rsidRPr="00182A1C" w:rsidRDefault="00B36FF5" w:rsidP="006007BD">
      <w:pPr>
        <w:rPr>
          <w:rFonts w:ascii="Arial" w:hAnsi="Arial" w:cs="Arial"/>
        </w:rPr>
      </w:pPr>
    </w:p>
    <w:p w14:paraId="7AA6B36D" w14:textId="683E53CE" w:rsidR="00B36FF5" w:rsidRPr="00182A1C" w:rsidRDefault="00B36FF5" w:rsidP="006007BD">
      <w:pPr>
        <w:rPr>
          <w:rFonts w:ascii="Arial" w:hAnsi="Arial" w:cs="Arial"/>
        </w:rPr>
      </w:pPr>
    </w:p>
    <w:p w14:paraId="3A2205BD" w14:textId="4642FFD2" w:rsidR="00B36FF5" w:rsidRPr="00182A1C" w:rsidRDefault="00B36FF5" w:rsidP="006007BD">
      <w:pPr>
        <w:rPr>
          <w:rFonts w:ascii="Arial" w:hAnsi="Arial" w:cs="Arial"/>
        </w:rPr>
      </w:pPr>
    </w:p>
    <w:p w14:paraId="135D052A" w14:textId="729BE8FB" w:rsidR="00B36FF5" w:rsidRPr="00182A1C" w:rsidRDefault="00B36FF5" w:rsidP="006007BD">
      <w:pPr>
        <w:rPr>
          <w:rFonts w:ascii="Arial" w:hAnsi="Arial" w:cs="Arial"/>
        </w:rPr>
      </w:pPr>
    </w:p>
    <w:p w14:paraId="6245E562" w14:textId="77777777" w:rsidR="00B36FF5" w:rsidRPr="00182A1C" w:rsidRDefault="00B36FF5" w:rsidP="006007BD">
      <w:pPr>
        <w:rPr>
          <w:rFonts w:ascii="Arial" w:hAnsi="Arial" w:cs="Arial"/>
        </w:rPr>
      </w:pPr>
    </w:p>
    <w:p w14:paraId="1669EA8C" w14:textId="7857CD2E" w:rsidR="00791086" w:rsidRPr="00182A1C" w:rsidRDefault="00791086" w:rsidP="006007BD">
      <w:pPr>
        <w:rPr>
          <w:rFonts w:ascii="Arial" w:hAnsi="Arial" w:cs="Arial"/>
        </w:rPr>
      </w:pPr>
    </w:p>
    <w:p w14:paraId="5B67531F" w14:textId="634F81FD" w:rsidR="00791086" w:rsidRPr="00182A1C" w:rsidRDefault="00791086" w:rsidP="00B36FF5">
      <w:pPr>
        <w:pStyle w:val="Heading1"/>
        <w:rPr>
          <w:rFonts w:ascii="Arial" w:hAnsi="Arial" w:cs="Arial"/>
        </w:rPr>
      </w:pPr>
      <w:bookmarkStart w:id="7" w:name="_Toc134089364"/>
      <w:r w:rsidRPr="00182A1C">
        <w:rPr>
          <w:rFonts w:ascii="Arial" w:hAnsi="Arial" w:cs="Arial"/>
        </w:rPr>
        <w:t>Open Innovation business</w:t>
      </w:r>
      <w:bookmarkEnd w:id="7"/>
    </w:p>
    <w:p w14:paraId="7C3AC2B1" w14:textId="754BE84C" w:rsidR="006007BD" w:rsidRPr="00182A1C" w:rsidRDefault="006007BD" w:rsidP="006007BD">
      <w:pPr>
        <w:jc w:val="center"/>
        <w:rPr>
          <w:rFonts w:ascii="Arial" w:hAnsi="Arial" w:cs="Arial"/>
        </w:rPr>
      </w:pPr>
    </w:p>
    <w:p w14:paraId="7C1BB04E" w14:textId="77777777" w:rsidR="006007BD" w:rsidRPr="00182A1C" w:rsidRDefault="006007BD" w:rsidP="006007BD">
      <w:pPr>
        <w:jc w:val="center"/>
        <w:rPr>
          <w:rFonts w:ascii="Arial" w:hAnsi="Arial" w:cs="Arial"/>
        </w:rPr>
      </w:pPr>
    </w:p>
    <w:p w14:paraId="1763BE26" w14:textId="6882819B" w:rsidR="00791086" w:rsidRPr="00182A1C" w:rsidRDefault="00791086" w:rsidP="006007BD">
      <w:pPr>
        <w:jc w:val="center"/>
        <w:rPr>
          <w:rFonts w:ascii="Arial" w:hAnsi="Arial" w:cs="Arial"/>
        </w:rPr>
      </w:pPr>
    </w:p>
    <w:p w14:paraId="71B31449" w14:textId="2DED8AE8" w:rsidR="00791086" w:rsidRPr="00182A1C" w:rsidRDefault="00791086" w:rsidP="006007BD">
      <w:pPr>
        <w:rPr>
          <w:rFonts w:ascii="Arial" w:hAnsi="Arial" w:cs="Arial"/>
        </w:rPr>
      </w:pPr>
      <w:r w:rsidRPr="00182A1C">
        <w:rPr>
          <w:rFonts w:ascii="Arial" w:hAnsi="Arial" w:cs="Arial"/>
        </w:rPr>
        <w:t>In the context of a virtual ward, open innovation involve collaborating with external partners to develop new technologies or solutions that enhance the quality of care for patients, such as partnering with telemedicine companies to offer remote consultations or working with medical device manufacturers to develop remote patient monitoring solutions. A virtual ward could involve a mix of open and closed innovation, depending on the specific needs and goals of the organization. The virtual ward may collaborate with external partners in the future to develop certain technologies or services, while also developing proprietary solutions internally to differentiate itself from competitors.</w:t>
      </w:r>
    </w:p>
    <w:p w14:paraId="14932D71" w14:textId="77777777" w:rsidR="00791086" w:rsidRPr="00182A1C" w:rsidRDefault="00791086" w:rsidP="00791086">
      <w:pPr>
        <w:rPr>
          <w:rFonts w:ascii="Arial" w:hAnsi="Arial" w:cs="Arial"/>
        </w:rPr>
      </w:pPr>
      <w:r w:rsidRPr="00182A1C">
        <w:rPr>
          <w:rFonts w:ascii="Arial" w:hAnsi="Arial" w:cs="Arial"/>
        </w:rPr>
        <w:t>Telemedicine: Telemedicine involves using digital communication technologies such as video conferencing, messaging, and mobile apps to provide remote medical care. Virtual wards leverage telemedicine to connect patients with healthcare providers in real-time, allowing them to receive consultations, diagnoses, and treatment plans from the comfort of their homes.</w:t>
      </w:r>
    </w:p>
    <w:p w14:paraId="3C39ECEA" w14:textId="62956F92" w:rsidR="00791086" w:rsidRPr="00182A1C" w:rsidRDefault="00791086" w:rsidP="00791086">
      <w:pPr>
        <w:rPr>
          <w:rFonts w:ascii="Arial" w:hAnsi="Arial" w:cs="Arial"/>
        </w:rPr>
      </w:pPr>
      <w:r w:rsidRPr="00182A1C">
        <w:rPr>
          <w:rFonts w:ascii="Arial" w:hAnsi="Arial" w:cs="Arial"/>
        </w:rPr>
        <w:t xml:space="preserve">Remote patient monitoring: Remote patient monitoring involves using connected medical devices such as wearables and sensors to monitor patients' health conditions remotely. Virtual wards leverage remote patient monitoring to collect and </w:t>
      </w:r>
      <w:r w:rsidR="00C96E82" w:rsidRPr="00182A1C">
        <w:rPr>
          <w:rFonts w:ascii="Arial" w:hAnsi="Arial" w:cs="Arial"/>
        </w:rPr>
        <w:t>analyse</w:t>
      </w:r>
      <w:r w:rsidRPr="00182A1C">
        <w:rPr>
          <w:rFonts w:ascii="Arial" w:hAnsi="Arial" w:cs="Arial"/>
        </w:rPr>
        <w:t xml:space="preserve"> patient data in real-time, allowing healthcare providers to identify potential health issues before they become critical.</w:t>
      </w:r>
    </w:p>
    <w:p w14:paraId="3A9FD224" w14:textId="7C8DBA92" w:rsidR="00791086" w:rsidRPr="00182A1C" w:rsidRDefault="00791086" w:rsidP="00791086">
      <w:pPr>
        <w:rPr>
          <w:rFonts w:ascii="Arial" w:hAnsi="Arial" w:cs="Arial"/>
        </w:rPr>
      </w:pPr>
      <w:r w:rsidRPr="00182A1C">
        <w:rPr>
          <w:rFonts w:ascii="Arial" w:hAnsi="Arial" w:cs="Arial"/>
        </w:rPr>
        <w:t>Data analytics</w:t>
      </w:r>
      <w:r w:rsidR="009A5A22">
        <w:rPr>
          <w:rFonts w:ascii="Arial" w:hAnsi="Arial" w:cs="Arial"/>
        </w:rPr>
        <w:t>:</w:t>
      </w:r>
      <w:r w:rsidR="009A5A22" w:rsidRPr="009A5A22">
        <w:rPr>
          <w:rFonts w:ascii="Arial" w:hAnsi="Arial" w:cs="Arial"/>
        </w:rPr>
        <w:t xml:space="preserve"> The goal of data analytics is to extract insights from large amounts of patient data using advanced algorithms and machine-learning techniques</w:t>
      </w:r>
      <w:r w:rsidR="009A5A22">
        <w:rPr>
          <w:rFonts w:ascii="Arial" w:hAnsi="Arial" w:cs="Arial"/>
        </w:rPr>
        <w:t xml:space="preserve"> </w:t>
      </w:r>
      <w:r w:rsidRPr="00182A1C">
        <w:rPr>
          <w:rFonts w:ascii="Arial" w:hAnsi="Arial" w:cs="Arial"/>
        </w:rPr>
        <w:t>Virtual wards leverage data analytics to identify patterns and trends in patient health data, allowing healthcare providers to make</w:t>
      </w:r>
      <w:r w:rsidR="009A5A22">
        <w:rPr>
          <w:rFonts w:ascii="Arial" w:hAnsi="Arial" w:cs="Arial"/>
        </w:rPr>
        <w:t xml:space="preserve"> </w:t>
      </w:r>
      <w:r w:rsidRPr="00182A1C">
        <w:rPr>
          <w:rFonts w:ascii="Arial" w:hAnsi="Arial" w:cs="Arial"/>
        </w:rPr>
        <w:t>informed</w:t>
      </w:r>
      <w:r w:rsidR="009A5A22">
        <w:rPr>
          <w:rFonts w:ascii="Arial" w:hAnsi="Arial" w:cs="Arial"/>
        </w:rPr>
        <w:t xml:space="preserve"> and tailored</w:t>
      </w:r>
      <w:r w:rsidRPr="00182A1C">
        <w:rPr>
          <w:rFonts w:ascii="Arial" w:hAnsi="Arial" w:cs="Arial"/>
        </w:rPr>
        <w:t xml:space="preserve"> decisions about patient care and treatment plans.</w:t>
      </w:r>
    </w:p>
    <w:p w14:paraId="580382A1" w14:textId="77777777" w:rsidR="00791086" w:rsidRPr="00182A1C" w:rsidRDefault="00791086" w:rsidP="00791086">
      <w:pPr>
        <w:rPr>
          <w:rFonts w:ascii="Arial" w:hAnsi="Arial" w:cs="Arial"/>
        </w:rPr>
      </w:pPr>
      <w:r w:rsidRPr="00182A1C">
        <w:rPr>
          <w:rFonts w:ascii="Arial" w:hAnsi="Arial" w:cs="Arial"/>
        </w:rPr>
        <w:t>Collaboration tools: Virtual wards also leverage collaboration tools such as digital whiteboards, messaging platforms, and file sharing systems to enable seamless communication and collaboration among healthcare providers, regardless of their physical location.</w:t>
      </w:r>
    </w:p>
    <w:p w14:paraId="27CEE49E" w14:textId="37305AAC" w:rsidR="00791086" w:rsidRDefault="00791086" w:rsidP="00791086">
      <w:pPr>
        <w:rPr>
          <w:rFonts w:ascii="Arial" w:hAnsi="Arial" w:cs="Arial"/>
        </w:rPr>
      </w:pPr>
      <w:r w:rsidRPr="00182A1C">
        <w:rPr>
          <w:rFonts w:ascii="Arial" w:hAnsi="Arial" w:cs="Arial"/>
        </w:rPr>
        <w:t>Overall, the innovation behind a virtual ward lies in its ability to provide high-quality, personalized medical care to patients remotely, using advanced technologies that improve efficiency, reduce costs, and improve patient outcomes.</w:t>
      </w:r>
    </w:p>
    <w:p w14:paraId="5513455C" w14:textId="5F58C232" w:rsidR="00182A1C" w:rsidRDefault="00182A1C" w:rsidP="00791086">
      <w:pPr>
        <w:rPr>
          <w:rFonts w:ascii="Arial" w:hAnsi="Arial" w:cs="Arial"/>
        </w:rPr>
      </w:pPr>
    </w:p>
    <w:p w14:paraId="6B1EE7F4" w14:textId="1BB57C25" w:rsidR="00182A1C" w:rsidRDefault="00182A1C" w:rsidP="00791086">
      <w:pPr>
        <w:rPr>
          <w:rFonts w:ascii="Arial" w:hAnsi="Arial" w:cs="Arial"/>
        </w:rPr>
      </w:pPr>
    </w:p>
    <w:p w14:paraId="1C685EB3" w14:textId="77777777" w:rsidR="00182A1C" w:rsidRPr="00182A1C" w:rsidRDefault="00182A1C" w:rsidP="00791086">
      <w:pPr>
        <w:rPr>
          <w:rFonts w:ascii="Arial" w:hAnsi="Arial" w:cs="Arial"/>
        </w:rPr>
      </w:pPr>
    </w:p>
    <w:p w14:paraId="2B2FE084" w14:textId="66C4E4F1" w:rsidR="00FD3B97" w:rsidRPr="00182A1C" w:rsidRDefault="00FD3B97" w:rsidP="00791086">
      <w:pPr>
        <w:rPr>
          <w:rFonts w:ascii="Arial" w:hAnsi="Arial" w:cs="Arial"/>
        </w:rPr>
      </w:pPr>
    </w:p>
    <w:p w14:paraId="2A8FEC36" w14:textId="77777777" w:rsidR="00FD3B97" w:rsidRPr="00182A1C" w:rsidRDefault="00FD3B97" w:rsidP="00791086">
      <w:pPr>
        <w:rPr>
          <w:rFonts w:ascii="Arial" w:hAnsi="Arial" w:cs="Arial"/>
        </w:rPr>
      </w:pPr>
    </w:p>
    <w:p w14:paraId="4E1AB492" w14:textId="77777777" w:rsidR="006007BD" w:rsidRPr="00182A1C" w:rsidRDefault="006007BD" w:rsidP="00791086">
      <w:pPr>
        <w:rPr>
          <w:rFonts w:ascii="Arial" w:hAnsi="Arial" w:cs="Arial"/>
        </w:rPr>
      </w:pPr>
    </w:p>
    <w:p w14:paraId="555F103C" w14:textId="2A4CCD27" w:rsidR="002F52BD" w:rsidRPr="00182A1C" w:rsidRDefault="002F52BD" w:rsidP="00B36FF5">
      <w:pPr>
        <w:pStyle w:val="Heading1"/>
        <w:rPr>
          <w:rFonts w:ascii="Arial" w:hAnsi="Arial" w:cs="Arial"/>
          <w:sz w:val="28"/>
          <w:szCs w:val="28"/>
        </w:rPr>
      </w:pPr>
      <w:bookmarkStart w:id="8" w:name="_Toc134089365"/>
      <w:r w:rsidRPr="00182A1C">
        <w:rPr>
          <w:rFonts w:ascii="Arial" w:hAnsi="Arial" w:cs="Arial"/>
          <w:sz w:val="28"/>
          <w:szCs w:val="28"/>
        </w:rPr>
        <w:t>Sustainability</w:t>
      </w:r>
      <w:bookmarkEnd w:id="8"/>
    </w:p>
    <w:p w14:paraId="5EA042A6" w14:textId="5F6721DD" w:rsidR="002F52BD" w:rsidRPr="00182A1C" w:rsidRDefault="002F52BD" w:rsidP="002F52BD">
      <w:pPr>
        <w:jc w:val="center"/>
        <w:rPr>
          <w:rFonts w:ascii="Arial" w:hAnsi="Arial" w:cs="Arial"/>
          <w:b/>
          <w:bCs/>
        </w:rPr>
      </w:pPr>
    </w:p>
    <w:p w14:paraId="128B0D2E" w14:textId="77777777" w:rsidR="002F52BD" w:rsidRPr="00182A1C" w:rsidRDefault="002F52BD" w:rsidP="002F52BD">
      <w:pPr>
        <w:jc w:val="center"/>
        <w:rPr>
          <w:rFonts w:ascii="Arial" w:hAnsi="Arial" w:cs="Arial"/>
          <w:b/>
          <w:bCs/>
        </w:rPr>
      </w:pPr>
    </w:p>
    <w:p w14:paraId="595A6864" w14:textId="77777777" w:rsidR="002F52BD" w:rsidRPr="00182A1C" w:rsidRDefault="002F52BD" w:rsidP="002F52BD">
      <w:pPr>
        <w:rPr>
          <w:rFonts w:ascii="Arial" w:hAnsi="Arial" w:cs="Arial"/>
        </w:rPr>
      </w:pPr>
    </w:p>
    <w:p w14:paraId="15ABFE4E" w14:textId="77777777" w:rsidR="002F52BD" w:rsidRPr="00182A1C" w:rsidRDefault="002F52BD" w:rsidP="002F52BD">
      <w:pPr>
        <w:rPr>
          <w:rFonts w:ascii="Arial" w:hAnsi="Arial" w:cs="Arial"/>
        </w:rPr>
      </w:pPr>
    </w:p>
    <w:p w14:paraId="5C746C0C" w14:textId="7C63A488" w:rsidR="002F52BD" w:rsidRPr="00182A1C" w:rsidRDefault="002F52BD" w:rsidP="006007BD">
      <w:pPr>
        <w:rPr>
          <w:rFonts w:ascii="Arial" w:hAnsi="Arial" w:cs="Arial"/>
        </w:rPr>
      </w:pPr>
      <w:r w:rsidRPr="00182A1C">
        <w:rPr>
          <w:rFonts w:ascii="Arial" w:hAnsi="Arial" w:cs="Arial"/>
        </w:rPr>
        <w:t>Customer acquisition and retention: A virtual ward business needs to attract and retain a steady stream of patients to generate revenue. This requires a robust marketing strategy that highlights the benefits of virtual healthcare services, such as convenience, cost-effectiveness, and accessibility.</w:t>
      </w:r>
    </w:p>
    <w:p w14:paraId="3D5D371C" w14:textId="77777777" w:rsidR="002F52BD" w:rsidRPr="00182A1C" w:rsidRDefault="002F52BD" w:rsidP="006007BD">
      <w:pPr>
        <w:rPr>
          <w:rFonts w:ascii="Arial" w:hAnsi="Arial" w:cs="Arial"/>
        </w:rPr>
      </w:pPr>
      <w:r w:rsidRPr="00182A1C">
        <w:rPr>
          <w:rFonts w:ascii="Arial" w:hAnsi="Arial" w:cs="Arial"/>
        </w:rPr>
        <w:t>Technology infrastructure: A virtual ward business needs a reliable and scalable technology infrastructure that can support remote consultations, remote patient monitoring, and data analytics. This may involve partnering with technology providers or investing in proprietary technology solutions.</w:t>
      </w:r>
    </w:p>
    <w:p w14:paraId="01AC45F0" w14:textId="77777777" w:rsidR="002F52BD" w:rsidRPr="00182A1C" w:rsidRDefault="002F52BD" w:rsidP="006007BD">
      <w:pPr>
        <w:rPr>
          <w:rFonts w:ascii="Arial" w:hAnsi="Arial" w:cs="Arial"/>
        </w:rPr>
      </w:pPr>
      <w:r w:rsidRPr="00182A1C">
        <w:rPr>
          <w:rFonts w:ascii="Arial" w:hAnsi="Arial" w:cs="Arial"/>
        </w:rPr>
        <w:t>Staffing and training: A virtual ward business needs to have a team of highly skilled healthcare providers who are trained in providing remote medical care. This may require investing in ongoing training and development programs to ensure that staff members have the necessary skills and expertise.</w:t>
      </w:r>
    </w:p>
    <w:p w14:paraId="2E408613" w14:textId="77777777" w:rsidR="002F52BD" w:rsidRPr="00182A1C" w:rsidRDefault="002F52BD" w:rsidP="006007BD">
      <w:pPr>
        <w:rPr>
          <w:rFonts w:ascii="Arial" w:hAnsi="Arial" w:cs="Arial"/>
        </w:rPr>
      </w:pPr>
      <w:r w:rsidRPr="00182A1C">
        <w:rPr>
          <w:rFonts w:ascii="Arial" w:hAnsi="Arial" w:cs="Arial"/>
        </w:rPr>
        <w:t>Regulatory compliance: A virtual ward business needs to comply with applicable regulations and standards, such as HIPAA and data privacy laws. This may require investing in compliance programs and working with legal experts to ensure that the business is operating within the bounds of the law.</w:t>
      </w:r>
    </w:p>
    <w:p w14:paraId="2D98FBF8" w14:textId="77777777" w:rsidR="002F52BD" w:rsidRPr="00182A1C" w:rsidRDefault="002F52BD" w:rsidP="006007BD">
      <w:pPr>
        <w:rPr>
          <w:rFonts w:ascii="Arial" w:hAnsi="Arial" w:cs="Arial"/>
        </w:rPr>
      </w:pPr>
      <w:r w:rsidRPr="00182A1C">
        <w:rPr>
          <w:rFonts w:ascii="Arial" w:hAnsi="Arial" w:cs="Arial"/>
        </w:rPr>
        <w:t>Partnerships and collaborations: A virtual ward business may benefit from partnering with other healthcare providers or technology companies to expand its offerings and reach new markets. This may involve collaborating on research and development projects or jointly marketing services to potential customers.</w:t>
      </w:r>
    </w:p>
    <w:p w14:paraId="6BC111ED" w14:textId="77777777" w:rsidR="002F52BD" w:rsidRPr="00182A1C" w:rsidRDefault="002F52BD" w:rsidP="006007BD">
      <w:pPr>
        <w:rPr>
          <w:rFonts w:ascii="Arial" w:hAnsi="Arial" w:cs="Arial"/>
        </w:rPr>
      </w:pPr>
      <w:r w:rsidRPr="00182A1C">
        <w:rPr>
          <w:rFonts w:ascii="Arial" w:hAnsi="Arial" w:cs="Arial"/>
        </w:rPr>
        <w:t>Continuous improvement: To stay competitive, a virtual ward business needs to continuously improve its services and offerings. This may involve investing in research and development to develop new technologies or care models, gathering feedback from patients to identify areas for improvement, and regularly updating processes and procedures to improve efficiency and quality of care.</w:t>
      </w:r>
    </w:p>
    <w:p w14:paraId="4725395F" w14:textId="7B8554C8" w:rsidR="00791086" w:rsidRPr="00182A1C" w:rsidRDefault="002F52BD" w:rsidP="006007BD">
      <w:pPr>
        <w:rPr>
          <w:rFonts w:ascii="Arial" w:hAnsi="Arial" w:cs="Arial"/>
        </w:rPr>
      </w:pPr>
      <w:r w:rsidRPr="00182A1C">
        <w:rPr>
          <w:rFonts w:ascii="Arial" w:hAnsi="Arial" w:cs="Arial"/>
        </w:rPr>
        <w:t>Overall, sustaining a virtual ward business requires a strategic focus on customer acquisition and retention, technology infrastructure, staff training, regulatory compliance, partnerships, and continuous improvement. By focusing on these key areas, a virtual ward business can build a sustainable business model that provides high-quality, convenient, and cost-effective healthcare services to patients.</w:t>
      </w:r>
    </w:p>
    <w:p w14:paraId="451269E7" w14:textId="6E759676" w:rsidR="002F52BD" w:rsidRPr="00182A1C" w:rsidRDefault="002F52BD" w:rsidP="002F52BD">
      <w:pPr>
        <w:rPr>
          <w:rFonts w:ascii="Arial" w:hAnsi="Arial" w:cs="Arial"/>
        </w:rPr>
      </w:pPr>
    </w:p>
    <w:p w14:paraId="301A1B03" w14:textId="6B964FFD" w:rsidR="002F52BD" w:rsidRPr="00182A1C" w:rsidRDefault="002F52BD" w:rsidP="006007BD">
      <w:pPr>
        <w:rPr>
          <w:rFonts w:ascii="Arial" w:hAnsi="Arial" w:cs="Arial"/>
          <w:b/>
          <w:bCs/>
        </w:rPr>
      </w:pPr>
    </w:p>
    <w:p w14:paraId="26F618AC" w14:textId="4A1D4571" w:rsidR="002F52BD" w:rsidRPr="00182A1C" w:rsidRDefault="002F52BD" w:rsidP="002F52BD">
      <w:pPr>
        <w:jc w:val="center"/>
        <w:rPr>
          <w:rFonts w:ascii="Arial" w:hAnsi="Arial" w:cs="Arial"/>
        </w:rPr>
      </w:pPr>
    </w:p>
    <w:p w14:paraId="5FFDDA6A" w14:textId="4D0D93A5" w:rsidR="002F52BD" w:rsidRPr="00182A1C" w:rsidRDefault="002F52BD" w:rsidP="00B36FF5">
      <w:pPr>
        <w:pStyle w:val="Heading1"/>
        <w:rPr>
          <w:rFonts w:ascii="Arial" w:hAnsi="Arial" w:cs="Arial"/>
        </w:rPr>
      </w:pPr>
      <w:bookmarkStart w:id="9" w:name="_Toc134089366"/>
      <w:r w:rsidRPr="00182A1C">
        <w:rPr>
          <w:rFonts w:ascii="Arial" w:hAnsi="Arial" w:cs="Arial"/>
        </w:rPr>
        <w:t>Business Marketing and Promotion</w:t>
      </w:r>
      <w:bookmarkEnd w:id="9"/>
      <w:r w:rsidRPr="00182A1C">
        <w:rPr>
          <w:rFonts w:ascii="Arial" w:hAnsi="Arial" w:cs="Arial"/>
        </w:rPr>
        <w:t xml:space="preserve"> </w:t>
      </w:r>
    </w:p>
    <w:p w14:paraId="1CE5F89C" w14:textId="3D7F4014" w:rsidR="00FD3B97" w:rsidRPr="00182A1C" w:rsidRDefault="00FD3B97" w:rsidP="002F52BD">
      <w:pPr>
        <w:jc w:val="center"/>
        <w:rPr>
          <w:rFonts w:ascii="Arial" w:hAnsi="Arial" w:cs="Arial"/>
          <w:b/>
          <w:bCs/>
        </w:rPr>
      </w:pPr>
    </w:p>
    <w:p w14:paraId="55CA1D13" w14:textId="45CA4BA0" w:rsidR="00FD3B97" w:rsidRPr="00182A1C" w:rsidRDefault="00FD3B97" w:rsidP="002F52BD">
      <w:pPr>
        <w:jc w:val="center"/>
        <w:rPr>
          <w:rFonts w:ascii="Arial" w:hAnsi="Arial" w:cs="Arial"/>
          <w:b/>
          <w:bCs/>
        </w:rPr>
      </w:pPr>
    </w:p>
    <w:p w14:paraId="7CC41E46" w14:textId="77777777" w:rsidR="00FD3B97" w:rsidRPr="00182A1C" w:rsidRDefault="00FD3B97" w:rsidP="002F52BD">
      <w:pPr>
        <w:jc w:val="center"/>
        <w:rPr>
          <w:rFonts w:ascii="Arial" w:hAnsi="Arial" w:cs="Arial"/>
          <w:b/>
          <w:bCs/>
        </w:rPr>
      </w:pPr>
    </w:p>
    <w:p w14:paraId="19031E4B" w14:textId="27ADEE8D" w:rsidR="002F52BD" w:rsidRPr="00182A1C" w:rsidRDefault="002F52BD" w:rsidP="002F52BD">
      <w:pPr>
        <w:jc w:val="center"/>
        <w:rPr>
          <w:rFonts w:ascii="Arial" w:hAnsi="Arial" w:cs="Arial"/>
          <w:b/>
          <w:bCs/>
        </w:rPr>
      </w:pPr>
    </w:p>
    <w:p w14:paraId="0E4C9069" w14:textId="45D1BC04" w:rsidR="002F52BD" w:rsidRPr="00182A1C" w:rsidRDefault="002F52BD" w:rsidP="002F52BD">
      <w:pPr>
        <w:rPr>
          <w:rFonts w:ascii="Arial" w:hAnsi="Arial" w:cs="Arial"/>
        </w:rPr>
      </w:pPr>
      <w:r w:rsidRPr="00182A1C">
        <w:rPr>
          <w:rFonts w:ascii="Arial" w:hAnsi="Arial" w:cs="Arial"/>
        </w:rPr>
        <w:t xml:space="preserve">Introducing a private virtual ward to the public requires a strategic marketing and communication plan that highlights the benefits of virtual healthcare services, such as convenience, accessibility, and personalized care. </w:t>
      </w:r>
    </w:p>
    <w:p w14:paraId="5EB0594D" w14:textId="7FC9E106" w:rsidR="002F52BD" w:rsidRPr="00182A1C" w:rsidRDefault="002F52BD" w:rsidP="002F52BD">
      <w:pPr>
        <w:rPr>
          <w:rFonts w:ascii="Arial" w:hAnsi="Arial" w:cs="Arial"/>
        </w:rPr>
      </w:pPr>
      <w:r w:rsidRPr="00182A1C">
        <w:rPr>
          <w:rFonts w:ascii="Arial" w:hAnsi="Arial" w:cs="Arial"/>
        </w:rPr>
        <w:t xml:space="preserve">Develop a strong brand identity: Develop a brand identity that differentiates </w:t>
      </w:r>
      <w:r w:rsidR="00232E77" w:rsidRPr="00182A1C">
        <w:rPr>
          <w:rFonts w:ascii="Arial" w:hAnsi="Arial" w:cs="Arial"/>
        </w:rPr>
        <w:t>Centred-care project</w:t>
      </w:r>
      <w:r w:rsidRPr="00182A1C">
        <w:rPr>
          <w:rFonts w:ascii="Arial" w:hAnsi="Arial" w:cs="Arial"/>
        </w:rPr>
        <w:t xml:space="preserve"> virtual ward from competitors and conveys your unique value proposition. This may involve developing a logo, tagline, and marketing messaging that emphasizes the benefits of virtual healthcare services.</w:t>
      </w:r>
    </w:p>
    <w:p w14:paraId="054ED96F" w14:textId="77777777" w:rsidR="002F52BD" w:rsidRPr="00182A1C" w:rsidRDefault="002F52BD" w:rsidP="002F52BD">
      <w:pPr>
        <w:rPr>
          <w:rFonts w:ascii="Arial" w:hAnsi="Arial" w:cs="Arial"/>
        </w:rPr>
      </w:pPr>
      <w:r w:rsidRPr="00182A1C">
        <w:rPr>
          <w:rFonts w:ascii="Arial" w:hAnsi="Arial" w:cs="Arial"/>
        </w:rPr>
        <w:t>Build a user-friendly website: Build a website that is easy to navigate and provides clear information about your virtual ward services. This may include information about the types of services offered, the qualifications of the healthcare providers, and the technology infrastructure that supports the virtual ward.</w:t>
      </w:r>
    </w:p>
    <w:p w14:paraId="16F0B343" w14:textId="77777777" w:rsidR="002F52BD" w:rsidRPr="00182A1C" w:rsidRDefault="002F52BD" w:rsidP="002F52BD">
      <w:pPr>
        <w:rPr>
          <w:rFonts w:ascii="Arial" w:hAnsi="Arial" w:cs="Arial"/>
        </w:rPr>
      </w:pPr>
      <w:r w:rsidRPr="00182A1C">
        <w:rPr>
          <w:rFonts w:ascii="Arial" w:hAnsi="Arial" w:cs="Arial"/>
        </w:rPr>
        <w:t>Implement a robust digital marketing strategy: Implement a digital marketing strategy that reaches potential customers where they are, such as social media, search engines, or healthcare portals. This may include targeted advertising, search engine optimization, and content marketing.</w:t>
      </w:r>
    </w:p>
    <w:p w14:paraId="1607FE74" w14:textId="77777777" w:rsidR="002F52BD" w:rsidRPr="00182A1C" w:rsidRDefault="002F52BD" w:rsidP="002F52BD">
      <w:pPr>
        <w:rPr>
          <w:rFonts w:ascii="Arial" w:hAnsi="Arial" w:cs="Arial"/>
        </w:rPr>
      </w:pPr>
      <w:r w:rsidRPr="00182A1C">
        <w:rPr>
          <w:rFonts w:ascii="Arial" w:hAnsi="Arial" w:cs="Arial"/>
        </w:rPr>
        <w:t>Partner with relevant organizations: Partner with relevant organizations, such as insurance companies or healthcare providers, to promote your virtual ward services. This may involve participating in events or webinars, or offering discounts or special promotions to members of these organizations.</w:t>
      </w:r>
    </w:p>
    <w:p w14:paraId="24E7C0F0" w14:textId="4A38BCA7" w:rsidR="002F52BD" w:rsidRPr="00182A1C" w:rsidRDefault="002F52BD" w:rsidP="002F52BD">
      <w:pPr>
        <w:rPr>
          <w:rFonts w:ascii="Arial" w:hAnsi="Arial" w:cs="Arial"/>
        </w:rPr>
      </w:pPr>
      <w:r w:rsidRPr="00182A1C">
        <w:rPr>
          <w:rFonts w:ascii="Arial" w:hAnsi="Arial" w:cs="Arial"/>
        </w:rPr>
        <w:t xml:space="preserve">Leverage patient testimonials: Share patient testimonials that highlight the benefits of virtual healthcare services, such as convenience, access, and personalized care. This can help build trust with potential customers and encourage them to try </w:t>
      </w:r>
      <w:r w:rsidR="00232E77" w:rsidRPr="00182A1C">
        <w:rPr>
          <w:rFonts w:ascii="Arial" w:hAnsi="Arial" w:cs="Arial"/>
        </w:rPr>
        <w:t>the</w:t>
      </w:r>
      <w:r w:rsidRPr="00182A1C">
        <w:rPr>
          <w:rFonts w:ascii="Arial" w:hAnsi="Arial" w:cs="Arial"/>
        </w:rPr>
        <w:t xml:space="preserve"> virtual ward services.</w:t>
      </w:r>
    </w:p>
    <w:p w14:paraId="0AA2CC75" w14:textId="4B9FA577" w:rsidR="002F52BD" w:rsidRPr="00182A1C" w:rsidRDefault="002F52BD" w:rsidP="002F52BD">
      <w:pPr>
        <w:rPr>
          <w:rFonts w:ascii="Arial" w:hAnsi="Arial" w:cs="Arial"/>
        </w:rPr>
      </w:pPr>
      <w:r w:rsidRPr="00182A1C">
        <w:rPr>
          <w:rFonts w:ascii="Arial" w:hAnsi="Arial" w:cs="Arial"/>
        </w:rPr>
        <w:t xml:space="preserve">Provide excellent customer service: </w:t>
      </w:r>
      <w:r w:rsidR="009A5A22">
        <w:rPr>
          <w:rFonts w:ascii="Arial" w:hAnsi="Arial" w:cs="Arial"/>
        </w:rPr>
        <w:t>Have effective</w:t>
      </w:r>
      <w:r w:rsidRPr="00182A1C">
        <w:rPr>
          <w:rFonts w:ascii="Arial" w:hAnsi="Arial" w:cs="Arial"/>
        </w:rPr>
        <w:t xml:space="preserve"> customer service by responding promptly to inquiries and concerns, and by providing personalized care that meets the individual needs of each patient.</w:t>
      </w:r>
    </w:p>
    <w:p w14:paraId="2E0B04A1" w14:textId="77777777" w:rsidR="002F52BD" w:rsidRPr="00182A1C" w:rsidRDefault="002F52BD" w:rsidP="002F52BD">
      <w:pPr>
        <w:rPr>
          <w:rFonts w:ascii="Arial" w:hAnsi="Arial" w:cs="Arial"/>
        </w:rPr>
      </w:pPr>
      <w:r w:rsidRPr="00182A1C">
        <w:rPr>
          <w:rFonts w:ascii="Arial" w:hAnsi="Arial" w:cs="Arial"/>
        </w:rPr>
        <w:t>Monitor and adapt: Monitor the effectiveness of your marketing and communication strategies and adapt them as needed. This may involve gathering feedback from patients, tracking website analytics, or conducting market research to stay informed about the evolving needs and preferences of your target audience.</w:t>
      </w:r>
    </w:p>
    <w:p w14:paraId="77BD5094" w14:textId="77777777" w:rsidR="002F52BD" w:rsidRPr="00182A1C" w:rsidRDefault="002F52BD" w:rsidP="002F52BD">
      <w:pPr>
        <w:rPr>
          <w:rFonts w:ascii="Arial" w:hAnsi="Arial" w:cs="Arial"/>
        </w:rPr>
      </w:pPr>
    </w:p>
    <w:p w14:paraId="56A55FC1" w14:textId="1A26BC13" w:rsidR="002F52BD" w:rsidRPr="00182A1C" w:rsidRDefault="002F52BD" w:rsidP="002F52BD">
      <w:pPr>
        <w:rPr>
          <w:rFonts w:ascii="Arial" w:hAnsi="Arial" w:cs="Arial"/>
        </w:rPr>
      </w:pPr>
      <w:r w:rsidRPr="00182A1C">
        <w:rPr>
          <w:rFonts w:ascii="Arial" w:hAnsi="Arial" w:cs="Arial"/>
        </w:rPr>
        <w:t>Overall, introducing a private virtual ward to the public requires a comprehensive marketing and communication strategy that builds brand awareness, establishes trust, and highlights the benefits of virtual healthcare services. By focusing on these key areas, you can successfully introduce your virtual ward services to the public and attract a steady stream of patients.</w:t>
      </w:r>
    </w:p>
    <w:p w14:paraId="5B09D77A" w14:textId="77777777" w:rsidR="006007BD" w:rsidRPr="00182A1C" w:rsidRDefault="006007BD" w:rsidP="002F52BD">
      <w:pPr>
        <w:rPr>
          <w:rFonts w:ascii="Arial" w:hAnsi="Arial" w:cs="Arial"/>
        </w:rPr>
      </w:pPr>
    </w:p>
    <w:p w14:paraId="6CF8829C" w14:textId="14B799AE" w:rsidR="002F52BD" w:rsidRPr="00182A1C" w:rsidRDefault="002F52BD" w:rsidP="00B36FF5">
      <w:pPr>
        <w:pStyle w:val="Heading1"/>
        <w:rPr>
          <w:rFonts w:ascii="Arial" w:hAnsi="Arial" w:cs="Arial"/>
          <w:sz w:val="22"/>
          <w:szCs w:val="22"/>
        </w:rPr>
      </w:pPr>
    </w:p>
    <w:p w14:paraId="628F5730" w14:textId="349D2096" w:rsidR="002F52BD" w:rsidRPr="00182A1C" w:rsidRDefault="002F52BD" w:rsidP="00B36FF5">
      <w:pPr>
        <w:pStyle w:val="Heading1"/>
        <w:rPr>
          <w:rFonts w:ascii="Arial" w:hAnsi="Arial" w:cs="Arial"/>
        </w:rPr>
      </w:pPr>
      <w:bookmarkStart w:id="10" w:name="_Toc134089367"/>
      <w:r w:rsidRPr="00182A1C">
        <w:rPr>
          <w:rFonts w:ascii="Arial" w:hAnsi="Arial" w:cs="Arial"/>
        </w:rPr>
        <w:t>Payment and facilities</w:t>
      </w:r>
      <w:bookmarkEnd w:id="10"/>
      <w:r w:rsidRPr="00182A1C">
        <w:rPr>
          <w:rFonts w:ascii="Arial" w:hAnsi="Arial" w:cs="Arial"/>
        </w:rPr>
        <w:t xml:space="preserve"> </w:t>
      </w:r>
    </w:p>
    <w:p w14:paraId="0AF7DF94" w14:textId="1FE4A0C1" w:rsidR="002F52BD" w:rsidRPr="00182A1C" w:rsidRDefault="002F52BD" w:rsidP="002F52BD">
      <w:pPr>
        <w:jc w:val="center"/>
        <w:rPr>
          <w:rFonts w:ascii="Arial" w:hAnsi="Arial" w:cs="Arial"/>
        </w:rPr>
      </w:pPr>
    </w:p>
    <w:p w14:paraId="20F7DBFD" w14:textId="77777777" w:rsidR="00FD3B97" w:rsidRPr="00182A1C" w:rsidRDefault="00FD3B97" w:rsidP="002F52BD">
      <w:pPr>
        <w:jc w:val="center"/>
        <w:rPr>
          <w:rFonts w:ascii="Arial" w:hAnsi="Arial" w:cs="Arial"/>
        </w:rPr>
      </w:pPr>
    </w:p>
    <w:p w14:paraId="7BFF3BA0" w14:textId="2B7CD1C4" w:rsidR="002F52BD" w:rsidRPr="00182A1C" w:rsidRDefault="002F52BD" w:rsidP="002F52BD">
      <w:pPr>
        <w:rPr>
          <w:rFonts w:ascii="Arial" w:hAnsi="Arial" w:cs="Arial"/>
        </w:rPr>
      </w:pPr>
      <w:r w:rsidRPr="00182A1C">
        <w:rPr>
          <w:rFonts w:ascii="Arial" w:hAnsi="Arial" w:cs="Arial"/>
        </w:rPr>
        <w:t>Implementing a payment service for a virtual ward requires consideration of several factors, including the payment methods that will be accepted, the security measures that will be implemented, and the payment processing options that will be used</w:t>
      </w:r>
      <w:r w:rsidR="00232E77" w:rsidRPr="00182A1C">
        <w:rPr>
          <w:rFonts w:ascii="Arial" w:hAnsi="Arial" w:cs="Arial"/>
        </w:rPr>
        <w:t>.</w:t>
      </w:r>
    </w:p>
    <w:p w14:paraId="43FA48DE" w14:textId="3D7C6A81" w:rsidR="002F52BD" w:rsidRPr="00182A1C" w:rsidRDefault="002F52BD" w:rsidP="002F52BD">
      <w:pPr>
        <w:rPr>
          <w:rFonts w:ascii="Arial" w:hAnsi="Arial" w:cs="Arial"/>
        </w:rPr>
      </w:pPr>
      <w:r w:rsidRPr="00182A1C">
        <w:rPr>
          <w:rFonts w:ascii="Arial" w:hAnsi="Arial" w:cs="Arial"/>
        </w:rPr>
        <w:t xml:space="preserve">Determine the payment methods: </w:t>
      </w:r>
      <w:r w:rsidR="006A3CCE" w:rsidRPr="00182A1C">
        <w:rPr>
          <w:rFonts w:ascii="Arial" w:hAnsi="Arial" w:cs="Arial"/>
        </w:rPr>
        <w:t>Credit/debit card: Patients can pay for virtual healthcare services using their credit or debit card, either by inputting their card details on the virtual ward's payment portal or by providing the details to the healthcare provider directly. Bank transfer: Patients can transfer the payment directly to the virtual ward's bank account using their online banking system. Insurance: Some insurance companies offer coverage for virtual healthcare services, which can be billed directly to the insurance provider. Subscription-based payment model: Virtual wards can offer subscription-based payment models, where patients pay a monthly or yearly fee for access to healthcare services. Pay-per-visit model: Virtual wards can also offer a pay-per-visit model, where patients pay for each virtual appointment they have with a healthcare provider.</w:t>
      </w:r>
    </w:p>
    <w:p w14:paraId="2F38FB07" w14:textId="74048488" w:rsidR="002F52BD" w:rsidRPr="00182A1C" w:rsidRDefault="002F52BD" w:rsidP="002F52BD">
      <w:pPr>
        <w:rPr>
          <w:rFonts w:ascii="Arial" w:hAnsi="Arial" w:cs="Arial"/>
        </w:rPr>
      </w:pPr>
      <w:r w:rsidRPr="00182A1C">
        <w:rPr>
          <w:rFonts w:ascii="Arial" w:hAnsi="Arial" w:cs="Arial"/>
        </w:rPr>
        <w:t>Implement secure payment processing: Implement secure payment processing to protect patient information and prevent fraudulent activity</w:t>
      </w:r>
      <w:r w:rsidR="006A3CCE" w:rsidRPr="00182A1C">
        <w:rPr>
          <w:rFonts w:ascii="Arial" w:hAnsi="Arial" w:cs="Arial"/>
        </w:rPr>
        <w:t xml:space="preserve"> by</w:t>
      </w:r>
      <w:r w:rsidRPr="00182A1C">
        <w:rPr>
          <w:rFonts w:ascii="Arial" w:hAnsi="Arial" w:cs="Arial"/>
        </w:rPr>
        <w:t xml:space="preserve"> using encryption technology to protect sensitive data, implementing multi-factor authentication to verify user identity, and complying with industry standards and regulations.</w:t>
      </w:r>
    </w:p>
    <w:p w14:paraId="650EF38F" w14:textId="6C5D554E" w:rsidR="002F52BD" w:rsidRPr="00182A1C" w:rsidRDefault="002F52BD" w:rsidP="002F52BD">
      <w:pPr>
        <w:rPr>
          <w:rFonts w:ascii="Arial" w:hAnsi="Arial" w:cs="Arial"/>
        </w:rPr>
      </w:pPr>
      <w:r w:rsidRPr="00182A1C">
        <w:rPr>
          <w:rFonts w:ascii="Arial" w:hAnsi="Arial" w:cs="Arial"/>
        </w:rPr>
        <w:t>Provide transparent pricing: Provide transparent pricing information to patients, including the cost of services, payment options, and any associated fees or discounts. This can help build trust and reduce confusion or frustration.</w:t>
      </w:r>
    </w:p>
    <w:p w14:paraId="3DD95B35" w14:textId="77777777" w:rsidR="002F52BD" w:rsidRPr="00182A1C" w:rsidRDefault="002F52BD" w:rsidP="002F52BD">
      <w:pPr>
        <w:rPr>
          <w:rFonts w:ascii="Arial" w:hAnsi="Arial" w:cs="Arial"/>
        </w:rPr>
      </w:pPr>
      <w:r w:rsidRPr="00182A1C">
        <w:rPr>
          <w:rFonts w:ascii="Arial" w:hAnsi="Arial" w:cs="Arial"/>
        </w:rPr>
        <w:t>Offer customer support: Offer customer support to patients who have questions or concerns about payment processing. This can include providing a customer service phone number or email address, or offering a live chat feature on your website.</w:t>
      </w:r>
    </w:p>
    <w:p w14:paraId="568CE063" w14:textId="77777777" w:rsidR="002F52BD" w:rsidRPr="00182A1C" w:rsidRDefault="002F52BD" w:rsidP="002F52BD">
      <w:pPr>
        <w:rPr>
          <w:rFonts w:ascii="Arial" w:hAnsi="Arial" w:cs="Arial"/>
        </w:rPr>
      </w:pPr>
    </w:p>
    <w:p w14:paraId="75891186" w14:textId="7E433A4C" w:rsidR="002F52BD" w:rsidRPr="00182A1C" w:rsidRDefault="002F52BD" w:rsidP="002F52BD">
      <w:pPr>
        <w:rPr>
          <w:rFonts w:ascii="Arial" w:hAnsi="Arial" w:cs="Arial"/>
        </w:rPr>
      </w:pPr>
      <w:r w:rsidRPr="00182A1C">
        <w:rPr>
          <w:rFonts w:ascii="Arial" w:hAnsi="Arial" w:cs="Arial"/>
        </w:rPr>
        <w:t xml:space="preserve">Continuously monitor and improve the payment service: Continuously monitor and improve the payment service to ensure that it is meeting the needs of patients and the business. This may involve gathering feedback from patients, </w:t>
      </w:r>
      <w:r w:rsidR="00FE51CE" w:rsidRPr="00182A1C">
        <w:rPr>
          <w:rFonts w:ascii="Arial" w:hAnsi="Arial" w:cs="Arial"/>
        </w:rPr>
        <w:t>analysing</w:t>
      </w:r>
      <w:r w:rsidRPr="00182A1C">
        <w:rPr>
          <w:rFonts w:ascii="Arial" w:hAnsi="Arial" w:cs="Arial"/>
        </w:rPr>
        <w:t xml:space="preserve"> payment data, or exploring new payment processing technologies.</w:t>
      </w:r>
    </w:p>
    <w:p w14:paraId="08228F2E" w14:textId="74207882" w:rsidR="002F52BD" w:rsidRPr="00182A1C" w:rsidRDefault="002F52BD" w:rsidP="002F52BD">
      <w:pPr>
        <w:rPr>
          <w:rFonts w:ascii="Arial" w:hAnsi="Arial" w:cs="Arial"/>
        </w:rPr>
      </w:pPr>
      <w:r w:rsidRPr="00182A1C">
        <w:rPr>
          <w:rFonts w:ascii="Arial" w:hAnsi="Arial" w:cs="Arial"/>
        </w:rPr>
        <w:t>By implementing a secure and convenient payment service, a virtual ward can improve the patient experience and increase revenue.</w:t>
      </w:r>
    </w:p>
    <w:p w14:paraId="1CBBF9A8" w14:textId="77777777" w:rsidR="00FE51CE" w:rsidRPr="00182A1C" w:rsidRDefault="00FE51CE" w:rsidP="002F52BD">
      <w:pPr>
        <w:rPr>
          <w:rFonts w:ascii="Arial" w:hAnsi="Arial" w:cs="Arial"/>
        </w:rPr>
      </w:pPr>
    </w:p>
    <w:p w14:paraId="30DB8F29" w14:textId="77777777" w:rsidR="002F52BD" w:rsidRPr="00182A1C" w:rsidRDefault="002F52BD" w:rsidP="002F52BD">
      <w:pPr>
        <w:rPr>
          <w:rFonts w:ascii="Arial" w:hAnsi="Arial" w:cs="Arial"/>
        </w:rPr>
      </w:pPr>
    </w:p>
    <w:p w14:paraId="720FDB41" w14:textId="77777777" w:rsidR="002F52BD" w:rsidRPr="00182A1C" w:rsidRDefault="002F52BD" w:rsidP="002F52BD">
      <w:pPr>
        <w:rPr>
          <w:rFonts w:ascii="Arial" w:hAnsi="Arial" w:cs="Arial"/>
        </w:rPr>
      </w:pPr>
    </w:p>
    <w:p w14:paraId="655B31C4" w14:textId="77777777" w:rsidR="002F52BD" w:rsidRPr="00182A1C" w:rsidRDefault="002F52BD" w:rsidP="002F52BD">
      <w:pPr>
        <w:rPr>
          <w:rFonts w:ascii="Arial" w:hAnsi="Arial" w:cs="Arial"/>
        </w:rPr>
      </w:pPr>
    </w:p>
    <w:p w14:paraId="0B4E363B" w14:textId="18B9FFA4" w:rsidR="00FE51CE" w:rsidRPr="00182A1C" w:rsidRDefault="00FE51CE" w:rsidP="00B36FF5">
      <w:pPr>
        <w:pStyle w:val="Heading1"/>
        <w:rPr>
          <w:rFonts w:ascii="Arial" w:hAnsi="Arial" w:cs="Arial"/>
          <w:sz w:val="28"/>
          <w:szCs w:val="28"/>
        </w:rPr>
      </w:pPr>
      <w:bookmarkStart w:id="11" w:name="_Toc134089368"/>
      <w:r w:rsidRPr="00182A1C">
        <w:rPr>
          <w:rFonts w:ascii="Arial" w:hAnsi="Arial" w:cs="Arial"/>
          <w:sz w:val="28"/>
          <w:szCs w:val="28"/>
        </w:rPr>
        <w:t>Marketing mix</w:t>
      </w:r>
      <w:bookmarkEnd w:id="11"/>
    </w:p>
    <w:p w14:paraId="3290FFEF" w14:textId="7FB746FE" w:rsidR="00FE51CE" w:rsidRPr="00182A1C" w:rsidRDefault="00FE51CE" w:rsidP="002F52BD">
      <w:pPr>
        <w:rPr>
          <w:rFonts w:ascii="Arial" w:hAnsi="Arial" w:cs="Arial"/>
        </w:rPr>
      </w:pPr>
    </w:p>
    <w:p w14:paraId="352B6FF1" w14:textId="5E723928" w:rsidR="00FE51CE" w:rsidRPr="00182A1C" w:rsidRDefault="00FE51CE" w:rsidP="002F52BD">
      <w:pPr>
        <w:rPr>
          <w:rFonts w:ascii="Arial" w:hAnsi="Arial" w:cs="Arial"/>
        </w:rPr>
      </w:pPr>
    </w:p>
    <w:p w14:paraId="50B83076" w14:textId="62C4A0E3" w:rsidR="00FE51CE" w:rsidRPr="00182A1C" w:rsidRDefault="00FE51CE" w:rsidP="00FE51CE">
      <w:pPr>
        <w:rPr>
          <w:rFonts w:ascii="Arial" w:hAnsi="Arial" w:cs="Arial"/>
        </w:rPr>
      </w:pPr>
      <w:r w:rsidRPr="00182A1C">
        <w:rPr>
          <w:rFonts w:ascii="Arial" w:hAnsi="Arial" w:cs="Arial"/>
        </w:rPr>
        <w:t xml:space="preserve">Product: The product in this case would be the virtual ward itself, which is a digital platform that allows patients to receive medical care remotely. The virtual ward </w:t>
      </w:r>
      <w:r w:rsidR="006A3CCE" w:rsidRPr="00182A1C">
        <w:rPr>
          <w:rFonts w:ascii="Arial" w:hAnsi="Arial" w:cs="Arial"/>
        </w:rPr>
        <w:t>is</w:t>
      </w:r>
      <w:r w:rsidRPr="00182A1C">
        <w:rPr>
          <w:rFonts w:ascii="Arial" w:hAnsi="Arial" w:cs="Arial"/>
        </w:rPr>
        <w:t xml:space="preserve"> designed to meet the needs of patients and provide high-quality care</w:t>
      </w:r>
      <w:r w:rsidR="006A3CCE" w:rsidRPr="00182A1C">
        <w:rPr>
          <w:rFonts w:ascii="Arial" w:hAnsi="Arial" w:cs="Arial"/>
        </w:rPr>
        <w:t xml:space="preserve">, </w:t>
      </w:r>
      <w:r w:rsidRPr="00182A1C">
        <w:rPr>
          <w:rFonts w:ascii="Arial" w:hAnsi="Arial" w:cs="Arial"/>
        </w:rPr>
        <w:t>includ</w:t>
      </w:r>
      <w:r w:rsidR="006A3CCE" w:rsidRPr="00182A1C">
        <w:rPr>
          <w:rFonts w:ascii="Arial" w:hAnsi="Arial" w:cs="Arial"/>
        </w:rPr>
        <w:t xml:space="preserve">ing </w:t>
      </w:r>
      <w:r w:rsidRPr="00182A1C">
        <w:rPr>
          <w:rFonts w:ascii="Arial" w:hAnsi="Arial" w:cs="Arial"/>
        </w:rPr>
        <w:t xml:space="preserve"> features such as video consultations, access to medical records, and online prescription services.</w:t>
      </w:r>
    </w:p>
    <w:p w14:paraId="2B0F7752" w14:textId="77777777" w:rsidR="00FE51CE" w:rsidRPr="00182A1C" w:rsidRDefault="00FE51CE" w:rsidP="00FE51CE">
      <w:pPr>
        <w:rPr>
          <w:rFonts w:ascii="Arial" w:hAnsi="Arial" w:cs="Arial"/>
        </w:rPr>
      </w:pPr>
      <w:r w:rsidRPr="00182A1C">
        <w:rPr>
          <w:rFonts w:ascii="Arial" w:hAnsi="Arial" w:cs="Arial"/>
        </w:rPr>
        <w:t>Price: The pricing strategy for the virtual ward will depend on factors such as the target market, the level of competition, and the costs involved in providing the service. A value-based pricing strategy could be used, where the price is based on the perceived value that patients receive from the virtual ward.</w:t>
      </w:r>
    </w:p>
    <w:p w14:paraId="312D5B86" w14:textId="1199F083" w:rsidR="00FE51CE" w:rsidRPr="00182A1C" w:rsidRDefault="00FE51CE" w:rsidP="00FE51CE">
      <w:pPr>
        <w:rPr>
          <w:rFonts w:ascii="Arial" w:hAnsi="Arial" w:cs="Arial"/>
        </w:rPr>
      </w:pPr>
      <w:r w:rsidRPr="00182A1C">
        <w:rPr>
          <w:rFonts w:ascii="Arial" w:hAnsi="Arial" w:cs="Arial"/>
        </w:rPr>
        <w:t xml:space="preserve">Promotion: Promotion of the virtual ward would involve creating awareness among the target market about the benefits of using the platform. This could include online advertising, social media campaigns, email marketing, and search engine optimization (SEO). The messaging focus </w:t>
      </w:r>
      <w:r w:rsidR="006A3CCE" w:rsidRPr="00182A1C">
        <w:rPr>
          <w:rFonts w:ascii="Arial" w:hAnsi="Arial" w:cs="Arial"/>
        </w:rPr>
        <w:t xml:space="preserve">is </w:t>
      </w:r>
      <w:r w:rsidRPr="00182A1C">
        <w:rPr>
          <w:rFonts w:ascii="Arial" w:hAnsi="Arial" w:cs="Arial"/>
        </w:rPr>
        <w:t>on the convenience, accessibility, and quality of care provided by the virtual ward.</w:t>
      </w:r>
    </w:p>
    <w:p w14:paraId="55F4B779" w14:textId="77777777" w:rsidR="00FE51CE" w:rsidRPr="00182A1C" w:rsidRDefault="00FE51CE" w:rsidP="00FE51CE">
      <w:pPr>
        <w:rPr>
          <w:rFonts w:ascii="Arial" w:hAnsi="Arial" w:cs="Arial"/>
        </w:rPr>
      </w:pPr>
      <w:r w:rsidRPr="00182A1C">
        <w:rPr>
          <w:rFonts w:ascii="Arial" w:hAnsi="Arial" w:cs="Arial"/>
        </w:rPr>
        <w:t>Place: The virtual ward is accessible from any location with an internet connection, which makes it a highly convenient option for patients. However, it is important to ensure that the platform is easily accessible and user-friendly for patients. This could involve designing a website or mobile app that is easy to navigate and provides a seamless user experience.</w:t>
      </w:r>
    </w:p>
    <w:p w14:paraId="5F078DBE" w14:textId="71B2B3A4" w:rsidR="00FE51CE" w:rsidRPr="00182A1C" w:rsidRDefault="00FE51CE" w:rsidP="00FE51CE">
      <w:pPr>
        <w:rPr>
          <w:rFonts w:ascii="Arial" w:hAnsi="Arial" w:cs="Arial"/>
        </w:rPr>
      </w:pPr>
      <w:r w:rsidRPr="00182A1C">
        <w:rPr>
          <w:rFonts w:ascii="Arial" w:hAnsi="Arial" w:cs="Arial"/>
        </w:rPr>
        <w:t>Overall, the marketing mix for a virtual ward would involve creating a high-quality digital platform that provides convenient and accessible healthcare services to patients. Effective promotion of the platform would be necessary to reach the target market and raise awareness about the benefits of using the virtual ward. Pricing strategies would need to be carefully considered to ensure that the service is affordable and competitive in the marketplace.</w:t>
      </w:r>
    </w:p>
    <w:p w14:paraId="6FA2996E" w14:textId="77777777" w:rsidR="006A3CCE" w:rsidRPr="00182A1C" w:rsidRDefault="006A3CCE" w:rsidP="00FE51CE">
      <w:pPr>
        <w:rPr>
          <w:rFonts w:ascii="Arial" w:hAnsi="Arial" w:cs="Arial"/>
        </w:rPr>
      </w:pPr>
    </w:p>
    <w:p w14:paraId="4F090F9D" w14:textId="29A8C8F0" w:rsidR="00FE51CE" w:rsidRPr="00182A1C" w:rsidRDefault="00FE51CE" w:rsidP="00FE51CE">
      <w:pPr>
        <w:rPr>
          <w:rFonts w:ascii="Arial" w:hAnsi="Arial" w:cs="Arial"/>
        </w:rPr>
      </w:pPr>
    </w:p>
    <w:p w14:paraId="4B315CEE" w14:textId="4BE4FEBB" w:rsidR="00FE51CE" w:rsidRPr="00182A1C" w:rsidRDefault="00AD022E" w:rsidP="00B36FF5">
      <w:pPr>
        <w:pStyle w:val="Heading1"/>
        <w:rPr>
          <w:rFonts w:ascii="Arial" w:hAnsi="Arial" w:cs="Arial"/>
          <w:sz w:val="28"/>
          <w:szCs w:val="28"/>
        </w:rPr>
      </w:pPr>
      <w:bookmarkStart w:id="12" w:name="_Toc134089369"/>
      <w:r w:rsidRPr="00182A1C">
        <w:rPr>
          <w:rFonts w:ascii="Arial" w:hAnsi="Arial" w:cs="Arial"/>
          <w:sz w:val="28"/>
          <w:szCs w:val="28"/>
        </w:rPr>
        <w:t>Communication mix</w:t>
      </w:r>
      <w:bookmarkEnd w:id="12"/>
    </w:p>
    <w:p w14:paraId="2B0D29D2" w14:textId="77777777" w:rsidR="006A3CCE" w:rsidRPr="00182A1C" w:rsidRDefault="006A3CCE" w:rsidP="006A3CCE">
      <w:pPr>
        <w:jc w:val="center"/>
        <w:rPr>
          <w:rFonts w:ascii="Arial" w:hAnsi="Arial" w:cs="Arial"/>
          <w:b/>
          <w:bCs/>
        </w:rPr>
      </w:pPr>
    </w:p>
    <w:p w14:paraId="51B6ED19" w14:textId="77777777" w:rsidR="006A3CCE" w:rsidRPr="00182A1C" w:rsidRDefault="006A3CCE" w:rsidP="006A3CCE">
      <w:pPr>
        <w:jc w:val="center"/>
        <w:rPr>
          <w:rFonts w:ascii="Arial" w:hAnsi="Arial" w:cs="Arial"/>
          <w:b/>
          <w:bCs/>
        </w:rPr>
      </w:pPr>
    </w:p>
    <w:p w14:paraId="6153F2E5" w14:textId="77777777" w:rsidR="00AD022E" w:rsidRPr="00182A1C" w:rsidRDefault="00AD022E" w:rsidP="00AD022E">
      <w:pPr>
        <w:rPr>
          <w:rFonts w:ascii="Arial" w:hAnsi="Arial" w:cs="Arial"/>
        </w:rPr>
      </w:pPr>
      <w:r w:rsidRPr="00182A1C">
        <w:rPr>
          <w:rFonts w:ascii="Arial" w:hAnsi="Arial" w:cs="Arial"/>
        </w:rPr>
        <w:t>Advertising: Advertising can be used to create awareness and generate interest in the virtual ward. Online advertising, such as display ads or social media ads, could be targeted towards the desired audience, highlighting the benefits of using the virtual ward, and how it can provide convenient and accessible healthcare services.</w:t>
      </w:r>
    </w:p>
    <w:p w14:paraId="6C9A1ADF" w14:textId="77777777" w:rsidR="00AD022E" w:rsidRPr="00182A1C" w:rsidRDefault="00AD022E" w:rsidP="00AD022E">
      <w:pPr>
        <w:rPr>
          <w:rFonts w:ascii="Arial" w:hAnsi="Arial" w:cs="Arial"/>
        </w:rPr>
      </w:pPr>
    </w:p>
    <w:p w14:paraId="6F05DB7D" w14:textId="3355F52A" w:rsidR="00AD022E" w:rsidRPr="00182A1C" w:rsidRDefault="00AD022E" w:rsidP="00AD022E">
      <w:pPr>
        <w:rPr>
          <w:rFonts w:ascii="Arial" w:hAnsi="Arial" w:cs="Arial"/>
        </w:rPr>
      </w:pPr>
      <w:r w:rsidRPr="00182A1C">
        <w:rPr>
          <w:rFonts w:ascii="Arial" w:hAnsi="Arial" w:cs="Arial"/>
        </w:rPr>
        <w:t>Sales promotion tactics could be used to encourage patients to try the virtual ward. This could include offering a discount or a free consultation for the first visit. This tactic can be highly effective in incentivizing patients to try the virtual ward.</w:t>
      </w:r>
    </w:p>
    <w:p w14:paraId="750D6000" w14:textId="77777777" w:rsidR="00E02C9B" w:rsidRPr="00182A1C" w:rsidRDefault="00AD022E" w:rsidP="00AD022E">
      <w:pPr>
        <w:rPr>
          <w:rFonts w:ascii="Arial" w:hAnsi="Arial" w:cs="Arial"/>
        </w:rPr>
      </w:pPr>
      <w:r w:rsidRPr="00182A1C">
        <w:rPr>
          <w:rFonts w:ascii="Arial" w:hAnsi="Arial" w:cs="Arial"/>
        </w:rPr>
        <w:t>Public relations can be used to build trust and credibility for the virtual ward. This could involve sharing success stories of patients who have used the platform and had positive experiences, highlighting any awards or recognition the virtual ward has received, or sharing any new developments or advancements in the virtual ward.</w:t>
      </w:r>
    </w:p>
    <w:p w14:paraId="60521A01" w14:textId="59177C6E" w:rsidR="00AD022E" w:rsidRPr="00182A1C" w:rsidRDefault="00AD022E" w:rsidP="00AD022E">
      <w:pPr>
        <w:rPr>
          <w:rFonts w:ascii="Arial" w:hAnsi="Arial" w:cs="Arial"/>
        </w:rPr>
      </w:pPr>
      <w:r w:rsidRPr="00182A1C">
        <w:rPr>
          <w:rFonts w:ascii="Arial" w:hAnsi="Arial" w:cs="Arial"/>
        </w:rPr>
        <w:t>Personal selling can be used to address any concerns or questions that patients may have about using the virtual ward. A trained sales representative can educate patients on the benefits of using the virtual ward, how to navigate the platform, and provide personalized support as needed.</w:t>
      </w:r>
    </w:p>
    <w:p w14:paraId="0078E670" w14:textId="1D28CA40" w:rsidR="00AD022E" w:rsidRPr="00182A1C" w:rsidRDefault="00AD022E" w:rsidP="00AD022E">
      <w:pPr>
        <w:rPr>
          <w:rFonts w:ascii="Arial" w:hAnsi="Arial" w:cs="Arial"/>
        </w:rPr>
      </w:pPr>
      <w:r w:rsidRPr="00182A1C">
        <w:rPr>
          <w:rFonts w:ascii="Arial" w:hAnsi="Arial" w:cs="Arial"/>
        </w:rPr>
        <w:t>Direct marketing can be used to target specific patients who may benefit from using the virtual ward. This could include sending targeted emails, newsletters, or SMS messages to patients who have expressed interest in the virtual ward or who have a specific health condition that can be addressed through virtual care.</w:t>
      </w:r>
    </w:p>
    <w:p w14:paraId="0F3C66D3" w14:textId="40E3C29B" w:rsidR="00AD022E" w:rsidRPr="00182A1C" w:rsidRDefault="00AD022E" w:rsidP="00AD022E">
      <w:pPr>
        <w:rPr>
          <w:rFonts w:ascii="Arial" w:hAnsi="Arial" w:cs="Arial"/>
        </w:rPr>
      </w:pPr>
      <w:r w:rsidRPr="00182A1C">
        <w:rPr>
          <w:rFonts w:ascii="Arial" w:hAnsi="Arial" w:cs="Arial"/>
        </w:rPr>
        <w:t>Digital marketing channels can be highly effective in promoting the virtual ward. This could include search engine optimization (SEO) to increase visibility and traffic to the virtual ward website, social media marketing to engage with patients and promote the virtual ward, and content marketing to provide valuable information and resources to patients.</w:t>
      </w:r>
    </w:p>
    <w:p w14:paraId="19E74728" w14:textId="0B3278C1" w:rsidR="00AD022E" w:rsidRPr="00182A1C" w:rsidRDefault="00AD022E" w:rsidP="00AD022E">
      <w:pPr>
        <w:rPr>
          <w:rFonts w:ascii="Arial" w:hAnsi="Arial" w:cs="Arial"/>
        </w:rPr>
      </w:pPr>
      <w:r w:rsidRPr="00182A1C">
        <w:rPr>
          <w:rFonts w:ascii="Arial" w:hAnsi="Arial" w:cs="Arial"/>
        </w:rPr>
        <w:t>Overall, an effective communication mix for a virtual ward would involve using a combination of these tactics to reach and engage with the target audience. It is important to tailor the communication mix to the specific needs and preferences of the target audience to maximize the effectiveness of the strategy.</w:t>
      </w:r>
    </w:p>
    <w:p w14:paraId="2A4F339F" w14:textId="3B7C1462" w:rsidR="00AD022E" w:rsidRPr="00182A1C" w:rsidRDefault="00AD022E" w:rsidP="00AD022E">
      <w:pPr>
        <w:rPr>
          <w:rFonts w:ascii="Arial" w:hAnsi="Arial" w:cs="Arial"/>
        </w:rPr>
      </w:pPr>
    </w:p>
    <w:p w14:paraId="2226C13B" w14:textId="43CFAECE" w:rsidR="00AD022E" w:rsidRPr="00182A1C" w:rsidRDefault="00AD022E" w:rsidP="00B36FF5">
      <w:pPr>
        <w:pStyle w:val="Heading1"/>
        <w:rPr>
          <w:rFonts w:ascii="Arial" w:hAnsi="Arial" w:cs="Arial"/>
          <w:sz w:val="22"/>
          <w:szCs w:val="22"/>
        </w:rPr>
      </w:pPr>
    </w:p>
    <w:p w14:paraId="1171DB6C" w14:textId="279EB96F" w:rsidR="00AD022E" w:rsidRPr="00182A1C" w:rsidRDefault="00AD022E" w:rsidP="00B36FF5">
      <w:pPr>
        <w:pStyle w:val="Heading1"/>
        <w:rPr>
          <w:rFonts w:ascii="Arial" w:hAnsi="Arial" w:cs="Arial"/>
        </w:rPr>
      </w:pPr>
      <w:bookmarkStart w:id="13" w:name="_Toc134089370"/>
      <w:r w:rsidRPr="00182A1C">
        <w:rPr>
          <w:rFonts w:ascii="Arial" w:hAnsi="Arial" w:cs="Arial"/>
        </w:rPr>
        <w:t>Data Protection and GDPR</w:t>
      </w:r>
      <w:bookmarkEnd w:id="13"/>
    </w:p>
    <w:p w14:paraId="0F3C936C" w14:textId="77777777" w:rsidR="006A3CCE" w:rsidRPr="00182A1C" w:rsidRDefault="006A3CCE" w:rsidP="006A3CCE">
      <w:pPr>
        <w:jc w:val="center"/>
        <w:rPr>
          <w:rFonts w:ascii="Arial" w:hAnsi="Arial" w:cs="Arial"/>
          <w:b/>
          <w:bCs/>
        </w:rPr>
      </w:pPr>
    </w:p>
    <w:p w14:paraId="35BCC54F" w14:textId="25EA2751" w:rsidR="00680461" w:rsidRPr="00182A1C" w:rsidRDefault="00680461" w:rsidP="00AD022E">
      <w:pPr>
        <w:rPr>
          <w:rFonts w:ascii="Arial" w:hAnsi="Arial" w:cs="Arial"/>
        </w:rPr>
      </w:pPr>
    </w:p>
    <w:p w14:paraId="2EB5656B" w14:textId="77777777" w:rsidR="00680461" w:rsidRPr="00182A1C" w:rsidRDefault="00680461" w:rsidP="00680461">
      <w:pPr>
        <w:rPr>
          <w:rFonts w:ascii="Arial" w:hAnsi="Arial" w:cs="Arial"/>
        </w:rPr>
      </w:pPr>
      <w:r w:rsidRPr="00182A1C">
        <w:rPr>
          <w:rFonts w:ascii="Arial" w:hAnsi="Arial" w:cs="Arial"/>
        </w:rPr>
        <w:t>Securing the data of customers is critical to protecting their privacy and complying with GDPR and data protection policies. Encryption is one of the most effective ways to secure data, and it is an essential facility that can be utilized to ensure the safety and security of personal data.</w:t>
      </w:r>
    </w:p>
    <w:p w14:paraId="2F1E9696" w14:textId="77777777" w:rsidR="00680461" w:rsidRPr="00182A1C" w:rsidRDefault="00680461" w:rsidP="00680461">
      <w:pPr>
        <w:rPr>
          <w:rFonts w:ascii="Arial" w:hAnsi="Arial" w:cs="Arial"/>
        </w:rPr>
      </w:pPr>
      <w:r w:rsidRPr="00182A1C">
        <w:rPr>
          <w:rFonts w:ascii="Arial" w:hAnsi="Arial" w:cs="Arial"/>
        </w:rPr>
        <w:t>Encryption is a process of converting plain text data into a coded format that can only be accessed with a key or password. This process makes the data unreadable to anyone who does not have the key or password to decrypt it. Encryption is an effective technique to protect personal data from unauthorized access, interception, or theft.</w:t>
      </w:r>
    </w:p>
    <w:p w14:paraId="7C713C97" w14:textId="583E3EE9" w:rsidR="00680461" w:rsidRPr="00182A1C" w:rsidRDefault="006A3CCE" w:rsidP="00680461">
      <w:pPr>
        <w:rPr>
          <w:rFonts w:ascii="Arial" w:hAnsi="Arial" w:cs="Arial"/>
        </w:rPr>
      </w:pPr>
      <w:r w:rsidRPr="00182A1C">
        <w:rPr>
          <w:rFonts w:ascii="Arial" w:hAnsi="Arial" w:cs="Arial"/>
        </w:rPr>
        <w:t>Additional measures must be taken in order to protect patient’s security</w:t>
      </w:r>
    </w:p>
    <w:p w14:paraId="1F2E6199" w14:textId="77777777" w:rsidR="00680461" w:rsidRPr="00182A1C" w:rsidRDefault="00680461" w:rsidP="00680461">
      <w:pPr>
        <w:rPr>
          <w:rFonts w:ascii="Arial" w:hAnsi="Arial" w:cs="Arial"/>
        </w:rPr>
      </w:pPr>
      <w:r w:rsidRPr="00182A1C">
        <w:rPr>
          <w:rFonts w:ascii="Arial" w:hAnsi="Arial" w:cs="Arial"/>
        </w:rPr>
        <w:t>Use of strong passwords: All users of the virtual ward system must use strong passwords that meet the complexity requirements set by the GDPR. Passwords must be changed regularly, and password reuse must be prohibited.</w:t>
      </w:r>
    </w:p>
    <w:p w14:paraId="58EDB71F" w14:textId="77777777" w:rsidR="00680461" w:rsidRPr="00182A1C" w:rsidRDefault="00680461" w:rsidP="00680461">
      <w:pPr>
        <w:rPr>
          <w:rFonts w:ascii="Arial" w:hAnsi="Arial" w:cs="Arial"/>
        </w:rPr>
      </w:pPr>
      <w:r w:rsidRPr="00182A1C">
        <w:rPr>
          <w:rFonts w:ascii="Arial" w:hAnsi="Arial" w:cs="Arial"/>
        </w:rPr>
        <w:t>Secure storage: Personal data must be stored in encrypted form to prevent unauthorized access, theft, or loss. The virtual ward must ensure that personal data is stored securely using strong encryption algorithms.</w:t>
      </w:r>
    </w:p>
    <w:p w14:paraId="64F449E4" w14:textId="77777777" w:rsidR="00680461" w:rsidRPr="00182A1C" w:rsidRDefault="00680461" w:rsidP="00680461">
      <w:pPr>
        <w:rPr>
          <w:rFonts w:ascii="Arial" w:hAnsi="Arial" w:cs="Arial"/>
        </w:rPr>
      </w:pPr>
      <w:r w:rsidRPr="00182A1C">
        <w:rPr>
          <w:rFonts w:ascii="Arial" w:hAnsi="Arial" w:cs="Arial"/>
        </w:rPr>
        <w:t>Secure transmission: Personal data must be encrypted during transmission to prevent unauthorized interception or access. The virtual ward must use secure transmission protocols such as HTTPS, SSL, or TLS to ensure that data is transmitted securely.</w:t>
      </w:r>
    </w:p>
    <w:p w14:paraId="0E288CE5" w14:textId="77777777" w:rsidR="00680461" w:rsidRPr="00182A1C" w:rsidRDefault="00680461" w:rsidP="00680461">
      <w:pPr>
        <w:rPr>
          <w:rFonts w:ascii="Arial" w:hAnsi="Arial" w:cs="Arial"/>
        </w:rPr>
      </w:pPr>
      <w:r w:rsidRPr="00182A1C">
        <w:rPr>
          <w:rFonts w:ascii="Arial" w:hAnsi="Arial" w:cs="Arial"/>
        </w:rPr>
        <w:t>Regular encryption key management: Encryption keys must be managed properly, and access to them must be restricted to authorized personnel only. The virtual ward must ensure that encryption keys are rotated regularly and are stored securely.</w:t>
      </w:r>
    </w:p>
    <w:p w14:paraId="781305A2" w14:textId="77777777" w:rsidR="00680461" w:rsidRPr="00182A1C" w:rsidRDefault="00680461" w:rsidP="00680461">
      <w:pPr>
        <w:rPr>
          <w:rFonts w:ascii="Arial" w:hAnsi="Arial" w:cs="Arial"/>
        </w:rPr>
      </w:pPr>
      <w:r w:rsidRPr="00182A1C">
        <w:rPr>
          <w:rFonts w:ascii="Arial" w:hAnsi="Arial" w:cs="Arial"/>
        </w:rPr>
        <w:t>Compliance with GDPR: The virtual ward must comply with all GDPR requirements related to data encryption, including data protection by design and default and regular data protection impact assessments.</w:t>
      </w:r>
    </w:p>
    <w:p w14:paraId="22F30A12" w14:textId="0C22AA14" w:rsidR="00680461" w:rsidRPr="00182A1C" w:rsidRDefault="00680461" w:rsidP="00680461">
      <w:pPr>
        <w:rPr>
          <w:rFonts w:ascii="Arial" w:hAnsi="Arial" w:cs="Arial"/>
        </w:rPr>
      </w:pPr>
      <w:r w:rsidRPr="00182A1C">
        <w:rPr>
          <w:rFonts w:ascii="Arial" w:hAnsi="Arial" w:cs="Arial"/>
        </w:rPr>
        <w:t>By implementing the above measures, including encryption facilities, the virtual ward can ensure that personal data is protected and secured from unauthorized access or misuse.</w:t>
      </w:r>
    </w:p>
    <w:p w14:paraId="23C7CB35" w14:textId="77777777" w:rsidR="00680461" w:rsidRPr="00182A1C" w:rsidRDefault="00680461" w:rsidP="00680461">
      <w:pPr>
        <w:rPr>
          <w:rFonts w:ascii="Arial" w:hAnsi="Arial" w:cs="Arial"/>
        </w:rPr>
      </w:pPr>
      <w:r w:rsidRPr="00182A1C">
        <w:rPr>
          <w:rFonts w:ascii="Arial" w:hAnsi="Arial" w:cs="Arial"/>
        </w:rPr>
        <w:t>The General Data Protection Regulation (GDPR) is a regulation introduced by the European Union (EU) in 2018 to protect the privacy and personal data of individuals. It replaces the previous Data Protection Directive and applies to all EU member states. The GDPR has extraterritorial effect, meaning that it applies to organizations outside the EU that process the personal data of individuals in the EU.</w:t>
      </w:r>
    </w:p>
    <w:p w14:paraId="42CB71F7" w14:textId="77777777" w:rsidR="00680461" w:rsidRPr="00182A1C" w:rsidRDefault="00680461" w:rsidP="00680461">
      <w:pPr>
        <w:rPr>
          <w:rFonts w:ascii="Arial" w:hAnsi="Arial" w:cs="Arial"/>
        </w:rPr>
      </w:pPr>
    </w:p>
    <w:p w14:paraId="11DFF609" w14:textId="57F53B2B" w:rsidR="00680461" w:rsidRPr="00182A1C" w:rsidRDefault="00680461" w:rsidP="00680461">
      <w:pPr>
        <w:rPr>
          <w:rFonts w:ascii="Arial" w:hAnsi="Arial" w:cs="Arial"/>
        </w:rPr>
      </w:pPr>
      <w:r w:rsidRPr="00182A1C">
        <w:rPr>
          <w:rFonts w:ascii="Arial" w:hAnsi="Arial" w:cs="Arial"/>
        </w:rPr>
        <w:t>The GDPR introduces several rules and principles for handling personal data</w:t>
      </w:r>
      <w:r w:rsidR="00E07FFE" w:rsidRPr="00182A1C">
        <w:rPr>
          <w:rFonts w:ascii="Arial" w:hAnsi="Arial" w:cs="Arial"/>
        </w:rPr>
        <w:t xml:space="preserve"> such as:</w:t>
      </w:r>
    </w:p>
    <w:p w14:paraId="73D4CCC6" w14:textId="77777777" w:rsidR="00680461" w:rsidRPr="00182A1C" w:rsidRDefault="00680461" w:rsidP="00680461">
      <w:pPr>
        <w:rPr>
          <w:rFonts w:ascii="Arial" w:hAnsi="Arial" w:cs="Arial"/>
        </w:rPr>
      </w:pPr>
      <w:r w:rsidRPr="00182A1C">
        <w:rPr>
          <w:rFonts w:ascii="Arial" w:hAnsi="Arial" w:cs="Arial"/>
        </w:rPr>
        <w:t>Consent: Individuals must provide their explicit and informed consent for their personal data to be processed.</w:t>
      </w:r>
    </w:p>
    <w:p w14:paraId="10E4456D" w14:textId="77777777" w:rsidR="00680461" w:rsidRPr="00182A1C" w:rsidRDefault="00680461" w:rsidP="00680461">
      <w:pPr>
        <w:rPr>
          <w:rFonts w:ascii="Arial" w:hAnsi="Arial" w:cs="Arial"/>
        </w:rPr>
      </w:pPr>
      <w:r w:rsidRPr="00182A1C">
        <w:rPr>
          <w:rFonts w:ascii="Arial" w:hAnsi="Arial" w:cs="Arial"/>
        </w:rPr>
        <w:t>Right to access: Individuals have the right to access their personal data and request that any inaccuracies be corrected.</w:t>
      </w:r>
    </w:p>
    <w:p w14:paraId="0CCED208" w14:textId="04435837" w:rsidR="00680461" w:rsidRDefault="00680461" w:rsidP="00680461">
      <w:pPr>
        <w:rPr>
          <w:rFonts w:ascii="Arial" w:hAnsi="Arial" w:cs="Arial"/>
        </w:rPr>
      </w:pPr>
      <w:r w:rsidRPr="00182A1C">
        <w:rPr>
          <w:rFonts w:ascii="Arial" w:hAnsi="Arial" w:cs="Arial"/>
        </w:rPr>
        <w:t>Right to erasure: Individuals have the right to have their personal data erased under certain circumstances, such as when the data is no longer necessary for the purposes for which it was collected.</w:t>
      </w:r>
    </w:p>
    <w:p w14:paraId="417AF0B3" w14:textId="77777777" w:rsidR="007B7ECB" w:rsidRPr="007B7ECB" w:rsidRDefault="007B7ECB" w:rsidP="007B7ECB">
      <w:pPr>
        <w:rPr>
          <w:rFonts w:ascii="Arial" w:hAnsi="Arial" w:cs="Arial"/>
        </w:rPr>
      </w:pPr>
      <w:r w:rsidRPr="007B7ECB">
        <w:rPr>
          <w:rFonts w:ascii="Arial" w:hAnsi="Arial" w:cs="Arial"/>
        </w:rPr>
        <w:t>Data portability: An individual has the right to receive and transfer their personal information in a structured, machine-readable format.</w:t>
      </w:r>
    </w:p>
    <w:p w14:paraId="2470CB56" w14:textId="77777777" w:rsidR="007B7ECB" w:rsidRPr="007B7ECB" w:rsidRDefault="007B7ECB" w:rsidP="007B7ECB">
      <w:pPr>
        <w:rPr>
          <w:rFonts w:ascii="Arial" w:hAnsi="Arial" w:cs="Arial"/>
        </w:rPr>
      </w:pPr>
      <w:r w:rsidRPr="007B7ECB">
        <w:rPr>
          <w:rFonts w:ascii="Arial" w:hAnsi="Arial" w:cs="Arial"/>
        </w:rPr>
        <w:t xml:space="preserve">Data protection by design and default: Organizations are obliged to provide </w:t>
      </w:r>
      <w:proofErr w:type="spellStart"/>
      <w:r w:rsidRPr="007B7ECB">
        <w:rPr>
          <w:rFonts w:ascii="Arial" w:hAnsi="Arial" w:cs="Arial"/>
        </w:rPr>
        <w:t>adequent</w:t>
      </w:r>
      <w:proofErr w:type="spellEnd"/>
      <w:r w:rsidRPr="007B7ECB">
        <w:rPr>
          <w:rFonts w:ascii="Arial" w:hAnsi="Arial" w:cs="Arial"/>
        </w:rPr>
        <w:t xml:space="preserve"> technical and organizational polices to ensure that personal data is processed securely.</w:t>
      </w:r>
    </w:p>
    <w:p w14:paraId="4CEF4842" w14:textId="77777777" w:rsidR="007B7ECB" w:rsidRDefault="007B7ECB" w:rsidP="007B7ECB">
      <w:pPr>
        <w:rPr>
          <w:rFonts w:ascii="Arial" w:hAnsi="Arial" w:cs="Arial"/>
        </w:rPr>
      </w:pPr>
      <w:r w:rsidRPr="007B7ECB">
        <w:rPr>
          <w:rFonts w:ascii="Arial" w:hAnsi="Arial" w:cs="Arial"/>
        </w:rPr>
        <w:t>Data protection impact assessments: Before processing personal data that poses a high risk to individuals' rights and freedoms, organizations must conduct data protection impact assessments.</w:t>
      </w:r>
    </w:p>
    <w:p w14:paraId="16356096" w14:textId="27DC63D9" w:rsidR="007B7ECB" w:rsidRPr="007B7ECB" w:rsidRDefault="007B7ECB" w:rsidP="007B7ECB">
      <w:pPr>
        <w:rPr>
          <w:rFonts w:ascii="Arial" w:hAnsi="Arial" w:cs="Arial"/>
        </w:rPr>
      </w:pPr>
      <w:r w:rsidRPr="007B7ECB">
        <w:t xml:space="preserve"> </w:t>
      </w:r>
      <w:r w:rsidRPr="007B7ECB">
        <w:rPr>
          <w:rFonts w:ascii="Arial" w:hAnsi="Arial" w:cs="Arial"/>
        </w:rPr>
        <w:t>The GDPR is implemented in the UK through the Data Protection Act 2018, which covers all personal data processing in the country and includes supplementary provisions to support the GDPR. The Information Commissioner's Office (ICO), the UK's data protection regulator, is empowered and required by the act, and there are several criminal offenses related to the mishandling of personal data. Additionally, the Data Protection Act 2018 provides provisions concerning the processing of personal data for law enforcement purposes.</w:t>
      </w:r>
    </w:p>
    <w:p w14:paraId="14AB55C9" w14:textId="77777777" w:rsidR="007B7ECB" w:rsidRDefault="007B7ECB" w:rsidP="00AD022E">
      <w:pPr>
        <w:rPr>
          <w:rFonts w:ascii="Arial" w:hAnsi="Arial" w:cs="Arial"/>
        </w:rPr>
      </w:pPr>
    </w:p>
    <w:p w14:paraId="15630DD1" w14:textId="4B764E6C" w:rsidR="00AD022E" w:rsidRPr="00182A1C" w:rsidRDefault="00E07FFE" w:rsidP="00AD022E">
      <w:pPr>
        <w:rPr>
          <w:rFonts w:ascii="Arial" w:hAnsi="Arial" w:cs="Arial"/>
        </w:rPr>
      </w:pPr>
      <w:r w:rsidRPr="00182A1C">
        <w:rPr>
          <w:rFonts w:ascii="Arial" w:hAnsi="Arial" w:cs="Arial"/>
        </w:rPr>
        <w:t>I</w:t>
      </w:r>
      <w:r w:rsidR="00AD022E" w:rsidRPr="00182A1C">
        <w:rPr>
          <w:rFonts w:ascii="Arial" w:hAnsi="Arial" w:cs="Arial"/>
        </w:rPr>
        <w:t>dentify the personal data being collected: The virtual ward may collect various types of personal data, such as names, addresses, email addresses, medical history, and health-related information. It is important to identify all the data that is being collected and processed to ensure that it is being handled in compliance with the GDPR.</w:t>
      </w:r>
    </w:p>
    <w:p w14:paraId="283344FD" w14:textId="51EA6684" w:rsidR="00E02C9B" w:rsidRPr="00182A1C" w:rsidRDefault="00E02C9B" w:rsidP="00AD022E">
      <w:pPr>
        <w:rPr>
          <w:rFonts w:ascii="Arial" w:hAnsi="Arial" w:cs="Arial"/>
        </w:rPr>
      </w:pPr>
    </w:p>
    <w:p w14:paraId="286BB02B" w14:textId="46522FC5" w:rsidR="00E02C9B" w:rsidRPr="00182A1C" w:rsidRDefault="00E02C9B" w:rsidP="00AD022E">
      <w:pPr>
        <w:rPr>
          <w:rFonts w:ascii="Arial" w:hAnsi="Arial" w:cs="Arial"/>
        </w:rPr>
      </w:pPr>
    </w:p>
    <w:p w14:paraId="59FF83B6" w14:textId="34F78BA2" w:rsidR="00E02C9B" w:rsidRPr="00182A1C" w:rsidRDefault="00E02C9B" w:rsidP="00B36FF5">
      <w:pPr>
        <w:pStyle w:val="Heading1"/>
        <w:rPr>
          <w:rFonts w:ascii="Arial" w:hAnsi="Arial" w:cs="Arial"/>
          <w:sz w:val="28"/>
          <w:szCs w:val="28"/>
        </w:rPr>
      </w:pPr>
      <w:bookmarkStart w:id="14" w:name="_Toc134089371"/>
      <w:r w:rsidRPr="00182A1C">
        <w:rPr>
          <w:rFonts w:ascii="Arial" w:hAnsi="Arial" w:cs="Arial"/>
          <w:sz w:val="28"/>
          <w:szCs w:val="28"/>
        </w:rPr>
        <w:t>GDPR compliance</w:t>
      </w:r>
      <w:bookmarkEnd w:id="14"/>
    </w:p>
    <w:p w14:paraId="1415B8B6" w14:textId="77777777" w:rsidR="00AD022E" w:rsidRPr="00182A1C" w:rsidRDefault="00AD022E" w:rsidP="00AD022E">
      <w:pPr>
        <w:rPr>
          <w:rFonts w:ascii="Arial" w:hAnsi="Arial" w:cs="Arial"/>
        </w:rPr>
      </w:pPr>
    </w:p>
    <w:p w14:paraId="205BD0EC" w14:textId="1DBD791F" w:rsidR="00AD022E" w:rsidRPr="00182A1C" w:rsidRDefault="00AD022E" w:rsidP="00AD022E">
      <w:pPr>
        <w:rPr>
          <w:rFonts w:ascii="Arial" w:hAnsi="Arial" w:cs="Arial"/>
        </w:rPr>
      </w:pPr>
      <w:r w:rsidRPr="00182A1C">
        <w:rPr>
          <w:rFonts w:ascii="Arial" w:hAnsi="Arial" w:cs="Arial"/>
        </w:rPr>
        <w:t xml:space="preserve">Obtain consent: Patients must be </w:t>
      </w:r>
      <w:r w:rsidR="007B7ECB">
        <w:rPr>
          <w:rFonts w:ascii="Arial" w:hAnsi="Arial" w:cs="Arial"/>
        </w:rPr>
        <w:t>aware</w:t>
      </w:r>
      <w:r w:rsidRPr="00182A1C">
        <w:rPr>
          <w:rFonts w:ascii="Arial" w:hAnsi="Arial" w:cs="Arial"/>
        </w:rPr>
        <w:t xml:space="preserve"> </w:t>
      </w:r>
      <w:r w:rsidR="007B7ECB">
        <w:rPr>
          <w:rFonts w:ascii="Arial" w:hAnsi="Arial" w:cs="Arial"/>
        </w:rPr>
        <w:t>regarding</w:t>
      </w:r>
      <w:r w:rsidRPr="00182A1C">
        <w:rPr>
          <w:rFonts w:ascii="Arial" w:hAnsi="Arial" w:cs="Arial"/>
        </w:rPr>
        <w:t xml:space="preserve"> the collection and processing of their personal data and must </w:t>
      </w:r>
      <w:r w:rsidR="007B7ECB">
        <w:rPr>
          <w:rFonts w:ascii="Arial" w:hAnsi="Arial" w:cs="Arial"/>
        </w:rPr>
        <w:t>be</w:t>
      </w:r>
      <w:r w:rsidRPr="00182A1C">
        <w:rPr>
          <w:rFonts w:ascii="Arial" w:hAnsi="Arial" w:cs="Arial"/>
        </w:rPr>
        <w:t xml:space="preserve"> explicit consent</w:t>
      </w:r>
      <w:r w:rsidR="007B7ECB">
        <w:rPr>
          <w:rFonts w:ascii="Arial" w:hAnsi="Arial" w:cs="Arial"/>
        </w:rPr>
        <w:t>ed by patients</w:t>
      </w:r>
      <w:r w:rsidRPr="00182A1C">
        <w:rPr>
          <w:rFonts w:ascii="Arial" w:hAnsi="Arial" w:cs="Arial"/>
        </w:rPr>
        <w:t xml:space="preserve"> before any data is collected. The consent must be obtained in a clear and concise manner and must be given</w:t>
      </w:r>
      <w:r w:rsidR="000970F6">
        <w:rPr>
          <w:rFonts w:ascii="Arial" w:hAnsi="Arial" w:cs="Arial"/>
        </w:rPr>
        <w:t xml:space="preserve"> freely.</w:t>
      </w:r>
    </w:p>
    <w:p w14:paraId="7F979C33" w14:textId="77777777" w:rsidR="00AD022E" w:rsidRPr="00182A1C" w:rsidRDefault="00AD022E" w:rsidP="00AD022E">
      <w:pPr>
        <w:rPr>
          <w:rFonts w:ascii="Arial" w:hAnsi="Arial" w:cs="Arial"/>
        </w:rPr>
      </w:pPr>
      <w:r w:rsidRPr="00182A1C">
        <w:rPr>
          <w:rFonts w:ascii="Arial" w:hAnsi="Arial" w:cs="Arial"/>
        </w:rPr>
        <w:t>Secure storage and transfer of data: Personal data collected by the virtual ward must be stored securely and protected from unauthorized access, loss, or destruction. Data must be encrypted during transmission and stored in encrypted form to prevent any unauthorized access or misuse.</w:t>
      </w:r>
    </w:p>
    <w:p w14:paraId="7FF7018B" w14:textId="77777777" w:rsidR="00AD022E" w:rsidRPr="00182A1C" w:rsidRDefault="00AD022E" w:rsidP="00AD022E">
      <w:pPr>
        <w:rPr>
          <w:rFonts w:ascii="Arial" w:hAnsi="Arial" w:cs="Arial"/>
        </w:rPr>
      </w:pPr>
      <w:r w:rsidRPr="00182A1C">
        <w:rPr>
          <w:rFonts w:ascii="Arial" w:hAnsi="Arial" w:cs="Arial"/>
        </w:rPr>
        <w:t>Data sharing and third-party agreements: If personal data is being shared with third-party providers or organizations, then it is necessary to have data sharing agreements in place. These agreements must clearly state the purpose of data sharing and must include provisions to protect the privacy and security of personal data.</w:t>
      </w:r>
    </w:p>
    <w:p w14:paraId="0D9C888A" w14:textId="77777777" w:rsidR="00AD022E" w:rsidRPr="00182A1C" w:rsidRDefault="00AD022E" w:rsidP="00AD022E">
      <w:pPr>
        <w:rPr>
          <w:rFonts w:ascii="Arial" w:hAnsi="Arial" w:cs="Arial"/>
        </w:rPr>
      </w:pPr>
      <w:r w:rsidRPr="00182A1C">
        <w:rPr>
          <w:rFonts w:ascii="Arial" w:hAnsi="Arial" w:cs="Arial"/>
        </w:rPr>
        <w:t>Rights of the data subject: Patients have certain rights under the GDPR, including the right to access their personal data, the right to rectify any inaccuracies, and the right to request the deletion of their personal data. The virtual ward must have policies in place to ensure that these rights are respected and protected.</w:t>
      </w:r>
    </w:p>
    <w:p w14:paraId="2369524D" w14:textId="77777777" w:rsidR="00AD022E" w:rsidRPr="00182A1C" w:rsidRDefault="00AD022E" w:rsidP="00AD022E">
      <w:pPr>
        <w:rPr>
          <w:rFonts w:ascii="Arial" w:hAnsi="Arial" w:cs="Arial"/>
        </w:rPr>
      </w:pPr>
      <w:r w:rsidRPr="00182A1C">
        <w:rPr>
          <w:rFonts w:ascii="Arial" w:hAnsi="Arial" w:cs="Arial"/>
        </w:rPr>
        <w:t>Regular data protection training: All staff members of the virtual ward should receive regular training on data protection policies and GDPR compliance to ensure that personal data is being handled appropriately.</w:t>
      </w:r>
    </w:p>
    <w:p w14:paraId="1A872619" w14:textId="77777777" w:rsidR="00AD022E" w:rsidRPr="00182A1C" w:rsidRDefault="00AD022E" w:rsidP="00AD022E">
      <w:pPr>
        <w:rPr>
          <w:rFonts w:ascii="Arial" w:hAnsi="Arial" w:cs="Arial"/>
        </w:rPr>
      </w:pPr>
    </w:p>
    <w:p w14:paraId="71276C31" w14:textId="491C72AF" w:rsidR="00AD022E" w:rsidRPr="00182A1C" w:rsidRDefault="00AD022E" w:rsidP="00AD022E">
      <w:pPr>
        <w:rPr>
          <w:rFonts w:ascii="Arial" w:hAnsi="Arial" w:cs="Arial"/>
        </w:rPr>
      </w:pPr>
      <w:r w:rsidRPr="00182A1C">
        <w:rPr>
          <w:rFonts w:ascii="Arial" w:hAnsi="Arial" w:cs="Arial"/>
        </w:rPr>
        <w:t>By implementing the above steps, the virtual ward can ensure compliance with GDPR and data protection policies, and protect the privacy and personal data of patients.</w:t>
      </w:r>
    </w:p>
    <w:p w14:paraId="63686F53" w14:textId="77777777" w:rsidR="00E02C9B" w:rsidRPr="00182A1C" w:rsidRDefault="00E02C9B" w:rsidP="00AD022E">
      <w:pPr>
        <w:rPr>
          <w:rFonts w:ascii="Arial" w:hAnsi="Arial" w:cs="Arial"/>
        </w:rPr>
      </w:pPr>
    </w:p>
    <w:p w14:paraId="03AA85A7" w14:textId="3FD61BEE" w:rsidR="00E02C9B" w:rsidRPr="00182A1C" w:rsidRDefault="00E02C9B" w:rsidP="00AD022E">
      <w:pPr>
        <w:rPr>
          <w:rFonts w:ascii="Arial" w:hAnsi="Arial" w:cs="Arial"/>
        </w:rPr>
      </w:pPr>
    </w:p>
    <w:p w14:paraId="13FA3F26" w14:textId="47A3A923" w:rsidR="00E02C9B" w:rsidRPr="00182A1C" w:rsidRDefault="00E02C9B" w:rsidP="00B36FF5">
      <w:pPr>
        <w:pStyle w:val="Heading1"/>
        <w:rPr>
          <w:rFonts w:ascii="Arial" w:hAnsi="Arial" w:cs="Arial"/>
          <w:sz w:val="28"/>
          <w:szCs w:val="28"/>
        </w:rPr>
      </w:pPr>
      <w:bookmarkStart w:id="15" w:name="_Toc134089372"/>
      <w:r w:rsidRPr="00182A1C">
        <w:rPr>
          <w:rFonts w:ascii="Arial" w:hAnsi="Arial" w:cs="Arial"/>
          <w:sz w:val="28"/>
          <w:szCs w:val="28"/>
        </w:rPr>
        <w:t>PECR compliance</w:t>
      </w:r>
      <w:bookmarkEnd w:id="15"/>
    </w:p>
    <w:p w14:paraId="6C9C7409" w14:textId="1966998B" w:rsidR="00E02C9B" w:rsidRPr="00182A1C" w:rsidRDefault="00E02C9B" w:rsidP="00AD022E">
      <w:pPr>
        <w:rPr>
          <w:rFonts w:ascii="Arial" w:hAnsi="Arial" w:cs="Arial"/>
        </w:rPr>
      </w:pPr>
    </w:p>
    <w:p w14:paraId="101D26CA" w14:textId="4965DD30" w:rsidR="00B36FF5" w:rsidRPr="00182A1C" w:rsidRDefault="00B36FF5" w:rsidP="00AD022E">
      <w:pPr>
        <w:rPr>
          <w:rFonts w:ascii="Arial" w:hAnsi="Arial" w:cs="Arial"/>
        </w:rPr>
      </w:pPr>
    </w:p>
    <w:p w14:paraId="63E3510E" w14:textId="77777777" w:rsidR="00B36FF5" w:rsidRPr="00182A1C" w:rsidRDefault="00B36FF5" w:rsidP="00AD022E">
      <w:pPr>
        <w:rPr>
          <w:rFonts w:ascii="Arial" w:hAnsi="Arial" w:cs="Arial"/>
        </w:rPr>
      </w:pPr>
    </w:p>
    <w:p w14:paraId="3E6C906C" w14:textId="65ED5C85" w:rsidR="00DA5D9B" w:rsidRPr="00182A1C" w:rsidRDefault="00DA5D9B" w:rsidP="00AD022E">
      <w:pPr>
        <w:rPr>
          <w:rFonts w:ascii="Arial" w:hAnsi="Arial" w:cs="Arial"/>
        </w:rPr>
      </w:pPr>
    </w:p>
    <w:p w14:paraId="6E9617C8" w14:textId="77777777" w:rsidR="00DA5D9B" w:rsidRPr="00182A1C" w:rsidRDefault="00DA5D9B" w:rsidP="00DA5D9B">
      <w:pPr>
        <w:rPr>
          <w:rFonts w:ascii="Arial" w:hAnsi="Arial" w:cs="Arial"/>
        </w:rPr>
      </w:pPr>
      <w:r w:rsidRPr="00182A1C">
        <w:rPr>
          <w:rFonts w:ascii="Arial" w:hAnsi="Arial" w:cs="Arial"/>
        </w:rPr>
        <w:t>PECR (Privacy and Electronic Communications Regulations) is a regulation in the UK that sets out rules for electronic communications, including marketing emails, texts, and phone calls. PECR requires that individuals provide their consent before receiving marketing communications and also provides individuals with the right to opt-out of receiving these communications at any time.</w:t>
      </w:r>
    </w:p>
    <w:p w14:paraId="0F1B482C" w14:textId="77777777" w:rsidR="00DA5D9B" w:rsidRPr="00182A1C" w:rsidRDefault="00DA5D9B" w:rsidP="00DA5D9B">
      <w:pPr>
        <w:rPr>
          <w:rFonts w:ascii="Arial" w:hAnsi="Arial" w:cs="Arial"/>
        </w:rPr>
      </w:pPr>
    </w:p>
    <w:p w14:paraId="24AC84D8" w14:textId="58B76341" w:rsidR="00DA5D9B" w:rsidRPr="00182A1C" w:rsidRDefault="00DA5D9B" w:rsidP="00DA5D9B">
      <w:pPr>
        <w:rPr>
          <w:rFonts w:ascii="Arial" w:hAnsi="Arial" w:cs="Arial"/>
        </w:rPr>
      </w:pPr>
      <w:r w:rsidRPr="00182A1C">
        <w:rPr>
          <w:rFonts w:ascii="Arial" w:hAnsi="Arial" w:cs="Arial"/>
        </w:rPr>
        <w:t>PECR consent and opt-out policy:</w:t>
      </w:r>
    </w:p>
    <w:p w14:paraId="0971298A" w14:textId="77777777" w:rsidR="00DA5D9B" w:rsidRPr="00182A1C" w:rsidRDefault="00DA5D9B" w:rsidP="00DA5D9B">
      <w:pPr>
        <w:rPr>
          <w:rFonts w:ascii="Arial" w:hAnsi="Arial" w:cs="Arial"/>
        </w:rPr>
      </w:pPr>
    </w:p>
    <w:p w14:paraId="55534928" w14:textId="77777777" w:rsidR="00DA5D9B" w:rsidRPr="00182A1C" w:rsidRDefault="00DA5D9B" w:rsidP="00DA5D9B">
      <w:pPr>
        <w:rPr>
          <w:rFonts w:ascii="Arial" w:hAnsi="Arial" w:cs="Arial"/>
        </w:rPr>
      </w:pPr>
      <w:r w:rsidRPr="00182A1C">
        <w:rPr>
          <w:rFonts w:ascii="Arial" w:hAnsi="Arial" w:cs="Arial"/>
        </w:rPr>
        <w:t>Consent:</w:t>
      </w:r>
    </w:p>
    <w:p w14:paraId="772A5BF2" w14:textId="78890D99" w:rsidR="00DA5D9B" w:rsidRPr="00182A1C" w:rsidRDefault="00DA5D9B" w:rsidP="00DA5D9B">
      <w:pPr>
        <w:rPr>
          <w:rFonts w:ascii="Arial" w:hAnsi="Arial" w:cs="Arial"/>
        </w:rPr>
      </w:pPr>
      <w:r w:rsidRPr="00182A1C">
        <w:rPr>
          <w:rFonts w:ascii="Arial" w:hAnsi="Arial" w:cs="Arial"/>
        </w:rPr>
        <w:t>Centred-care</w:t>
      </w:r>
      <w:r w:rsidRPr="00182A1C">
        <w:rPr>
          <w:rFonts w:ascii="Arial" w:hAnsi="Arial" w:cs="Arial"/>
        </w:rPr>
        <w:t xml:space="preserve"> will only send marketing communications </w:t>
      </w:r>
      <w:r w:rsidRPr="00182A1C">
        <w:rPr>
          <w:rFonts w:ascii="Arial" w:hAnsi="Arial" w:cs="Arial"/>
        </w:rPr>
        <w:t>only if consent was</w:t>
      </w:r>
      <w:r w:rsidRPr="00182A1C">
        <w:rPr>
          <w:rFonts w:ascii="Arial" w:hAnsi="Arial" w:cs="Arial"/>
        </w:rPr>
        <w:t xml:space="preserve"> given. When sign</w:t>
      </w:r>
      <w:r w:rsidRPr="00182A1C">
        <w:rPr>
          <w:rFonts w:ascii="Arial" w:hAnsi="Arial" w:cs="Arial"/>
        </w:rPr>
        <w:t>ing</w:t>
      </w:r>
      <w:r w:rsidRPr="00182A1C">
        <w:rPr>
          <w:rFonts w:ascii="Arial" w:hAnsi="Arial" w:cs="Arial"/>
        </w:rPr>
        <w:t xml:space="preserve"> up for </w:t>
      </w:r>
      <w:r w:rsidRPr="00182A1C">
        <w:rPr>
          <w:rFonts w:ascii="Arial" w:hAnsi="Arial" w:cs="Arial"/>
        </w:rPr>
        <w:t>the</w:t>
      </w:r>
      <w:r w:rsidRPr="00182A1C">
        <w:rPr>
          <w:rFonts w:ascii="Arial" w:hAnsi="Arial" w:cs="Arial"/>
        </w:rPr>
        <w:t xml:space="preserve"> virtual ward service, </w:t>
      </w:r>
      <w:r w:rsidRPr="00182A1C">
        <w:rPr>
          <w:rFonts w:ascii="Arial" w:hAnsi="Arial" w:cs="Arial"/>
        </w:rPr>
        <w:t>patients</w:t>
      </w:r>
      <w:r w:rsidRPr="00182A1C">
        <w:rPr>
          <w:rFonts w:ascii="Arial" w:hAnsi="Arial" w:cs="Arial"/>
        </w:rPr>
        <w:t xml:space="preserve"> will </w:t>
      </w:r>
      <w:r w:rsidRPr="00182A1C">
        <w:rPr>
          <w:rFonts w:ascii="Arial" w:hAnsi="Arial" w:cs="Arial"/>
        </w:rPr>
        <w:t xml:space="preserve">be </w:t>
      </w:r>
      <w:r w:rsidRPr="00182A1C">
        <w:rPr>
          <w:rFonts w:ascii="Arial" w:hAnsi="Arial" w:cs="Arial"/>
        </w:rPr>
        <w:t>ask</w:t>
      </w:r>
      <w:r w:rsidRPr="00182A1C">
        <w:rPr>
          <w:rFonts w:ascii="Arial" w:hAnsi="Arial" w:cs="Arial"/>
        </w:rPr>
        <w:t>ed</w:t>
      </w:r>
      <w:r w:rsidRPr="00182A1C">
        <w:rPr>
          <w:rFonts w:ascii="Arial" w:hAnsi="Arial" w:cs="Arial"/>
        </w:rPr>
        <w:t xml:space="preserve"> for explicit consent to receive marketing communications from </w:t>
      </w:r>
      <w:r w:rsidRPr="00182A1C">
        <w:rPr>
          <w:rFonts w:ascii="Arial" w:hAnsi="Arial" w:cs="Arial"/>
        </w:rPr>
        <w:t xml:space="preserve">the ward </w:t>
      </w:r>
      <w:r w:rsidRPr="00182A1C">
        <w:rPr>
          <w:rFonts w:ascii="Arial" w:hAnsi="Arial" w:cs="Arial"/>
        </w:rPr>
        <w:t xml:space="preserve">. </w:t>
      </w:r>
      <w:r w:rsidRPr="00182A1C">
        <w:rPr>
          <w:rFonts w:ascii="Arial" w:hAnsi="Arial" w:cs="Arial"/>
        </w:rPr>
        <w:t xml:space="preserve">Consent can be </w:t>
      </w:r>
      <w:r w:rsidRPr="00182A1C">
        <w:rPr>
          <w:rFonts w:ascii="Arial" w:hAnsi="Arial" w:cs="Arial"/>
        </w:rPr>
        <w:t>withdraw</w:t>
      </w:r>
      <w:r w:rsidRPr="00182A1C">
        <w:rPr>
          <w:rFonts w:ascii="Arial" w:hAnsi="Arial" w:cs="Arial"/>
        </w:rPr>
        <w:t xml:space="preserve"> </w:t>
      </w:r>
      <w:r w:rsidRPr="00182A1C">
        <w:rPr>
          <w:rFonts w:ascii="Arial" w:hAnsi="Arial" w:cs="Arial"/>
        </w:rPr>
        <w:t>at any time by following the opt-out instructions in our marketing emails or contacting us directly.</w:t>
      </w:r>
    </w:p>
    <w:p w14:paraId="02AE239F" w14:textId="77777777" w:rsidR="00DA5D9B" w:rsidRPr="00182A1C" w:rsidRDefault="00DA5D9B" w:rsidP="00DA5D9B">
      <w:pPr>
        <w:rPr>
          <w:rFonts w:ascii="Arial" w:hAnsi="Arial" w:cs="Arial"/>
        </w:rPr>
      </w:pPr>
      <w:r w:rsidRPr="00182A1C">
        <w:rPr>
          <w:rFonts w:ascii="Arial" w:hAnsi="Arial" w:cs="Arial"/>
        </w:rPr>
        <w:t>Opt-Out:</w:t>
      </w:r>
    </w:p>
    <w:p w14:paraId="6D993279" w14:textId="5E0664AF" w:rsidR="00DA5D9B" w:rsidRPr="00182A1C" w:rsidRDefault="00DA5D9B" w:rsidP="00DA5D9B">
      <w:pPr>
        <w:rPr>
          <w:rFonts w:ascii="Arial" w:hAnsi="Arial" w:cs="Arial"/>
        </w:rPr>
      </w:pPr>
      <w:r w:rsidRPr="00182A1C">
        <w:rPr>
          <w:rFonts w:ascii="Arial" w:hAnsi="Arial" w:cs="Arial"/>
        </w:rPr>
        <w:t xml:space="preserve">If </w:t>
      </w:r>
      <w:r w:rsidRPr="00182A1C">
        <w:rPr>
          <w:rFonts w:ascii="Arial" w:hAnsi="Arial" w:cs="Arial"/>
        </w:rPr>
        <w:t>the patients</w:t>
      </w:r>
      <w:r w:rsidRPr="00182A1C">
        <w:rPr>
          <w:rFonts w:ascii="Arial" w:hAnsi="Arial" w:cs="Arial"/>
        </w:rPr>
        <w:t xml:space="preserve"> no longer wish to receive marketing communications from </w:t>
      </w:r>
      <w:r w:rsidRPr="00182A1C">
        <w:rPr>
          <w:rFonts w:ascii="Arial" w:hAnsi="Arial" w:cs="Arial"/>
        </w:rPr>
        <w:t>the ward</w:t>
      </w:r>
      <w:r w:rsidRPr="00182A1C">
        <w:rPr>
          <w:rFonts w:ascii="Arial" w:hAnsi="Arial" w:cs="Arial"/>
        </w:rPr>
        <w:t xml:space="preserve">, </w:t>
      </w:r>
      <w:r w:rsidRPr="00182A1C">
        <w:rPr>
          <w:rFonts w:ascii="Arial" w:hAnsi="Arial" w:cs="Arial"/>
        </w:rPr>
        <w:t>they</w:t>
      </w:r>
      <w:r w:rsidRPr="00182A1C">
        <w:rPr>
          <w:rFonts w:ascii="Arial" w:hAnsi="Arial" w:cs="Arial"/>
        </w:rPr>
        <w:t xml:space="preserve"> can opt-out at any time. You can do this by following the opt-out instructions in our marketing emails or contacting us directly. Once opted out, </w:t>
      </w:r>
      <w:r w:rsidR="00783F56" w:rsidRPr="00182A1C">
        <w:rPr>
          <w:rFonts w:ascii="Arial" w:hAnsi="Arial" w:cs="Arial"/>
        </w:rPr>
        <w:t>the ward</w:t>
      </w:r>
      <w:r w:rsidRPr="00182A1C">
        <w:rPr>
          <w:rFonts w:ascii="Arial" w:hAnsi="Arial" w:cs="Arial"/>
        </w:rPr>
        <w:t xml:space="preserve"> will remove </w:t>
      </w:r>
      <w:r w:rsidR="00783F56" w:rsidRPr="00182A1C">
        <w:rPr>
          <w:rFonts w:ascii="Arial" w:hAnsi="Arial" w:cs="Arial"/>
        </w:rPr>
        <w:t>the patient</w:t>
      </w:r>
      <w:r w:rsidRPr="00182A1C">
        <w:rPr>
          <w:rFonts w:ascii="Arial" w:hAnsi="Arial" w:cs="Arial"/>
        </w:rPr>
        <w:t xml:space="preserve"> from </w:t>
      </w:r>
      <w:r w:rsidR="00783F56" w:rsidRPr="00182A1C">
        <w:rPr>
          <w:rFonts w:ascii="Arial" w:hAnsi="Arial" w:cs="Arial"/>
        </w:rPr>
        <w:t>the</w:t>
      </w:r>
      <w:r w:rsidRPr="00182A1C">
        <w:rPr>
          <w:rFonts w:ascii="Arial" w:hAnsi="Arial" w:cs="Arial"/>
        </w:rPr>
        <w:t xml:space="preserve"> marketing list and will no longer receive marketing communications from </w:t>
      </w:r>
      <w:r w:rsidR="00783F56" w:rsidRPr="00182A1C">
        <w:rPr>
          <w:rFonts w:ascii="Arial" w:hAnsi="Arial" w:cs="Arial"/>
        </w:rPr>
        <w:t>the ward</w:t>
      </w:r>
      <w:r w:rsidRPr="00182A1C">
        <w:rPr>
          <w:rFonts w:ascii="Arial" w:hAnsi="Arial" w:cs="Arial"/>
        </w:rPr>
        <w:t>.</w:t>
      </w:r>
    </w:p>
    <w:p w14:paraId="5E0339A0" w14:textId="056D99F1" w:rsidR="00DA5D9B" w:rsidRPr="00182A1C" w:rsidRDefault="00DA5D9B" w:rsidP="00DA5D9B">
      <w:pPr>
        <w:rPr>
          <w:rFonts w:ascii="Arial" w:hAnsi="Arial" w:cs="Arial"/>
        </w:rPr>
      </w:pPr>
      <w:r w:rsidRPr="00182A1C">
        <w:rPr>
          <w:rFonts w:ascii="Arial" w:hAnsi="Arial" w:cs="Arial"/>
        </w:rPr>
        <w:t>It is important to note that PECR only applies to electronic communications for the purpose of direct marketing. Other types of electronic communication, such as transactional emails, are exempt from PECR's consent and opt-out requirements. Additionally, PECR only applies to individuals and not to businesses.</w:t>
      </w:r>
    </w:p>
    <w:p w14:paraId="123E753C" w14:textId="01243772" w:rsidR="00DA5D9B" w:rsidRPr="00182A1C" w:rsidRDefault="00DA5D9B" w:rsidP="00AD022E">
      <w:pPr>
        <w:rPr>
          <w:rFonts w:ascii="Arial" w:hAnsi="Arial" w:cs="Arial"/>
        </w:rPr>
      </w:pPr>
    </w:p>
    <w:p w14:paraId="656FD02D" w14:textId="77777777" w:rsidR="00DA5D9B" w:rsidRPr="00182A1C" w:rsidRDefault="00DA5D9B" w:rsidP="00AD022E">
      <w:pPr>
        <w:rPr>
          <w:rFonts w:ascii="Arial" w:hAnsi="Arial" w:cs="Arial"/>
        </w:rPr>
      </w:pPr>
    </w:p>
    <w:p w14:paraId="7303D172" w14:textId="7486FB1F" w:rsidR="00C96E82" w:rsidRPr="00182A1C" w:rsidRDefault="00C96E82" w:rsidP="00AD022E">
      <w:pPr>
        <w:rPr>
          <w:rFonts w:ascii="Arial" w:hAnsi="Arial" w:cs="Arial"/>
        </w:rPr>
      </w:pPr>
    </w:p>
    <w:p w14:paraId="795CC613" w14:textId="7727C3CE" w:rsidR="00C96E82" w:rsidRPr="00182A1C" w:rsidRDefault="00C96E82" w:rsidP="00AD022E">
      <w:pPr>
        <w:rPr>
          <w:rFonts w:ascii="Arial" w:hAnsi="Arial" w:cs="Arial"/>
        </w:rPr>
      </w:pPr>
    </w:p>
    <w:p w14:paraId="4B8FAE3F" w14:textId="1A3092BD" w:rsidR="00C96E82" w:rsidRPr="00182A1C" w:rsidRDefault="00C96E82" w:rsidP="00AD022E">
      <w:pPr>
        <w:rPr>
          <w:rFonts w:ascii="Arial" w:hAnsi="Arial" w:cs="Arial"/>
        </w:rPr>
      </w:pPr>
      <w:r w:rsidRPr="00182A1C">
        <w:rPr>
          <w:rFonts w:ascii="Arial" w:hAnsi="Arial" w:cs="Arial"/>
        </w:rPr>
        <w:t>SECTION 3</w:t>
      </w:r>
    </w:p>
    <w:p w14:paraId="547A190D" w14:textId="6B1FF0FF" w:rsidR="00C96E82" w:rsidRPr="00182A1C" w:rsidRDefault="00C96E82" w:rsidP="00AD022E">
      <w:pPr>
        <w:rPr>
          <w:rFonts w:ascii="Arial" w:hAnsi="Arial" w:cs="Arial"/>
        </w:rPr>
      </w:pPr>
    </w:p>
    <w:p w14:paraId="436D4858" w14:textId="527D2C6A" w:rsidR="00C96E82" w:rsidRPr="00182A1C" w:rsidRDefault="00C96E82" w:rsidP="00AD022E">
      <w:pPr>
        <w:rPr>
          <w:rFonts w:ascii="Arial" w:hAnsi="Arial" w:cs="Arial"/>
        </w:rPr>
      </w:pPr>
    </w:p>
    <w:p w14:paraId="271DAD2F" w14:textId="401C60EF" w:rsidR="00C96E82" w:rsidRPr="00182A1C" w:rsidRDefault="00C96E82" w:rsidP="00B36FF5">
      <w:pPr>
        <w:pStyle w:val="Heading1"/>
        <w:rPr>
          <w:rFonts w:ascii="Arial" w:hAnsi="Arial" w:cs="Arial"/>
          <w:sz w:val="28"/>
          <w:szCs w:val="28"/>
        </w:rPr>
      </w:pPr>
      <w:bookmarkStart w:id="16" w:name="_Toc134089373"/>
      <w:r w:rsidRPr="00182A1C">
        <w:rPr>
          <w:rFonts w:ascii="Arial" w:hAnsi="Arial" w:cs="Arial"/>
          <w:sz w:val="28"/>
          <w:szCs w:val="28"/>
        </w:rPr>
        <w:t>Conclusion</w:t>
      </w:r>
      <w:bookmarkEnd w:id="16"/>
    </w:p>
    <w:p w14:paraId="1A06595B" w14:textId="65A633AD" w:rsidR="00883FD5" w:rsidRPr="00182A1C" w:rsidRDefault="00883FD5" w:rsidP="00AD022E">
      <w:pPr>
        <w:rPr>
          <w:rFonts w:ascii="Arial" w:hAnsi="Arial" w:cs="Arial"/>
        </w:rPr>
      </w:pPr>
    </w:p>
    <w:p w14:paraId="34195F4C" w14:textId="4C69AC38" w:rsidR="00783F56" w:rsidRPr="00182A1C" w:rsidRDefault="00783F56" w:rsidP="00AD022E">
      <w:pPr>
        <w:rPr>
          <w:rFonts w:ascii="Arial" w:hAnsi="Arial" w:cs="Arial"/>
        </w:rPr>
      </w:pPr>
    </w:p>
    <w:p w14:paraId="35A6EACE" w14:textId="77777777" w:rsidR="00783F56" w:rsidRPr="00182A1C" w:rsidRDefault="00783F56" w:rsidP="00783F56">
      <w:pPr>
        <w:rPr>
          <w:rFonts w:ascii="Arial" w:hAnsi="Arial" w:cs="Arial"/>
        </w:rPr>
      </w:pPr>
      <w:r w:rsidRPr="00182A1C">
        <w:rPr>
          <w:rFonts w:ascii="Arial" w:hAnsi="Arial" w:cs="Arial"/>
        </w:rPr>
        <w:t>Virtual wards represent a promising approach to providing healthcare services to patients in a convenient, accessible, and cost-effective manner. They offer numerous benefits, such as reducing hospital readmissions, improving patient outcomes, and providing more personalized care. However, virtual wards also face several challenges and limitations that must be carefully addressed to ensure their success.</w:t>
      </w:r>
    </w:p>
    <w:p w14:paraId="68564E73" w14:textId="77777777" w:rsidR="00783F56" w:rsidRPr="00182A1C" w:rsidRDefault="00783F56" w:rsidP="00783F56">
      <w:pPr>
        <w:rPr>
          <w:rFonts w:ascii="Arial" w:hAnsi="Arial" w:cs="Arial"/>
        </w:rPr>
      </w:pPr>
      <w:r w:rsidRPr="00182A1C">
        <w:rPr>
          <w:rFonts w:ascii="Arial" w:hAnsi="Arial" w:cs="Arial"/>
        </w:rPr>
        <w:t>One of the main challenges is ensuring patient privacy and data protection, which requires adherence to regulations such as GDPR and implementing appropriate cybersecurity measures. Another challenge is ensuring that virtual ward services are accessible to all patients, including those who may lack access to the necessary technology or who may have difficulty navigating virtual platforms.</w:t>
      </w:r>
    </w:p>
    <w:p w14:paraId="43160C39" w14:textId="77777777" w:rsidR="00783F56" w:rsidRPr="00182A1C" w:rsidRDefault="00783F56" w:rsidP="00783F56">
      <w:pPr>
        <w:rPr>
          <w:rFonts w:ascii="Arial" w:hAnsi="Arial" w:cs="Arial"/>
        </w:rPr>
      </w:pPr>
      <w:r w:rsidRPr="00182A1C">
        <w:rPr>
          <w:rFonts w:ascii="Arial" w:hAnsi="Arial" w:cs="Arial"/>
        </w:rPr>
        <w:t>In addition, virtual wards must address ethical concerns related to the use of technology in healthcare, such as ensuring that patients receive sufficient emotional support and addressing potential biases in algorithms and decision-making processes. Further research is needed to better understand these issues and to develop effective strategies for addressing them.</w:t>
      </w:r>
    </w:p>
    <w:p w14:paraId="0D00B05F" w14:textId="4138D59D" w:rsidR="00783F56" w:rsidRPr="00182A1C" w:rsidRDefault="00783F56" w:rsidP="00783F56">
      <w:pPr>
        <w:rPr>
          <w:rFonts w:ascii="Arial" w:hAnsi="Arial" w:cs="Arial"/>
        </w:rPr>
      </w:pPr>
      <w:r w:rsidRPr="00182A1C">
        <w:rPr>
          <w:rFonts w:ascii="Arial" w:hAnsi="Arial" w:cs="Arial"/>
        </w:rPr>
        <w:t>Overall, virtual wards have the potential to significantly improve healthcare delivery and outcomes, but their implementation requires careful consideration of the challenges and limitations associated with this approach. As virtual healthcare continues to evolve and expand, it will be important to maintain a critical and thoughtful approach to ensure that it remains safe, effective, and equitable for all patients.</w:t>
      </w:r>
    </w:p>
    <w:p w14:paraId="3C67AF5E" w14:textId="70BF7FFD" w:rsidR="00783F56" w:rsidRPr="00182A1C" w:rsidRDefault="00783F56" w:rsidP="00783F56">
      <w:pPr>
        <w:rPr>
          <w:rFonts w:ascii="Arial" w:hAnsi="Arial" w:cs="Arial"/>
        </w:rPr>
      </w:pPr>
    </w:p>
    <w:p w14:paraId="7D9DFAC0" w14:textId="30A9A30B" w:rsidR="00783F56" w:rsidRPr="00182A1C" w:rsidRDefault="00783F56" w:rsidP="00783F56">
      <w:pPr>
        <w:rPr>
          <w:rFonts w:ascii="Arial" w:hAnsi="Arial" w:cs="Arial"/>
        </w:rPr>
      </w:pPr>
    </w:p>
    <w:p w14:paraId="76E0AA3E" w14:textId="3790CE50" w:rsidR="00783F56" w:rsidRPr="00182A1C" w:rsidRDefault="00783F56" w:rsidP="00B36FF5">
      <w:pPr>
        <w:pStyle w:val="Heading1"/>
        <w:rPr>
          <w:rFonts w:ascii="Arial" w:hAnsi="Arial" w:cs="Arial"/>
          <w:sz w:val="28"/>
          <w:szCs w:val="28"/>
        </w:rPr>
      </w:pPr>
      <w:bookmarkStart w:id="17" w:name="_Toc134089374"/>
      <w:r w:rsidRPr="00182A1C">
        <w:rPr>
          <w:rFonts w:ascii="Arial" w:hAnsi="Arial" w:cs="Arial"/>
          <w:sz w:val="28"/>
          <w:szCs w:val="28"/>
        </w:rPr>
        <w:t>Recommendations</w:t>
      </w:r>
      <w:bookmarkEnd w:id="17"/>
      <w:r w:rsidRPr="00182A1C">
        <w:rPr>
          <w:rFonts w:ascii="Arial" w:hAnsi="Arial" w:cs="Arial"/>
          <w:sz w:val="28"/>
          <w:szCs w:val="28"/>
        </w:rPr>
        <w:t xml:space="preserve"> </w:t>
      </w:r>
    </w:p>
    <w:p w14:paraId="49479CB7" w14:textId="5B540786" w:rsidR="00783F56" w:rsidRPr="00182A1C" w:rsidRDefault="00783F56" w:rsidP="00783F56">
      <w:pPr>
        <w:rPr>
          <w:rFonts w:ascii="Arial" w:hAnsi="Arial" w:cs="Arial"/>
        </w:rPr>
      </w:pPr>
    </w:p>
    <w:p w14:paraId="4522F8C7" w14:textId="77777777" w:rsidR="00783F56" w:rsidRPr="00182A1C" w:rsidRDefault="00783F56" w:rsidP="00783F56">
      <w:pPr>
        <w:rPr>
          <w:rFonts w:ascii="Arial" w:hAnsi="Arial" w:cs="Arial"/>
        </w:rPr>
      </w:pPr>
      <w:r w:rsidRPr="00182A1C">
        <w:rPr>
          <w:rFonts w:ascii="Arial" w:hAnsi="Arial" w:cs="Arial"/>
        </w:rPr>
        <w:t>Based on the findings discussed in this paper, here are some additional recommendations for implementing a successful virtual ward project:</w:t>
      </w:r>
    </w:p>
    <w:p w14:paraId="72CF0531" w14:textId="77777777" w:rsidR="00783F56" w:rsidRPr="00182A1C" w:rsidRDefault="00783F56" w:rsidP="00783F56">
      <w:pPr>
        <w:rPr>
          <w:rFonts w:ascii="Arial" w:hAnsi="Arial" w:cs="Arial"/>
        </w:rPr>
      </w:pPr>
      <w:r w:rsidRPr="00182A1C">
        <w:rPr>
          <w:rFonts w:ascii="Arial" w:hAnsi="Arial" w:cs="Arial"/>
        </w:rPr>
        <w:t>Conduct a thorough needs assessment: Before launching a virtual ward project, conduct a comprehensive needs assessment to determine the specific healthcare needs of the target population. This will help ensure that the virtual ward services are designed to meet the unique needs and preferences of patients.</w:t>
      </w:r>
    </w:p>
    <w:p w14:paraId="2913C746" w14:textId="77777777" w:rsidR="00783F56" w:rsidRPr="00182A1C" w:rsidRDefault="00783F56" w:rsidP="00783F56">
      <w:pPr>
        <w:rPr>
          <w:rFonts w:ascii="Arial" w:hAnsi="Arial" w:cs="Arial"/>
        </w:rPr>
      </w:pPr>
      <w:r w:rsidRPr="00182A1C">
        <w:rPr>
          <w:rFonts w:ascii="Arial" w:hAnsi="Arial" w:cs="Arial"/>
        </w:rPr>
        <w:t>Develop clear communication strategies: Develop clear and effective communication strategies to ensure that patients are aware of the virtual ward services and how to access them. Consider using a variety of communication channels, such as social media, email, and phone calls, to reach patients.</w:t>
      </w:r>
    </w:p>
    <w:p w14:paraId="38451869" w14:textId="77777777" w:rsidR="00783F56" w:rsidRPr="00182A1C" w:rsidRDefault="00783F56" w:rsidP="00783F56">
      <w:pPr>
        <w:rPr>
          <w:rFonts w:ascii="Arial" w:hAnsi="Arial" w:cs="Arial"/>
        </w:rPr>
      </w:pPr>
      <w:r w:rsidRPr="00182A1C">
        <w:rPr>
          <w:rFonts w:ascii="Arial" w:hAnsi="Arial" w:cs="Arial"/>
        </w:rPr>
        <w:t>Ensure proper training and support: Provide proper training and support for healthcare providers who will be involved in the virtual ward project. This may include training on virtual care technologies, data privacy regulations, and patient communication strategies.</w:t>
      </w:r>
    </w:p>
    <w:p w14:paraId="49322AAC" w14:textId="77777777" w:rsidR="00783F56" w:rsidRPr="00182A1C" w:rsidRDefault="00783F56" w:rsidP="00783F56">
      <w:pPr>
        <w:rPr>
          <w:rFonts w:ascii="Arial" w:hAnsi="Arial" w:cs="Arial"/>
        </w:rPr>
      </w:pPr>
      <w:r w:rsidRPr="00182A1C">
        <w:rPr>
          <w:rFonts w:ascii="Arial" w:hAnsi="Arial" w:cs="Arial"/>
        </w:rPr>
        <w:t>Leverage technology to improve patient outcomes: Use technology, such as remote patient monitoring devices and machine learning algorithms, to improve patient outcomes and reduce healthcare costs. However, it is important to ensure that technology is used in an ethical and responsible manner, and that patients are fully informed about how their data is being used.</w:t>
      </w:r>
    </w:p>
    <w:p w14:paraId="0918B4EB" w14:textId="77777777" w:rsidR="00783F56" w:rsidRPr="00182A1C" w:rsidRDefault="00783F56" w:rsidP="00783F56">
      <w:pPr>
        <w:rPr>
          <w:rFonts w:ascii="Arial" w:hAnsi="Arial" w:cs="Arial"/>
        </w:rPr>
      </w:pPr>
      <w:r w:rsidRPr="00182A1C">
        <w:rPr>
          <w:rFonts w:ascii="Arial" w:hAnsi="Arial" w:cs="Arial"/>
        </w:rPr>
        <w:t>Engage in ongoing evaluation and improvement: Regularly evaluate the effectiveness of the virtual ward project and make necessary improvements and adjustments. This may include evaluating patient outcomes, patient satisfaction, and healthcare costs.</w:t>
      </w:r>
    </w:p>
    <w:p w14:paraId="41B180DD" w14:textId="5DB713A7" w:rsidR="00783F56" w:rsidRPr="00182A1C" w:rsidRDefault="00783F56" w:rsidP="00783F56">
      <w:pPr>
        <w:rPr>
          <w:rFonts w:ascii="Arial" w:hAnsi="Arial" w:cs="Arial"/>
        </w:rPr>
      </w:pPr>
      <w:r w:rsidRPr="00182A1C">
        <w:rPr>
          <w:rFonts w:ascii="Arial" w:hAnsi="Arial" w:cs="Arial"/>
        </w:rPr>
        <w:t>By implementing these recommendations, a virtual ward project can provide high-quality, patient-</w:t>
      </w:r>
      <w:r w:rsidR="00E02C9B" w:rsidRPr="00182A1C">
        <w:rPr>
          <w:rFonts w:ascii="Arial" w:hAnsi="Arial" w:cs="Arial"/>
        </w:rPr>
        <w:t>centred</w:t>
      </w:r>
      <w:r w:rsidRPr="00182A1C">
        <w:rPr>
          <w:rFonts w:ascii="Arial" w:hAnsi="Arial" w:cs="Arial"/>
        </w:rPr>
        <w:t>, and cost-effective healthcare services that meet the unique needs of the target population.</w:t>
      </w:r>
    </w:p>
    <w:p w14:paraId="655AB395" w14:textId="63A84347" w:rsidR="00883FD5" w:rsidRPr="00182A1C" w:rsidRDefault="00883FD5" w:rsidP="00AD022E">
      <w:pPr>
        <w:rPr>
          <w:rFonts w:ascii="Arial" w:hAnsi="Arial" w:cs="Arial"/>
        </w:rPr>
      </w:pPr>
    </w:p>
    <w:p w14:paraId="4929F287" w14:textId="694A08EC" w:rsidR="00883FD5" w:rsidRPr="00182A1C" w:rsidRDefault="00883FD5" w:rsidP="00AD022E">
      <w:pPr>
        <w:rPr>
          <w:rFonts w:ascii="Arial" w:hAnsi="Arial" w:cs="Arial"/>
        </w:rPr>
      </w:pPr>
    </w:p>
    <w:p w14:paraId="58452471" w14:textId="6F93F3AA" w:rsidR="00883FD5" w:rsidRPr="00182A1C" w:rsidRDefault="00883FD5" w:rsidP="00AD022E">
      <w:pPr>
        <w:rPr>
          <w:rFonts w:ascii="Arial" w:hAnsi="Arial" w:cs="Arial"/>
        </w:rPr>
      </w:pPr>
    </w:p>
    <w:p w14:paraId="19F7C130" w14:textId="50BB0ECD" w:rsidR="00883FD5" w:rsidRPr="00182A1C" w:rsidRDefault="00883FD5" w:rsidP="00AD022E">
      <w:pPr>
        <w:rPr>
          <w:rFonts w:ascii="Arial" w:hAnsi="Arial" w:cs="Arial"/>
        </w:rPr>
      </w:pPr>
    </w:p>
    <w:p w14:paraId="3333A970" w14:textId="5FF7F4CB" w:rsidR="00883FD5" w:rsidRPr="00182A1C" w:rsidRDefault="00883FD5" w:rsidP="00AD022E">
      <w:pPr>
        <w:rPr>
          <w:rFonts w:ascii="Arial" w:hAnsi="Arial" w:cs="Arial"/>
        </w:rPr>
      </w:pPr>
    </w:p>
    <w:p w14:paraId="4676F80C" w14:textId="7AD72B08" w:rsidR="00883FD5" w:rsidRPr="00182A1C" w:rsidRDefault="00FD3B97" w:rsidP="00AD022E">
      <w:pPr>
        <w:rPr>
          <w:rFonts w:ascii="Arial" w:hAnsi="Arial" w:cs="Arial"/>
        </w:rPr>
      </w:pPr>
      <w:r w:rsidRPr="00182A1C">
        <w:rPr>
          <w:rFonts w:ascii="Arial" w:hAnsi="Arial" w:cs="Arial"/>
        </w:rPr>
        <w:t>References</w:t>
      </w:r>
    </w:p>
    <w:p w14:paraId="63FB718E" w14:textId="697AEA9A" w:rsidR="00FD3B97" w:rsidRPr="00182A1C" w:rsidRDefault="00FD3B97" w:rsidP="00AD022E">
      <w:pPr>
        <w:rPr>
          <w:rFonts w:ascii="Arial" w:hAnsi="Arial" w:cs="Arial"/>
        </w:rPr>
      </w:pPr>
    </w:p>
    <w:p w14:paraId="2B86FF5F" w14:textId="74FFA8CA" w:rsidR="00B36FF5" w:rsidRPr="00182A1C" w:rsidRDefault="00B36FF5" w:rsidP="00AD022E">
      <w:pPr>
        <w:rPr>
          <w:rFonts w:ascii="Arial" w:hAnsi="Arial" w:cs="Arial"/>
        </w:rPr>
      </w:pPr>
    </w:p>
    <w:p w14:paraId="483FC4BC"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Reference list</w:t>
      </w:r>
    </w:p>
    <w:p w14:paraId="516B4B98"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Batty, D. (2023). England’s worsening care shortages leave older people struggling – Age UK. </w:t>
      </w:r>
      <w:r w:rsidRPr="00182A1C">
        <w:rPr>
          <w:rFonts w:ascii="Arial" w:hAnsi="Arial" w:cs="Arial"/>
          <w:i/>
          <w:iCs/>
          <w:sz w:val="22"/>
          <w:szCs w:val="22"/>
        </w:rPr>
        <w:t>The Guardian</w:t>
      </w:r>
      <w:r w:rsidRPr="00182A1C">
        <w:rPr>
          <w:rFonts w:ascii="Arial" w:hAnsi="Arial" w:cs="Arial"/>
          <w:sz w:val="22"/>
          <w:szCs w:val="22"/>
        </w:rPr>
        <w:t>. [online] 17 Feb. Available at: https://www.theguardian.com/society/2023/feb/17/england-care-shortages-older-people-age-uk-report.</w:t>
      </w:r>
    </w:p>
    <w:p w14:paraId="1C3FE442"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Cooper, H. and </w:t>
      </w:r>
      <w:proofErr w:type="spellStart"/>
      <w:r w:rsidRPr="00182A1C">
        <w:rPr>
          <w:rFonts w:ascii="Arial" w:hAnsi="Arial" w:cs="Arial"/>
          <w:sz w:val="22"/>
          <w:szCs w:val="22"/>
        </w:rPr>
        <w:t>Szreter</w:t>
      </w:r>
      <w:proofErr w:type="spellEnd"/>
      <w:r w:rsidRPr="00182A1C">
        <w:rPr>
          <w:rFonts w:ascii="Arial" w:hAnsi="Arial" w:cs="Arial"/>
          <w:sz w:val="22"/>
          <w:szCs w:val="22"/>
        </w:rPr>
        <w:t xml:space="preserve">, S. (2021). </w:t>
      </w:r>
      <w:r w:rsidRPr="00182A1C">
        <w:rPr>
          <w:rFonts w:ascii="Arial" w:hAnsi="Arial" w:cs="Arial"/>
          <w:i/>
          <w:iCs/>
          <w:sz w:val="22"/>
          <w:szCs w:val="22"/>
        </w:rPr>
        <w:t>After the virus : lessons from the past for a better future</w:t>
      </w:r>
      <w:r w:rsidRPr="00182A1C">
        <w:rPr>
          <w:rFonts w:ascii="Arial" w:hAnsi="Arial" w:cs="Arial"/>
          <w:sz w:val="22"/>
          <w:szCs w:val="22"/>
        </w:rPr>
        <w:t>. Cambridge, United Kingdom ; New York, Ny: Cambridge University Press.</w:t>
      </w:r>
    </w:p>
    <w:p w14:paraId="5A2469E1" w14:textId="41515EA0" w:rsidR="00B36FF5" w:rsidRPr="00182A1C" w:rsidRDefault="00B36FF5" w:rsidP="00B36FF5">
      <w:pPr>
        <w:pStyle w:val="NormalWeb"/>
        <w:spacing w:before="0" w:beforeAutospacing="0" w:after="240" w:afterAutospacing="0" w:line="360" w:lineRule="auto"/>
        <w:rPr>
          <w:rFonts w:ascii="Arial" w:hAnsi="Arial" w:cs="Arial"/>
          <w:sz w:val="22"/>
          <w:szCs w:val="22"/>
        </w:rPr>
      </w:pPr>
      <w:proofErr w:type="spellStart"/>
      <w:r w:rsidRPr="00182A1C">
        <w:rPr>
          <w:rFonts w:ascii="Arial" w:hAnsi="Arial" w:cs="Arial"/>
          <w:sz w:val="22"/>
          <w:szCs w:val="22"/>
        </w:rPr>
        <w:t>Creaven</w:t>
      </w:r>
      <w:proofErr w:type="spellEnd"/>
      <w:r w:rsidRPr="00182A1C">
        <w:rPr>
          <w:rFonts w:ascii="Arial" w:hAnsi="Arial" w:cs="Arial"/>
          <w:sz w:val="22"/>
          <w:szCs w:val="22"/>
        </w:rPr>
        <w:t xml:space="preserve">, S. (2023). </w:t>
      </w:r>
      <w:r w:rsidRPr="00182A1C">
        <w:rPr>
          <w:rFonts w:ascii="Arial" w:hAnsi="Arial" w:cs="Arial"/>
          <w:i/>
          <w:iCs/>
          <w:sz w:val="22"/>
          <w:szCs w:val="22"/>
        </w:rPr>
        <w:t>The Pandemic in Britain</w:t>
      </w:r>
      <w:r w:rsidRPr="00182A1C">
        <w:rPr>
          <w:rFonts w:ascii="Arial" w:hAnsi="Arial" w:cs="Arial"/>
          <w:sz w:val="22"/>
          <w:szCs w:val="22"/>
        </w:rPr>
        <w:t>. Taylor &amp; Francis.</w:t>
      </w:r>
    </w:p>
    <w:p w14:paraId="69A7E655" w14:textId="65A4ADE8"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European Observatory on Health Systems and Policies, 2018</w:t>
      </w:r>
    </w:p>
    <w:p w14:paraId="41FEB587"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proofErr w:type="spellStart"/>
      <w:r w:rsidRPr="00182A1C">
        <w:rPr>
          <w:rFonts w:ascii="Arial" w:hAnsi="Arial" w:cs="Arial"/>
          <w:sz w:val="22"/>
          <w:szCs w:val="22"/>
        </w:rPr>
        <w:t>Ewbank</w:t>
      </w:r>
      <w:proofErr w:type="spellEnd"/>
      <w:r w:rsidRPr="00182A1C">
        <w:rPr>
          <w:rFonts w:ascii="Arial" w:hAnsi="Arial" w:cs="Arial"/>
          <w:sz w:val="22"/>
          <w:szCs w:val="22"/>
        </w:rPr>
        <w:t xml:space="preserve">, L., Thompson, J., McKenna, H., </w:t>
      </w:r>
      <w:proofErr w:type="spellStart"/>
      <w:r w:rsidRPr="00182A1C">
        <w:rPr>
          <w:rFonts w:ascii="Arial" w:hAnsi="Arial" w:cs="Arial"/>
          <w:sz w:val="22"/>
          <w:szCs w:val="22"/>
        </w:rPr>
        <w:t>Anandaciva</w:t>
      </w:r>
      <w:proofErr w:type="spellEnd"/>
      <w:r w:rsidRPr="00182A1C">
        <w:rPr>
          <w:rFonts w:ascii="Arial" w:hAnsi="Arial" w:cs="Arial"/>
          <w:sz w:val="22"/>
          <w:szCs w:val="22"/>
        </w:rPr>
        <w:t xml:space="preserve">, S. and Ward, D. (2021). </w:t>
      </w:r>
      <w:r w:rsidRPr="00182A1C">
        <w:rPr>
          <w:rFonts w:ascii="Arial" w:hAnsi="Arial" w:cs="Arial"/>
          <w:i/>
          <w:iCs/>
          <w:sz w:val="22"/>
          <w:szCs w:val="22"/>
        </w:rPr>
        <w:t>NHS Hospital Bed Numbers past, present, Future</w:t>
      </w:r>
      <w:r w:rsidRPr="00182A1C">
        <w:rPr>
          <w:rFonts w:ascii="Arial" w:hAnsi="Arial" w:cs="Arial"/>
          <w:sz w:val="22"/>
          <w:szCs w:val="22"/>
        </w:rPr>
        <w:t>. [online] The King’s Fund. Available at: https://www.kingsfund.org.uk/publications/nhs-hospital-bed-numbers.</w:t>
      </w:r>
    </w:p>
    <w:p w14:paraId="6386DF3F"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Kline, R. and Lewis, D. (2018). The price of fear: Estimating the financial cost of bullying and harassment to the NHS in England. </w:t>
      </w:r>
      <w:r w:rsidRPr="00182A1C">
        <w:rPr>
          <w:rFonts w:ascii="Arial" w:hAnsi="Arial" w:cs="Arial"/>
          <w:i/>
          <w:iCs/>
          <w:sz w:val="22"/>
          <w:szCs w:val="22"/>
        </w:rPr>
        <w:t>Public Money &amp; Management</w:t>
      </w:r>
      <w:r w:rsidRPr="00182A1C">
        <w:rPr>
          <w:rFonts w:ascii="Arial" w:hAnsi="Arial" w:cs="Arial"/>
          <w:sz w:val="22"/>
          <w:szCs w:val="22"/>
        </w:rPr>
        <w:t xml:space="preserve">, 39(3), pp.166–174. </w:t>
      </w:r>
      <w:proofErr w:type="spellStart"/>
      <w:r w:rsidRPr="00182A1C">
        <w:rPr>
          <w:rFonts w:ascii="Arial" w:hAnsi="Arial" w:cs="Arial"/>
          <w:sz w:val="22"/>
          <w:szCs w:val="22"/>
        </w:rPr>
        <w:t>doi:https</w:t>
      </w:r>
      <w:proofErr w:type="spellEnd"/>
      <w:r w:rsidRPr="00182A1C">
        <w:rPr>
          <w:rFonts w:ascii="Arial" w:hAnsi="Arial" w:cs="Arial"/>
          <w:sz w:val="22"/>
          <w:szCs w:val="22"/>
        </w:rPr>
        <w:t>://doi.org/10.1080/09540962.2018.1535044.</w:t>
      </w:r>
    </w:p>
    <w:p w14:paraId="482F609C"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Luca </w:t>
      </w:r>
      <w:proofErr w:type="spellStart"/>
      <w:r w:rsidRPr="00182A1C">
        <w:rPr>
          <w:rFonts w:ascii="Arial" w:hAnsi="Arial" w:cs="Arial"/>
          <w:sz w:val="22"/>
          <w:szCs w:val="22"/>
        </w:rPr>
        <w:t>Mavelli</w:t>
      </w:r>
      <w:proofErr w:type="spellEnd"/>
      <w:r w:rsidRPr="00182A1C">
        <w:rPr>
          <w:rFonts w:ascii="Arial" w:hAnsi="Arial" w:cs="Arial"/>
          <w:sz w:val="22"/>
          <w:szCs w:val="22"/>
        </w:rPr>
        <w:t xml:space="preserve"> (2022). </w:t>
      </w:r>
      <w:r w:rsidRPr="00182A1C">
        <w:rPr>
          <w:rFonts w:ascii="Arial" w:hAnsi="Arial" w:cs="Arial"/>
          <w:i/>
          <w:iCs/>
          <w:sz w:val="22"/>
          <w:szCs w:val="22"/>
        </w:rPr>
        <w:t>NEOLIBERAL CITIZENSHIP : sacred markets, sacrificial lives.</w:t>
      </w:r>
      <w:r w:rsidRPr="00182A1C">
        <w:rPr>
          <w:rFonts w:ascii="Arial" w:hAnsi="Arial" w:cs="Arial"/>
          <w:sz w:val="22"/>
          <w:szCs w:val="22"/>
        </w:rPr>
        <w:t xml:space="preserve"> S.L.: Oxford </w:t>
      </w:r>
      <w:proofErr w:type="spellStart"/>
      <w:r w:rsidRPr="00182A1C">
        <w:rPr>
          <w:rFonts w:ascii="Arial" w:hAnsi="Arial" w:cs="Arial"/>
          <w:sz w:val="22"/>
          <w:szCs w:val="22"/>
        </w:rPr>
        <w:t>Univ</w:t>
      </w:r>
      <w:proofErr w:type="spellEnd"/>
      <w:r w:rsidRPr="00182A1C">
        <w:rPr>
          <w:rFonts w:ascii="Arial" w:hAnsi="Arial" w:cs="Arial"/>
          <w:sz w:val="22"/>
          <w:szCs w:val="22"/>
        </w:rPr>
        <w:t xml:space="preserve"> Press.</w:t>
      </w:r>
    </w:p>
    <w:p w14:paraId="5C9A09A7"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Stubblefield, W.B., Feldstein, L.R., </w:t>
      </w:r>
      <w:proofErr w:type="spellStart"/>
      <w:r w:rsidRPr="00182A1C">
        <w:rPr>
          <w:rFonts w:ascii="Arial" w:hAnsi="Arial" w:cs="Arial"/>
          <w:sz w:val="22"/>
          <w:szCs w:val="22"/>
        </w:rPr>
        <w:t>Steingrub</w:t>
      </w:r>
      <w:proofErr w:type="spellEnd"/>
      <w:r w:rsidRPr="00182A1C">
        <w:rPr>
          <w:rFonts w:ascii="Arial" w:hAnsi="Arial" w:cs="Arial"/>
          <w:sz w:val="22"/>
          <w:szCs w:val="22"/>
        </w:rPr>
        <w:t xml:space="preserve">, J.S., Shapiro, N.I., Brown, S.M., </w:t>
      </w:r>
      <w:proofErr w:type="spellStart"/>
      <w:r w:rsidRPr="00182A1C">
        <w:rPr>
          <w:rFonts w:ascii="Arial" w:hAnsi="Arial" w:cs="Arial"/>
          <w:sz w:val="22"/>
          <w:szCs w:val="22"/>
        </w:rPr>
        <w:t>Peltan</w:t>
      </w:r>
      <w:proofErr w:type="spellEnd"/>
      <w:r w:rsidRPr="00182A1C">
        <w:rPr>
          <w:rFonts w:ascii="Arial" w:hAnsi="Arial" w:cs="Arial"/>
          <w:sz w:val="22"/>
          <w:szCs w:val="22"/>
        </w:rPr>
        <w:t xml:space="preserve">, I.D., Gong, M.N., </w:t>
      </w:r>
      <w:proofErr w:type="spellStart"/>
      <w:r w:rsidRPr="00182A1C">
        <w:rPr>
          <w:rFonts w:ascii="Arial" w:hAnsi="Arial" w:cs="Arial"/>
          <w:sz w:val="22"/>
          <w:szCs w:val="22"/>
        </w:rPr>
        <w:t>Aboodi</w:t>
      </w:r>
      <w:proofErr w:type="spellEnd"/>
      <w:r w:rsidRPr="00182A1C">
        <w:rPr>
          <w:rFonts w:ascii="Arial" w:hAnsi="Arial" w:cs="Arial"/>
          <w:sz w:val="22"/>
          <w:szCs w:val="22"/>
        </w:rPr>
        <w:t xml:space="preserve">, M.S., Gibbs, K.W. and Lindsell, C.J. (2020). </w:t>
      </w:r>
      <w:r w:rsidRPr="00182A1C">
        <w:rPr>
          <w:rFonts w:ascii="Arial" w:hAnsi="Arial" w:cs="Arial"/>
          <w:i/>
          <w:iCs/>
          <w:sz w:val="22"/>
          <w:szCs w:val="22"/>
        </w:rPr>
        <w:t>Decline in SARS-CoV-2 Antibodies After Mild Infection Among Frontline Health Care Personnel in a Multistate Hospital Network — 12 States, April–August 2020</w:t>
      </w:r>
      <w:r w:rsidRPr="00182A1C">
        <w:rPr>
          <w:rFonts w:ascii="Arial" w:hAnsi="Arial" w:cs="Arial"/>
          <w:sz w:val="22"/>
          <w:szCs w:val="22"/>
        </w:rPr>
        <w:t xml:space="preserve">. Atlanta: U.S. </w:t>
      </w:r>
      <w:proofErr w:type="spellStart"/>
      <w:r w:rsidRPr="00182A1C">
        <w:rPr>
          <w:rFonts w:ascii="Arial" w:hAnsi="Arial" w:cs="Arial"/>
          <w:sz w:val="22"/>
          <w:szCs w:val="22"/>
        </w:rPr>
        <w:t>Center</w:t>
      </w:r>
      <w:proofErr w:type="spellEnd"/>
      <w:r w:rsidRPr="00182A1C">
        <w:rPr>
          <w:rFonts w:ascii="Arial" w:hAnsi="Arial" w:cs="Arial"/>
          <w:sz w:val="22"/>
          <w:szCs w:val="22"/>
        </w:rPr>
        <w:t xml:space="preserve"> for Disease Control.</w:t>
      </w:r>
    </w:p>
    <w:p w14:paraId="1C71225D"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World Health Organization. Regional Office for Europe (2018). Organization and financing of public health services in Europe: country reports. </w:t>
      </w:r>
      <w:r w:rsidRPr="00182A1C">
        <w:rPr>
          <w:rFonts w:ascii="Arial" w:hAnsi="Arial" w:cs="Arial"/>
          <w:i/>
          <w:iCs/>
          <w:sz w:val="22"/>
          <w:szCs w:val="22"/>
        </w:rPr>
        <w:t>Who.int</w:t>
      </w:r>
      <w:r w:rsidRPr="00182A1C">
        <w:rPr>
          <w:rFonts w:ascii="Arial" w:hAnsi="Arial" w:cs="Arial"/>
          <w:sz w:val="22"/>
          <w:szCs w:val="22"/>
        </w:rPr>
        <w:t xml:space="preserve">. [online] </w:t>
      </w:r>
      <w:proofErr w:type="spellStart"/>
      <w:r w:rsidRPr="00182A1C">
        <w:rPr>
          <w:rFonts w:ascii="Arial" w:hAnsi="Arial" w:cs="Arial"/>
          <w:sz w:val="22"/>
          <w:szCs w:val="22"/>
        </w:rPr>
        <w:t>doi:https</w:t>
      </w:r>
      <w:proofErr w:type="spellEnd"/>
      <w:r w:rsidRPr="00182A1C">
        <w:rPr>
          <w:rFonts w:ascii="Arial" w:hAnsi="Arial" w:cs="Arial"/>
          <w:sz w:val="22"/>
          <w:szCs w:val="22"/>
        </w:rPr>
        <w:t>://doi.org/9789289051705.</w:t>
      </w:r>
    </w:p>
    <w:p w14:paraId="3B400355" w14:textId="77777777" w:rsidR="00B36FF5" w:rsidRPr="00182A1C" w:rsidRDefault="00B36FF5" w:rsidP="00B36FF5">
      <w:pPr>
        <w:pStyle w:val="NormalWeb"/>
        <w:spacing w:before="0" w:beforeAutospacing="0" w:after="240" w:afterAutospacing="0" w:line="360" w:lineRule="auto"/>
        <w:rPr>
          <w:rFonts w:ascii="Arial" w:hAnsi="Arial" w:cs="Arial"/>
          <w:sz w:val="22"/>
          <w:szCs w:val="22"/>
        </w:rPr>
      </w:pPr>
      <w:r w:rsidRPr="00182A1C">
        <w:rPr>
          <w:rFonts w:ascii="Arial" w:hAnsi="Arial" w:cs="Arial"/>
          <w:sz w:val="22"/>
          <w:szCs w:val="22"/>
        </w:rPr>
        <w:t xml:space="preserve">www.cqc.org.uk. (n.d.). </w:t>
      </w:r>
      <w:r w:rsidRPr="00182A1C">
        <w:rPr>
          <w:rFonts w:ascii="Arial" w:hAnsi="Arial" w:cs="Arial"/>
          <w:i/>
          <w:iCs/>
          <w:sz w:val="22"/>
          <w:szCs w:val="22"/>
        </w:rPr>
        <w:t>Gridlocked health and care system leading to deterioration in people’s access to and experience of care - Care Quality Commission</w:t>
      </w:r>
      <w:r w:rsidRPr="00182A1C">
        <w:rPr>
          <w:rFonts w:ascii="Arial" w:hAnsi="Arial" w:cs="Arial"/>
          <w:sz w:val="22"/>
          <w:szCs w:val="22"/>
        </w:rPr>
        <w:t>. [online] Available at: https://www.cqc.org.uk/press-release/gridlocked-health-and-care-system-leading-deterioration-peoples-access-and-experience.</w:t>
      </w:r>
    </w:p>
    <w:p w14:paraId="0EFB3FF4" w14:textId="77777777" w:rsidR="00B36FF5" w:rsidRPr="00182A1C" w:rsidRDefault="00B36FF5" w:rsidP="00AD022E">
      <w:pPr>
        <w:rPr>
          <w:rFonts w:ascii="Arial" w:hAnsi="Arial" w:cs="Arial"/>
        </w:rPr>
      </w:pPr>
    </w:p>
    <w:p w14:paraId="4BA5868B" w14:textId="77777777" w:rsidR="00883FD5" w:rsidRPr="00182A1C" w:rsidRDefault="00883FD5" w:rsidP="00AD022E">
      <w:pPr>
        <w:rPr>
          <w:rFonts w:ascii="Arial" w:hAnsi="Arial" w:cs="Arial"/>
        </w:rPr>
      </w:pPr>
    </w:p>
    <w:p w14:paraId="0C66BA61" w14:textId="5C08CDD0" w:rsidR="00883FD5" w:rsidRPr="00182A1C" w:rsidRDefault="00883FD5" w:rsidP="00AD022E">
      <w:pPr>
        <w:rPr>
          <w:rFonts w:ascii="Arial" w:hAnsi="Arial" w:cs="Arial"/>
        </w:rPr>
      </w:pPr>
    </w:p>
    <w:p w14:paraId="58CC95B4" w14:textId="3B97FEDF" w:rsidR="00883FD5" w:rsidRPr="00182A1C" w:rsidRDefault="00883FD5" w:rsidP="00AD022E">
      <w:pPr>
        <w:rPr>
          <w:rFonts w:ascii="Arial" w:hAnsi="Arial" w:cs="Arial"/>
        </w:rPr>
      </w:pPr>
    </w:p>
    <w:p w14:paraId="51197ABE" w14:textId="59869AAC" w:rsidR="00883FD5" w:rsidRPr="00182A1C" w:rsidRDefault="00883FD5" w:rsidP="00AD022E">
      <w:pPr>
        <w:rPr>
          <w:rFonts w:ascii="Arial" w:hAnsi="Arial" w:cs="Arial"/>
        </w:rPr>
      </w:pPr>
    </w:p>
    <w:p w14:paraId="1BE8958C" w14:textId="44BDE643" w:rsidR="00883FD5" w:rsidRPr="00182A1C" w:rsidRDefault="00883FD5" w:rsidP="00AD022E">
      <w:pPr>
        <w:rPr>
          <w:rFonts w:ascii="Arial" w:hAnsi="Arial" w:cs="Arial"/>
        </w:rPr>
      </w:pPr>
    </w:p>
    <w:p w14:paraId="0B7F7AF8" w14:textId="77777777" w:rsidR="002F52BD" w:rsidRPr="00182A1C" w:rsidRDefault="002F52BD" w:rsidP="002F52BD">
      <w:pPr>
        <w:rPr>
          <w:rFonts w:ascii="Arial" w:hAnsi="Arial" w:cs="Arial"/>
        </w:rPr>
      </w:pPr>
    </w:p>
    <w:p w14:paraId="46E32796" w14:textId="0CF6BE40" w:rsidR="00791086" w:rsidRPr="00182A1C" w:rsidRDefault="00791086" w:rsidP="00791086">
      <w:pPr>
        <w:rPr>
          <w:rFonts w:ascii="Arial" w:hAnsi="Arial" w:cs="Arial"/>
        </w:rPr>
      </w:pPr>
    </w:p>
    <w:sectPr w:rsidR="00791086" w:rsidRPr="00182A1C">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C5880" w14:textId="77777777" w:rsidR="00685DF3" w:rsidRDefault="00685DF3" w:rsidP="00857E8C">
      <w:r>
        <w:separator/>
      </w:r>
    </w:p>
  </w:endnote>
  <w:endnote w:type="continuationSeparator" w:id="0">
    <w:p w14:paraId="5D67E199" w14:textId="77777777" w:rsidR="00685DF3" w:rsidRDefault="00685DF3" w:rsidP="0085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335119"/>
      <w:docPartObj>
        <w:docPartGallery w:val="Page Numbers (Bottom of Page)"/>
        <w:docPartUnique/>
      </w:docPartObj>
    </w:sdtPr>
    <w:sdtEndPr>
      <w:rPr>
        <w:noProof/>
      </w:rPr>
    </w:sdtEndPr>
    <w:sdtContent>
      <w:p w14:paraId="3752D2ED" w14:textId="6CEF105D" w:rsidR="00B36FF5" w:rsidRDefault="00B36F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79E618" w14:textId="77777777" w:rsidR="00B36FF5" w:rsidRDefault="00B36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9D223" w14:textId="77777777" w:rsidR="00685DF3" w:rsidRDefault="00685DF3" w:rsidP="00857E8C">
      <w:r>
        <w:separator/>
      </w:r>
    </w:p>
  </w:footnote>
  <w:footnote w:type="continuationSeparator" w:id="0">
    <w:p w14:paraId="457A4BBE" w14:textId="77777777" w:rsidR="00685DF3" w:rsidRDefault="00685DF3" w:rsidP="00857E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ABB"/>
    <w:rsid w:val="000710E2"/>
    <w:rsid w:val="000970F6"/>
    <w:rsid w:val="00182A1C"/>
    <w:rsid w:val="001B7568"/>
    <w:rsid w:val="00232E77"/>
    <w:rsid w:val="002F52BD"/>
    <w:rsid w:val="003E3259"/>
    <w:rsid w:val="005A670A"/>
    <w:rsid w:val="006007BD"/>
    <w:rsid w:val="00680461"/>
    <w:rsid w:val="00685DF3"/>
    <w:rsid w:val="006A3CCE"/>
    <w:rsid w:val="00783F56"/>
    <w:rsid w:val="00791086"/>
    <w:rsid w:val="007B7ECB"/>
    <w:rsid w:val="007E2FBE"/>
    <w:rsid w:val="00857E8C"/>
    <w:rsid w:val="00883FD5"/>
    <w:rsid w:val="008C1ABB"/>
    <w:rsid w:val="009A5A22"/>
    <w:rsid w:val="00AD022E"/>
    <w:rsid w:val="00B36FF5"/>
    <w:rsid w:val="00C96E82"/>
    <w:rsid w:val="00D119C7"/>
    <w:rsid w:val="00D9608F"/>
    <w:rsid w:val="00DA5D9B"/>
    <w:rsid w:val="00E02C9B"/>
    <w:rsid w:val="00E07FFE"/>
    <w:rsid w:val="00EF0126"/>
    <w:rsid w:val="00FD3B97"/>
    <w:rsid w:val="00FE51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D897F0"/>
  <w15:chartTrackingRefBased/>
  <w15:docId w15:val="{DEB570C1-30ED-4A67-B81D-BFEEC1BC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6F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7E8C"/>
    <w:pPr>
      <w:tabs>
        <w:tab w:val="center" w:pos="4513"/>
        <w:tab w:val="right" w:pos="9026"/>
      </w:tabs>
    </w:pPr>
  </w:style>
  <w:style w:type="character" w:customStyle="1" w:styleId="HeaderChar">
    <w:name w:val="Header Char"/>
    <w:basedOn w:val="DefaultParagraphFont"/>
    <w:link w:val="Header"/>
    <w:uiPriority w:val="99"/>
    <w:rsid w:val="00857E8C"/>
  </w:style>
  <w:style w:type="paragraph" w:styleId="Footer">
    <w:name w:val="footer"/>
    <w:basedOn w:val="Normal"/>
    <w:link w:val="FooterChar"/>
    <w:uiPriority w:val="99"/>
    <w:unhideWhenUsed/>
    <w:rsid w:val="00857E8C"/>
    <w:pPr>
      <w:tabs>
        <w:tab w:val="center" w:pos="4513"/>
        <w:tab w:val="right" w:pos="9026"/>
      </w:tabs>
    </w:pPr>
  </w:style>
  <w:style w:type="character" w:customStyle="1" w:styleId="FooterChar">
    <w:name w:val="Footer Char"/>
    <w:basedOn w:val="DefaultParagraphFont"/>
    <w:link w:val="Footer"/>
    <w:uiPriority w:val="99"/>
    <w:rsid w:val="00857E8C"/>
  </w:style>
  <w:style w:type="paragraph" w:styleId="NormalWeb">
    <w:name w:val="Normal (Web)"/>
    <w:basedOn w:val="Normal"/>
    <w:uiPriority w:val="99"/>
    <w:semiHidden/>
    <w:unhideWhenUsed/>
    <w:rsid w:val="00B36FF5"/>
    <w:pPr>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B36FF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FF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6FF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36FF5"/>
    <w:pPr>
      <w:spacing w:line="259" w:lineRule="auto"/>
      <w:outlineLvl w:val="9"/>
    </w:pPr>
    <w:rPr>
      <w:lang w:val="en-US" w:eastAsia="en-US"/>
    </w:rPr>
  </w:style>
  <w:style w:type="paragraph" w:styleId="TOC1">
    <w:name w:val="toc 1"/>
    <w:basedOn w:val="Normal"/>
    <w:next w:val="Normal"/>
    <w:autoRedefine/>
    <w:uiPriority w:val="39"/>
    <w:unhideWhenUsed/>
    <w:rsid w:val="00B36FF5"/>
    <w:pPr>
      <w:spacing w:after="100"/>
    </w:pPr>
  </w:style>
  <w:style w:type="character" w:styleId="Hyperlink">
    <w:name w:val="Hyperlink"/>
    <w:basedOn w:val="DefaultParagraphFont"/>
    <w:uiPriority w:val="99"/>
    <w:unhideWhenUsed/>
    <w:rsid w:val="00B36FF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9072208">
      <w:bodyDiv w:val="1"/>
      <w:marLeft w:val="0"/>
      <w:marRight w:val="0"/>
      <w:marTop w:val="0"/>
      <w:marBottom w:val="0"/>
      <w:divBdr>
        <w:top w:val="none" w:sz="0" w:space="0" w:color="auto"/>
        <w:left w:val="none" w:sz="0" w:space="0" w:color="auto"/>
        <w:bottom w:val="none" w:sz="0" w:space="0" w:color="auto"/>
        <w:right w:val="none" w:sz="0" w:space="0" w:color="auto"/>
      </w:divBdr>
      <w:divsChild>
        <w:div w:id="237060405">
          <w:marLeft w:val="0"/>
          <w:marRight w:val="0"/>
          <w:marTop w:val="0"/>
          <w:marBottom w:val="0"/>
          <w:divBdr>
            <w:top w:val="none" w:sz="0" w:space="0" w:color="auto"/>
            <w:left w:val="none" w:sz="0" w:space="0" w:color="auto"/>
            <w:bottom w:val="none" w:sz="0" w:space="0" w:color="auto"/>
            <w:right w:val="none" w:sz="0" w:space="0" w:color="auto"/>
          </w:divBdr>
        </w:div>
      </w:divsChild>
    </w:div>
    <w:div w:id="988941069">
      <w:bodyDiv w:val="1"/>
      <w:marLeft w:val="0"/>
      <w:marRight w:val="0"/>
      <w:marTop w:val="0"/>
      <w:marBottom w:val="0"/>
      <w:divBdr>
        <w:top w:val="none" w:sz="0" w:space="0" w:color="auto"/>
        <w:left w:val="none" w:sz="0" w:space="0" w:color="auto"/>
        <w:bottom w:val="none" w:sz="0" w:space="0" w:color="auto"/>
        <w:right w:val="none" w:sz="0" w:space="0" w:color="auto"/>
      </w:divBdr>
      <w:divsChild>
        <w:div w:id="275677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6215</Words>
  <Characters>35426</Characters>
  <Application>Microsoft Office Word</Application>
  <DocSecurity>0</DocSecurity>
  <Lines>295</Lines>
  <Paragraphs>83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Conceptual Issues</vt:lpstr>
      <vt:lpstr>Centred-Care Project </vt:lpstr>
      <vt:lpstr>PESTEL analysis</vt:lpstr>
      <vt:lpstr>STP model </vt:lpstr>
      <vt:lpstr>Porter’s five forces</vt:lpstr>
      <vt:lpstr>Open Innovation business</vt:lpstr>
      <vt:lpstr>Sustainability</vt:lpstr>
      <vt:lpstr>Business Marketing and Promotion </vt:lpstr>
      <vt:lpstr/>
      <vt:lpstr>Payment and facilities </vt:lpstr>
      <vt:lpstr>Marketing mix</vt:lpstr>
      <vt:lpstr>Communication mix</vt:lpstr>
      <vt:lpstr/>
      <vt:lpstr>Data Protection and GDPR</vt:lpstr>
      <vt:lpstr>GDPR compliance</vt:lpstr>
      <vt:lpstr>PECR compliance</vt:lpstr>
      <vt:lpstr>Conclusion</vt:lpstr>
      <vt:lpstr>Recommendations </vt:lpstr>
    </vt:vector>
  </TitlesOfParts>
  <Company/>
  <LinksUpToDate>false</LinksUpToDate>
  <CharactersWithSpaces>41558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Enache (2011897)</dc:creator>
  <cp:keywords/>
  <dc:description/>
  <cp:lastModifiedBy>Elisabeta Enache (2011897)</cp:lastModifiedBy>
  <cp:revision>2</cp:revision>
  <dcterms:created xsi:type="dcterms:W3CDTF">2023-05-04T10:24:00Z</dcterms:created>
  <dcterms:modified xsi:type="dcterms:W3CDTF">2023-05-04T10:24:00Z</dcterms:modified>
</cp:coreProperties>
</file>