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2657B" w14:textId="77777777" w:rsidR="008E22BB" w:rsidRPr="00CF7EEA" w:rsidRDefault="008E22BB" w:rsidP="00CF7EEA">
      <w:pPr>
        <w:spacing w:line="360" w:lineRule="auto"/>
        <w:jc w:val="center"/>
        <w:rPr>
          <w:rFonts w:ascii="Times New Roman" w:hAnsi="Times New Roman" w:cs="Times New Roman"/>
          <w:b/>
          <w:bCs/>
        </w:rPr>
      </w:pPr>
    </w:p>
    <w:p w14:paraId="11C0B6B3" w14:textId="77777777" w:rsidR="008E22BB" w:rsidRPr="00CF7EEA" w:rsidRDefault="008E22BB" w:rsidP="00CF7EEA">
      <w:pPr>
        <w:spacing w:line="360" w:lineRule="auto"/>
        <w:jc w:val="center"/>
        <w:rPr>
          <w:rFonts w:ascii="Times New Roman" w:hAnsi="Times New Roman" w:cs="Times New Roman"/>
          <w:b/>
          <w:bCs/>
        </w:rPr>
      </w:pPr>
    </w:p>
    <w:p w14:paraId="5ADB2EB1" w14:textId="77777777" w:rsidR="008E22BB" w:rsidRPr="00CF7EEA" w:rsidRDefault="008E22BB" w:rsidP="00CF7EEA">
      <w:pPr>
        <w:spacing w:line="360" w:lineRule="auto"/>
        <w:jc w:val="center"/>
        <w:rPr>
          <w:rFonts w:ascii="Times New Roman" w:hAnsi="Times New Roman" w:cs="Times New Roman"/>
          <w:b/>
          <w:bCs/>
        </w:rPr>
      </w:pPr>
    </w:p>
    <w:p w14:paraId="4CF76EDB" w14:textId="77777777" w:rsidR="008E22BB" w:rsidRPr="00CF7EEA" w:rsidRDefault="008E22BB" w:rsidP="00CF7EEA">
      <w:pPr>
        <w:spacing w:line="360" w:lineRule="auto"/>
        <w:jc w:val="center"/>
        <w:rPr>
          <w:rFonts w:ascii="Times New Roman" w:hAnsi="Times New Roman" w:cs="Times New Roman"/>
          <w:b/>
          <w:bCs/>
        </w:rPr>
      </w:pPr>
    </w:p>
    <w:p w14:paraId="718495B6" w14:textId="77777777" w:rsidR="008E22BB" w:rsidRPr="00CF7EEA" w:rsidRDefault="008E22BB" w:rsidP="00CF7EEA">
      <w:pPr>
        <w:spacing w:line="360" w:lineRule="auto"/>
        <w:jc w:val="center"/>
        <w:rPr>
          <w:rFonts w:ascii="Times New Roman" w:hAnsi="Times New Roman" w:cs="Times New Roman"/>
          <w:b/>
          <w:bCs/>
        </w:rPr>
      </w:pPr>
    </w:p>
    <w:p w14:paraId="1FB477EC" w14:textId="77777777" w:rsidR="008E22BB" w:rsidRPr="00CF7EEA" w:rsidRDefault="008E22BB" w:rsidP="00CF7EEA">
      <w:pPr>
        <w:spacing w:line="360" w:lineRule="auto"/>
        <w:jc w:val="center"/>
        <w:rPr>
          <w:rFonts w:ascii="Times New Roman" w:hAnsi="Times New Roman" w:cs="Times New Roman"/>
          <w:b/>
          <w:bCs/>
        </w:rPr>
      </w:pPr>
    </w:p>
    <w:p w14:paraId="0A6F04D5" w14:textId="77777777" w:rsidR="008E22BB" w:rsidRPr="00CF7EEA" w:rsidRDefault="008E22BB" w:rsidP="00CF7EEA">
      <w:pPr>
        <w:spacing w:line="360" w:lineRule="auto"/>
        <w:jc w:val="center"/>
        <w:rPr>
          <w:rFonts w:ascii="Times New Roman" w:hAnsi="Times New Roman" w:cs="Times New Roman"/>
          <w:b/>
          <w:bCs/>
        </w:rPr>
      </w:pPr>
    </w:p>
    <w:p w14:paraId="3D1A8B8D" w14:textId="77777777" w:rsidR="008E22BB" w:rsidRPr="00CF7EEA" w:rsidRDefault="008E22BB" w:rsidP="00CF7EEA">
      <w:pPr>
        <w:spacing w:line="360" w:lineRule="auto"/>
        <w:jc w:val="center"/>
        <w:rPr>
          <w:rFonts w:ascii="Times New Roman" w:hAnsi="Times New Roman" w:cs="Times New Roman"/>
          <w:b/>
          <w:bCs/>
        </w:rPr>
      </w:pPr>
    </w:p>
    <w:p w14:paraId="46C6C483" w14:textId="77777777" w:rsidR="008E22BB" w:rsidRPr="00CF7EEA" w:rsidRDefault="008E22BB" w:rsidP="00CF7EEA">
      <w:pPr>
        <w:spacing w:line="360" w:lineRule="auto"/>
        <w:jc w:val="center"/>
        <w:rPr>
          <w:rFonts w:ascii="Times New Roman" w:hAnsi="Times New Roman" w:cs="Times New Roman"/>
          <w:b/>
          <w:bCs/>
        </w:rPr>
      </w:pPr>
    </w:p>
    <w:p w14:paraId="5776A389" w14:textId="77777777" w:rsidR="008E22BB" w:rsidRPr="00CF7EEA" w:rsidRDefault="008E22BB" w:rsidP="00CF7EEA">
      <w:pPr>
        <w:spacing w:line="360" w:lineRule="auto"/>
        <w:jc w:val="center"/>
        <w:rPr>
          <w:rFonts w:ascii="Times New Roman" w:hAnsi="Times New Roman" w:cs="Times New Roman"/>
          <w:b/>
          <w:bCs/>
        </w:rPr>
      </w:pPr>
    </w:p>
    <w:p w14:paraId="491C165F" w14:textId="77777777" w:rsidR="008E22BB" w:rsidRPr="00CF7EEA" w:rsidRDefault="008E22BB" w:rsidP="00CF7EEA">
      <w:pPr>
        <w:spacing w:line="360" w:lineRule="auto"/>
        <w:jc w:val="center"/>
        <w:rPr>
          <w:rFonts w:ascii="Times New Roman" w:hAnsi="Times New Roman" w:cs="Times New Roman"/>
          <w:b/>
          <w:bCs/>
        </w:rPr>
      </w:pPr>
    </w:p>
    <w:p w14:paraId="0C4A5C86" w14:textId="3EBBD6A2" w:rsidR="00E7672F" w:rsidRPr="00CF7EEA" w:rsidRDefault="008E22BB" w:rsidP="00CF7EEA">
      <w:pPr>
        <w:spacing w:line="360" w:lineRule="auto"/>
        <w:jc w:val="center"/>
        <w:rPr>
          <w:rFonts w:ascii="Times New Roman" w:hAnsi="Times New Roman" w:cs="Times New Roman"/>
          <w:b/>
          <w:bCs/>
        </w:rPr>
      </w:pPr>
      <w:r w:rsidRPr="00CF7EEA">
        <w:rPr>
          <w:rFonts w:ascii="Times New Roman" w:hAnsi="Times New Roman" w:cs="Times New Roman"/>
          <w:b/>
          <w:bCs/>
        </w:rPr>
        <w:t>The Impact of Contemporary Global Forces on International Business Strategy: A Critical Analysis of Unilever</w:t>
      </w:r>
    </w:p>
    <w:p w14:paraId="71640D20" w14:textId="6A26161E" w:rsidR="008E22BB" w:rsidRPr="00CF7EEA" w:rsidRDefault="008E22BB" w:rsidP="00CF7EEA">
      <w:pPr>
        <w:spacing w:line="360" w:lineRule="auto"/>
        <w:jc w:val="center"/>
        <w:rPr>
          <w:rFonts w:ascii="Times New Roman" w:hAnsi="Times New Roman" w:cs="Times New Roman"/>
          <w:b/>
          <w:bCs/>
        </w:rPr>
      </w:pPr>
      <w:r w:rsidRPr="00CF7EEA">
        <w:rPr>
          <w:rFonts w:ascii="Times New Roman" w:hAnsi="Times New Roman" w:cs="Times New Roman"/>
          <w:b/>
          <w:bCs/>
        </w:rPr>
        <w:t>Student name: Emil Cosmin Raducanu</w:t>
      </w:r>
    </w:p>
    <w:p w14:paraId="482961D5" w14:textId="52BFDB04" w:rsidR="008E22BB" w:rsidRPr="00CF7EEA" w:rsidRDefault="008E22BB" w:rsidP="00CF7EEA">
      <w:pPr>
        <w:spacing w:line="360" w:lineRule="auto"/>
        <w:jc w:val="center"/>
        <w:rPr>
          <w:rFonts w:ascii="Times New Roman" w:hAnsi="Times New Roman" w:cs="Times New Roman"/>
          <w:b/>
          <w:bCs/>
        </w:rPr>
      </w:pPr>
      <w:r w:rsidRPr="00CF7EEA">
        <w:rPr>
          <w:rFonts w:ascii="Times New Roman" w:hAnsi="Times New Roman" w:cs="Times New Roman"/>
          <w:b/>
          <w:bCs/>
        </w:rPr>
        <w:t>Student ID: 2513152</w:t>
      </w:r>
    </w:p>
    <w:p w14:paraId="74A54742" w14:textId="77777777" w:rsidR="008E22BB" w:rsidRPr="00CF7EEA" w:rsidRDefault="008E22BB" w:rsidP="00CF7EEA">
      <w:pPr>
        <w:spacing w:line="360" w:lineRule="auto"/>
        <w:jc w:val="center"/>
        <w:rPr>
          <w:rFonts w:ascii="Times New Roman" w:hAnsi="Times New Roman" w:cs="Times New Roman"/>
          <w:b/>
          <w:bCs/>
        </w:rPr>
      </w:pPr>
    </w:p>
    <w:p w14:paraId="6AABDDA1" w14:textId="77777777" w:rsidR="008E22BB" w:rsidRPr="00CF7EEA" w:rsidRDefault="008E22BB" w:rsidP="00CF7EEA">
      <w:pPr>
        <w:spacing w:line="360" w:lineRule="auto"/>
        <w:jc w:val="center"/>
        <w:rPr>
          <w:rFonts w:ascii="Times New Roman" w:hAnsi="Times New Roman" w:cs="Times New Roman"/>
          <w:b/>
          <w:bCs/>
        </w:rPr>
      </w:pPr>
    </w:p>
    <w:p w14:paraId="001321C3" w14:textId="77777777" w:rsidR="008E22BB" w:rsidRPr="00CF7EEA" w:rsidRDefault="008E22BB" w:rsidP="00CF7EEA">
      <w:pPr>
        <w:spacing w:line="360" w:lineRule="auto"/>
        <w:jc w:val="center"/>
        <w:rPr>
          <w:rFonts w:ascii="Times New Roman" w:hAnsi="Times New Roman" w:cs="Times New Roman"/>
          <w:b/>
          <w:bCs/>
        </w:rPr>
      </w:pPr>
    </w:p>
    <w:p w14:paraId="7F86FC8D" w14:textId="77777777" w:rsidR="008E22BB" w:rsidRPr="00CF7EEA" w:rsidRDefault="008E22BB" w:rsidP="00CF7EEA">
      <w:pPr>
        <w:spacing w:line="360" w:lineRule="auto"/>
        <w:jc w:val="center"/>
        <w:rPr>
          <w:rFonts w:ascii="Times New Roman" w:hAnsi="Times New Roman" w:cs="Times New Roman"/>
          <w:b/>
          <w:bCs/>
        </w:rPr>
      </w:pPr>
    </w:p>
    <w:p w14:paraId="56AA26BD" w14:textId="77777777" w:rsidR="008E22BB" w:rsidRPr="00CF7EEA" w:rsidRDefault="008E22BB" w:rsidP="00CF7EEA">
      <w:pPr>
        <w:spacing w:line="360" w:lineRule="auto"/>
        <w:jc w:val="center"/>
        <w:rPr>
          <w:rFonts w:ascii="Times New Roman" w:hAnsi="Times New Roman" w:cs="Times New Roman"/>
          <w:b/>
          <w:bCs/>
        </w:rPr>
      </w:pPr>
    </w:p>
    <w:p w14:paraId="18B318A4" w14:textId="77777777" w:rsidR="008E22BB" w:rsidRPr="00CF7EEA" w:rsidRDefault="008E22BB" w:rsidP="00CF7EEA">
      <w:pPr>
        <w:spacing w:line="360" w:lineRule="auto"/>
        <w:jc w:val="center"/>
        <w:rPr>
          <w:rFonts w:ascii="Times New Roman" w:hAnsi="Times New Roman" w:cs="Times New Roman"/>
          <w:b/>
          <w:bCs/>
        </w:rPr>
      </w:pPr>
    </w:p>
    <w:p w14:paraId="41B3B817" w14:textId="77777777" w:rsidR="008E22BB" w:rsidRDefault="008E22BB" w:rsidP="00CF7EEA">
      <w:pPr>
        <w:spacing w:line="360" w:lineRule="auto"/>
        <w:rPr>
          <w:rFonts w:ascii="Times New Roman" w:hAnsi="Times New Roman" w:cs="Times New Roman"/>
          <w:b/>
          <w:bCs/>
        </w:rPr>
      </w:pPr>
    </w:p>
    <w:p w14:paraId="1B58A48A" w14:textId="77777777" w:rsidR="00CF7EEA" w:rsidRDefault="00CF7EEA" w:rsidP="00CF7EEA">
      <w:pPr>
        <w:spacing w:line="360" w:lineRule="auto"/>
        <w:rPr>
          <w:rFonts w:ascii="Times New Roman" w:hAnsi="Times New Roman" w:cs="Times New Roman"/>
          <w:b/>
          <w:bCs/>
        </w:rPr>
      </w:pPr>
    </w:p>
    <w:p w14:paraId="33878E9E" w14:textId="77777777" w:rsidR="00CF7EEA" w:rsidRDefault="00CF7EEA" w:rsidP="00CF7EEA">
      <w:pPr>
        <w:spacing w:line="360" w:lineRule="auto"/>
        <w:rPr>
          <w:rFonts w:ascii="Times New Roman" w:hAnsi="Times New Roman" w:cs="Times New Roman"/>
          <w:b/>
          <w:bCs/>
        </w:rPr>
      </w:pPr>
    </w:p>
    <w:p w14:paraId="5BACE13B" w14:textId="77777777" w:rsidR="00CF7EEA" w:rsidRPr="00CF7EEA" w:rsidRDefault="00CF7EEA" w:rsidP="00CF7EEA">
      <w:pPr>
        <w:spacing w:line="360" w:lineRule="auto"/>
        <w:rPr>
          <w:rFonts w:ascii="Times New Roman" w:hAnsi="Times New Roman" w:cs="Times New Roman"/>
          <w:b/>
          <w:bCs/>
        </w:rPr>
      </w:pPr>
    </w:p>
    <w:p w14:paraId="5851BAC6" w14:textId="124983DB" w:rsidR="008E22BB" w:rsidRPr="00CF7EEA" w:rsidRDefault="008E22BB" w:rsidP="00CF7EEA">
      <w:pPr>
        <w:spacing w:line="360" w:lineRule="auto"/>
        <w:rPr>
          <w:rFonts w:ascii="Times New Roman" w:hAnsi="Times New Roman" w:cs="Times New Roman"/>
          <w:b/>
          <w:bCs/>
        </w:rPr>
      </w:pPr>
      <w:r w:rsidRPr="00CF7EEA">
        <w:rPr>
          <w:rFonts w:ascii="Times New Roman" w:hAnsi="Times New Roman" w:cs="Times New Roman"/>
          <w:b/>
          <w:bCs/>
        </w:rPr>
        <w:lastRenderedPageBreak/>
        <w:t>Introduction</w:t>
      </w:r>
    </w:p>
    <w:p w14:paraId="681D353B" w14:textId="098CA3D0" w:rsidR="008E22BB" w:rsidRPr="00CF7EEA" w:rsidRDefault="008E22BB" w:rsidP="00CD16DC">
      <w:pPr>
        <w:pStyle w:val="NormalWeb"/>
        <w:spacing w:line="360" w:lineRule="auto"/>
      </w:pPr>
      <w:r w:rsidRPr="00CF7EEA">
        <w:t>The process of globali</w:t>
      </w:r>
      <w:r w:rsidR="00CF7EEA">
        <w:t>s</w:t>
      </w:r>
      <w:r w:rsidRPr="00CF7EEA">
        <w:t xml:space="preserve">ation has made economies, markets and </w:t>
      </w:r>
      <w:r w:rsidR="00CF7EEA">
        <w:t>organisation</w:t>
      </w:r>
      <w:r w:rsidRPr="00CF7EEA">
        <w:t xml:space="preserve">s interdependent. As a result, multinational </w:t>
      </w:r>
      <w:r w:rsidR="00CF7EEA">
        <w:t>organisation</w:t>
      </w:r>
      <w:r w:rsidRPr="00CF7EEA">
        <w:t xml:space="preserve">s can extend themselves to international customers, take advantage of international resources and technology; but it makes them vulnerable to uncertainties associated with economy, politics and regulation. Nowadays modern international business operates through fast integration of artificial intelligence (AI), geopolitical environment affecting international supply chains, and increased requirements of sustainability. These tendencies bring many possibilities as well as present certain challenges for multinational </w:t>
      </w:r>
      <w:r w:rsidR="00CF7EEA">
        <w:t>organisation</w:t>
      </w:r>
      <w:r w:rsidRPr="00CF7EEA">
        <w:t>s.</w:t>
      </w:r>
      <w:r w:rsidR="00CD16DC" w:rsidRPr="00CD16DC">
        <w:t xml:space="preserve"> </w:t>
      </w:r>
      <w:r w:rsidR="00CD16DC">
        <w:t xml:space="preserve">The organization example used in this essay; Unilever is a multinational consumer goods company </w:t>
      </w:r>
      <w:r w:rsidR="00CD16DC">
        <w:t>headsquare</w:t>
      </w:r>
      <w:r w:rsidR="00CD16DC">
        <w:t xml:space="preserve"> in the UK where the organization operates in over 190 countries worldwide. As from 2025 Unilever acquired a revenue of £50.5 billion with its revenue derived from its 24 focus countries, accounting for the majority, near 85% of Unilever’s sales (Unilever, 2025). </w:t>
      </w:r>
      <w:r w:rsidR="00CD16DC">
        <w:t>However,</w:t>
      </w:r>
      <w:r w:rsidR="00CD16DC">
        <w:t xml:space="preserve"> the firm remains aware of the importance of AI and technologies enabling more productivity and innovation. With this therefore the goal of </w:t>
      </w:r>
      <w:r w:rsidR="00CD16DC">
        <w:t>this essay</w:t>
      </w:r>
      <w:r w:rsidR="00CD16DC">
        <w:t xml:space="preserve"> is to review the effects of AI, geopolitical conflict and supply chain disruption and sustainability upon international business with emphasis on Unilever and propose some alternative strategies.</w:t>
      </w:r>
    </w:p>
    <w:p w14:paraId="2B0F38DC" w14:textId="714F4D5D" w:rsidR="008E22BB" w:rsidRPr="00CF7EEA" w:rsidRDefault="008E22BB" w:rsidP="00CF7EEA">
      <w:pPr>
        <w:spacing w:line="360" w:lineRule="auto"/>
        <w:rPr>
          <w:rFonts w:ascii="Times New Roman" w:hAnsi="Times New Roman" w:cs="Times New Roman"/>
          <w:b/>
          <w:bCs/>
        </w:rPr>
      </w:pPr>
      <w:r w:rsidRPr="00CF7EEA">
        <w:rPr>
          <w:rFonts w:ascii="Times New Roman" w:hAnsi="Times New Roman" w:cs="Times New Roman"/>
          <w:b/>
          <w:bCs/>
        </w:rPr>
        <w:t>Artificial Intelligence: Opportunities and Challenges for Unilever</w:t>
      </w:r>
    </w:p>
    <w:p w14:paraId="1A25DAC4" w14:textId="59B297DB" w:rsidR="00CD16DC" w:rsidRPr="00CF7EEA" w:rsidRDefault="008E22BB" w:rsidP="00CD16DC">
      <w:pPr>
        <w:pStyle w:val="NormalWeb"/>
        <w:spacing w:line="360" w:lineRule="auto"/>
      </w:pPr>
      <w:r w:rsidRPr="00CF7EEA">
        <w:t xml:space="preserve">There is a great potential in artificial intelligence for Unilever </w:t>
      </w:r>
      <w:r w:rsidR="00CF7EEA" w:rsidRPr="00CF7EEA">
        <w:t>since</w:t>
      </w:r>
      <w:r w:rsidRPr="00CF7EEA">
        <w:t xml:space="preserve"> it can contribute to the increase of productivity and efficiency within international business. AI is changing international businesses because of the streamlining of supply chains, productivity improvement and the growth of international business opportunities (World Economic Forum, 2024). In the case of Unilever, artificial intelligence may be used to improve procurement processes, supply chain management, research and development activities, as well as marketing operations. AI-driven procurement systems have been introduced at Unilever to increase the efficiency of onboarding, provide real-time information and fast decision making </w:t>
      </w:r>
      <w:r w:rsidR="00CF7EEA" w:rsidRPr="00CF7EEA">
        <w:t>about</w:t>
      </w:r>
      <w:r w:rsidRPr="00CF7EEA">
        <w:t xml:space="preserve"> sourcing.</w:t>
      </w:r>
      <w:r w:rsidR="00CD16DC" w:rsidRPr="00CD16DC">
        <w:t xml:space="preserve"> </w:t>
      </w:r>
      <w:r w:rsidR="00CD16DC">
        <w:t>In addition, simulated testing utili</w:t>
      </w:r>
      <w:r w:rsidR="00CD16DC">
        <w:t>s</w:t>
      </w:r>
      <w:r w:rsidR="00CD16DC">
        <w:t xml:space="preserve">ing artificial intelligence have been used by the company </w:t>
      </w:r>
      <w:r w:rsidR="00CD16DC">
        <w:t>in</w:t>
      </w:r>
      <w:r w:rsidR="00CD16DC">
        <w:t xml:space="preserve"> R&amp;D resulting in cost savings due to the exclusion of physical trials and aids the company in developing global innovations (Unilever, 2025). There are numerous possibilities available to Unilever to capitali</w:t>
      </w:r>
      <w:r w:rsidR="00CD16DC">
        <w:t>s</w:t>
      </w:r>
      <w:r w:rsidR="00CD16DC">
        <w:t>e in developing an international marketing strategy that utilizes AI technologies.</w:t>
      </w:r>
    </w:p>
    <w:p w14:paraId="165ABF0F" w14:textId="77777777" w:rsidR="00CD16DC" w:rsidRDefault="00CD16DC" w:rsidP="00CD16DC">
      <w:pPr>
        <w:pStyle w:val="NormalWeb"/>
        <w:spacing w:line="360" w:lineRule="auto"/>
      </w:pPr>
      <w:r>
        <w:lastRenderedPageBreak/>
        <w:t xml:space="preserve">AI in content creation at Unilever, Unilever will soon allow its teams to develop marketing materials rapidly and effectively and enable them to respond immediately to emergent social media phenomena. Moreover, at Unilever, where the company operates in many culturally diversified international markets, AI can act as a technology to ensure competitiveness since consumer tastes may fluctuate drastically due to local factors. On another note, the demand and procurement forecasting, based on artificial intelligence, will allow the company to manage adequate inventory levels and effectively cope with global demand fluctuations. </w:t>
      </w:r>
    </w:p>
    <w:p w14:paraId="32606D62" w14:textId="2BFC5BD3" w:rsidR="00CD16DC" w:rsidRDefault="00CD16DC" w:rsidP="00CD16DC">
      <w:pPr>
        <w:pStyle w:val="NormalWeb"/>
        <w:spacing w:line="360" w:lineRule="auto"/>
      </w:pPr>
      <w:r>
        <w:t xml:space="preserve">In its Unilever’s 2024 Strategy, the company stated that it </w:t>
      </w:r>
      <w:r>
        <w:t>identifies scaled</w:t>
      </w:r>
      <w:r>
        <w:t xml:space="preserve"> AIas a way to drive growth through demand creation, productivity gains, and more resilience (Unilever, 2024). </w:t>
      </w:r>
    </w:p>
    <w:p w14:paraId="05241172" w14:textId="042CD06F" w:rsidR="008E22BB" w:rsidRPr="00CF7EEA" w:rsidRDefault="00CD16DC" w:rsidP="00CD16DC">
      <w:pPr>
        <w:pStyle w:val="NormalWeb"/>
        <w:spacing w:line="360" w:lineRule="auto"/>
      </w:pPr>
      <w:r>
        <w:t xml:space="preserve">On the one hand, the implementation of this new technology is full of promise for </w:t>
      </w:r>
      <w:r>
        <w:t>Unilever’s</w:t>
      </w:r>
      <w:r>
        <w:t>, but, on the other hand, it comes with potential challenges as organizations using artificial intelligence struggle to resolve concerns related to intellectual property issues, privacy and security, as well as regulation (World Economic Forum, 2024). Consequently, it's advisable that any organi</w:t>
      </w:r>
      <w:r>
        <w:t>s</w:t>
      </w:r>
      <w:r>
        <w:t>ation strike a balance between boosting productivity and automating internal procedures and investing in employee skills enhancement and the development of new technology skills (World Economic Forum, 2024).</w:t>
      </w:r>
    </w:p>
    <w:p w14:paraId="45A51BD2" w14:textId="752D4A95" w:rsidR="00086A93" w:rsidRPr="00CF7EEA" w:rsidRDefault="00086A93" w:rsidP="00CF7EEA">
      <w:pPr>
        <w:spacing w:line="360" w:lineRule="auto"/>
        <w:rPr>
          <w:rFonts w:ascii="Times New Roman" w:hAnsi="Times New Roman" w:cs="Times New Roman"/>
          <w:b/>
          <w:bCs/>
        </w:rPr>
      </w:pPr>
      <w:r w:rsidRPr="00CF7EEA">
        <w:rPr>
          <w:rFonts w:ascii="Times New Roman" w:hAnsi="Times New Roman" w:cs="Times New Roman"/>
          <w:b/>
          <w:bCs/>
        </w:rPr>
        <w:t>Geopolitical Tensions and Disruption of the Global Supply Chain</w:t>
      </w:r>
    </w:p>
    <w:p w14:paraId="441D00DD" w14:textId="15A8E2F6" w:rsidR="00086A93" w:rsidRPr="00CF7EEA" w:rsidRDefault="00086A93" w:rsidP="00CF7EEA">
      <w:pPr>
        <w:spacing w:line="360" w:lineRule="auto"/>
        <w:rPr>
          <w:rFonts w:ascii="Times New Roman" w:hAnsi="Times New Roman" w:cs="Times New Roman"/>
        </w:rPr>
      </w:pPr>
      <w:r w:rsidRPr="00CF7EEA">
        <w:rPr>
          <w:rFonts w:ascii="Times New Roman" w:hAnsi="Times New Roman" w:cs="Times New Roman"/>
        </w:rPr>
        <w:t>Another factor affecting the international business activities of the company is geopolitical tensions because of complicated supply chains involving the delivery of raw materials, manufacturing, and distribution of the product.</w:t>
      </w:r>
      <w:r w:rsidR="00CD16DC" w:rsidRPr="00CD16DC">
        <w:t xml:space="preserve"> </w:t>
      </w:r>
      <w:r w:rsidR="00CD16DC" w:rsidRPr="00CD16DC">
        <w:rPr>
          <w:rFonts w:ascii="Times New Roman" w:hAnsi="Times New Roman" w:cs="Times New Roman"/>
        </w:rPr>
        <w:t xml:space="preserve">After years of relatively stable international relations, the climate of the world business got turned completely around by trade wars and market instabilities around the world. On top of that, geopolitical tensions have caused the Red Sea route to stop functioning, </w:t>
      </w:r>
      <w:r w:rsidR="00CD16DC" w:rsidRPr="00CD16DC">
        <w:rPr>
          <w:rFonts w:ascii="Times New Roman" w:hAnsi="Times New Roman" w:cs="Times New Roman"/>
        </w:rPr>
        <w:t>because of</w:t>
      </w:r>
      <w:r w:rsidR="00CD16DC" w:rsidRPr="00CD16DC">
        <w:rPr>
          <w:rFonts w:ascii="Times New Roman" w:hAnsi="Times New Roman" w:cs="Times New Roman"/>
        </w:rPr>
        <w:t xml:space="preserve"> this many ships opted to change their route either from Suez Canal to Cape of Good Hope or from Suez Canal directly to Cape of Good Hope. Per UNCTAD, the volume of traffic through Suez and Panama canals has dropped immensely in 2024 (UNCTAD</w:t>
      </w:r>
      <w:r w:rsidR="00CD16DC">
        <w:rPr>
          <w:rFonts w:ascii="Times New Roman" w:hAnsi="Times New Roman" w:cs="Times New Roman"/>
        </w:rPr>
        <w:t xml:space="preserve">, </w:t>
      </w:r>
      <w:r w:rsidR="00CD16DC" w:rsidRPr="00CD16DC">
        <w:rPr>
          <w:rFonts w:ascii="Times New Roman" w:hAnsi="Times New Roman" w:cs="Times New Roman"/>
        </w:rPr>
        <w:t>2024)</w:t>
      </w:r>
      <w:r w:rsidRPr="00CF7EEA">
        <w:rPr>
          <w:rFonts w:ascii="Times New Roman" w:hAnsi="Times New Roman" w:cs="Times New Roman"/>
        </w:rPr>
        <w:t>. This problem makes it even more difficult to control the manufacturing and planning processes of the company and increases the cost of transportation.</w:t>
      </w:r>
    </w:p>
    <w:p w14:paraId="2FD5A6C2" w14:textId="7FC03DB9" w:rsidR="00086A93" w:rsidRPr="00CF7EEA" w:rsidRDefault="00086A93" w:rsidP="00CF7EEA">
      <w:pPr>
        <w:spacing w:line="360" w:lineRule="auto"/>
        <w:rPr>
          <w:rFonts w:ascii="Times New Roman" w:hAnsi="Times New Roman" w:cs="Times New Roman"/>
        </w:rPr>
      </w:pPr>
      <w:r w:rsidRPr="00CF7EEA">
        <w:rPr>
          <w:rFonts w:ascii="Times New Roman" w:hAnsi="Times New Roman" w:cs="Times New Roman"/>
        </w:rPr>
        <w:t xml:space="preserve">This issue is very costly for the company since the shipping disruptions due to geopolitical tensions, re-routing, and congestion led to a considerable rise in the price for the delivery of </w:t>
      </w:r>
      <w:r w:rsidRPr="00CF7EEA">
        <w:rPr>
          <w:rFonts w:ascii="Times New Roman" w:hAnsi="Times New Roman" w:cs="Times New Roman"/>
        </w:rPr>
        <w:lastRenderedPageBreak/>
        <w:t>the cargo in 2024, which is estimated by UNCTAD, and Shanghai Containerized Freight Index has remained substantially higher than the pre-pandemic level (UNCTAD, 2024). If the cost of logistics rises, then it becomes possible that there is a need to cut the company's profit or introduce price hikes. Geopolitical conflicts between the leading countries can lead to additional taxes and trade restrictions, causing the sourcing uncertainty. One of the drawbacks of globalization is that, while using the international supply chains to reduce the production costs and obtain the speciali</w:t>
      </w:r>
      <w:r w:rsidR="00CF7EEA">
        <w:rPr>
          <w:rFonts w:ascii="Times New Roman" w:hAnsi="Times New Roman" w:cs="Times New Roman"/>
        </w:rPr>
        <w:t>s</w:t>
      </w:r>
      <w:r w:rsidRPr="00CF7EEA">
        <w:rPr>
          <w:rFonts w:ascii="Times New Roman" w:hAnsi="Times New Roman" w:cs="Times New Roman"/>
        </w:rPr>
        <w:t>ed products, the company becomes more vulnerable to the political situation due to geographical interdependence.</w:t>
      </w:r>
    </w:p>
    <w:p w14:paraId="1CBD600D" w14:textId="326B26C3" w:rsidR="00086A93" w:rsidRPr="00CF7EEA" w:rsidRDefault="00086A93" w:rsidP="00CF7EEA">
      <w:pPr>
        <w:spacing w:line="360" w:lineRule="auto"/>
        <w:rPr>
          <w:rFonts w:ascii="Times New Roman" w:hAnsi="Times New Roman" w:cs="Times New Roman"/>
        </w:rPr>
      </w:pPr>
      <w:r w:rsidRPr="00CF7EEA">
        <w:rPr>
          <w:rFonts w:ascii="Times New Roman" w:hAnsi="Times New Roman" w:cs="Times New Roman"/>
        </w:rPr>
        <w:t>However, the current problem of geopolitical instability provides the company with an opportunity to get some benefits as well. Namely, the company can diversify its supply chain geographically, store large stocks of raw materials, and establish good contacts with its suppliers, including the regional ones. Thus, the company can reduce the dependence on the location and on the transportation corridor. UNCTAD says that geopolitical uncertainties of the current time have given additional strategic importance to the supply chain flexibility and regional trade relations (UNCTAD, 2024).</w:t>
      </w:r>
    </w:p>
    <w:p w14:paraId="0F53F0FE" w14:textId="0D0CEE67" w:rsidR="00086A93" w:rsidRPr="00CF7EEA" w:rsidRDefault="00086A93" w:rsidP="00CF7EEA">
      <w:pPr>
        <w:spacing w:line="360" w:lineRule="auto"/>
        <w:rPr>
          <w:rFonts w:ascii="Times New Roman" w:hAnsi="Times New Roman" w:cs="Times New Roman"/>
          <w:b/>
          <w:bCs/>
        </w:rPr>
      </w:pPr>
      <w:r w:rsidRPr="00CF7EEA">
        <w:rPr>
          <w:rFonts w:ascii="Times New Roman" w:hAnsi="Times New Roman" w:cs="Times New Roman"/>
          <w:b/>
          <w:bCs/>
        </w:rPr>
        <w:t>Sustainability and Regulatory Pressures</w:t>
      </w:r>
    </w:p>
    <w:p w14:paraId="1522AFC1" w14:textId="029217DF" w:rsidR="00086A93" w:rsidRPr="00CF7EEA" w:rsidRDefault="00CD16DC" w:rsidP="00CF7EEA">
      <w:pPr>
        <w:spacing w:line="360" w:lineRule="auto"/>
        <w:rPr>
          <w:rFonts w:ascii="Times New Roman" w:hAnsi="Times New Roman" w:cs="Times New Roman"/>
        </w:rPr>
      </w:pPr>
      <w:r w:rsidRPr="00CD16DC">
        <w:rPr>
          <w:rFonts w:ascii="Times New Roman" w:hAnsi="Times New Roman" w:cs="Times New Roman"/>
        </w:rPr>
        <w:t xml:space="preserve">Sustainability also plays an important role in how Unilever formulates its international business strategies because of the growing public attention on how multinational companies operate in an environmentally friendly way. Through CSRD, stricter requirements to sustainability reporting, including disclosure of data on issues like climate change related to, resource consumption pollution biodiversity, and social issues were introduced (European Union, 2022). While the introduction of harmonized procedures in the EU made the sustainability reporting process less of a headache, the rising relevance of such data is being experienced </w:t>
      </w:r>
      <w:r w:rsidRPr="00CD16DC">
        <w:rPr>
          <w:rFonts w:ascii="Times New Roman" w:hAnsi="Times New Roman" w:cs="Times New Roman"/>
        </w:rPr>
        <w:t>by</w:t>
      </w:r>
      <w:r w:rsidRPr="00CD16DC">
        <w:rPr>
          <w:rFonts w:ascii="Times New Roman" w:hAnsi="Times New Roman" w:cs="Times New Roman"/>
        </w:rPr>
        <w:t xml:space="preserve"> big multinationals that are located there (European Commission, 2026). So, coming up with a good system for the collection and management of such data is very important for Unilever, and the sooner it happens the better the company will be able to </w:t>
      </w:r>
      <w:r w:rsidRPr="00CD16DC">
        <w:rPr>
          <w:rFonts w:ascii="Times New Roman" w:hAnsi="Times New Roman" w:cs="Times New Roman"/>
        </w:rPr>
        <w:t>cope.</w:t>
      </w:r>
    </w:p>
    <w:p w14:paraId="6D7E032D" w14:textId="786450BC" w:rsidR="00086A93" w:rsidRPr="00CF7EEA" w:rsidRDefault="00086A93" w:rsidP="00CF7EEA">
      <w:pPr>
        <w:spacing w:line="360" w:lineRule="auto"/>
        <w:rPr>
          <w:rFonts w:ascii="Times New Roman" w:hAnsi="Times New Roman" w:cs="Times New Roman"/>
        </w:rPr>
      </w:pPr>
      <w:r w:rsidRPr="00CF7EEA">
        <w:rPr>
          <w:rFonts w:ascii="Times New Roman" w:hAnsi="Times New Roman" w:cs="Times New Roman"/>
        </w:rPr>
        <w:t xml:space="preserve">On the other hand, regulatory pressures become an opportunity for the company. The sustainability of the operations contributes to the improved reputation and helps the brand to stand out on the crowded market of environmentally friendly products. Unilever has determined the priorities in such spheres as climate, nature, plastics and livelihoods, and has the goal of reducing its absolute Scope 3 energy and industrial greenhouse gas emissions by 42% compared to the base year of 2021 (Unilever, 2025). Moreover, the company is </w:t>
      </w:r>
      <w:r w:rsidRPr="00CF7EEA">
        <w:rPr>
          <w:rFonts w:ascii="Times New Roman" w:hAnsi="Times New Roman" w:cs="Times New Roman"/>
        </w:rPr>
        <w:lastRenderedPageBreak/>
        <w:t>attempting to decrease the negative impact of the usage of plastics and encourage the use of reusable, recyclable and compostable packaging, which is another example of how sustainability stimulates innovation (Unilever, 2025).</w:t>
      </w:r>
    </w:p>
    <w:p w14:paraId="17C9E243" w14:textId="164CD328" w:rsidR="00086A93" w:rsidRPr="00CF7EEA" w:rsidRDefault="00086A93" w:rsidP="00CF7EEA">
      <w:pPr>
        <w:spacing w:line="360" w:lineRule="auto"/>
        <w:rPr>
          <w:rFonts w:ascii="Times New Roman" w:hAnsi="Times New Roman" w:cs="Times New Roman"/>
        </w:rPr>
      </w:pPr>
      <w:r w:rsidRPr="00CF7EEA">
        <w:rPr>
          <w:rFonts w:ascii="Times New Roman" w:hAnsi="Times New Roman" w:cs="Times New Roman"/>
        </w:rPr>
        <w:t>Still, sustainability entails some problems and costs. The development of alternative packaging, reduction of the emissions in the supply chain, as well as the gathering of the environmental information in various countries entail significant investments and collaboration with the suppliers. Moreover, Unilever understands that the shift to sustainable packaging can be rather expensive and involves the contribution of external waste management and other industry participants (Unilever, 2025). Hence, it is yet another example of trade-offs, as sustainable performance leads to innovation and improved reputation and competitiveness but requires significant investments.</w:t>
      </w:r>
    </w:p>
    <w:p w14:paraId="2399466E" w14:textId="3B7A347C" w:rsidR="00CF7EEA" w:rsidRPr="00CF7EEA" w:rsidRDefault="00CF7EEA" w:rsidP="00CF7EEA">
      <w:pPr>
        <w:spacing w:line="360" w:lineRule="auto"/>
        <w:rPr>
          <w:rFonts w:ascii="Times New Roman" w:hAnsi="Times New Roman" w:cs="Times New Roman"/>
          <w:b/>
          <w:bCs/>
        </w:rPr>
      </w:pPr>
      <w:r w:rsidRPr="00CF7EEA">
        <w:rPr>
          <w:rFonts w:ascii="Times New Roman" w:hAnsi="Times New Roman" w:cs="Times New Roman"/>
          <w:b/>
          <w:bCs/>
        </w:rPr>
        <w:t>Impact on Market Positioning, Innovation, Talent Management, and Competitiveness</w:t>
      </w:r>
    </w:p>
    <w:p w14:paraId="24243068" w14:textId="5A3C3A02" w:rsidR="00CF7EEA" w:rsidRPr="00CF7EEA" w:rsidRDefault="00CF7EEA" w:rsidP="00CF7EEA">
      <w:pPr>
        <w:spacing w:line="360" w:lineRule="auto"/>
        <w:rPr>
          <w:rFonts w:ascii="Times New Roman" w:hAnsi="Times New Roman" w:cs="Times New Roman"/>
        </w:rPr>
      </w:pPr>
      <w:r w:rsidRPr="00CF7EEA">
        <w:rPr>
          <w:rFonts w:ascii="Times New Roman" w:hAnsi="Times New Roman" w:cs="Times New Roman"/>
        </w:rPr>
        <w:t>The interaction of AI, geopolitics, and sustainability affected the positioning of Unilever in international markets. Concerning market positioning, the firm will achieve a competitive advantage due to investment in digitalization and sustainability since there is a demand for innovations and environmental friendliness of the firm among consumers. The Power Brands of Unilever accounted for 78% of the turnover of Unilever in 2025, when the company focused on digital commerce, premiumisation, and important markets like USA and India (Unilever, 2025). However, geopolitical turbulence and increased costs may negatively impact the competitiveness of the firm due to more efficient local supply chain of its competitor.</w:t>
      </w:r>
    </w:p>
    <w:p w14:paraId="12DE3EAE" w14:textId="52A2C48E" w:rsidR="00CF7EEA" w:rsidRPr="00CF7EEA" w:rsidRDefault="00CF7EEA" w:rsidP="00CF7EEA">
      <w:pPr>
        <w:spacing w:line="360" w:lineRule="auto"/>
        <w:rPr>
          <w:rFonts w:ascii="Times New Roman" w:hAnsi="Times New Roman" w:cs="Times New Roman"/>
        </w:rPr>
      </w:pPr>
      <w:r w:rsidRPr="00CF7EEA">
        <w:rPr>
          <w:rFonts w:ascii="Times New Roman" w:hAnsi="Times New Roman" w:cs="Times New Roman"/>
        </w:rPr>
        <w:t>When it comes to innovation, the firm makes use of the AI technology to facilitate product development and decision-making processes about operations. Simulations supported by the technology are utilized in R&amp;D to minimi</w:t>
      </w:r>
      <w:r>
        <w:rPr>
          <w:rFonts w:ascii="Times New Roman" w:hAnsi="Times New Roman" w:cs="Times New Roman"/>
        </w:rPr>
        <w:t>s</w:t>
      </w:r>
      <w:r w:rsidRPr="00CF7EEA">
        <w:rPr>
          <w:rFonts w:ascii="Times New Roman" w:hAnsi="Times New Roman" w:cs="Times New Roman"/>
        </w:rPr>
        <w:t>e physical experiments and make innovations (Unilever, 2025). At the same time, technological change impacts the competencies of employees of the company. The company aims to develop competencies in AI and social skills and future fit skills of the marketers (Unilever, 2025). Thus, the competitiveness of Unilever in terms of technological change not only relies on investments in AI technology but also on necessary competencies.</w:t>
      </w:r>
    </w:p>
    <w:p w14:paraId="7076F2C1" w14:textId="73175E84" w:rsidR="00086A93" w:rsidRPr="00CF7EEA" w:rsidRDefault="00CF7EEA" w:rsidP="00CF7EEA">
      <w:pPr>
        <w:spacing w:line="360" w:lineRule="auto"/>
        <w:rPr>
          <w:rFonts w:ascii="Times New Roman" w:hAnsi="Times New Roman" w:cs="Times New Roman"/>
        </w:rPr>
      </w:pPr>
      <w:r w:rsidRPr="00CF7EEA">
        <w:rPr>
          <w:rFonts w:ascii="Times New Roman" w:hAnsi="Times New Roman" w:cs="Times New Roman"/>
        </w:rPr>
        <w:t xml:space="preserve">Overall, the global forces influence the firm in a similar way. For example, the application of AI technology ensures productivity, sustainability contributes to the brand value, and the diversification of the supply chain increases the resilience of the firm. On the other hand, </w:t>
      </w:r>
      <w:r w:rsidRPr="00CF7EEA">
        <w:rPr>
          <w:rFonts w:ascii="Times New Roman" w:hAnsi="Times New Roman" w:cs="Times New Roman"/>
        </w:rPr>
        <w:lastRenderedPageBreak/>
        <w:t>investments in technology, regulations, geopolitics, and the change in the workforce increase costs and complexity in the firm. Therefore, the international competitiveness of Unilever in the long-run perspective depends on the integration of technological innovation, talent management, sustainability, and resilience but not on global forces individually (Unilever, 2024; Unilever, 2025).</w:t>
      </w:r>
    </w:p>
    <w:p w14:paraId="73DC1436" w14:textId="093C0AB5" w:rsidR="00CF7EEA" w:rsidRPr="00CF7EEA" w:rsidRDefault="00CF7EEA" w:rsidP="00CF7EEA">
      <w:pPr>
        <w:spacing w:line="360" w:lineRule="auto"/>
        <w:rPr>
          <w:rFonts w:ascii="Times New Roman" w:hAnsi="Times New Roman" w:cs="Times New Roman"/>
          <w:b/>
          <w:bCs/>
        </w:rPr>
      </w:pPr>
      <w:r w:rsidRPr="00CF7EEA">
        <w:rPr>
          <w:rFonts w:ascii="Times New Roman" w:hAnsi="Times New Roman" w:cs="Times New Roman"/>
          <w:b/>
          <w:bCs/>
        </w:rPr>
        <w:t xml:space="preserve"> Strategic Recommendations</w:t>
      </w:r>
    </w:p>
    <w:p w14:paraId="721D03DA" w14:textId="5CF7F522" w:rsidR="00CF7EEA" w:rsidRPr="00CF7EEA" w:rsidRDefault="00CF7EEA" w:rsidP="00CF7EEA">
      <w:pPr>
        <w:spacing w:line="360" w:lineRule="auto"/>
        <w:rPr>
          <w:rFonts w:ascii="Times New Roman" w:hAnsi="Times New Roman" w:cs="Times New Roman"/>
        </w:rPr>
      </w:pPr>
      <w:r w:rsidRPr="00CF7EEA">
        <w:rPr>
          <w:rFonts w:ascii="Times New Roman" w:hAnsi="Times New Roman" w:cs="Times New Roman"/>
        </w:rPr>
        <w:t>To become more internationally competitive, the company must adopt an integrated approach involving technology adoption and supply chain sustainability and resilience. First, the company must develop its internal capacity in terms of AI and responsible usage governance as well as employee training. It is especially true because Unilever is already using artificial intelligence technologies in such areas as procurement and supplier onboarding (Unilever, 2025). As a result, competitiveness in the future will depend on proper utilization of these technologies. Moreover, 77% of the respondents among employers are planning to reskill or upskill their employees in response to AI transformation (World Economic Forum, 2025).</w:t>
      </w:r>
    </w:p>
    <w:p w14:paraId="4F8DCB4C" w14:textId="3E5F94BD" w:rsidR="00CF7EEA" w:rsidRPr="00CF7EEA" w:rsidRDefault="00CF7EEA" w:rsidP="00CF7EEA">
      <w:pPr>
        <w:spacing w:line="360" w:lineRule="auto"/>
        <w:rPr>
          <w:rFonts w:ascii="Times New Roman" w:hAnsi="Times New Roman" w:cs="Times New Roman"/>
        </w:rPr>
      </w:pPr>
      <w:r w:rsidRPr="00CF7EEA">
        <w:rPr>
          <w:rFonts w:ascii="Times New Roman" w:hAnsi="Times New Roman" w:cs="Times New Roman"/>
        </w:rPr>
        <w:t>Secondly, the company must diversify the list of its suppliers and not to rely on one region or transport route. Development of regional and alternative suppliers, as well as digital monitoring of the supply chain, will provide the company with resilience in case of geopolitical disruptions. Finally, the company must see the sustainability not only as a way of complying with certain regulations but also as a way of innovation and investment. The company sees sustainability as something that can be helpful in innovation and resilience (Unilever, 2025).</w:t>
      </w:r>
    </w:p>
    <w:p w14:paraId="723742B5" w14:textId="73D9F42B" w:rsidR="00CF7EEA" w:rsidRPr="00CF7EEA" w:rsidRDefault="00CF7EEA" w:rsidP="00CF7EEA">
      <w:pPr>
        <w:spacing w:line="360" w:lineRule="auto"/>
        <w:rPr>
          <w:rFonts w:ascii="Times New Roman" w:hAnsi="Times New Roman" w:cs="Times New Roman"/>
          <w:b/>
          <w:bCs/>
        </w:rPr>
      </w:pPr>
      <w:r w:rsidRPr="00CF7EEA">
        <w:rPr>
          <w:rFonts w:ascii="Times New Roman" w:hAnsi="Times New Roman" w:cs="Times New Roman"/>
          <w:b/>
          <w:bCs/>
        </w:rPr>
        <w:t>Conclusion</w:t>
      </w:r>
    </w:p>
    <w:p w14:paraId="5F7328F6" w14:textId="179D23B0" w:rsidR="00CF7EEA" w:rsidRDefault="00CF7EEA" w:rsidP="00CF7EEA">
      <w:pPr>
        <w:spacing w:line="360" w:lineRule="auto"/>
        <w:rPr>
          <w:rFonts w:ascii="Times New Roman" w:hAnsi="Times New Roman" w:cs="Times New Roman"/>
        </w:rPr>
      </w:pPr>
      <w:r w:rsidRPr="00CF7EEA">
        <w:rPr>
          <w:rFonts w:ascii="Times New Roman" w:hAnsi="Times New Roman" w:cs="Times New Roman"/>
        </w:rPr>
        <w:t>To sum up, the deployment of AI, geopolitical uncertainty and rising sustainability requirements are significantly altering the corporate environment within which Unilever operates around the world. Although AI can facilitate the process of becoming more productive and efficient in terms of innovation and decision making, it brings about certain challenges about governance, human resource management and technologies. Meanwhile, geopolitical uncertainty demonstrates the possible threats in connection with the interdependence of supply chains on the international level, whereas sustainability leads not only to the costs of compliance but also to the opportunity for the brand to be distinguished. The strategic vision of Unilever already considers AI, human resource management and sustainability as essential components of future success (Unilever, 2025).</w:t>
      </w:r>
    </w:p>
    <w:p w14:paraId="6E63CCAC" w14:textId="77777777" w:rsidR="00CF7EEA" w:rsidRDefault="00CF7EEA" w:rsidP="00CF7EEA">
      <w:pPr>
        <w:spacing w:line="360" w:lineRule="auto"/>
        <w:rPr>
          <w:rFonts w:ascii="Times New Roman" w:hAnsi="Times New Roman" w:cs="Times New Roman"/>
        </w:rPr>
      </w:pPr>
    </w:p>
    <w:p w14:paraId="44B9F3C4" w14:textId="77777777" w:rsidR="00CF7EEA" w:rsidRDefault="00CF7EEA" w:rsidP="00CF7EEA">
      <w:pPr>
        <w:spacing w:line="360" w:lineRule="auto"/>
        <w:rPr>
          <w:rFonts w:ascii="Times New Roman" w:hAnsi="Times New Roman" w:cs="Times New Roman"/>
        </w:rPr>
      </w:pPr>
    </w:p>
    <w:p w14:paraId="4BF6B880" w14:textId="77777777" w:rsidR="00CF7EEA" w:rsidRDefault="00CF7EEA" w:rsidP="00CF7EEA">
      <w:pPr>
        <w:spacing w:line="360" w:lineRule="auto"/>
        <w:rPr>
          <w:rFonts w:ascii="Times New Roman" w:hAnsi="Times New Roman" w:cs="Times New Roman"/>
        </w:rPr>
      </w:pPr>
    </w:p>
    <w:p w14:paraId="4A0DD4AE" w14:textId="77777777" w:rsidR="00CF7EEA" w:rsidRPr="00CF7EEA" w:rsidRDefault="00CF7EEA" w:rsidP="00CF7EEA">
      <w:pPr>
        <w:spacing w:line="360" w:lineRule="auto"/>
        <w:rPr>
          <w:rFonts w:ascii="Times New Roman" w:hAnsi="Times New Roman" w:cs="Times New Roman"/>
        </w:rPr>
      </w:pPr>
    </w:p>
    <w:p w14:paraId="4941CF0D" w14:textId="0FA5049C" w:rsidR="00CF7EEA" w:rsidRPr="00CF7EEA" w:rsidRDefault="00CF7EEA" w:rsidP="00CF7EEA">
      <w:pPr>
        <w:spacing w:line="360" w:lineRule="auto"/>
        <w:rPr>
          <w:rFonts w:ascii="Times New Roman" w:hAnsi="Times New Roman" w:cs="Times New Roman"/>
          <w:b/>
          <w:bCs/>
          <w:lang w:eastAsia="en-GB"/>
        </w:rPr>
      </w:pPr>
      <w:r w:rsidRPr="00CF7EEA">
        <w:rPr>
          <w:rFonts w:ascii="Times New Roman" w:hAnsi="Times New Roman" w:cs="Times New Roman"/>
          <w:b/>
          <w:bCs/>
          <w:lang w:eastAsia="en-GB"/>
        </w:rPr>
        <w:t>References</w:t>
      </w:r>
    </w:p>
    <w:p w14:paraId="7CB107CD"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European Commission (2024) </w:t>
      </w:r>
      <w:r w:rsidRPr="00CF7EEA">
        <w:rPr>
          <w:rFonts w:ascii="Times New Roman" w:eastAsia="Times New Roman" w:hAnsi="Times New Roman" w:cs="Times New Roman"/>
          <w:i/>
          <w:iCs/>
          <w:kern w:val="0"/>
          <w:lang w:eastAsia="en-GB"/>
          <w14:ligatures w14:val="none"/>
        </w:rPr>
        <w:t>Corporate sustainability reporting</w:t>
      </w:r>
      <w:r w:rsidRPr="00CF7EEA">
        <w:rPr>
          <w:rFonts w:ascii="Times New Roman" w:eastAsia="Times New Roman" w:hAnsi="Times New Roman" w:cs="Times New Roman"/>
          <w:kern w:val="0"/>
          <w:lang w:eastAsia="en-GB"/>
          <w14:ligatures w14:val="none"/>
        </w:rPr>
        <w:t xml:space="preserve">. Brussels: European Commission. </w:t>
      </w:r>
    </w:p>
    <w:p w14:paraId="2E853AC3"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European Parliament and Council of the European Union (2022) ‘Directive (EU) 2022/2464 of 14 December 2022 as regards corporate sustainability reporting’, </w:t>
      </w:r>
      <w:r w:rsidRPr="00CF7EEA">
        <w:rPr>
          <w:rFonts w:ascii="Times New Roman" w:eastAsia="Times New Roman" w:hAnsi="Times New Roman" w:cs="Times New Roman"/>
          <w:i/>
          <w:iCs/>
          <w:kern w:val="0"/>
          <w:lang w:eastAsia="en-GB"/>
          <w14:ligatures w14:val="none"/>
        </w:rPr>
        <w:t>Official Journal of the European Union</w:t>
      </w:r>
      <w:r w:rsidRPr="00CF7EEA">
        <w:rPr>
          <w:rFonts w:ascii="Times New Roman" w:eastAsia="Times New Roman" w:hAnsi="Times New Roman" w:cs="Times New Roman"/>
          <w:kern w:val="0"/>
          <w:lang w:eastAsia="en-GB"/>
          <w14:ligatures w14:val="none"/>
        </w:rPr>
        <w:t xml:space="preserve">, L322, pp. 15–80. </w:t>
      </w:r>
    </w:p>
    <w:p w14:paraId="482C04E9"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George, G., Merrill, R.K. and Schillebeeckx, S.J.D. (2021) ‘Digital sustainability and entrepreneurship: How digital innovations are helping tackle climate change and sustainable development’, </w:t>
      </w:r>
      <w:r w:rsidRPr="00CF7EEA">
        <w:rPr>
          <w:rFonts w:ascii="Times New Roman" w:eastAsia="Times New Roman" w:hAnsi="Times New Roman" w:cs="Times New Roman"/>
          <w:i/>
          <w:iCs/>
          <w:kern w:val="0"/>
          <w:lang w:eastAsia="en-GB"/>
          <w14:ligatures w14:val="none"/>
        </w:rPr>
        <w:t>Entrepreneurship Theory and Practice</w:t>
      </w:r>
      <w:r w:rsidRPr="00CF7EEA">
        <w:rPr>
          <w:rFonts w:ascii="Times New Roman" w:eastAsia="Times New Roman" w:hAnsi="Times New Roman" w:cs="Times New Roman"/>
          <w:kern w:val="0"/>
          <w:lang w:eastAsia="en-GB"/>
          <w14:ligatures w14:val="none"/>
        </w:rPr>
        <w:t xml:space="preserve">, 45(5), pp. 999–1027. </w:t>
      </w:r>
    </w:p>
    <w:p w14:paraId="5BC52FB7"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Ivanov, D. and </w:t>
      </w:r>
      <w:proofErr w:type="spellStart"/>
      <w:r w:rsidRPr="00CF7EEA">
        <w:rPr>
          <w:rFonts w:ascii="Times New Roman" w:eastAsia="Times New Roman" w:hAnsi="Times New Roman" w:cs="Times New Roman"/>
          <w:kern w:val="0"/>
          <w:lang w:eastAsia="en-GB"/>
          <w14:ligatures w14:val="none"/>
        </w:rPr>
        <w:t>Dolgui</w:t>
      </w:r>
      <w:proofErr w:type="spellEnd"/>
      <w:r w:rsidRPr="00CF7EEA">
        <w:rPr>
          <w:rFonts w:ascii="Times New Roman" w:eastAsia="Times New Roman" w:hAnsi="Times New Roman" w:cs="Times New Roman"/>
          <w:kern w:val="0"/>
          <w:lang w:eastAsia="en-GB"/>
          <w14:ligatures w14:val="none"/>
        </w:rPr>
        <w:t xml:space="preserve">, A. (2021) ‘A digital supply chain twin for managing the disruption risks and resilience in the era of Industry 4.0’, </w:t>
      </w:r>
      <w:r w:rsidRPr="00CF7EEA">
        <w:rPr>
          <w:rFonts w:ascii="Times New Roman" w:eastAsia="Times New Roman" w:hAnsi="Times New Roman" w:cs="Times New Roman"/>
          <w:i/>
          <w:iCs/>
          <w:kern w:val="0"/>
          <w:lang w:eastAsia="en-GB"/>
          <w14:ligatures w14:val="none"/>
        </w:rPr>
        <w:t>Production Planning &amp; Control</w:t>
      </w:r>
      <w:r w:rsidRPr="00CF7EEA">
        <w:rPr>
          <w:rFonts w:ascii="Times New Roman" w:eastAsia="Times New Roman" w:hAnsi="Times New Roman" w:cs="Times New Roman"/>
          <w:kern w:val="0"/>
          <w:lang w:eastAsia="en-GB"/>
          <w14:ligatures w14:val="none"/>
        </w:rPr>
        <w:t xml:space="preserve">, 32(9), pp. 775–788. </w:t>
      </w:r>
    </w:p>
    <w:p w14:paraId="36C46DDA"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Ivanov, D. and </w:t>
      </w:r>
      <w:proofErr w:type="spellStart"/>
      <w:r w:rsidRPr="00CF7EEA">
        <w:rPr>
          <w:rFonts w:ascii="Times New Roman" w:eastAsia="Times New Roman" w:hAnsi="Times New Roman" w:cs="Times New Roman"/>
          <w:kern w:val="0"/>
          <w:lang w:eastAsia="en-GB"/>
          <w14:ligatures w14:val="none"/>
        </w:rPr>
        <w:t>Dolgui</w:t>
      </w:r>
      <w:proofErr w:type="spellEnd"/>
      <w:r w:rsidRPr="00CF7EEA">
        <w:rPr>
          <w:rFonts w:ascii="Times New Roman" w:eastAsia="Times New Roman" w:hAnsi="Times New Roman" w:cs="Times New Roman"/>
          <w:kern w:val="0"/>
          <w:lang w:eastAsia="en-GB"/>
          <w14:ligatures w14:val="none"/>
        </w:rPr>
        <w:t xml:space="preserve">, A. (2022) ‘Stress testing supply chains and creating viable ecosystems’, </w:t>
      </w:r>
      <w:r w:rsidRPr="00CF7EEA">
        <w:rPr>
          <w:rFonts w:ascii="Times New Roman" w:eastAsia="Times New Roman" w:hAnsi="Times New Roman" w:cs="Times New Roman"/>
          <w:i/>
          <w:iCs/>
          <w:kern w:val="0"/>
          <w:lang w:eastAsia="en-GB"/>
          <w14:ligatures w14:val="none"/>
        </w:rPr>
        <w:t>Operations Management Research</w:t>
      </w:r>
      <w:r w:rsidRPr="00CF7EEA">
        <w:rPr>
          <w:rFonts w:ascii="Times New Roman" w:eastAsia="Times New Roman" w:hAnsi="Times New Roman" w:cs="Times New Roman"/>
          <w:kern w:val="0"/>
          <w:lang w:eastAsia="en-GB"/>
          <w14:ligatures w14:val="none"/>
        </w:rPr>
        <w:t xml:space="preserve">, 15, pp. 475–486. </w:t>
      </w:r>
    </w:p>
    <w:p w14:paraId="28B70D07" w14:textId="66792802"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CF7EEA">
        <w:rPr>
          <w:rFonts w:ascii="Times New Roman" w:eastAsia="Times New Roman" w:hAnsi="Times New Roman" w:cs="Times New Roman"/>
          <w:kern w:val="0"/>
          <w:lang w:eastAsia="en-GB"/>
          <w14:ligatures w14:val="none"/>
        </w:rPr>
        <w:t>Mikalef</w:t>
      </w:r>
      <w:proofErr w:type="spellEnd"/>
      <w:r w:rsidRPr="00CF7EEA">
        <w:rPr>
          <w:rFonts w:ascii="Times New Roman" w:eastAsia="Times New Roman" w:hAnsi="Times New Roman" w:cs="Times New Roman"/>
          <w:kern w:val="0"/>
          <w:lang w:eastAsia="en-GB"/>
          <w14:ligatures w14:val="none"/>
        </w:rPr>
        <w:t xml:space="preserve">, P. and Gupta, M. (2021) ‘Artificial intelligence capability: Conceptualization, measurement calibration, and empirical study on its impact on </w:t>
      </w:r>
      <w:r>
        <w:rPr>
          <w:rFonts w:ascii="Times New Roman" w:eastAsia="Times New Roman" w:hAnsi="Times New Roman" w:cs="Times New Roman"/>
          <w:kern w:val="0"/>
          <w:lang w:eastAsia="en-GB"/>
          <w14:ligatures w14:val="none"/>
        </w:rPr>
        <w:t>organisation</w:t>
      </w:r>
      <w:r w:rsidRPr="00CF7EEA">
        <w:rPr>
          <w:rFonts w:ascii="Times New Roman" w:eastAsia="Times New Roman" w:hAnsi="Times New Roman" w:cs="Times New Roman"/>
          <w:kern w:val="0"/>
          <w:lang w:eastAsia="en-GB"/>
          <w14:ligatures w14:val="none"/>
        </w:rPr>
        <w:t xml:space="preserve">al creativity and firm performance’, </w:t>
      </w:r>
      <w:r w:rsidRPr="00CF7EEA">
        <w:rPr>
          <w:rFonts w:ascii="Times New Roman" w:eastAsia="Times New Roman" w:hAnsi="Times New Roman" w:cs="Times New Roman"/>
          <w:i/>
          <w:iCs/>
          <w:kern w:val="0"/>
          <w:lang w:eastAsia="en-GB"/>
          <w14:ligatures w14:val="none"/>
        </w:rPr>
        <w:t>Information &amp; Management</w:t>
      </w:r>
      <w:r w:rsidRPr="00CF7EEA">
        <w:rPr>
          <w:rFonts w:ascii="Times New Roman" w:eastAsia="Times New Roman" w:hAnsi="Times New Roman" w:cs="Times New Roman"/>
          <w:kern w:val="0"/>
          <w:lang w:eastAsia="en-GB"/>
          <w14:ligatures w14:val="none"/>
        </w:rPr>
        <w:t xml:space="preserve">, 58(3), 103434. </w:t>
      </w:r>
    </w:p>
    <w:p w14:paraId="117B8E4D"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Modgil, S., Gupta, S., </w:t>
      </w:r>
      <w:proofErr w:type="spellStart"/>
      <w:r w:rsidRPr="00CF7EEA">
        <w:rPr>
          <w:rFonts w:ascii="Times New Roman" w:eastAsia="Times New Roman" w:hAnsi="Times New Roman" w:cs="Times New Roman"/>
          <w:kern w:val="0"/>
          <w:lang w:eastAsia="en-GB"/>
          <w14:ligatures w14:val="none"/>
        </w:rPr>
        <w:t>Stekelorum</w:t>
      </w:r>
      <w:proofErr w:type="spellEnd"/>
      <w:r w:rsidRPr="00CF7EEA">
        <w:rPr>
          <w:rFonts w:ascii="Times New Roman" w:eastAsia="Times New Roman" w:hAnsi="Times New Roman" w:cs="Times New Roman"/>
          <w:kern w:val="0"/>
          <w:lang w:eastAsia="en-GB"/>
          <w14:ligatures w14:val="none"/>
        </w:rPr>
        <w:t xml:space="preserve">, R. and </w:t>
      </w:r>
      <w:proofErr w:type="spellStart"/>
      <w:r w:rsidRPr="00CF7EEA">
        <w:rPr>
          <w:rFonts w:ascii="Times New Roman" w:eastAsia="Times New Roman" w:hAnsi="Times New Roman" w:cs="Times New Roman"/>
          <w:kern w:val="0"/>
          <w:lang w:eastAsia="en-GB"/>
          <w14:ligatures w14:val="none"/>
        </w:rPr>
        <w:t>Laguir</w:t>
      </w:r>
      <w:proofErr w:type="spellEnd"/>
      <w:r w:rsidRPr="00CF7EEA">
        <w:rPr>
          <w:rFonts w:ascii="Times New Roman" w:eastAsia="Times New Roman" w:hAnsi="Times New Roman" w:cs="Times New Roman"/>
          <w:kern w:val="0"/>
          <w:lang w:eastAsia="en-GB"/>
          <w14:ligatures w14:val="none"/>
        </w:rPr>
        <w:t xml:space="preserve">, I. (2022) ‘AI technologies and their impact on supply chain resilience during COVID-19’, </w:t>
      </w:r>
      <w:r w:rsidRPr="00CF7EEA">
        <w:rPr>
          <w:rFonts w:ascii="Times New Roman" w:eastAsia="Times New Roman" w:hAnsi="Times New Roman" w:cs="Times New Roman"/>
          <w:i/>
          <w:iCs/>
          <w:kern w:val="0"/>
          <w:lang w:eastAsia="en-GB"/>
          <w14:ligatures w14:val="none"/>
        </w:rPr>
        <w:t>International Journal of Physical Distribution &amp; Logistics Management</w:t>
      </w:r>
      <w:r w:rsidRPr="00CF7EEA">
        <w:rPr>
          <w:rFonts w:ascii="Times New Roman" w:eastAsia="Times New Roman" w:hAnsi="Times New Roman" w:cs="Times New Roman"/>
          <w:kern w:val="0"/>
          <w:lang w:eastAsia="en-GB"/>
          <w14:ligatures w14:val="none"/>
        </w:rPr>
        <w:t xml:space="preserve">, 52(2), pp. 130–149. </w:t>
      </w:r>
    </w:p>
    <w:p w14:paraId="4C0EE1C2"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Organisation for Economic Co-operation and Development (OECD) (2023) </w:t>
      </w:r>
      <w:r w:rsidRPr="00CF7EEA">
        <w:rPr>
          <w:rFonts w:ascii="Times New Roman" w:eastAsia="Times New Roman" w:hAnsi="Times New Roman" w:cs="Times New Roman"/>
          <w:i/>
          <w:iCs/>
          <w:kern w:val="0"/>
          <w:lang w:eastAsia="en-GB"/>
          <w14:ligatures w14:val="none"/>
        </w:rPr>
        <w:t>OECD Science, Technology and Innovation Outlook 2023: Enabling Transitions in Times of Disruption</w:t>
      </w:r>
      <w:r w:rsidRPr="00CF7EEA">
        <w:rPr>
          <w:rFonts w:ascii="Times New Roman" w:eastAsia="Times New Roman" w:hAnsi="Times New Roman" w:cs="Times New Roman"/>
          <w:kern w:val="0"/>
          <w:lang w:eastAsia="en-GB"/>
          <w14:ligatures w14:val="none"/>
        </w:rPr>
        <w:t xml:space="preserve">. Paris: OECD Publishing. </w:t>
      </w:r>
    </w:p>
    <w:p w14:paraId="71F7BBBF"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Unilever (2024) </w:t>
      </w:r>
      <w:r w:rsidRPr="00CF7EEA">
        <w:rPr>
          <w:rFonts w:ascii="Times New Roman" w:eastAsia="Times New Roman" w:hAnsi="Times New Roman" w:cs="Times New Roman"/>
          <w:i/>
          <w:iCs/>
          <w:kern w:val="0"/>
          <w:lang w:eastAsia="en-GB"/>
          <w14:ligatures w14:val="none"/>
        </w:rPr>
        <w:t>Annual Report and Accounts 2024</w:t>
      </w:r>
      <w:r w:rsidRPr="00CF7EEA">
        <w:rPr>
          <w:rFonts w:ascii="Times New Roman" w:eastAsia="Times New Roman" w:hAnsi="Times New Roman" w:cs="Times New Roman"/>
          <w:kern w:val="0"/>
          <w:lang w:eastAsia="en-GB"/>
          <w14:ligatures w14:val="none"/>
        </w:rPr>
        <w:t xml:space="preserve">. London: Unilever PLC. </w:t>
      </w:r>
    </w:p>
    <w:p w14:paraId="47EA7A49"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Unilever (2025) </w:t>
      </w:r>
      <w:r w:rsidRPr="00CF7EEA">
        <w:rPr>
          <w:rFonts w:ascii="Times New Roman" w:eastAsia="Times New Roman" w:hAnsi="Times New Roman" w:cs="Times New Roman"/>
          <w:i/>
          <w:iCs/>
          <w:kern w:val="0"/>
          <w:lang w:eastAsia="en-GB"/>
          <w14:ligatures w14:val="none"/>
        </w:rPr>
        <w:t>Annual Report and Accounts 2025</w:t>
      </w:r>
      <w:r w:rsidRPr="00CF7EEA">
        <w:rPr>
          <w:rFonts w:ascii="Times New Roman" w:eastAsia="Times New Roman" w:hAnsi="Times New Roman" w:cs="Times New Roman"/>
          <w:kern w:val="0"/>
          <w:lang w:eastAsia="en-GB"/>
          <w14:ligatures w14:val="none"/>
        </w:rPr>
        <w:t xml:space="preserve">. London: Unilever PLC. </w:t>
      </w:r>
    </w:p>
    <w:p w14:paraId="09620B94"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lastRenderedPageBreak/>
        <w:t xml:space="preserve">United Nations Conference on Trade and Development (UNCTAD) (2024a) </w:t>
      </w:r>
      <w:r w:rsidRPr="00CF7EEA">
        <w:rPr>
          <w:rFonts w:ascii="Times New Roman" w:eastAsia="Times New Roman" w:hAnsi="Times New Roman" w:cs="Times New Roman"/>
          <w:i/>
          <w:iCs/>
          <w:kern w:val="0"/>
          <w:lang w:eastAsia="en-GB"/>
          <w14:ligatures w14:val="none"/>
        </w:rPr>
        <w:t>Navigating Troubled Waters: Impact to Global Trade of Disruption of Shipping Routes in the Red Sea, Black Sea and Panama Canal</w:t>
      </w:r>
      <w:r w:rsidRPr="00CF7EEA">
        <w:rPr>
          <w:rFonts w:ascii="Times New Roman" w:eastAsia="Times New Roman" w:hAnsi="Times New Roman" w:cs="Times New Roman"/>
          <w:kern w:val="0"/>
          <w:lang w:eastAsia="en-GB"/>
          <w14:ligatures w14:val="none"/>
        </w:rPr>
        <w:t xml:space="preserve">. Geneva: United Nations. </w:t>
      </w:r>
    </w:p>
    <w:p w14:paraId="1162E411"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United Nations Conference on Trade and Development (UNCTAD) (2024b) </w:t>
      </w:r>
      <w:r w:rsidRPr="00CF7EEA">
        <w:rPr>
          <w:rFonts w:ascii="Times New Roman" w:eastAsia="Times New Roman" w:hAnsi="Times New Roman" w:cs="Times New Roman"/>
          <w:i/>
          <w:iCs/>
          <w:kern w:val="0"/>
          <w:lang w:eastAsia="en-GB"/>
          <w14:ligatures w14:val="none"/>
        </w:rPr>
        <w:t>Review of Maritime Transport 2024: Navigating Maritime Chokepoints</w:t>
      </w:r>
      <w:r w:rsidRPr="00CF7EEA">
        <w:rPr>
          <w:rFonts w:ascii="Times New Roman" w:eastAsia="Times New Roman" w:hAnsi="Times New Roman" w:cs="Times New Roman"/>
          <w:kern w:val="0"/>
          <w:lang w:eastAsia="en-GB"/>
          <w14:ligatures w14:val="none"/>
        </w:rPr>
        <w:t xml:space="preserve">. Geneva: United Nations. </w:t>
      </w:r>
    </w:p>
    <w:p w14:paraId="19D4159A"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World Economic Forum (2023) </w:t>
      </w:r>
      <w:r w:rsidRPr="00CF7EEA">
        <w:rPr>
          <w:rFonts w:ascii="Times New Roman" w:eastAsia="Times New Roman" w:hAnsi="Times New Roman" w:cs="Times New Roman"/>
          <w:i/>
          <w:iCs/>
          <w:kern w:val="0"/>
          <w:lang w:eastAsia="en-GB"/>
          <w14:ligatures w14:val="none"/>
        </w:rPr>
        <w:t>The Future of Jobs Report 2023</w:t>
      </w:r>
      <w:r w:rsidRPr="00CF7EEA">
        <w:rPr>
          <w:rFonts w:ascii="Times New Roman" w:eastAsia="Times New Roman" w:hAnsi="Times New Roman" w:cs="Times New Roman"/>
          <w:kern w:val="0"/>
          <w:lang w:eastAsia="en-GB"/>
          <w14:ligatures w14:val="none"/>
        </w:rPr>
        <w:t xml:space="preserve">. Geneva: World Economic Forum. </w:t>
      </w:r>
    </w:p>
    <w:p w14:paraId="784D7BF9"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World Economic Forum (2024) </w:t>
      </w:r>
      <w:r w:rsidRPr="00CF7EEA">
        <w:rPr>
          <w:rFonts w:ascii="Times New Roman" w:eastAsia="Times New Roman" w:hAnsi="Times New Roman" w:cs="Times New Roman"/>
          <w:i/>
          <w:iCs/>
          <w:kern w:val="0"/>
          <w:lang w:eastAsia="en-GB"/>
          <w14:ligatures w14:val="none"/>
        </w:rPr>
        <w:t>The Global Risks Report 2024</w:t>
      </w:r>
      <w:r w:rsidRPr="00CF7EEA">
        <w:rPr>
          <w:rFonts w:ascii="Times New Roman" w:eastAsia="Times New Roman" w:hAnsi="Times New Roman" w:cs="Times New Roman"/>
          <w:kern w:val="0"/>
          <w:lang w:eastAsia="en-GB"/>
          <w14:ligatures w14:val="none"/>
        </w:rPr>
        <w:t xml:space="preserve">. 19th </w:t>
      </w:r>
      <w:proofErr w:type="spellStart"/>
      <w:r w:rsidRPr="00CF7EEA">
        <w:rPr>
          <w:rFonts w:ascii="Times New Roman" w:eastAsia="Times New Roman" w:hAnsi="Times New Roman" w:cs="Times New Roman"/>
          <w:kern w:val="0"/>
          <w:lang w:eastAsia="en-GB"/>
          <w14:ligatures w14:val="none"/>
        </w:rPr>
        <w:t>edn</w:t>
      </w:r>
      <w:proofErr w:type="spellEnd"/>
      <w:r w:rsidRPr="00CF7EEA">
        <w:rPr>
          <w:rFonts w:ascii="Times New Roman" w:eastAsia="Times New Roman" w:hAnsi="Times New Roman" w:cs="Times New Roman"/>
          <w:kern w:val="0"/>
          <w:lang w:eastAsia="en-GB"/>
          <w14:ligatures w14:val="none"/>
        </w:rPr>
        <w:t xml:space="preserve">. Geneva: World Economic Forum. </w:t>
      </w:r>
    </w:p>
    <w:p w14:paraId="4F9A0727" w14:textId="77777777"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World Economic Forum (2025) </w:t>
      </w:r>
      <w:r w:rsidRPr="00CF7EEA">
        <w:rPr>
          <w:rFonts w:ascii="Times New Roman" w:eastAsia="Times New Roman" w:hAnsi="Times New Roman" w:cs="Times New Roman"/>
          <w:i/>
          <w:iCs/>
          <w:kern w:val="0"/>
          <w:lang w:eastAsia="en-GB"/>
          <w14:ligatures w14:val="none"/>
        </w:rPr>
        <w:t>The Future of Jobs Report 2025</w:t>
      </w:r>
      <w:r w:rsidRPr="00CF7EEA">
        <w:rPr>
          <w:rFonts w:ascii="Times New Roman" w:eastAsia="Times New Roman" w:hAnsi="Times New Roman" w:cs="Times New Roman"/>
          <w:kern w:val="0"/>
          <w:lang w:eastAsia="en-GB"/>
          <w14:ligatures w14:val="none"/>
        </w:rPr>
        <w:t xml:space="preserve">. Geneva: World Economic Forum. The report identifies AI, geoeconomic tensions and skills transformation as major forces reshaping businesses and employment. </w:t>
      </w:r>
    </w:p>
    <w:p w14:paraId="63113B35" w14:textId="25B0DA42" w:rsidR="00CF7EEA" w:rsidRPr="00CF7EEA" w:rsidRDefault="00CF7EEA" w:rsidP="00CF7EEA">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CF7EEA">
        <w:rPr>
          <w:rFonts w:ascii="Times New Roman" w:eastAsia="Times New Roman" w:hAnsi="Times New Roman" w:cs="Times New Roman"/>
          <w:kern w:val="0"/>
          <w:lang w:eastAsia="en-GB"/>
          <w14:ligatures w14:val="none"/>
        </w:rPr>
        <w:t xml:space="preserve">World Trade </w:t>
      </w:r>
      <w:r>
        <w:rPr>
          <w:rFonts w:ascii="Times New Roman" w:eastAsia="Times New Roman" w:hAnsi="Times New Roman" w:cs="Times New Roman"/>
          <w:kern w:val="0"/>
          <w:lang w:eastAsia="en-GB"/>
          <w14:ligatures w14:val="none"/>
        </w:rPr>
        <w:t>Organisation</w:t>
      </w:r>
      <w:r w:rsidRPr="00CF7EEA">
        <w:rPr>
          <w:rFonts w:ascii="Times New Roman" w:eastAsia="Times New Roman" w:hAnsi="Times New Roman" w:cs="Times New Roman"/>
          <w:kern w:val="0"/>
          <w:lang w:eastAsia="en-GB"/>
          <w14:ligatures w14:val="none"/>
        </w:rPr>
        <w:t xml:space="preserve"> (2023) </w:t>
      </w:r>
      <w:r w:rsidRPr="00CF7EEA">
        <w:rPr>
          <w:rFonts w:ascii="Times New Roman" w:eastAsia="Times New Roman" w:hAnsi="Times New Roman" w:cs="Times New Roman"/>
          <w:i/>
          <w:iCs/>
          <w:kern w:val="0"/>
          <w:lang w:eastAsia="en-GB"/>
          <w14:ligatures w14:val="none"/>
        </w:rPr>
        <w:t>World Trade Report 2023: Re-globalization for a Secure, Inclusive and Sustainable Future</w:t>
      </w:r>
      <w:r w:rsidRPr="00CF7EEA">
        <w:rPr>
          <w:rFonts w:ascii="Times New Roman" w:eastAsia="Times New Roman" w:hAnsi="Times New Roman" w:cs="Times New Roman"/>
          <w:kern w:val="0"/>
          <w:lang w:eastAsia="en-GB"/>
          <w14:ligatures w14:val="none"/>
        </w:rPr>
        <w:t>. Geneva: WTO.</w:t>
      </w:r>
    </w:p>
    <w:sectPr w:rsidR="00CF7EEA" w:rsidRPr="00CF7EE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60A00" w14:textId="77777777" w:rsidR="00FF00E8" w:rsidRDefault="00FF00E8" w:rsidP="008E22BB">
      <w:pPr>
        <w:spacing w:after="0" w:line="240" w:lineRule="auto"/>
      </w:pPr>
      <w:r>
        <w:separator/>
      </w:r>
    </w:p>
  </w:endnote>
  <w:endnote w:type="continuationSeparator" w:id="0">
    <w:p w14:paraId="282E5C6B" w14:textId="77777777" w:rsidR="00FF00E8" w:rsidRDefault="00FF00E8" w:rsidP="008E2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5379269"/>
      <w:docPartObj>
        <w:docPartGallery w:val="Page Numbers (Bottom of Page)"/>
        <w:docPartUnique/>
      </w:docPartObj>
    </w:sdtPr>
    <w:sdtEndPr>
      <w:rPr>
        <w:color w:val="7F7F7F" w:themeColor="background1" w:themeShade="7F"/>
        <w:spacing w:val="60"/>
      </w:rPr>
    </w:sdtEndPr>
    <w:sdtContent>
      <w:p w14:paraId="1AF1DE85" w14:textId="2C50DF09" w:rsidR="008E22BB" w:rsidRDefault="008E22B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FBAEA7C" w14:textId="77777777" w:rsidR="008E22BB" w:rsidRDefault="008E2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F2571" w14:textId="77777777" w:rsidR="00FF00E8" w:rsidRDefault="00FF00E8" w:rsidP="008E22BB">
      <w:pPr>
        <w:spacing w:after="0" w:line="240" w:lineRule="auto"/>
      </w:pPr>
      <w:r>
        <w:separator/>
      </w:r>
    </w:p>
  </w:footnote>
  <w:footnote w:type="continuationSeparator" w:id="0">
    <w:p w14:paraId="27C24A29" w14:textId="77777777" w:rsidR="00FF00E8" w:rsidRDefault="00FF00E8" w:rsidP="008E22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807FB3"/>
    <w:multiLevelType w:val="multilevel"/>
    <w:tmpl w:val="8E000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9540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2BB"/>
    <w:rsid w:val="00041CE0"/>
    <w:rsid w:val="00060E21"/>
    <w:rsid w:val="00086A93"/>
    <w:rsid w:val="001E33BC"/>
    <w:rsid w:val="002E0C6E"/>
    <w:rsid w:val="003F5461"/>
    <w:rsid w:val="008E22BB"/>
    <w:rsid w:val="00C30208"/>
    <w:rsid w:val="00CD16DC"/>
    <w:rsid w:val="00CF7EEA"/>
    <w:rsid w:val="00E7672F"/>
    <w:rsid w:val="00FF0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29BEB"/>
  <w15:chartTrackingRefBased/>
  <w15:docId w15:val="{5A4D3BF8-E9B2-4628-837A-AED341C59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22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8E22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22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22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22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22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22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22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8E22BB"/>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8E22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22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22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2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2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2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22BB"/>
    <w:rPr>
      <w:rFonts w:eastAsiaTheme="majorEastAsia" w:cstheme="majorBidi"/>
      <w:color w:val="272727" w:themeColor="text1" w:themeTint="D8"/>
    </w:rPr>
  </w:style>
  <w:style w:type="paragraph" w:styleId="Title">
    <w:name w:val="Title"/>
    <w:basedOn w:val="Normal"/>
    <w:next w:val="Normal"/>
    <w:link w:val="TitleChar"/>
    <w:uiPriority w:val="10"/>
    <w:qFormat/>
    <w:rsid w:val="008E2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2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2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22BB"/>
    <w:pPr>
      <w:spacing w:before="160"/>
      <w:jc w:val="center"/>
    </w:pPr>
    <w:rPr>
      <w:i/>
      <w:iCs/>
      <w:color w:val="404040" w:themeColor="text1" w:themeTint="BF"/>
    </w:rPr>
  </w:style>
  <w:style w:type="character" w:customStyle="1" w:styleId="QuoteChar">
    <w:name w:val="Quote Char"/>
    <w:basedOn w:val="DefaultParagraphFont"/>
    <w:link w:val="Quote"/>
    <w:uiPriority w:val="29"/>
    <w:rsid w:val="008E22BB"/>
    <w:rPr>
      <w:i/>
      <w:iCs/>
      <w:color w:val="404040" w:themeColor="text1" w:themeTint="BF"/>
    </w:rPr>
  </w:style>
  <w:style w:type="paragraph" w:styleId="ListParagraph">
    <w:name w:val="List Paragraph"/>
    <w:basedOn w:val="Normal"/>
    <w:uiPriority w:val="34"/>
    <w:qFormat/>
    <w:rsid w:val="008E22BB"/>
    <w:pPr>
      <w:ind w:left="720"/>
      <w:contextualSpacing/>
    </w:pPr>
  </w:style>
  <w:style w:type="character" w:styleId="IntenseEmphasis">
    <w:name w:val="Intense Emphasis"/>
    <w:basedOn w:val="DefaultParagraphFont"/>
    <w:uiPriority w:val="21"/>
    <w:qFormat/>
    <w:rsid w:val="008E22BB"/>
    <w:rPr>
      <w:i/>
      <w:iCs/>
      <w:color w:val="0F4761" w:themeColor="accent1" w:themeShade="BF"/>
    </w:rPr>
  </w:style>
  <w:style w:type="paragraph" w:styleId="IntenseQuote">
    <w:name w:val="Intense Quote"/>
    <w:basedOn w:val="Normal"/>
    <w:next w:val="Normal"/>
    <w:link w:val="IntenseQuoteChar"/>
    <w:uiPriority w:val="30"/>
    <w:qFormat/>
    <w:rsid w:val="008E22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22BB"/>
    <w:rPr>
      <w:i/>
      <w:iCs/>
      <w:color w:val="0F4761" w:themeColor="accent1" w:themeShade="BF"/>
    </w:rPr>
  </w:style>
  <w:style w:type="character" w:styleId="IntenseReference">
    <w:name w:val="Intense Reference"/>
    <w:basedOn w:val="DefaultParagraphFont"/>
    <w:uiPriority w:val="32"/>
    <w:qFormat/>
    <w:rsid w:val="008E22BB"/>
    <w:rPr>
      <w:b/>
      <w:bCs/>
      <w:smallCaps/>
      <w:color w:val="0F4761" w:themeColor="accent1" w:themeShade="BF"/>
      <w:spacing w:val="5"/>
    </w:rPr>
  </w:style>
  <w:style w:type="paragraph" w:styleId="Header">
    <w:name w:val="header"/>
    <w:basedOn w:val="Normal"/>
    <w:link w:val="HeaderChar"/>
    <w:uiPriority w:val="99"/>
    <w:unhideWhenUsed/>
    <w:rsid w:val="008E22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2BB"/>
  </w:style>
  <w:style w:type="paragraph" w:styleId="Footer">
    <w:name w:val="footer"/>
    <w:basedOn w:val="Normal"/>
    <w:link w:val="FooterChar"/>
    <w:uiPriority w:val="99"/>
    <w:unhideWhenUsed/>
    <w:rsid w:val="008E22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2BB"/>
  </w:style>
  <w:style w:type="paragraph" w:styleId="NormalWeb">
    <w:name w:val="Normal (Web)"/>
    <w:basedOn w:val="Normal"/>
    <w:uiPriority w:val="99"/>
    <w:unhideWhenUsed/>
    <w:rsid w:val="00CD16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2383</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2026-08-14T11:41:00Z</dcterms:created>
  <dcterms:modified xsi:type="dcterms:W3CDTF">2026-08-14T11:41:00Z</dcterms:modified>
</cp:coreProperties>
</file>