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0F7614" w14:textId="2508BAAC" w:rsidR="00BB1777" w:rsidRDefault="00BB1777">
      <w:r>
        <w:t xml:space="preserve">SOCIAL MEDIA </w:t>
      </w:r>
    </w:p>
    <w:p w14:paraId="7CD1658F" w14:textId="77777777" w:rsidR="00BB1777" w:rsidRDefault="00BB1777"/>
    <w:p w14:paraId="2B579934"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Arial" w:hAnsi="Arial" w:cs="Arial"/>
          <w:b/>
          <w:bCs/>
          <w:color w:val="000000"/>
          <w:kern w:val="0"/>
          <w:sz w:val="26"/>
          <w:szCs w:val="26"/>
          <w14:ligatures w14:val="none"/>
        </w:rPr>
        <w:t>Module Title:</w:t>
      </w:r>
      <w:r w:rsidRPr="00BB1777">
        <w:rPr>
          <w:rFonts w:ascii="Arial" w:hAnsi="Arial" w:cs="Arial"/>
          <w:color w:val="000000"/>
          <w:kern w:val="0"/>
          <w:sz w:val="26"/>
          <w:szCs w:val="26"/>
          <w14:ligatures w14:val="none"/>
        </w:rPr>
        <w:t> Psychology in Health and Social Care</w:t>
      </w:r>
    </w:p>
    <w:p w14:paraId="5A9D1ADC"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Arial" w:hAnsi="Arial" w:cs="Arial"/>
          <w:b/>
          <w:bCs/>
          <w:color w:val="000000"/>
          <w:kern w:val="0"/>
          <w:sz w:val="26"/>
          <w:szCs w:val="26"/>
          <w14:ligatures w14:val="none"/>
        </w:rPr>
        <w:t>Module Code:</w:t>
      </w:r>
      <w:r w:rsidRPr="00BB1777">
        <w:rPr>
          <w:rFonts w:ascii="Arial" w:hAnsi="Arial" w:cs="Arial"/>
          <w:color w:val="000000"/>
          <w:kern w:val="0"/>
          <w:sz w:val="26"/>
          <w:szCs w:val="26"/>
          <w14:ligatures w14:val="none"/>
        </w:rPr>
        <w:t> LCHS4010</w:t>
      </w:r>
    </w:p>
    <w:p w14:paraId="581C41E3"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Arial" w:hAnsi="Arial" w:cs="Arial"/>
          <w:b/>
          <w:bCs/>
          <w:color w:val="000000"/>
          <w:kern w:val="0"/>
          <w:sz w:val="26"/>
          <w:szCs w:val="26"/>
          <w14:ligatures w14:val="none"/>
        </w:rPr>
        <w:t>Assignment Title:</w:t>
      </w:r>
      <w:r w:rsidRPr="00BB1777">
        <w:rPr>
          <w:rFonts w:ascii="Arial" w:hAnsi="Arial" w:cs="Arial"/>
          <w:color w:val="000000"/>
          <w:kern w:val="0"/>
          <w:sz w:val="26"/>
          <w:szCs w:val="26"/>
          <w14:ligatures w14:val="none"/>
        </w:rPr>
        <w:t> Assessment 2: Essay</w:t>
      </w:r>
    </w:p>
    <w:p w14:paraId="4F1884BF"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Arial" w:hAnsi="Arial" w:cs="Arial"/>
          <w:b/>
          <w:bCs/>
          <w:color w:val="000000"/>
          <w:kern w:val="0"/>
          <w:sz w:val="26"/>
          <w:szCs w:val="26"/>
          <w14:ligatures w14:val="none"/>
        </w:rPr>
        <w:t>Essay Title:</w:t>
      </w:r>
      <w:r w:rsidRPr="00BB1777">
        <w:rPr>
          <w:rFonts w:ascii="Arial" w:hAnsi="Arial" w:cs="Arial"/>
          <w:color w:val="000000"/>
          <w:kern w:val="0"/>
          <w:sz w:val="26"/>
          <w:szCs w:val="26"/>
          <w14:ligatures w14:val="none"/>
        </w:rPr>
        <w:t> </w:t>
      </w:r>
      <w:r w:rsidRPr="00BB1777">
        <w:rPr>
          <w:rFonts w:ascii="Arial" w:hAnsi="Arial" w:cs="Arial"/>
          <w:i/>
          <w:iCs/>
          <w:color w:val="000000"/>
          <w:kern w:val="0"/>
          <w:sz w:val="26"/>
          <w:szCs w:val="26"/>
          <w14:ligatures w14:val="none"/>
        </w:rPr>
        <w:t>Discuss the Impact of Social Media on Mental Health in Adolescence</w:t>
      </w:r>
    </w:p>
    <w:p w14:paraId="7AA960B6"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Arial" w:hAnsi="Arial" w:cs="Arial"/>
          <w:b/>
          <w:bCs/>
          <w:color w:val="000000"/>
          <w:kern w:val="0"/>
          <w:sz w:val="26"/>
          <w:szCs w:val="26"/>
          <w14:ligatures w14:val="none"/>
        </w:rPr>
        <w:t>Student Name:</w:t>
      </w:r>
      <w:r w:rsidRPr="00BB1777">
        <w:rPr>
          <w:rFonts w:ascii="Arial" w:hAnsi="Arial" w:cs="Arial"/>
          <w:color w:val="000000"/>
          <w:kern w:val="0"/>
          <w:sz w:val="26"/>
          <w:szCs w:val="26"/>
          <w14:ligatures w14:val="none"/>
        </w:rPr>
        <w:t> Abibat Laura Bamidele Bamidele</w:t>
      </w:r>
    </w:p>
    <w:p w14:paraId="4EF01157"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Arial" w:hAnsi="Arial" w:cs="Arial"/>
          <w:b/>
          <w:bCs/>
          <w:color w:val="000000"/>
          <w:kern w:val="0"/>
          <w:sz w:val="26"/>
          <w:szCs w:val="26"/>
          <w14:ligatures w14:val="none"/>
        </w:rPr>
        <w:t>Student ID:</w:t>
      </w:r>
      <w:r w:rsidRPr="00BB1777">
        <w:rPr>
          <w:rFonts w:ascii="Arial" w:hAnsi="Arial" w:cs="Arial"/>
          <w:color w:val="000000"/>
          <w:kern w:val="0"/>
          <w:sz w:val="26"/>
          <w:szCs w:val="26"/>
          <w14:ligatures w14:val="none"/>
        </w:rPr>
        <w:t> 2513925</w:t>
      </w:r>
    </w:p>
    <w:p w14:paraId="6AD60DBF"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Arial" w:hAnsi="Arial" w:cs="Arial"/>
          <w:b/>
          <w:bCs/>
          <w:color w:val="000000"/>
          <w:kern w:val="0"/>
          <w:sz w:val="26"/>
          <w:szCs w:val="26"/>
          <w14:ligatures w14:val="none"/>
        </w:rPr>
        <w:t>Lecturer:</w:t>
      </w:r>
      <w:r w:rsidRPr="00BB1777">
        <w:rPr>
          <w:rFonts w:ascii="Arial" w:hAnsi="Arial" w:cs="Arial"/>
          <w:color w:val="000000"/>
          <w:kern w:val="0"/>
          <w:sz w:val="26"/>
          <w:szCs w:val="26"/>
          <w14:ligatures w14:val="none"/>
        </w:rPr>
        <w:t> Neale Haddon</w:t>
      </w:r>
    </w:p>
    <w:p w14:paraId="30DA3BBE" w14:textId="77777777" w:rsidR="00BB1777" w:rsidRPr="00BB1777" w:rsidRDefault="00BB1777" w:rsidP="00BB1777">
      <w:pPr>
        <w:spacing w:after="120" w:line="240" w:lineRule="auto"/>
        <w:jc w:val="center"/>
        <w:rPr>
          <w:rFonts w:ascii="-webkit-standard" w:hAnsi="-webkit-standard" w:cs="Times New Roman"/>
          <w:color w:val="000000"/>
          <w:kern w:val="0"/>
          <w:sz w:val="27"/>
          <w:szCs w:val="27"/>
          <w14:ligatures w14:val="none"/>
        </w:rPr>
      </w:pPr>
      <w:r w:rsidRPr="00BB1777">
        <w:rPr>
          <w:rFonts w:ascii="Arial" w:hAnsi="Arial" w:cs="Arial"/>
          <w:b/>
          <w:bCs/>
          <w:color w:val="000000"/>
          <w:kern w:val="0"/>
          <w:sz w:val="26"/>
          <w:szCs w:val="26"/>
          <w14:ligatures w14:val="none"/>
        </w:rPr>
        <w:t>Impact of Social Media on Adolescent Mental Health</w:t>
      </w:r>
    </w:p>
    <w:p w14:paraId="3F32BC51"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26"/>
          <w:szCs w:val="26"/>
          <w14:ligatures w14:val="none"/>
        </w:rPr>
        <w:t xml:space="preserve">Social media now forms part of the social environment in which many adolescents grow up. Platforms such as Instagram, TikTok, Snapchat and YouTube are used for entertainment, maintaining friendships, seeking information and presenting aspects of the self to others (Anderson and Jiang, 2018). Their influence on mental health therefore cannot be reduced to a simple judgement of "good" or "bad". Mental health includes emotional wellbeing, the ability to manage ordinary pressures and meaningful participation in social life (World Health </w:t>
      </w:r>
      <w:proofErr w:type="spellStart"/>
      <w:r w:rsidRPr="00BB1777">
        <w:rPr>
          <w:rFonts w:ascii="Arial" w:hAnsi="Arial" w:cs="Arial"/>
          <w:color w:val="000000"/>
          <w:kern w:val="0"/>
          <w:sz w:val="26"/>
          <w:szCs w:val="26"/>
          <w14:ligatures w14:val="none"/>
        </w:rPr>
        <w:t>Organization</w:t>
      </w:r>
      <w:proofErr w:type="spellEnd"/>
      <w:r w:rsidRPr="00BB1777">
        <w:rPr>
          <w:rFonts w:ascii="Arial" w:hAnsi="Arial" w:cs="Arial"/>
          <w:color w:val="000000"/>
          <w:kern w:val="0"/>
          <w:sz w:val="26"/>
          <w:szCs w:val="26"/>
          <w14:ligatures w14:val="none"/>
        </w:rPr>
        <w:t>, 2022). These areas are especially important during adolescence because young people are negotiating physical change, increasing independence and identity development. Evidence connects problematic use with anxiety, depressive symptoms, low self-esteem and body dissatisfaction, yet online interaction may also provide belonging and emotional support (</w:t>
      </w:r>
      <w:proofErr w:type="spellStart"/>
      <w:r w:rsidRPr="00BB1777">
        <w:rPr>
          <w:rFonts w:ascii="Arial" w:hAnsi="Arial" w:cs="Arial"/>
          <w:color w:val="000000"/>
          <w:kern w:val="0"/>
          <w:sz w:val="26"/>
          <w:szCs w:val="26"/>
          <w14:ligatures w14:val="none"/>
        </w:rPr>
        <w:t>Keles</w:t>
      </w:r>
      <w:proofErr w:type="spellEnd"/>
      <w:r w:rsidRPr="00BB1777">
        <w:rPr>
          <w:rFonts w:ascii="Arial" w:hAnsi="Arial" w:cs="Arial"/>
          <w:color w:val="000000"/>
          <w:kern w:val="0"/>
          <w:sz w:val="26"/>
          <w:szCs w:val="26"/>
          <w14:ligatures w14:val="none"/>
        </w:rPr>
        <w:t xml:space="preserve">, </w:t>
      </w:r>
      <w:proofErr w:type="spellStart"/>
      <w:r w:rsidRPr="00BB1777">
        <w:rPr>
          <w:rFonts w:ascii="Arial" w:hAnsi="Arial" w:cs="Arial"/>
          <w:color w:val="000000"/>
          <w:kern w:val="0"/>
          <w:sz w:val="26"/>
          <w:szCs w:val="26"/>
          <w14:ligatures w14:val="none"/>
        </w:rPr>
        <w:t>McCrae</w:t>
      </w:r>
      <w:proofErr w:type="spellEnd"/>
      <w:r w:rsidRPr="00BB1777">
        <w:rPr>
          <w:rFonts w:ascii="Arial" w:hAnsi="Arial" w:cs="Arial"/>
          <w:color w:val="000000"/>
          <w:kern w:val="0"/>
          <w:sz w:val="26"/>
          <w:szCs w:val="26"/>
          <w14:ligatures w14:val="none"/>
        </w:rPr>
        <w:t xml:space="preserve"> and </w:t>
      </w:r>
      <w:proofErr w:type="spellStart"/>
      <w:r w:rsidRPr="00BB1777">
        <w:rPr>
          <w:rFonts w:ascii="Arial" w:hAnsi="Arial" w:cs="Arial"/>
          <w:color w:val="000000"/>
          <w:kern w:val="0"/>
          <w:sz w:val="26"/>
          <w:szCs w:val="26"/>
          <w14:ligatures w14:val="none"/>
        </w:rPr>
        <w:t>Grealish</w:t>
      </w:r>
      <w:proofErr w:type="spellEnd"/>
      <w:r w:rsidRPr="00BB1777">
        <w:rPr>
          <w:rFonts w:ascii="Arial" w:hAnsi="Arial" w:cs="Arial"/>
          <w:color w:val="000000"/>
          <w:kern w:val="0"/>
          <w:sz w:val="26"/>
          <w:szCs w:val="26"/>
          <w14:ligatures w14:val="none"/>
        </w:rPr>
        <w:t xml:space="preserve">, 2020; Best, </w:t>
      </w:r>
      <w:proofErr w:type="spellStart"/>
      <w:r w:rsidRPr="00BB1777">
        <w:rPr>
          <w:rFonts w:ascii="Arial" w:hAnsi="Arial" w:cs="Arial"/>
          <w:color w:val="000000"/>
          <w:kern w:val="0"/>
          <w:sz w:val="26"/>
          <w:szCs w:val="26"/>
          <w14:ligatures w14:val="none"/>
        </w:rPr>
        <w:t>Manktelow</w:t>
      </w:r>
      <w:proofErr w:type="spellEnd"/>
      <w:r w:rsidRPr="00BB1777">
        <w:rPr>
          <w:rFonts w:ascii="Arial" w:hAnsi="Arial" w:cs="Arial"/>
          <w:color w:val="000000"/>
          <w:kern w:val="0"/>
          <w:sz w:val="26"/>
          <w:szCs w:val="26"/>
          <w14:ligatures w14:val="none"/>
        </w:rPr>
        <w:t xml:space="preserve"> and Taylor, 2014). This essay evaluates these contrasting effects through </w:t>
      </w:r>
      <w:proofErr w:type="spellStart"/>
      <w:r w:rsidRPr="00BB1777">
        <w:rPr>
          <w:rFonts w:ascii="Arial" w:hAnsi="Arial" w:cs="Arial"/>
          <w:color w:val="000000"/>
          <w:kern w:val="0"/>
          <w:sz w:val="26"/>
          <w:szCs w:val="26"/>
          <w14:ligatures w14:val="none"/>
        </w:rPr>
        <w:t>Erikson's</w:t>
      </w:r>
      <w:proofErr w:type="spellEnd"/>
      <w:r w:rsidRPr="00BB1777">
        <w:rPr>
          <w:rFonts w:ascii="Arial" w:hAnsi="Arial" w:cs="Arial"/>
          <w:color w:val="000000"/>
          <w:kern w:val="0"/>
          <w:sz w:val="26"/>
          <w:szCs w:val="26"/>
          <w14:ligatures w14:val="none"/>
        </w:rPr>
        <w:t xml:space="preserve"> psychosocial theory and </w:t>
      </w:r>
      <w:proofErr w:type="spellStart"/>
      <w:r w:rsidRPr="00BB1777">
        <w:rPr>
          <w:rFonts w:ascii="Arial" w:hAnsi="Arial" w:cs="Arial"/>
          <w:color w:val="000000"/>
          <w:kern w:val="0"/>
          <w:sz w:val="26"/>
          <w:szCs w:val="26"/>
          <w14:ligatures w14:val="none"/>
        </w:rPr>
        <w:t>Bowlby's</w:t>
      </w:r>
      <w:proofErr w:type="spellEnd"/>
      <w:r w:rsidRPr="00BB1777">
        <w:rPr>
          <w:rFonts w:ascii="Arial" w:hAnsi="Arial" w:cs="Arial"/>
          <w:color w:val="000000"/>
          <w:kern w:val="0"/>
          <w:sz w:val="26"/>
          <w:szCs w:val="26"/>
          <w14:ligatures w14:val="none"/>
        </w:rPr>
        <w:t xml:space="preserve"> attachment theory, while considering limitations within the research.</w:t>
      </w:r>
    </w:p>
    <w:p w14:paraId="186F5688"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26"/>
          <w:szCs w:val="26"/>
          <w14:ligatures w14:val="none"/>
        </w:rPr>
        <w:t xml:space="preserve">The effect of social media depends less on the technology itself than on how it is used, by whom and in what circumstances. An adolescent who exchanges messages with supportive friends may have a different experience from one who spends long periods silently viewing idealised content. </w:t>
      </w:r>
      <w:proofErr w:type="spellStart"/>
      <w:r w:rsidRPr="00BB1777">
        <w:rPr>
          <w:rFonts w:ascii="Arial" w:hAnsi="Arial" w:cs="Arial"/>
          <w:color w:val="000000"/>
          <w:kern w:val="0"/>
          <w:sz w:val="26"/>
          <w:szCs w:val="26"/>
          <w14:ligatures w14:val="none"/>
        </w:rPr>
        <w:t>Odgers</w:t>
      </w:r>
      <w:proofErr w:type="spellEnd"/>
      <w:r w:rsidRPr="00BB1777">
        <w:rPr>
          <w:rFonts w:ascii="Arial" w:hAnsi="Arial" w:cs="Arial"/>
          <w:color w:val="000000"/>
          <w:kern w:val="0"/>
          <w:sz w:val="26"/>
          <w:szCs w:val="26"/>
          <w14:ligatures w14:val="none"/>
        </w:rPr>
        <w:t xml:space="preserve"> and Jensen (2020) argue that average associations between digital technology and poor mental health are often modest and can conceal important differences between individuals. Frequency of use cannot therefore explain every outcome. The purpose of the activity, the young person's emotional state, the quality of relationships and existing vulnerabilities all shape the result. This helps explain why some adolescents report connection and enjoyment, whereas others experience pressure, exclusion or distress. Social media is better understood as an environment that can strengthen positive or negative experiences rather than an independent cause affecting every user equally.</w:t>
      </w:r>
    </w:p>
    <w:p w14:paraId="0257507D" w14:textId="77777777" w:rsidR="00BB1777" w:rsidRPr="00BB1777" w:rsidRDefault="00BB1777" w:rsidP="00BB1777">
      <w:pPr>
        <w:spacing w:after="120" w:line="240" w:lineRule="auto"/>
        <w:jc w:val="both"/>
        <w:rPr>
          <w:rFonts w:ascii="-webkit-standard" w:hAnsi="-webkit-standard" w:cs="Times New Roman"/>
          <w:color w:val="000000"/>
          <w:kern w:val="0"/>
          <w:sz w:val="27"/>
          <w:szCs w:val="27"/>
          <w14:ligatures w14:val="none"/>
        </w:rPr>
      </w:pPr>
      <w:r w:rsidRPr="00BB1777">
        <w:rPr>
          <w:rFonts w:ascii="-webkit-standard" w:hAnsi="-webkit-standard" w:cs="Times New Roman"/>
          <w:color w:val="000000"/>
          <w:kern w:val="0"/>
          <w:sz w:val="27"/>
          <w:szCs w:val="27"/>
          <w14:ligatures w14:val="none"/>
        </w:rPr>
        <w:t> </w:t>
      </w:r>
    </w:p>
    <w:p w14:paraId="6AB77DE9"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26"/>
          <w:szCs w:val="26"/>
          <w14:ligatures w14:val="none"/>
        </w:rPr>
        <w:t xml:space="preserve">Social comparison is one mechanism through which online activity may undermine wellbeing. Images and videos are frequently edited, filtered or carefully selected, so adolescents may compare ordinary aspects of their lives with controlled versions of other people's appearance and success. Repeated exposure can make unrealistic standards appear normal. Valkenburg, Meier and </w:t>
      </w:r>
      <w:proofErr w:type="spellStart"/>
      <w:r w:rsidRPr="00BB1777">
        <w:rPr>
          <w:rFonts w:ascii="Arial" w:hAnsi="Arial" w:cs="Arial"/>
          <w:color w:val="000000"/>
          <w:kern w:val="0"/>
          <w:sz w:val="26"/>
          <w:szCs w:val="26"/>
          <w14:ligatures w14:val="none"/>
        </w:rPr>
        <w:t>Beyens</w:t>
      </w:r>
      <w:proofErr w:type="spellEnd"/>
      <w:r w:rsidRPr="00BB1777">
        <w:rPr>
          <w:rFonts w:ascii="Arial" w:hAnsi="Arial" w:cs="Arial"/>
          <w:color w:val="000000"/>
          <w:kern w:val="0"/>
          <w:sz w:val="26"/>
          <w:szCs w:val="26"/>
          <w14:ligatures w14:val="none"/>
        </w:rPr>
        <w:t xml:space="preserve"> (2022) report associations between particular forms of social media use and body dissatisfaction, anxiety and depressive symptoms, although effects vary. Appearance-based comparison may be especially damaging for young people whose self-esteem is already uncertain. However, the direction of the relationship is not always clear: adolescents who feel dissatisfied or low may be more likely to seek comparison-based content. The evidence therefore supports an association, but does not prove that viewing such material alone creates a mental health problem.</w:t>
      </w:r>
    </w:p>
    <w:p w14:paraId="1C663DD3"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proofErr w:type="spellStart"/>
      <w:r w:rsidRPr="00BB1777">
        <w:rPr>
          <w:rFonts w:ascii="Arial" w:hAnsi="Arial" w:cs="Arial"/>
          <w:color w:val="000000"/>
          <w:kern w:val="0"/>
          <w:sz w:val="26"/>
          <w:szCs w:val="26"/>
          <w14:ligatures w14:val="none"/>
        </w:rPr>
        <w:t>Erikson's</w:t>
      </w:r>
      <w:proofErr w:type="spellEnd"/>
      <w:r w:rsidRPr="00BB1777">
        <w:rPr>
          <w:rFonts w:ascii="Arial" w:hAnsi="Arial" w:cs="Arial"/>
          <w:color w:val="000000"/>
          <w:kern w:val="0"/>
          <w:sz w:val="26"/>
          <w:szCs w:val="26"/>
          <w14:ligatures w14:val="none"/>
        </w:rPr>
        <w:t xml:space="preserve"> theory helps explain why approval and comparison carry particular weight during adolescence. In the stage of identity versus role confusion, young people attempt to establish a stable understanding of who they are and how they fit into society (</w:t>
      </w:r>
      <w:proofErr w:type="spellStart"/>
      <w:r w:rsidRPr="00BB1777">
        <w:rPr>
          <w:rFonts w:ascii="Arial" w:hAnsi="Arial" w:cs="Arial"/>
          <w:color w:val="000000"/>
          <w:kern w:val="0"/>
          <w:sz w:val="26"/>
          <w:szCs w:val="26"/>
          <w14:ligatures w14:val="none"/>
        </w:rPr>
        <w:t>Erikson</w:t>
      </w:r>
      <w:proofErr w:type="spellEnd"/>
      <w:r w:rsidRPr="00BB1777">
        <w:rPr>
          <w:rFonts w:ascii="Arial" w:hAnsi="Arial" w:cs="Arial"/>
          <w:color w:val="000000"/>
          <w:kern w:val="0"/>
          <w:sz w:val="26"/>
          <w:szCs w:val="26"/>
          <w14:ligatures w14:val="none"/>
        </w:rPr>
        <w:t xml:space="preserve">, 1968). Social media can assist this process by providing spaces to express interests, test viewpoints and meet people with similar experiences. However, it also turns identity presentation into something publicly measured through likes, comments and follower numbers. A young person may adjust their behaviour or appearance according to what receives attention. When online approval becomes a major source of self-worth, criticism or limited engagement may be experienced as personal rejection. From an </w:t>
      </w:r>
      <w:proofErr w:type="spellStart"/>
      <w:r w:rsidRPr="00BB1777">
        <w:rPr>
          <w:rFonts w:ascii="Arial" w:hAnsi="Arial" w:cs="Arial"/>
          <w:color w:val="000000"/>
          <w:kern w:val="0"/>
          <w:sz w:val="26"/>
          <w:szCs w:val="26"/>
          <w14:ligatures w14:val="none"/>
        </w:rPr>
        <w:t>Eriksonian</w:t>
      </w:r>
      <w:proofErr w:type="spellEnd"/>
      <w:r w:rsidRPr="00BB1777">
        <w:rPr>
          <w:rFonts w:ascii="Arial" w:hAnsi="Arial" w:cs="Arial"/>
          <w:color w:val="000000"/>
          <w:kern w:val="0"/>
          <w:sz w:val="26"/>
          <w:szCs w:val="26"/>
          <w14:ligatures w14:val="none"/>
        </w:rPr>
        <w:t xml:space="preserve"> perspective, the platform does not necessarily produce role confusion by itself; instead, it can intensify the uncertainty and sensitivity already associated with identity formation.</w:t>
      </w:r>
    </w:p>
    <w:p w14:paraId="195E7A88"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26"/>
          <w:szCs w:val="26"/>
          <w14:ligatures w14:val="none"/>
        </w:rPr>
        <w:t xml:space="preserve">Cyberbullying presents a more direct threat to adolescent mental health. Digital harassment can continue outside school hours and reach a wide audience quickly, leaving the victim with fewer opportunities to escape. Harmful posts may also be copied, shared or revisited, prolonging embarrassment and fear. </w:t>
      </w:r>
      <w:proofErr w:type="spellStart"/>
      <w:r w:rsidRPr="00BB1777">
        <w:rPr>
          <w:rFonts w:ascii="Arial" w:hAnsi="Arial" w:cs="Arial"/>
          <w:color w:val="000000"/>
          <w:kern w:val="0"/>
          <w:sz w:val="26"/>
          <w:szCs w:val="26"/>
          <w14:ligatures w14:val="none"/>
        </w:rPr>
        <w:t>Keles</w:t>
      </w:r>
      <w:proofErr w:type="spellEnd"/>
      <w:r w:rsidRPr="00BB1777">
        <w:rPr>
          <w:rFonts w:ascii="Arial" w:hAnsi="Arial" w:cs="Arial"/>
          <w:color w:val="000000"/>
          <w:kern w:val="0"/>
          <w:sz w:val="26"/>
          <w:szCs w:val="26"/>
          <w14:ligatures w14:val="none"/>
        </w:rPr>
        <w:t xml:space="preserve">, </w:t>
      </w:r>
      <w:proofErr w:type="spellStart"/>
      <w:r w:rsidRPr="00BB1777">
        <w:rPr>
          <w:rFonts w:ascii="Arial" w:hAnsi="Arial" w:cs="Arial"/>
          <w:color w:val="000000"/>
          <w:kern w:val="0"/>
          <w:sz w:val="26"/>
          <w:szCs w:val="26"/>
          <w14:ligatures w14:val="none"/>
        </w:rPr>
        <w:t>McCrae</w:t>
      </w:r>
      <w:proofErr w:type="spellEnd"/>
      <w:r w:rsidRPr="00BB1777">
        <w:rPr>
          <w:rFonts w:ascii="Arial" w:hAnsi="Arial" w:cs="Arial"/>
          <w:color w:val="000000"/>
          <w:kern w:val="0"/>
          <w:sz w:val="26"/>
          <w:szCs w:val="26"/>
          <w14:ligatures w14:val="none"/>
        </w:rPr>
        <w:t xml:space="preserve"> and </w:t>
      </w:r>
      <w:proofErr w:type="spellStart"/>
      <w:r w:rsidRPr="00BB1777">
        <w:rPr>
          <w:rFonts w:ascii="Arial" w:hAnsi="Arial" w:cs="Arial"/>
          <w:color w:val="000000"/>
          <w:kern w:val="0"/>
          <w:sz w:val="26"/>
          <w:szCs w:val="26"/>
          <w14:ligatures w14:val="none"/>
        </w:rPr>
        <w:t>Grealish</w:t>
      </w:r>
      <w:proofErr w:type="spellEnd"/>
      <w:r w:rsidRPr="00BB1777">
        <w:rPr>
          <w:rFonts w:ascii="Arial" w:hAnsi="Arial" w:cs="Arial"/>
          <w:color w:val="000000"/>
          <w:kern w:val="0"/>
          <w:sz w:val="26"/>
          <w:szCs w:val="26"/>
          <w14:ligatures w14:val="none"/>
        </w:rPr>
        <w:t xml:space="preserve"> (2020) identify links between negative online experiences and depression, anxiety and psychological distress. In severe situations, victimisation may be associated with self-harm thoughts or suicidal ideation. Outcomes are not identical for all victims, however. Support from parents, friends, teachers or other trusted adults can reduce isolation and help the young person respond. The psychological effect of cyberbullying is therefore influenced by the wider support system surrounding the adolescent as well as by events occurring online.</w:t>
      </w:r>
    </w:p>
    <w:p w14:paraId="588F73B2"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26"/>
          <w:szCs w:val="26"/>
          <w14:ligatures w14:val="none"/>
        </w:rPr>
        <w:t xml:space="preserve">Heavy or poorly regulated use may also affect wellbeing indirectly by displacing activities that protect mental health. Late-night use can interfere with sleep, while prolonged passive engagement may reduce opportunities for physical activity or face-to-face communication. </w:t>
      </w:r>
      <w:proofErr w:type="spellStart"/>
      <w:r w:rsidRPr="00BB1777">
        <w:rPr>
          <w:rFonts w:ascii="Arial" w:hAnsi="Arial" w:cs="Arial"/>
          <w:color w:val="000000"/>
          <w:kern w:val="0"/>
          <w:sz w:val="26"/>
          <w:szCs w:val="26"/>
          <w14:ligatures w14:val="none"/>
        </w:rPr>
        <w:t>Twenge</w:t>
      </w:r>
      <w:proofErr w:type="spellEnd"/>
      <w:r w:rsidRPr="00BB1777">
        <w:rPr>
          <w:rFonts w:ascii="Arial" w:hAnsi="Arial" w:cs="Arial"/>
          <w:color w:val="000000"/>
          <w:kern w:val="0"/>
          <w:sz w:val="26"/>
          <w:szCs w:val="26"/>
          <w14:ligatures w14:val="none"/>
        </w:rPr>
        <w:t xml:space="preserve"> et al. (2018) found that increases in depressive symptoms and suicide-related outcomes among United States adolescents occurred alongside greater use of new media. This does not establish that screen use was the sole explanation, because social, economic and cultural changes occurred during the same period. </w:t>
      </w:r>
      <w:proofErr w:type="spellStart"/>
      <w:r w:rsidRPr="00BB1777">
        <w:rPr>
          <w:rFonts w:ascii="Arial" w:hAnsi="Arial" w:cs="Arial"/>
          <w:color w:val="000000"/>
          <w:kern w:val="0"/>
          <w:sz w:val="26"/>
          <w:szCs w:val="26"/>
          <w14:ligatures w14:val="none"/>
        </w:rPr>
        <w:t>Odgers</w:t>
      </w:r>
      <w:proofErr w:type="spellEnd"/>
      <w:r w:rsidRPr="00BB1777">
        <w:rPr>
          <w:rFonts w:ascii="Arial" w:hAnsi="Arial" w:cs="Arial"/>
          <w:color w:val="000000"/>
          <w:kern w:val="0"/>
          <w:sz w:val="26"/>
          <w:szCs w:val="26"/>
          <w14:ligatures w14:val="none"/>
        </w:rPr>
        <w:t xml:space="preserve"> and Jensen (2020) similarly caution against treating broad screen-time measures as though all digital activities were equivalent. Messaging a friend, completing schoolwork and repeatedly viewing distressing content may involve the same device but produce different consequences. The strongest concern is therefore not ordinary use, but patterns that become compulsive, disrupt daily functioning or repeatedly expose the adolescent to harmful material.</w:t>
      </w:r>
    </w:p>
    <w:p w14:paraId="125647A9"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proofErr w:type="spellStart"/>
      <w:r w:rsidRPr="00BB1777">
        <w:rPr>
          <w:rFonts w:ascii="Arial" w:hAnsi="Arial" w:cs="Arial"/>
          <w:color w:val="000000"/>
          <w:kern w:val="0"/>
          <w:sz w:val="26"/>
          <w:szCs w:val="26"/>
          <w14:ligatures w14:val="none"/>
        </w:rPr>
        <w:t>Bowlby's</w:t>
      </w:r>
      <w:proofErr w:type="spellEnd"/>
      <w:r w:rsidRPr="00BB1777">
        <w:rPr>
          <w:rFonts w:ascii="Arial" w:hAnsi="Arial" w:cs="Arial"/>
          <w:color w:val="000000"/>
          <w:kern w:val="0"/>
          <w:sz w:val="26"/>
          <w:szCs w:val="26"/>
          <w14:ligatures w14:val="none"/>
        </w:rPr>
        <w:t xml:space="preserve"> attachment theory offers another explanation for why adolescents respond differently to online experiences. </w:t>
      </w:r>
      <w:proofErr w:type="spellStart"/>
      <w:r w:rsidRPr="00BB1777">
        <w:rPr>
          <w:rFonts w:ascii="Arial" w:hAnsi="Arial" w:cs="Arial"/>
          <w:color w:val="000000"/>
          <w:kern w:val="0"/>
          <w:sz w:val="26"/>
          <w:szCs w:val="26"/>
          <w14:ligatures w14:val="none"/>
        </w:rPr>
        <w:t>Bowlby</w:t>
      </w:r>
      <w:proofErr w:type="spellEnd"/>
      <w:r w:rsidRPr="00BB1777">
        <w:rPr>
          <w:rFonts w:ascii="Arial" w:hAnsi="Arial" w:cs="Arial"/>
          <w:color w:val="000000"/>
          <w:kern w:val="0"/>
          <w:sz w:val="26"/>
          <w:szCs w:val="26"/>
          <w14:ligatures w14:val="none"/>
        </w:rPr>
        <w:t xml:space="preserve"> (1969) proposed that early relationships contribute to internal working models concerning whether others are dependable and whether the self is worthy of care. Adolescents with secure attachment relationships may be better able to regulate distress, interpret online disagreement realistically and seek help when needed. In contrast, a young person with an insecure attachment pattern may depend more strongly on rapid replies, reassurance or visible approval from peers. Delayed messages, exclusion from group chats or changes in online relationships could then produce heightened anxiety. Social media does not create the attachment style, but its constant availability may repeatedly activate attachment-related expectations. This theory therefore shifts attention from the amount of use to the emotional function social media serves for the individual.</w:t>
      </w:r>
    </w:p>
    <w:p w14:paraId="1307E9A0"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26"/>
          <w:szCs w:val="26"/>
          <w14:ligatures w14:val="none"/>
        </w:rPr>
        <w:t xml:space="preserve">Despite these risks, social media can support wellbeing when it helps adolescents maintain meaningful relationships. Online communication enables contact with friends outside school, the sharing of concerns and access to communities that may not exist locally. This can be valuable for young people who feel isolated or find it difficult to discuss personal issues face to face. Best, </w:t>
      </w:r>
      <w:proofErr w:type="spellStart"/>
      <w:r w:rsidRPr="00BB1777">
        <w:rPr>
          <w:rFonts w:ascii="Arial" w:hAnsi="Arial" w:cs="Arial"/>
          <w:color w:val="000000"/>
          <w:kern w:val="0"/>
          <w:sz w:val="26"/>
          <w:szCs w:val="26"/>
          <w14:ligatures w14:val="none"/>
        </w:rPr>
        <w:t>Manktelow</w:t>
      </w:r>
      <w:proofErr w:type="spellEnd"/>
      <w:r w:rsidRPr="00BB1777">
        <w:rPr>
          <w:rFonts w:ascii="Arial" w:hAnsi="Arial" w:cs="Arial"/>
          <w:color w:val="000000"/>
          <w:kern w:val="0"/>
          <w:sz w:val="26"/>
          <w:szCs w:val="26"/>
          <w14:ligatures w14:val="none"/>
        </w:rPr>
        <w:t xml:space="preserve"> and Taylor (2014) found that online interaction can increase perceived social support, belonging and opportunities for help-seeking. These benefits are consistent with </w:t>
      </w:r>
      <w:proofErr w:type="spellStart"/>
      <w:r w:rsidRPr="00BB1777">
        <w:rPr>
          <w:rFonts w:ascii="Arial" w:hAnsi="Arial" w:cs="Arial"/>
          <w:color w:val="000000"/>
          <w:kern w:val="0"/>
          <w:sz w:val="26"/>
          <w:szCs w:val="26"/>
          <w14:ligatures w14:val="none"/>
        </w:rPr>
        <w:t>Erikson's</w:t>
      </w:r>
      <w:proofErr w:type="spellEnd"/>
      <w:r w:rsidRPr="00BB1777">
        <w:rPr>
          <w:rFonts w:ascii="Arial" w:hAnsi="Arial" w:cs="Arial"/>
          <w:color w:val="000000"/>
          <w:kern w:val="0"/>
          <w:sz w:val="26"/>
          <w:szCs w:val="26"/>
          <w14:ligatures w14:val="none"/>
        </w:rPr>
        <w:t xml:space="preserve"> view that identity develops through social exploration, because supportive communities may help young people clarify interests and values. They also fit </w:t>
      </w:r>
      <w:proofErr w:type="spellStart"/>
      <w:r w:rsidRPr="00BB1777">
        <w:rPr>
          <w:rFonts w:ascii="Arial" w:hAnsi="Arial" w:cs="Arial"/>
          <w:color w:val="000000"/>
          <w:kern w:val="0"/>
          <w:sz w:val="26"/>
          <w:szCs w:val="26"/>
          <w14:ligatures w14:val="none"/>
        </w:rPr>
        <w:t>Bowlby's</w:t>
      </w:r>
      <w:proofErr w:type="spellEnd"/>
      <w:r w:rsidRPr="00BB1777">
        <w:rPr>
          <w:rFonts w:ascii="Arial" w:hAnsi="Arial" w:cs="Arial"/>
          <w:color w:val="000000"/>
          <w:kern w:val="0"/>
          <w:sz w:val="26"/>
          <w:szCs w:val="26"/>
          <w14:ligatures w14:val="none"/>
        </w:rPr>
        <w:t xml:space="preserve"> theory when digital relationships supplement, rather than replace, reliable offline support. Online connection can therefore be psychologically helpful when it is reciprocal, respectful and linked to genuine support.</w:t>
      </w:r>
    </w:p>
    <w:p w14:paraId="319A60B0"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26"/>
          <w:szCs w:val="26"/>
          <w14:ligatures w14:val="none"/>
        </w:rPr>
        <w:t xml:space="preserve">The distinction between active and passive engagement is central to a balanced assessment. Direct conversation, creative participation and purposeful information-seeking may strengthen competence and connection. By contrast, repetitive scrolling, monitoring popularity and viewing appearance-focused content are more likely to encourage comparison or dissatisfaction. </w:t>
      </w:r>
      <w:proofErr w:type="spellStart"/>
      <w:r w:rsidRPr="00BB1777">
        <w:rPr>
          <w:rFonts w:ascii="Arial" w:hAnsi="Arial" w:cs="Arial"/>
          <w:color w:val="000000"/>
          <w:kern w:val="0"/>
          <w:sz w:val="26"/>
          <w:szCs w:val="26"/>
          <w14:ligatures w14:val="none"/>
        </w:rPr>
        <w:t>Odgers</w:t>
      </w:r>
      <w:proofErr w:type="spellEnd"/>
      <w:r w:rsidRPr="00BB1777">
        <w:rPr>
          <w:rFonts w:ascii="Arial" w:hAnsi="Arial" w:cs="Arial"/>
          <w:color w:val="000000"/>
          <w:kern w:val="0"/>
          <w:sz w:val="26"/>
          <w:szCs w:val="26"/>
          <w14:ligatures w14:val="none"/>
        </w:rPr>
        <w:t xml:space="preserve"> and Jensen (2020) emphasise that research should examine the content and context of digital behaviour instead of relying only on total hours. Practical responses should reflect this distinction. Parents, schools and health professionals may achieve more by promoting digital literacy, sleep routines, privacy awareness and safe reporting of bullying than by presenting all social media as dangerous. Adolescents also need guidance on recognising edited content, managing notifications and noticing when use begins to worsen mood. These approaches preserve possible benefits while reducing avoidable harm.</w:t>
      </w:r>
    </w:p>
    <w:p w14:paraId="0A7C174F"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26"/>
          <w:szCs w:val="26"/>
          <w14:ligatures w14:val="none"/>
        </w:rPr>
        <w:t xml:space="preserve">The evidence must nevertheless be interpreted cautiously because much research is cross-sectional and relies on self-reported behaviour. A survey conducted at one point can identify an association between high use and depressive symptoms, but cannot show which occurred first. Estimates of screen time may be inaccurate, and broad measures often fail to distinguish supportive communication from hostile or passive activity. Reviews by </w:t>
      </w:r>
      <w:proofErr w:type="spellStart"/>
      <w:r w:rsidRPr="00BB1777">
        <w:rPr>
          <w:rFonts w:ascii="Arial" w:hAnsi="Arial" w:cs="Arial"/>
          <w:color w:val="000000"/>
          <w:kern w:val="0"/>
          <w:sz w:val="26"/>
          <w:szCs w:val="26"/>
          <w14:ligatures w14:val="none"/>
        </w:rPr>
        <w:t>Keles</w:t>
      </w:r>
      <w:proofErr w:type="spellEnd"/>
      <w:r w:rsidRPr="00BB1777">
        <w:rPr>
          <w:rFonts w:ascii="Arial" w:hAnsi="Arial" w:cs="Arial"/>
          <w:color w:val="000000"/>
          <w:kern w:val="0"/>
          <w:sz w:val="26"/>
          <w:szCs w:val="26"/>
          <w14:ligatures w14:val="none"/>
        </w:rPr>
        <w:t xml:space="preserve">, </w:t>
      </w:r>
      <w:proofErr w:type="spellStart"/>
      <w:r w:rsidRPr="00BB1777">
        <w:rPr>
          <w:rFonts w:ascii="Arial" w:hAnsi="Arial" w:cs="Arial"/>
          <w:color w:val="000000"/>
          <w:kern w:val="0"/>
          <w:sz w:val="26"/>
          <w:szCs w:val="26"/>
          <w14:ligatures w14:val="none"/>
        </w:rPr>
        <w:t>McCrae</w:t>
      </w:r>
      <w:proofErr w:type="spellEnd"/>
      <w:r w:rsidRPr="00BB1777">
        <w:rPr>
          <w:rFonts w:ascii="Arial" w:hAnsi="Arial" w:cs="Arial"/>
          <w:color w:val="000000"/>
          <w:kern w:val="0"/>
          <w:sz w:val="26"/>
          <w:szCs w:val="26"/>
          <w14:ligatures w14:val="none"/>
        </w:rPr>
        <w:t xml:space="preserve"> and </w:t>
      </w:r>
      <w:proofErr w:type="spellStart"/>
      <w:r w:rsidRPr="00BB1777">
        <w:rPr>
          <w:rFonts w:ascii="Arial" w:hAnsi="Arial" w:cs="Arial"/>
          <w:color w:val="000000"/>
          <w:kern w:val="0"/>
          <w:sz w:val="26"/>
          <w:szCs w:val="26"/>
          <w14:ligatures w14:val="none"/>
        </w:rPr>
        <w:t>Grealish</w:t>
      </w:r>
      <w:proofErr w:type="spellEnd"/>
      <w:r w:rsidRPr="00BB1777">
        <w:rPr>
          <w:rFonts w:ascii="Arial" w:hAnsi="Arial" w:cs="Arial"/>
          <w:color w:val="000000"/>
          <w:kern w:val="0"/>
          <w:sz w:val="26"/>
          <w:szCs w:val="26"/>
          <w14:ligatures w14:val="none"/>
        </w:rPr>
        <w:t xml:space="preserve"> (2020) and Valkenburg, Meier and </w:t>
      </w:r>
      <w:proofErr w:type="spellStart"/>
      <w:r w:rsidRPr="00BB1777">
        <w:rPr>
          <w:rFonts w:ascii="Arial" w:hAnsi="Arial" w:cs="Arial"/>
          <w:color w:val="000000"/>
          <w:kern w:val="0"/>
          <w:sz w:val="26"/>
          <w:szCs w:val="26"/>
          <w14:ligatures w14:val="none"/>
        </w:rPr>
        <w:t>Beyens</w:t>
      </w:r>
      <w:proofErr w:type="spellEnd"/>
      <w:r w:rsidRPr="00BB1777">
        <w:rPr>
          <w:rFonts w:ascii="Arial" w:hAnsi="Arial" w:cs="Arial"/>
          <w:color w:val="000000"/>
          <w:kern w:val="0"/>
          <w:sz w:val="26"/>
          <w:szCs w:val="26"/>
          <w14:ligatures w14:val="none"/>
        </w:rPr>
        <w:t xml:space="preserve"> (2022) show that findings vary according to study design, the outcome measured and the population examined. Pre-existing mental health difficulties, family relationships, personality, socioeconomic conditions and offline bullying may influence both social media habits and wellbeing. Claims that social media alone causes adolescent mental illness therefore go beyond what the evidence can demonstrate. More longitudinal research using objective measures is needed to identify which adolescents are most vulnerable and which forms of engagement create the greatest risk.</w:t>
      </w:r>
    </w:p>
    <w:p w14:paraId="5596DD3B"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17"/>
          <w:szCs w:val="17"/>
          <w14:ligatures w14:val="none"/>
        </w:rPr>
        <w:t> </w:t>
      </w:r>
    </w:p>
    <w:p w14:paraId="17B20EBB" w14:textId="77777777" w:rsidR="00BB1777" w:rsidRPr="00BB1777" w:rsidRDefault="00BB1777" w:rsidP="00BB1777">
      <w:pPr>
        <w:spacing w:before="75" w:after="0"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26"/>
          <w:szCs w:val="26"/>
          <w14:ligatures w14:val="none"/>
        </w:rPr>
        <w:t xml:space="preserve">In conclusion, social media has a meaningful but uneven influence on adolescent mental health. It can expose young people to cyberbullying, appearance pressure, social comparison and patterns of use that interfere with sleep or daily life. These experiences may contribute to anxiety, depressive symptoms, low self-esteem and body dissatisfaction. At the same time, online platforms can sustain friendships, encourage help-seeking and provide communities in which adolescents feel understood. </w:t>
      </w:r>
      <w:proofErr w:type="spellStart"/>
      <w:r w:rsidRPr="00BB1777">
        <w:rPr>
          <w:rFonts w:ascii="Arial" w:hAnsi="Arial" w:cs="Arial"/>
          <w:color w:val="000000"/>
          <w:kern w:val="0"/>
          <w:sz w:val="26"/>
          <w:szCs w:val="26"/>
          <w14:ligatures w14:val="none"/>
        </w:rPr>
        <w:t>Erikson's</w:t>
      </w:r>
      <w:proofErr w:type="spellEnd"/>
      <w:r w:rsidRPr="00BB1777">
        <w:rPr>
          <w:rFonts w:ascii="Arial" w:hAnsi="Arial" w:cs="Arial"/>
          <w:color w:val="000000"/>
          <w:kern w:val="0"/>
          <w:sz w:val="26"/>
          <w:szCs w:val="26"/>
          <w14:ligatures w14:val="none"/>
        </w:rPr>
        <w:t xml:space="preserve"> theory demonstrates why feedback and self-presentation become powerful during identity formation, whereas </w:t>
      </w:r>
      <w:proofErr w:type="spellStart"/>
      <w:r w:rsidRPr="00BB1777">
        <w:rPr>
          <w:rFonts w:ascii="Arial" w:hAnsi="Arial" w:cs="Arial"/>
          <w:color w:val="000000"/>
          <w:kern w:val="0"/>
          <w:sz w:val="26"/>
          <w:szCs w:val="26"/>
          <w14:ligatures w14:val="none"/>
        </w:rPr>
        <w:t>Bowlby's</w:t>
      </w:r>
      <w:proofErr w:type="spellEnd"/>
      <w:r w:rsidRPr="00BB1777">
        <w:rPr>
          <w:rFonts w:ascii="Arial" w:hAnsi="Arial" w:cs="Arial"/>
          <w:color w:val="000000"/>
          <w:kern w:val="0"/>
          <w:sz w:val="26"/>
          <w:szCs w:val="26"/>
          <w14:ligatures w14:val="none"/>
        </w:rPr>
        <w:t xml:space="preserve"> theory explains how attachment security and trusted support may shape resilience. The overall impact is determined by an interaction between the adolescent, the type of online activity and the quality of wider relationships. Current studies show important associations but do not justify treating social media as the single cause of mental health difficulties. A more effective response is to promote safer, purposeful use while addressing the personal and social vulnerabilities that can turn online experiences into psychological harm.</w:t>
      </w:r>
    </w:p>
    <w:p w14:paraId="24EBDDCC"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Arial" w:hAnsi="Arial" w:cs="Arial"/>
          <w:color w:val="000000"/>
          <w:kern w:val="0"/>
          <w:sz w:val="17"/>
          <w:szCs w:val="17"/>
          <w14:ligatures w14:val="none"/>
        </w:rPr>
        <w:t> </w:t>
      </w:r>
    </w:p>
    <w:p w14:paraId="07A8A7FD" w14:textId="77777777" w:rsidR="00BB1777" w:rsidRPr="00BB1777" w:rsidRDefault="00BB1777" w:rsidP="00BB1777">
      <w:pPr>
        <w:spacing w:before="75" w:after="75" w:line="240" w:lineRule="auto"/>
        <w:rPr>
          <w:rFonts w:ascii="-webkit-standard" w:hAnsi="-webkit-standard" w:cs="Times New Roman"/>
          <w:color w:val="000000"/>
          <w:kern w:val="0"/>
          <w:sz w:val="27"/>
          <w:szCs w:val="27"/>
          <w14:ligatures w14:val="none"/>
        </w:rPr>
      </w:pPr>
      <w:r w:rsidRPr="00BB1777">
        <w:rPr>
          <w:rFonts w:ascii="Arial" w:hAnsi="Arial" w:cs="Arial"/>
          <w:b/>
          <w:bCs/>
          <w:color w:val="000000"/>
          <w:kern w:val="0"/>
          <w:sz w:val="26"/>
          <w:szCs w:val="26"/>
          <w14:ligatures w14:val="none"/>
        </w:rPr>
        <w:t>Harvard Reference List</w:t>
      </w:r>
    </w:p>
    <w:p w14:paraId="6C415652" w14:textId="77777777" w:rsidR="00BB1777" w:rsidRPr="00BB1777" w:rsidRDefault="00BB1777" w:rsidP="00BB1777">
      <w:pPr>
        <w:spacing w:after="120" w:line="240" w:lineRule="auto"/>
        <w:jc w:val="both"/>
        <w:rPr>
          <w:rFonts w:ascii="-webkit-standard" w:hAnsi="-webkit-standard" w:cs="Times New Roman"/>
          <w:color w:val="000000"/>
          <w:kern w:val="0"/>
          <w:sz w:val="27"/>
          <w:szCs w:val="27"/>
          <w14:ligatures w14:val="none"/>
        </w:rPr>
      </w:pPr>
      <w:r w:rsidRPr="00BB1777">
        <w:rPr>
          <w:rFonts w:ascii="Arial" w:hAnsi="Arial" w:cs="Arial"/>
          <w:b/>
          <w:bCs/>
          <w:color w:val="000000"/>
          <w:kern w:val="0"/>
          <w:sz w:val="17"/>
          <w:szCs w:val="17"/>
          <w14:ligatures w14:val="none"/>
        </w:rPr>
        <w:t> </w:t>
      </w:r>
    </w:p>
    <w:p w14:paraId="21997796" w14:textId="77777777" w:rsidR="00BB1777" w:rsidRPr="00BB1777" w:rsidRDefault="00BB1777" w:rsidP="00BB1777">
      <w:pPr>
        <w:spacing w:after="0" w:line="240" w:lineRule="auto"/>
        <w:ind w:hanging="270"/>
        <w:jc w:val="both"/>
        <w:rPr>
          <w:rFonts w:ascii="-webkit-standard" w:eastAsia="Times New Roman" w:hAnsi="-webkit-standard" w:cs="Times New Roman"/>
          <w:color w:val="000000"/>
          <w:kern w:val="0"/>
          <w:sz w:val="27"/>
          <w:szCs w:val="27"/>
          <w14:ligatures w14:val="none"/>
        </w:rPr>
      </w:pPr>
      <w:r w:rsidRPr="00BB1777">
        <w:rPr>
          <w:rFonts w:ascii="Symbol" w:eastAsia="Times New Roman" w:hAnsi="Symbol" w:cs="Times New Roman"/>
          <w:color w:val="000000"/>
          <w:kern w:val="0"/>
          <w:sz w:val="15"/>
          <w:szCs w:val="15"/>
          <w14:ligatures w14:val="none"/>
        </w:rPr>
        <w:t>• </w:t>
      </w:r>
      <w:r w:rsidRPr="00BB1777">
        <w:rPr>
          <w:rFonts w:ascii="Arial" w:eastAsia="Times New Roman" w:hAnsi="Arial" w:cs="Arial"/>
          <w:color w:val="000000"/>
          <w:kern w:val="0"/>
          <w:sz w:val="26"/>
          <w:szCs w:val="26"/>
          <w14:ligatures w14:val="none"/>
        </w:rPr>
        <w:t>Anderson, M. and Jiang, J. (2018) </w:t>
      </w:r>
      <w:r w:rsidRPr="00BB1777">
        <w:rPr>
          <w:rFonts w:ascii="Arial" w:eastAsia="Times New Roman" w:hAnsi="Arial" w:cs="Arial"/>
          <w:i/>
          <w:iCs/>
          <w:color w:val="000000"/>
          <w:kern w:val="0"/>
          <w:sz w:val="26"/>
          <w:szCs w:val="26"/>
          <w14:ligatures w14:val="none"/>
        </w:rPr>
        <w:t>Teens, Social Media &amp; Technology 2018</w:t>
      </w:r>
      <w:r w:rsidRPr="00BB1777">
        <w:rPr>
          <w:rFonts w:ascii="Arial" w:eastAsia="Times New Roman" w:hAnsi="Arial" w:cs="Arial"/>
          <w:color w:val="000000"/>
          <w:kern w:val="0"/>
          <w:sz w:val="26"/>
          <w:szCs w:val="26"/>
          <w14:ligatures w14:val="none"/>
        </w:rPr>
        <w:t xml:space="preserve">. Washington, DC: Pew Research </w:t>
      </w:r>
      <w:proofErr w:type="spellStart"/>
      <w:r w:rsidRPr="00BB1777">
        <w:rPr>
          <w:rFonts w:ascii="Arial" w:eastAsia="Times New Roman" w:hAnsi="Arial" w:cs="Arial"/>
          <w:color w:val="000000"/>
          <w:kern w:val="0"/>
          <w:sz w:val="26"/>
          <w:szCs w:val="26"/>
          <w14:ligatures w14:val="none"/>
        </w:rPr>
        <w:t>Center</w:t>
      </w:r>
      <w:proofErr w:type="spellEnd"/>
      <w:r w:rsidRPr="00BB1777">
        <w:rPr>
          <w:rFonts w:ascii="Arial" w:eastAsia="Times New Roman" w:hAnsi="Arial" w:cs="Arial"/>
          <w:color w:val="000000"/>
          <w:kern w:val="0"/>
          <w:sz w:val="26"/>
          <w:szCs w:val="26"/>
          <w14:ligatures w14:val="none"/>
        </w:rPr>
        <w:t>.</w:t>
      </w:r>
    </w:p>
    <w:p w14:paraId="178D6945" w14:textId="77777777" w:rsidR="00BB1777" w:rsidRPr="00BB1777" w:rsidRDefault="00BB1777" w:rsidP="00BB1777">
      <w:pPr>
        <w:spacing w:after="0" w:line="240" w:lineRule="auto"/>
        <w:ind w:hanging="270"/>
        <w:jc w:val="both"/>
        <w:rPr>
          <w:rFonts w:ascii="-webkit-standard" w:eastAsia="Times New Roman" w:hAnsi="-webkit-standard" w:cs="Times New Roman"/>
          <w:color w:val="000000"/>
          <w:kern w:val="0"/>
          <w:sz w:val="27"/>
          <w:szCs w:val="27"/>
          <w14:ligatures w14:val="none"/>
        </w:rPr>
      </w:pPr>
      <w:r w:rsidRPr="00BB1777">
        <w:rPr>
          <w:rFonts w:ascii="Symbol" w:eastAsia="Times New Roman" w:hAnsi="Symbol" w:cs="Times New Roman"/>
          <w:color w:val="000000"/>
          <w:kern w:val="0"/>
          <w:sz w:val="15"/>
          <w:szCs w:val="15"/>
          <w14:ligatures w14:val="none"/>
        </w:rPr>
        <w:t>• </w:t>
      </w:r>
      <w:r w:rsidRPr="00BB1777">
        <w:rPr>
          <w:rFonts w:ascii="Arial" w:eastAsia="Times New Roman" w:hAnsi="Arial" w:cs="Arial"/>
          <w:color w:val="000000"/>
          <w:kern w:val="0"/>
          <w:sz w:val="26"/>
          <w:szCs w:val="26"/>
          <w14:ligatures w14:val="none"/>
        </w:rPr>
        <w:t xml:space="preserve">Best, P., </w:t>
      </w:r>
      <w:proofErr w:type="spellStart"/>
      <w:r w:rsidRPr="00BB1777">
        <w:rPr>
          <w:rFonts w:ascii="Arial" w:eastAsia="Times New Roman" w:hAnsi="Arial" w:cs="Arial"/>
          <w:color w:val="000000"/>
          <w:kern w:val="0"/>
          <w:sz w:val="26"/>
          <w:szCs w:val="26"/>
          <w14:ligatures w14:val="none"/>
        </w:rPr>
        <w:t>Manktelow</w:t>
      </w:r>
      <w:proofErr w:type="spellEnd"/>
      <w:r w:rsidRPr="00BB1777">
        <w:rPr>
          <w:rFonts w:ascii="Arial" w:eastAsia="Times New Roman" w:hAnsi="Arial" w:cs="Arial"/>
          <w:color w:val="000000"/>
          <w:kern w:val="0"/>
          <w:sz w:val="26"/>
          <w:szCs w:val="26"/>
          <w14:ligatures w14:val="none"/>
        </w:rPr>
        <w:t>, R. and Taylor, B. (2014) ‘Online communication, social media and adolescent wellbeing: A systematic narrative review’, </w:t>
      </w:r>
      <w:r w:rsidRPr="00BB1777">
        <w:rPr>
          <w:rFonts w:ascii="Arial" w:eastAsia="Times New Roman" w:hAnsi="Arial" w:cs="Arial"/>
          <w:i/>
          <w:iCs/>
          <w:color w:val="000000"/>
          <w:kern w:val="0"/>
          <w:sz w:val="26"/>
          <w:szCs w:val="26"/>
          <w14:ligatures w14:val="none"/>
        </w:rPr>
        <w:t>Children and Youth Services Review</w:t>
      </w:r>
      <w:r w:rsidRPr="00BB1777">
        <w:rPr>
          <w:rFonts w:ascii="Arial" w:eastAsia="Times New Roman" w:hAnsi="Arial" w:cs="Arial"/>
          <w:color w:val="000000"/>
          <w:kern w:val="0"/>
          <w:sz w:val="26"/>
          <w:szCs w:val="26"/>
          <w14:ligatures w14:val="none"/>
        </w:rPr>
        <w:t>, 41, pp. 27–36.</w:t>
      </w:r>
    </w:p>
    <w:p w14:paraId="270C4340" w14:textId="77777777" w:rsidR="00BB1777" w:rsidRPr="00BB1777" w:rsidRDefault="00BB1777" w:rsidP="00BB1777">
      <w:pPr>
        <w:spacing w:after="0" w:line="240" w:lineRule="auto"/>
        <w:ind w:hanging="270"/>
        <w:jc w:val="both"/>
        <w:rPr>
          <w:rFonts w:ascii="-webkit-standard" w:eastAsia="Times New Roman" w:hAnsi="-webkit-standard" w:cs="Times New Roman"/>
          <w:color w:val="000000"/>
          <w:kern w:val="0"/>
          <w:sz w:val="27"/>
          <w:szCs w:val="27"/>
          <w14:ligatures w14:val="none"/>
        </w:rPr>
      </w:pPr>
      <w:r w:rsidRPr="00BB1777">
        <w:rPr>
          <w:rFonts w:ascii="Symbol" w:eastAsia="Times New Roman" w:hAnsi="Symbol" w:cs="Times New Roman"/>
          <w:color w:val="000000"/>
          <w:kern w:val="0"/>
          <w:sz w:val="15"/>
          <w:szCs w:val="15"/>
          <w14:ligatures w14:val="none"/>
        </w:rPr>
        <w:t>• </w:t>
      </w:r>
      <w:proofErr w:type="spellStart"/>
      <w:r w:rsidRPr="00BB1777">
        <w:rPr>
          <w:rFonts w:ascii="Arial" w:eastAsia="Times New Roman" w:hAnsi="Arial" w:cs="Arial"/>
          <w:color w:val="000000"/>
          <w:kern w:val="0"/>
          <w:sz w:val="26"/>
          <w:szCs w:val="26"/>
          <w14:ligatures w14:val="none"/>
        </w:rPr>
        <w:t>Bowlby</w:t>
      </w:r>
      <w:proofErr w:type="spellEnd"/>
      <w:r w:rsidRPr="00BB1777">
        <w:rPr>
          <w:rFonts w:ascii="Arial" w:eastAsia="Times New Roman" w:hAnsi="Arial" w:cs="Arial"/>
          <w:color w:val="000000"/>
          <w:kern w:val="0"/>
          <w:sz w:val="26"/>
          <w:szCs w:val="26"/>
          <w14:ligatures w14:val="none"/>
        </w:rPr>
        <w:t>, J. (1969) </w:t>
      </w:r>
      <w:r w:rsidRPr="00BB1777">
        <w:rPr>
          <w:rFonts w:ascii="Arial" w:eastAsia="Times New Roman" w:hAnsi="Arial" w:cs="Arial"/>
          <w:i/>
          <w:iCs/>
          <w:color w:val="000000"/>
          <w:kern w:val="0"/>
          <w:sz w:val="26"/>
          <w:szCs w:val="26"/>
          <w14:ligatures w14:val="none"/>
        </w:rPr>
        <w:t>Attachment and Loss: Volume 1. Attachment</w:t>
      </w:r>
      <w:r w:rsidRPr="00BB1777">
        <w:rPr>
          <w:rFonts w:ascii="Arial" w:eastAsia="Times New Roman" w:hAnsi="Arial" w:cs="Arial"/>
          <w:color w:val="000000"/>
          <w:kern w:val="0"/>
          <w:sz w:val="26"/>
          <w:szCs w:val="26"/>
          <w14:ligatures w14:val="none"/>
        </w:rPr>
        <w:t>. London: Hogarth Press.</w:t>
      </w:r>
    </w:p>
    <w:p w14:paraId="1C7CB728" w14:textId="77777777" w:rsidR="00BB1777" w:rsidRPr="00BB1777" w:rsidRDefault="00BB1777" w:rsidP="00BB1777">
      <w:pPr>
        <w:spacing w:after="0" w:line="240" w:lineRule="auto"/>
        <w:ind w:hanging="270"/>
        <w:jc w:val="both"/>
        <w:rPr>
          <w:rFonts w:ascii="-webkit-standard" w:eastAsia="Times New Roman" w:hAnsi="-webkit-standard" w:cs="Times New Roman"/>
          <w:color w:val="000000"/>
          <w:kern w:val="0"/>
          <w:sz w:val="27"/>
          <w:szCs w:val="27"/>
          <w14:ligatures w14:val="none"/>
        </w:rPr>
      </w:pPr>
      <w:r w:rsidRPr="00BB1777">
        <w:rPr>
          <w:rFonts w:ascii="Symbol" w:eastAsia="Times New Roman" w:hAnsi="Symbol" w:cs="Times New Roman"/>
          <w:color w:val="000000"/>
          <w:kern w:val="0"/>
          <w:sz w:val="15"/>
          <w:szCs w:val="15"/>
          <w14:ligatures w14:val="none"/>
        </w:rPr>
        <w:t>• </w:t>
      </w:r>
      <w:proofErr w:type="spellStart"/>
      <w:r w:rsidRPr="00BB1777">
        <w:rPr>
          <w:rFonts w:ascii="Arial" w:eastAsia="Times New Roman" w:hAnsi="Arial" w:cs="Arial"/>
          <w:color w:val="000000"/>
          <w:kern w:val="0"/>
          <w:sz w:val="26"/>
          <w:szCs w:val="26"/>
          <w14:ligatures w14:val="none"/>
        </w:rPr>
        <w:t>Erikson</w:t>
      </w:r>
      <w:proofErr w:type="spellEnd"/>
      <w:r w:rsidRPr="00BB1777">
        <w:rPr>
          <w:rFonts w:ascii="Arial" w:eastAsia="Times New Roman" w:hAnsi="Arial" w:cs="Arial"/>
          <w:color w:val="000000"/>
          <w:kern w:val="0"/>
          <w:sz w:val="26"/>
          <w:szCs w:val="26"/>
          <w14:ligatures w14:val="none"/>
        </w:rPr>
        <w:t>, E.H. (1968) </w:t>
      </w:r>
      <w:r w:rsidRPr="00BB1777">
        <w:rPr>
          <w:rFonts w:ascii="Arial" w:eastAsia="Times New Roman" w:hAnsi="Arial" w:cs="Arial"/>
          <w:i/>
          <w:iCs/>
          <w:color w:val="000000"/>
          <w:kern w:val="0"/>
          <w:sz w:val="26"/>
          <w:szCs w:val="26"/>
          <w14:ligatures w14:val="none"/>
        </w:rPr>
        <w:t>Identity: Youth and Crisis</w:t>
      </w:r>
      <w:r w:rsidRPr="00BB1777">
        <w:rPr>
          <w:rFonts w:ascii="Arial" w:eastAsia="Times New Roman" w:hAnsi="Arial" w:cs="Arial"/>
          <w:color w:val="000000"/>
          <w:kern w:val="0"/>
          <w:sz w:val="26"/>
          <w:szCs w:val="26"/>
          <w14:ligatures w14:val="none"/>
        </w:rPr>
        <w:t>. New York: W.W. Norton &amp; Company.</w:t>
      </w:r>
    </w:p>
    <w:p w14:paraId="778B4940" w14:textId="77777777" w:rsidR="00BB1777" w:rsidRPr="00BB1777" w:rsidRDefault="00BB1777" w:rsidP="00BB1777">
      <w:pPr>
        <w:spacing w:after="0" w:line="240" w:lineRule="auto"/>
        <w:ind w:hanging="270"/>
        <w:jc w:val="both"/>
        <w:rPr>
          <w:rFonts w:ascii="-webkit-standard" w:eastAsia="Times New Roman" w:hAnsi="-webkit-standard" w:cs="Times New Roman"/>
          <w:color w:val="000000"/>
          <w:kern w:val="0"/>
          <w:sz w:val="27"/>
          <w:szCs w:val="27"/>
          <w14:ligatures w14:val="none"/>
        </w:rPr>
      </w:pPr>
      <w:r w:rsidRPr="00BB1777">
        <w:rPr>
          <w:rFonts w:ascii="Symbol" w:eastAsia="Times New Roman" w:hAnsi="Symbol" w:cs="Times New Roman"/>
          <w:color w:val="000000"/>
          <w:kern w:val="0"/>
          <w:sz w:val="15"/>
          <w:szCs w:val="15"/>
          <w14:ligatures w14:val="none"/>
        </w:rPr>
        <w:t>• </w:t>
      </w:r>
      <w:proofErr w:type="spellStart"/>
      <w:r w:rsidRPr="00BB1777">
        <w:rPr>
          <w:rFonts w:ascii="Arial" w:eastAsia="Times New Roman" w:hAnsi="Arial" w:cs="Arial"/>
          <w:color w:val="000000"/>
          <w:kern w:val="0"/>
          <w:sz w:val="26"/>
          <w:szCs w:val="26"/>
          <w14:ligatures w14:val="none"/>
        </w:rPr>
        <w:t>Keles</w:t>
      </w:r>
      <w:proofErr w:type="spellEnd"/>
      <w:r w:rsidRPr="00BB1777">
        <w:rPr>
          <w:rFonts w:ascii="Arial" w:eastAsia="Times New Roman" w:hAnsi="Arial" w:cs="Arial"/>
          <w:color w:val="000000"/>
          <w:kern w:val="0"/>
          <w:sz w:val="26"/>
          <w:szCs w:val="26"/>
          <w14:ligatures w14:val="none"/>
        </w:rPr>
        <w:t xml:space="preserve">, B., </w:t>
      </w:r>
      <w:proofErr w:type="spellStart"/>
      <w:r w:rsidRPr="00BB1777">
        <w:rPr>
          <w:rFonts w:ascii="Arial" w:eastAsia="Times New Roman" w:hAnsi="Arial" w:cs="Arial"/>
          <w:color w:val="000000"/>
          <w:kern w:val="0"/>
          <w:sz w:val="26"/>
          <w:szCs w:val="26"/>
          <w14:ligatures w14:val="none"/>
        </w:rPr>
        <w:t>McCrae</w:t>
      </w:r>
      <w:proofErr w:type="spellEnd"/>
      <w:r w:rsidRPr="00BB1777">
        <w:rPr>
          <w:rFonts w:ascii="Arial" w:eastAsia="Times New Roman" w:hAnsi="Arial" w:cs="Arial"/>
          <w:color w:val="000000"/>
          <w:kern w:val="0"/>
          <w:sz w:val="26"/>
          <w:szCs w:val="26"/>
          <w14:ligatures w14:val="none"/>
        </w:rPr>
        <w:t xml:space="preserve">, N. and </w:t>
      </w:r>
      <w:proofErr w:type="spellStart"/>
      <w:r w:rsidRPr="00BB1777">
        <w:rPr>
          <w:rFonts w:ascii="Arial" w:eastAsia="Times New Roman" w:hAnsi="Arial" w:cs="Arial"/>
          <w:color w:val="000000"/>
          <w:kern w:val="0"/>
          <w:sz w:val="26"/>
          <w:szCs w:val="26"/>
          <w14:ligatures w14:val="none"/>
        </w:rPr>
        <w:t>Grealish</w:t>
      </w:r>
      <w:proofErr w:type="spellEnd"/>
      <w:r w:rsidRPr="00BB1777">
        <w:rPr>
          <w:rFonts w:ascii="Arial" w:eastAsia="Times New Roman" w:hAnsi="Arial" w:cs="Arial"/>
          <w:color w:val="000000"/>
          <w:kern w:val="0"/>
          <w:sz w:val="26"/>
          <w:szCs w:val="26"/>
          <w14:ligatures w14:val="none"/>
        </w:rPr>
        <w:t>, A. (2020) ‘A systematic review: The influence of social media on depression, anxiety and psychological distress in adolescents’, </w:t>
      </w:r>
      <w:r w:rsidRPr="00BB1777">
        <w:rPr>
          <w:rFonts w:ascii="Arial" w:eastAsia="Times New Roman" w:hAnsi="Arial" w:cs="Arial"/>
          <w:i/>
          <w:iCs/>
          <w:color w:val="000000"/>
          <w:kern w:val="0"/>
          <w:sz w:val="26"/>
          <w:szCs w:val="26"/>
          <w14:ligatures w14:val="none"/>
        </w:rPr>
        <w:t>International Journal of Adolescence and Youth</w:t>
      </w:r>
      <w:r w:rsidRPr="00BB1777">
        <w:rPr>
          <w:rFonts w:ascii="Arial" w:eastAsia="Times New Roman" w:hAnsi="Arial" w:cs="Arial"/>
          <w:color w:val="000000"/>
          <w:kern w:val="0"/>
          <w:sz w:val="26"/>
          <w:szCs w:val="26"/>
          <w14:ligatures w14:val="none"/>
        </w:rPr>
        <w:t>, 25(1), pp. 79–93.</w:t>
      </w:r>
    </w:p>
    <w:p w14:paraId="358626A5" w14:textId="77777777" w:rsidR="00BB1777" w:rsidRPr="00BB1777" w:rsidRDefault="00BB1777" w:rsidP="00BB1777">
      <w:pPr>
        <w:spacing w:after="0" w:line="240" w:lineRule="auto"/>
        <w:ind w:hanging="270"/>
        <w:jc w:val="both"/>
        <w:rPr>
          <w:rFonts w:ascii="-webkit-standard" w:eastAsia="Times New Roman" w:hAnsi="-webkit-standard" w:cs="Times New Roman"/>
          <w:color w:val="000000"/>
          <w:kern w:val="0"/>
          <w:sz w:val="27"/>
          <w:szCs w:val="27"/>
          <w14:ligatures w14:val="none"/>
        </w:rPr>
      </w:pPr>
      <w:r w:rsidRPr="00BB1777">
        <w:rPr>
          <w:rFonts w:ascii="Symbol" w:eastAsia="Times New Roman" w:hAnsi="Symbol" w:cs="Times New Roman"/>
          <w:color w:val="000000"/>
          <w:kern w:val="0"/>
          <w:sz w:val="15"/>
          <w:szCs w:val="15"/>
          <w14:ligatures w14:val="none"/>
        </w:rPr>
        <w:t>• </w:t>
      </w:r>
      <w:proofErr w:type="spellStart"/>
      <w:r w:rsidRPr="00BB1777">
        <w:rPr>
          <w:rFonts w:ascii="Arial" w:eastAsia="Times New Roman" w:hAnsi="Arial" w:cs="Arial"/>
          <w:color w:val="000000"/>
          <w:kern w:val="0"/>
          <w:sz w:val="26"/>
          <w:szCs w:val="26"/>
          <w14:ligatures w14:val="none"/>
        </w:rPr>
        <w:t>Odgers</w:t>
      </w:r>
      <w:proofErr w:type="spellEnd"/>
      <w:r w:rsidRPr="00BB1777">
        <w:rPr>
          <w:rFonts w:ascii="Arial" w:eastAsia="Times New Roman" w:hAnsi="Arial" w:cs="Arial"/>
          <w:color w:val="000000"/>
          <w:kern w:val="0"/>
          <w:sz w:val="26"/>
          <w:szCs w:val="26"/>
          <w14:ligatures w14:val="none"/>
        </w:rPr>
        <w:t>, C.L. and Jensen, M.R. (2020) ‘Annual Research Review: Adolescent mental health in the digital age: Facts, fears and future directions’, </w:t>
      </w:r>
      <w:r w:rsidRPr="00BB1777">
        <w:rPr>
          <w:rFonts w:ascii="Arial" w:eastAsia="Times New Roman" w:hAnsi="Arial" w:cs="Arial"/>
          <w:i/>
          <w:iCs/>
          <w:color w:val="000000"/>
          <w:kern w:val="0"/>
          <w:sz w:val="26"/>
          <w:szCs w:val="26"/>
          <w14:ligatures w14:val="none"/>
        </w:rPr>
        <w:t>Journal of Child Psychology and Psychiatry</w:t>
      </w:r>
      <w:r w:rsidRPr="00BB1777">
        <w:rPr>
          <w:rFonts w:ascii="Arial" w:eastAsia="Times New Roman" w:hAnsi="Arial" w:cs="Arial"/>
          <w:color w:val="000000"/>
          <w:kern w:val="0"/>
          <w:sz w:val="26"/>
          <w:szCs w:val="26"/>
          <w14:ligatures w14:val="none"/>
        </w:rPr>
        <w:t>, 61(3), pp. 336–348.</w:t>
      </w:r>
    </w:p>
    <w:p w14:paraId="76854E4C" w14:textId="77777777" w:rsidR="00BB1777" w:rsidRPr="00BB1777" w:rsidRDefault="00BB1777" w:rsidP="00BB1777">
      <w:pPr>
        <w:spacing w:after="0" w:line="240" w:lineRule="auto"/>
        <w:ind w:hanging="270"/>
        <w:jc w:val="both"/>
        <w:rPr>
          <w:rFonts w:ascii="-webkit-standard" w:eastAsia="Times New Roman" w:hAnsi="-webkit-standard" w:cs="Times New Roman"/>
          <w:color w:val="000000"/>
          <w:kern w:val="0"/>
          <w:sz w:val="27"/>
          <w:szCs w:val="27"/>
          <w14:ligatures w14:val="none"/>
        </w:rPr>
      </w:pPr>
      <w:r w:rsidRPr="00BB1777">
        <w:rPr>
          <w:rFonts w:ascii="Symbol" w:eastAsia="Times New Roman" w:hAnsi="Symbol" w:cs="Times New Roman"/>
          <w:color w:val="000000"/>
          <w:kern w:val="0"/>
          <w:sz w:val="15"/>
          <w:szCs w:val="15"/>
          <w14:ligatures w14:val="none"/>
        </w:rPr>
        <w:t>• </w:t>
      </w:r>
      <w:proofErr w:type="spellStart"/>
      <w:r w:rsidRPr="00BB1777">
        <w:rPr>
          <w:rFonts w:ascii="Arial" w:eastAsia="Times New Roman" w:hAnsi="Arial" w:cs="Arial"/>
          <w:color w:val="000000"/>
          <w:kern w:val="0"/>
          <w:sz w:val="26"/>
          <w:szCs w:val="26"/>
          <w14:ligatures w14:val="none"/>
        </w:rPr>
        <w:t>Twenge</w:t>
      </w:r>
      <w:proofErr w:type="spellEnd"/>
      <w:r w:rsidRPr="00BB1777">
        <w:rPr>
          <w:rFonts w:ascii="Arial" w:eastAsia="Times New Roman" w:hAnsi="Arial" w:cs="Arial"/>
          <w:color w:val="000000"/>
          <w:kern w:val="0"/>
          <w:sz w:val="26"/>
          <w:szCs w:val="26"/>
          <w14:ligatures w14:val="none"/>
        </w:rPr>
        <w:t>, J.M., Joiner, T.E., Rogers, M.L. and Martin, G.N. (2018) ‘Increases in depressive symptoms, suicide-related outcomes and suicide rates among U.S. adolescents after 2010 and links to increased new media screen time’, </w:t>
      </w:r>
      <w:r w:rsidRPr="00BB1777">
        <w:rPr>
          <w:rFonts w:ascii="Arial" w:eastAsia="Times New Roman" w:hAnsi="Arial" w:cs="Arial"/>
          <w:i/>
          <w:iCs/>
          <w:color w:val="000000"/>
          <w:kern w:val="0"/>
          <w:sz w:val="26"/>
          <w:szCs w:val="26"/>
          <w14:ligatures w14:val="none"/>
        </w:rPr>
        <w:t>Clinical Psychological Science</w:t>
      </w:r>
      <w:r w:rsidRPr="00BB1777">
        <w:rPr>
          <w:rFonts w:ascii="Arial" w:eastAsia="Times New Roman" w:hAnsi="Arial" w:cs="Arial"/>
          <w:color w:val="000000"/>
          <w:kern w:val="0"/>
          <w:sz w:val="26"/>
          <w:szCs w:val="26"/>
          <w14:ligatures w14:val="none"/>
        </w:rPr>
        <w:t>, 6(1), pp. 3–17.</w:t>
      </w:r>
    </w:p>
    <w:p w14:paraId="7319A8F3" w14:textId="77777777" w:rsidR="00BB1777" w:rsidRPr="00BB1777" w:rsidRDefault="00BB1777" w:rsidP="00BB1777">
      <w:pPr>
        <w:spacing w:after="0" w:line="240" w:lineRule="auto"/>
        <w:ind w:hanging="270"/>
        <w:jc w:val="both"/>
        <w:rPr>
          <w:rFonts w:ascii="-webkit-standard" w:eastAsia="Times New Roman" w:hAnsi="-webkit-standard" w:cs="Times New Roman"/>
          <w:color w:val="000000"/>
          <w:kern w:val="0"/>
          <w:sz w:val="27"/>
          <w:szCs w:val="27"/>
          <w14:ligatures w14:val="none"/>
        </w:rPr>
      </w:pPr>
      <w:r w:rsidRPr="00BB1777">
        <w:rPr>
          <w:rFonts w:ascii="Symbol" w:eastAsia="Times New Roman" w:hAnsi="Symbol" w:cs="Times New Roman"/>
          <w:color w:val="000000"/>
          <w:kern w:val="0"/>
          <w:sz w:val="15"/>
          <w:szCs w:val="15"/>
          <w14:ligatures w14:val="none"/>
        </w:rPr>
        <w:t>• </w:t>
      </w:r>
      <w:r w:rsidRPr="00BB1777">
        <w:rPr>
          <w:rFonts w:ascii="Arial" w:eastAsia="Times New Roman" w:hAnsi="Arial" w:cs="Arial"/>
          <w:color w:val="000000"/>
          <w:kern w:val="0"/>
          <w:sz w:val="26"/>
          <w:szCs w:val="26"/>
          <w14:ligatures w14:val="none"/>
        </w:rPr>
        <w:t xml:space="preserve">Valkenburg, P.M., Meier, A. and </w:t>
      </w:r>
      <w:proofErr w:type="spellStart"/>
      <w:r w:rsidRPr="00BB1777">
        <w:rPr>
          <w:rFonts w:ascii="Arial" w:eastAsia="Times New Roman" w:hAnsi="Arial" w:cs="Arial"/>
          <w:color w:val="000000"/>
          <w:kern w:val="0"/>
          <w:sz w:val="26"/>
          <w:szCs w:val="26"/>
          <w14:ligatures w14:val="none"/>
        </w:rPr>
        <w:t>Beyens</w:t>
      </w:r>
      <w:proofErr w:type="spellEnd"/>
      <w:r w:rsidRPr="00BB1777">
        <w:rPr>
          <w:rFonts w:ascii="Arial" w:eastAsia="Times New Roman" w:hAnsi="Arial" w:cs="Arial"/>
          <w:color w:val="000000"/>
          <w:kern w:val="0"/>
          <w:sz w:val="26"/>
          <w:szCs w:val="26"/>
          <w14:ligatures w14:val="none"/>
        </w:rPr>
        <w:t>, I. (2022) ‘Social media use and its impact on adolescent mental health: An umbrella review of the evidence’, </w:t>
      </w:r>
      <w:r w:rsidRPr="00BB1777">
        <w:rPr>
          <w:rFonts w:ascii="Arial" w:eastAsia="Times New Roman" w:hAnsi="Arial" w:cs="Arial"/>
          <w:i/>
          <w:iCs/>
          <w:color w:val="000000"/>
          <w:kern w:val="0"/>
          <w:sz w:val="26"/>
          <w:szCs w:val="26"/>
          <w14:ligatures w14:val="none"/>
        </w:rPr>
        <w:t>Current Opinion in Psychology</w:t>
      </w:r>
      <w:r w:rsidRPr="00BB1777">
        <w:rPr>
          <w:rFonts w:ascii="Arial" w:eastAsia="Times New Roman" w:hAnsi="Arial" w:cs="Arial"/>
          <w:color w:val="000000"/>
          <w:kern w:val="0"/>
          <w:sz w:val="26"/>
          <w:szCs w:val="26"/>
          <w14:ligatures w14:val="none"/>
        </w:rPr>
        <w:t>, 44, pp. 58–68.</w:t>
      </w:r>
    </w:p>
    <w:p w14:paraId="3A736F55" w14:textId="77777777" w:rsidR="00BB1777" w:rsidRPr="00BB1777" w:rsidRDefault="00BB1777" w:rsidP="00BB1777">
      <w:pPr>
        <w:spacing w:after="0" w:line="240" w:lineRule="auto"/>
        <w:ind w:hanging="270"/>
        <w:jc w:val="both"/>
        <w:rPr>
          <w:rFonts w:ascii="-webkit-standard" w:eastAsia="Times New Roman" w:hAnsi="-webkit-standard" w:cs="Times New Roman"/>
          <w:color w:val="000000"/>
          <w:kern w:val="0"/>
          <w:sz w:val="27"/>
          <w:szCs w:val="27"/>
          <w14:ligatures w14:val="none"/>
        </w:rPr>
      </w:pPr>
      <w:r w:rsidRPr="00BB1777">
        <w:rPr>
          <w:rFonts w:ascii="Symbol" w:eastAsia="Times New Roman" w:hAnsi="Symbol" w:cs="Times New Roman"/>
          <w:color w:val="000000"/>
          <w:kern w:val="0"/>
          <w:sz w:val="15"/>
          <w:szCs w:val="15"/>
          <w14:ligatures w14:val="none"/>
        </w:rPr>
        <w:t>• </w:t>
      </w:r>
      <w:r w:rsidRPr="00BB1777">
        <w:rPr>
          <w:rFonts w:ascii="Arial" w:eastAsia="Times New Roman" w:hAnsi="Arial" w:cs="Arial"/>
          <w:color w:val="000000"/>
          <w:kern w:val="0"/>
          <w:sz w:val="26"/>
          <w:szCs w:val="26"/>
          <w14:ligatures w14:val="none"/>
        </w:rPr>
        <w:t xml:space="preserve">World Health </w:t>
      </w:r>
      <w:proofErr w:type="spellStart"/>
      <w:r w:rsidRPr="00BB1777">
        <w:rPr>
          <w:rFonts w:ascii="Arial" w:eastAsia="Times New Roman" w:hAnsi="Arial" w:cs="Arial"/>
          <w:color w:val="000000"/>
          <w:kern w:val="0"/>
          <w:sz w:val="26"/>
          <w:szCs w:val="26"/>
          <w14:ligatures w14:val="none"/>
        </w:rPr>
        <w:t>Organization</w:t>
      </w:r>
      <w:proofErr w:type="spellEnd"/>
      <w:r w:rsidRPr="00BB1777">
        <w:rPr>
          <w:rFonts w:ascii="Arial" w:eastAsia="Times New Roman" w:hAnsi="Arial" w:cs="Arial"/>
          <w:color w:val="000000"/>
          <w:kern w:val="0"/>
          <w:sz w:val="26"/>
          <w:szCs w:val="26"/>
          <w14:ligatures w14:val="none"/>
        </w:rPr>
        <w:t xml:space="preserve"> (2022) </w:t>
      </w:r>
      <w:r w:rsidRPr="00BB1777">
        <w:rPr>
          <w:rFonts w:ascii="Arial" w:eastAsia="Times New Roman" w:hAnsi="Arial" w:cs="Arial"/>
          <w:i/>
          <w:iCs/>
          <w:color w:val="000000"/>
          <w:kern w:val="0"/>
          <w:sz w:val="26"/>
          <w:szCs w:val="26"/>
          <w14:ligatures w14:val="none"/>
        </w:rPr>
        <w:t>World Mental Health Report: Transforming Mental Health for All</w:t>
      </w:r>
      <w:r w:rsidRPr="00BB1777">
        <w:rPr>
          <w:rFonts w:ascii="Arial" w:eastAsia="Times New Roman" w:hAnsi="Arial" w:cs="Arial"/>
          <w:color w:val="000000"/>
          <w:kern w:val="0"/>
          <w:sz w:val="26"/>
          <w:szCs w:val="26"/>
          <w14:ligatures w14:val="none"/>
        </w:rPr>
        <w:t xml:space="preserve">. Geneva: World Health </w:t>
      </w:r>
      <w:proofErr w:type="spellStart"/>
      <w:r w:rsidRPr="00BB1777">
        <w:rPr>
          <w:rFonts w:ascii="Arial" w:eastAsia="Times New Roman" w:hAnsi="Arial" w:cs="Arial"/>
          <w:color w:val="000000"/>
          <w:kern w:val="0"/>
          <w:sz w:val="26"/>
          <w:szCs w:val="26"/>
          <w14:ligatures w14:val="none"/>
        </w:rPr>
        <w:t>Organization</w:t>
      </w:r>
      <w:proofErr w:type="spellEnd"/>
      <w:r w:rsidRPr="00BB1777">
        <w:rPr>
          <w:rFonts w:ascii="Arial" w:eastAsia="Times New Roman" w:hAnsi="Arial" w:cs="Arial"/>
          <w:color w:val="000000"/>
          <w:kern w:val="0"/>
          <w:sz w:val="26"/>
          <w:szCs w:val="26"/>
          <w14:ligatures w14:val="none"/>
        </w:rPr>
        <w:t>.</w:t>
      </w:r>
    </w:p>
    <w:p w14:paraId="7982EFDC"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webkit-standard" w:hAnsi="-webkit-standard" w:cs="Times New Roman"/>
          <w:color w:val="000000"/>
          <w:kern w:val="0"/>
          <w:sz w:val="27"/>
          <w:szCs w:val="27"/>
          <w14:ligatures w14:val="none"/>
        </w:rPr>
        <w:t> </w:t>
      </w:r>
    </w:p>
    <w:p w14:paraId="2F38BEEA" w14:textId="77777777" w:rsidR="00BB1777" w:rsidRPr="00BB1777" w:rsidRDefault="00BB1777" w:rsidP="00BB1777">
      <w:pPr>
        <w:spacing w:before="75" w:after="75" w:line="240" w:lineRule="auto"/>
        <w:jc w:val="both"/>
        <w:rPr>
          <w:rFonts w:ascii="-webkit-standard" w:hAnsi="-webkit-standard" w:cs="Times New Roman"/>
          <w:color w:val="000000"/>
          <w:kern w:val="0"/>
          <w:sz w:val="27"/>
          <w:szCs w:val="27"/>
          <w14:ligatures w14:val="none"/>
        </w:rPr>
      </w:pPr>
      <w:r w:rsidRPr="00BB1777">
        <w:rPr>
          <w:rFonts w:ascii="-webkit-standard" w:hAnsi="-webkit-standard" w:cs="Times New Roman"/>
          <w:color w:val="000000"/>
          <w:kern w:val="0"/>
          <w:sz w:val="27"/>
          <w:szCs w:val="27"/>
          <w14:ligatures w14:val="none"/>
        </w:rPr>
        <w:t> </w:t>
      </w:r>
    </w:p>
    <w:p w14:paraId="023BB6E0" w14:textId="77777777" w:rsidR="00BB1777" w:rsidRDefault="00BB1777"/>
    <w:sectPr w:rsidR="00BB1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777"/>
    <w:rsid w:val="00AF259A"/>
    <w:rsid w:val="00BB1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00C8FB"/>
  <w15:chartTrackingRefBased/>
  <w15:docId w15:val="{667FD111-5388-AB4F-A8EA-E3490EA26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7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7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7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7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7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7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7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7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7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7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7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7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7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7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7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7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7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777"/>
    <w:rPr>
      <w:rFonts w:eastAsiaTheme="majorEastAsia" w:cstheme="majorBidi"/>
      <w:color w:val="272727" w:themeColor="text1" w:themeTint="D8"/>
    </w:rPr>
  </w:style>
  <w:style w:type="paragraph" w:styleId="Title">
    <w:name w:val="Title"/>
    <w:basedOn w:val="Normal"/>
    <w:next w:val="Normal"/>
    <w:link w:val="TitleChar"/>
    <w:uiPriority w:val="10"/>
    <w:qFormat/>
    <w:rsid w:val="00BB17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7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7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7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777"/>
    <w:pPr>
      <w:spacing w:before="160"/>
      <w:jc w:val="center"/>
    </w:pPr>
    <w:rPr>
      <w:i/>
      <w:iCs/>
      <w:color w:val="404040" w:themeColor="text1" w:themeTint="BF"/>
    </w:rPr>
  </w:style>
  <w:style w:type="character" w:customStyle="1" w:styleId="QuoteChar">
    <w:name w:val="Quote Char"/>
    <w:basedOn w:val="DefaultParagraphFont"/>
    <w:link w:val="Quote"/>
    <w:uiPriority w:val="29"/>
    <w:rsid w:val="00BB1777"/>
    <w:rPr>
      <w:i/>
      <w:iCs/>
      <w:color w:val="404040" w:themeColor="text1" w:themeTint="BF"/>
    </w:rPr>
  </w:style>
  <w:style w:type="paragraph" w:styleId="ListParagraph">
    <w:name w:val="List Paragraph"/>
    <w:basedOn w:val="Normal"/>
    <w:uiPriority w:val="34"/>
    <w:qFormat/>
    <w:rsid w:val="00BB1777"/>
    <w:pPr>
      <w:ind w:left="720"/>
      <w:contextualSpacing/>
    </w:pPr>
  </w:style>
  <w:style w:type="character" w:styleId="IntenseEmphasis">
    <w:name w:val="Intense Emphasis"/>
    <w:basedOn w:val="DefaultParagraphFont"/>
    <w:uiPriority w:val="21"/>
    <w:qFormat/>
    <w:rsid w:val="00BB1777"/>
    <w:rPr>
      <w:i/>
      <w:iCs/>
      <w:color w:val="0F4761" w:themeColor="accent1" w:themeShade="BF"/>
    </w:rPr>
  </w:style>
  <w:style w:type="paragraph" w:styleId="IntenseQuote">
    <w:name w:val="Intense Quote"/>
    <w:basedOn w:val="Normal"/>
    <w:next w:val="Normal"/>
    <w:link w:val="IntenseQuoteChar"/>
    <w:uiPriority w:val="30"/>
    <w:qFormat/>
    <w:rsid w:val="00BB17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777"/>
    <w:rPr>
      <w:i/>
      <w:iCs/>
      <w:color w:val="0F4761" w:themeColor="accent1" w:themeShade="BF"/>
    </w:rPr>
  </w:style>
  <w:style w:type="character" w:styleId="IntenseReference">
    <w:name w:val="Intense Reference"/>
    <w:basedOn w:val="DefaultParagraphFont"/>
    <w:uiPriority w:val="32"/>
    <w:qFormat/>
    <w:rsid w:val="00BB1777"/>
    <w:rPr>
      <w:b/>
      <w:bCs/>
      <w:smallCaps/>
      <w:color w:val="0F4761" w:themeColor="accent1" w:themeShade="BF"/>
      <w:spacing w:val="5"/>
    </w:rPr>
  </w:style>
  <w:style w:type="paragraph" w:customStyle="1" w:styleId="s4">
    <w:name w:val="s4"/>
    <w:basedOn w:val="Normal"/>
    <w:rsid w:val="00BB177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B1777"/>
  </w:style>
  <w:style w:type="character" w:customStyle="1" w:styleId="bumpedfont15">
    <w:name w:val="bumpedfont15"/>
    <w:basedOn w:val="DefaultParagraphFont"/>
    <w:rsid w:val="00BB1777"/>
  </w:style>
  <w:style w:type="character" w:customStyle="1" w:styleId="s3">
    <w:name w:val="s3"/>
    <w:basedOn w:val="DefaultParagraphFont"/>
    <w:rsid w:val="00BB1777"/>
  </w:style>
  <w:style w:type="character" w:customStyle="1" w:styleId="apple-converted-space">
    <w:name w:val="apple-converted-space"/>
    <w:basedOn w:val="DefaultParagraphFont"/>
    <w:rsid w:val="00BB1777"/>
  </w:style>
  <w:style w:type="paragraph" w:customStyle="1" w:styleId="s6">
    <w:name w:val="s6"/>
    <w:basedOn w:val="Normal"/>
    <w:rsid w:val="00BB1777"/>
    <w:pPr>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Normal"/>
    <w:rsid w:val="00BB1777"/>
    <w:pPr>
      <w:spacing w:before="100" w:beforeAutospacing="1" w:after="100" w:afterAutospacing="1" w:line="240" w:lineRule="auto"/>
    </w:pPr>
    <w:rPr>
      <w:rFonts w:ascii="Times New Roman" w:hAnsi="Times New Roman" w:cs="Times New Roman"/>
      <w:kern w:val="0"/>
      <w14:ligatures w14:val="none"/>
    </w:rPr>
  </w:style>
  <w:style w:type="paragraph" w:customStyle="1" w:styleId="s8">
    <w:name w:val="s8"/>
    <w:basedOn w:val="Normal"/>
    <w:rsid w:val="00BB1777"/>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BB1777"/>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BB1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1937</Words>
  <Characters>11047</Characters>
  <Application>Microsoft Office Word</Application>
  <DocSecurity>0</DocSecurity>
  <Lines>92</Lines>
  <Paragraphs>25</Paragraphs>
  <ScaleCrop>false</ScaleCrop>
  <Company/>
  <LinksUpToDate>false</LinksUpToDate>
  <CharactersWithSpaces>12959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Abibat Laura Bamidele (2513925)</dc:creator>
  <cp:keywords/>
  <dc:description/>
  <cp:lastModifiedBy>Abibat Laura Bamidele (2513925)</cp:lastModifiedBy>
  <cp:revision>2</cp:revision>
  <dcterms:created xsi:type="dcterms:W3CDTF">2026-07-15T12:49:00Z</dcterms:created>
  <dcterms:modified xsi:type="dcterms:W3CDTF">2026-07-15T12:49:00Z</dcterms:modified>
</cp:coreProperties>
</file>