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cs="Times New Roman" w:hAnsi="Times New Roman"/>
          <w:b/>
          <w:sz w:val="32"/>
        </w:rPr>
      </w:pPr>
      <w:bookmarkStart w:id="0" w:name="_g2czyz1h7sna"/>
      <w:bookmarkEnd w:id="0"/>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p>
    <w:p>
      <w:pPr>
        <w:spacing w:line="360" w:lineRule="auto"/>
        <w:jc w:val="center"/>
        <w:rPr>
          <w:rFonts w:ascii="Times New Roman" w:cs="Times New Roman" w:hAnsi="Times New Roman"/>
          <w:b/>
          <w:sz w:val="32"/>
        </w:rPr>
      </w:pPr>
      <w:r>
        <w:rPr>
          <w:rFonts w:ascii="Times New Roman" w:cs="Times New Roman" w:hAnsi="Times New Roman"/>
          <w:b/>
          <w:sz w:val="32"/>
        </w:rPr>
        <w:t>BANKING FINANCIAL MANAGEMENT AND FINANCIAL MARKETS</w:t>
      </w:r>
    </w:p>
    <w:p>
      <w:pPr>
        <w:spacing w:line="360" w:lineRule="auto"/>
        <w:jc w:val="center"/>
        <w:rPr>
          <w:rFonts w:ascii="Times New Roman" w:cs="Times New Roman" w:hAnsi="Times New Roman"/>
          <w:b/>
          <w:sz w:val="32"/>
        </w:rPr>
      </w:pP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adjustRightInd/>
        <w:snapToGrid/>
        <w:spacing w:after="160" w:line="360" w:lineRule="auto"/>
        <w:ind w:left="0" w:firstLine="0"/>
        <w:contextualSpacing w:val="0"/>
        <w:jc w:val="both"/>
        <w:rPr>
          <w:rFonts w:ascii="Times New Roman" w:eastAsia="Droid Sans" w:cs="Times New Roman" w:hAnsi="Times New Roman"/>
          <w:b/>
          <w:bCs/>
          <w:caps w:val="0"/>
          <w:smallCaps w:val="0"/>
          <w:snapToGrid/>
          <w:vanish w:val="0"/>
          <w:color w:val="auto"/>
          <w:sz w:val="24"/>
          <w:szCs w:val="24"/>
          <w:vertAlign w:val="baseline"/>
        </w:rPr>
      </w:pPr>
      <w:r>
        <w:rPr>
          <w:rFonts w:ascii="Times New Roman" w:eastAsia="Droid Sans" w:cs="Times New Roman" w:hAnsi="Times New Roman"/>
          <w:b/>
          <w:bCs/>
          <w:caps w:val="0"/>
          <w:smallCaps w:val="0"/>
          <w:snapToGrid/>
          <w:vanish w:val="0"/>
          <w:color w:val="auto"/>
          <w:sz w:val="24"/>
          <w:szCs w:val="24"/>
          <w:vertAlign w:val="baseline"/>
        </w:rPr>
        <w:t xml:space="preserve">Programme : MBA Master of Business Administration </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adjustRightInd/>
        <w:snapToGrid/>
        <w:spacing w:after="160" w:line="360" w:lineRule="auto"/>
        <w:ind w:left="0" w:firstLine="0"/>
        <w:contextualSpacing w:val="0"/>
        <w:jc w:val="both"/>
        <w:rPr>
          <w:rFonts w:ascii="Times New Roman" w:eastAsia="Droid Sans" w:cs="Times New Roman" w:hAnsi="Times New Roman"/>
          <w:b/>
          <w:bCs/>
          <w:sz w:val="24"/>
          <w:szCs w:val="24"/>
        </w:rPr>
      </w:pPr>
      <w:r>
        <w:rPr>
          <w:rFonts w:ascii="Times New Roman" w:eastAsia="Times New Roman" w:hAnsi="Times New Roman"/>
          <w:b/>
          <w:bCs/>
          <w:caps w:val="0"/>
          <w:smallCaps w:val="0"/>
          <w:snapToGrid/>
          <w:vanish w:val="0"/>
          <w:color w:val="auto"/>
          <w:sz w:val="24"/>
          <w:szCs w:val="24"/>
          <w:vertAlign w:val="baseline"/>
        </w:rPr>
        <w:t xml:space="preserve">Module name: Financial Management </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Module code:</w:t>
      </w:r>
      <w:r>
        <w:rPr>
          <w:rFonts w:ascii="Times New Roman" w:eastAsia="Times New Roman" w:hAnsi="Times New Roman"/>
          <w:b/>
          <w:bCs/>
          <w:caps w:val="0"/>
          <w:smallCaps w:val="0"/>
          <w:snapToGrid/>
          <w:vanish w:val="0"/>
          <w:color w:val="auto"/>
          <w:sz w:val="24"/>
          <w:szCs w:val="24"/>
          <w:vertAlign w:val="baseline"/>
        </w:rPr>
        <w:t xml:space="preserve"> </w:t>
      </w:r>
      <w:r>
        <w:rPr>
          <w:rFonts w:ascii="Times New Roman" w:eastAsia="Times New Roman" w:hAnsi="Times New Roman"/>
          <w:b/>
          <w:bCs/>
          <w:caps w:val="0"/>
          <w:smallCaps w:val="0"/>
          <w:snapToGrid/>
          <w:vanish w:val="0"/>
          <w:color w:val="auto"/>
          <w:sz w:val="24"/>
          <w:szCs w:val="24"/>
          <w:vertAlign w:val="baseline"/>
        </w:rPr>
        <w:t>LCMB7</w:t>
      </w:r>
      <w:r>
        <w:rPr>
          <w:rFonts w:ascii="Times New Roman" w:eastAsia="Times New Roman" w:hAnsi="Times New Roman"/>
          <w:b/>
          <w:bCs/>
          <w:caps w:val="0"/>
          <w:smallCaps w:val="0"/>
          <w:snapToGrid/>
          <w:vanish w:val="0"/>
          <w:color w:val="auto"/>
          <w:sz w:val="24"/>
          <w:szCs w:val="24"/>
          <w:vertAlign w:val="baseline"/>
        </w:rPr>
        <w:t>012</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Student name: Arsinbanu Monismiya jadeja</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Student ID: 2208899</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360" w:lineRule="auto"/>
        <w:ind w:left="0" w:right="0" w:firstLine="0"/>
        <w:contextualSpacing w:val="0"/>
        <w:jc w:val="both"/>
        <w:textAlignment w:val="auto"/>
        <w:outlineLvl w:val="9"/>
        <w:rPr>
          <w:rFonts w:ascii="Times New Roman" w:eastAsia="Times New Roman" w:hAnsi="Times New Roman"/>
          <w:b/>
          <w:bCs/>
          <w:caps w:val="0"/>
          <w:smallCaps w:val="0"/>
          <w:snapToGrid/>
          <w:vanish w:val="0"/>
          <w:color w:val="auto"/>
          <w:sz w:val="24"/>
          <w:szCs w:val="24"/>
          <w:vertAlign w:val="baseline"/>
        </w:rPr>
      </w:pPr>
      <w:r>
        <w:rPr>
          <w:rFonts w:ascii="Times New Roman" w:eastAsia="Times New Roman" w:hAnsi="Times New Roman"/>
          <w:b/>
          <w:bCs/>
          <w:caps w:val="0"/>
          <w:smallCaps w:val="0"/>
          <w:snapToGrid/>
          <w:vanish w:val="0"/>
          <w:color w:val="auto"/>
          <w:sz w:val="24"/>
          <w:szCs w:val="24"/>
          <w:vertAlign w:val="baseline"/>
        </w:rPr>
        <w:t xml:space="preserve">Lecturer: </w:t>
      </w:r>
      <w:r>
        <w:rPr>
          <w:rFonts w:ascii="Times New Roman" w:eastAsia="Times New Roman" w:hAnsi="Times New Roman"/>
          <w:b/>
          <w:bCs/>
          <w:caps w:val="0"/>
          <w:smallCaps w:val="0"/>
          <w:snapToGrid/>
          <w:vanish w:val="0"/>
          <w:color w:val="auto"/>
          <w:sz w:val="24"/>
          <w:szCs w:val="24"/>
          <w:vertAlign w:val="baseline"/>
        </w:rPr>
        <w:t>David Coker</w:t>
      </w:r>
    </w:p>
    <w:p>
      <w:pPr>
        <w:spacing w:line="360" w:lineRule="auto"/>
        <w:jc w:val="center"/>
        <w:rPr>
          <w:rFonts w:ascii="Times New Roman" w:cs="Times New Roman" w:hAnsi="Times New Roman"/>
          <w:b/>
          <w:sz w:val="32"/>
        </w:rPr>
      </w:pPr>
    </w:p>
    <w:p>
      <w:pPr>
        <w:rPr>
          <w:rFonts w:ascii="Times New Roman" w:eastAsia="Times New Roman" w:cs="Times New Roman" w:hAnsi="Times New Roman"/>
          <w:b/>
          <w:sz w:val="28"/>
          <w:szCs w:val="28"/>
        </w:rPr>
      </w:pPr>
      <w:r>
        <w:br w:type="page"/>
      </w:r>
    </w:p>
    <w:p>
      <w:pPr>
        <w:pStyle w:val="19"/>
        <w:spacing w:line="360" w:lineRule="auto"/>
        <w:jc w:val="center"/>
        <w:rPr>
          <w:rFonts w:ascii="Times New Roman" w:cs="Times New Roman" w:hAnsi="Times New Roman"/>
          <w:color w:val="000000"/>
          <w:szCs w:val="24"/>
        </w:rPr>
      </w:pPr>
      <w:r>
        <w:rPr>
          <w:rFonts w:ascii="Times New Roman" w:cs="Times New Roman" w:hAnsi="Times New Roman"/>
          <w:color w:val="000000"/>
          <w:szCs w:val="24"/>
        </w:rPr>
        <w:t>Table of Contents</w:t>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TOC \o "1-3" \h \z \u </w:instrText>
      </w:r>
      <w:r>
        <w:rPr>
          <w:rFonts w:ascii="Times New Roman" w:cs="Times New Roman" w:hAnsi="Times New Roman"/>
          <w:color w:val="000000"/>
          <w:sz w:val="24"/>
          <w:szCs w:val="24"/>
        </w:rPr>
        <w:fldChar w:fldCharType="separate"/>
      </w:r>
      <w:r>
        <w:fldChar w:fldCharType="begin"/>
      </w:r>
      <w:r>
        <w:instrText>Hyperlink \l "_Toc130859363"</w:instrText>
      </w:r>
      <w:r>
        <w:fldChar w:fldCharType="separate"/>
      </w:r>
      <w:r>
        <w:rPr>
          <w:rFonts w:ascii="Times New Roman" w:cs="Times New Roman" w:hAnsi="Times New Roman"/>
          <w:color w:val="000000"/>
          <w:sz w:val="24"/>
          <w:szCs w:val="24"/>
        </w:rPr>
        <w:t>1. Introduction</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_Toc130859363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2</w:t>
      </w:r>
      <w:r>
        <w:rPr>
          <w:rFonts w:ascii="Times New Roman" w:cs="Times New Roman" w:hAnsi="Times New Roman"/>
          <w:color w:val="000000"/>
          <w:sz w:val="24"/>
          <w:szCs w:val="24"/>
        </w:rPr>
        <w:fldChar w:fldCharType="end"/>
      </w:r>
      <w:r>
        <w:fldChar w:fldCharType="end"/>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"_Toc130859364"</w:instrText>
      </w:r>
      <w:r>
        <w:fldChar w:fldCharType="separate"/>
      </w:r>
      <w:r>
        <w:rPr>
          <w:rFonts w:ascii="Times New Roman" w:cs="Times New Roman" w:hAnsi="Times New Roman"/>
          <w:color w:val="000000"/>
          <w:sz w:val="24"/>
          <w:szCs w:val="24"/>
        </w:rPr>
        <w:t>2. Q1</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_Toc130859364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3</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"_Toc130859365"</w:instrText>
      </w:r>
      <w:r>
        <w:fldChar w:fldCharType="separate"/>
      </w:r>
      <w:r>
        <w:rPr>
          <w:rFonts w:ascii="Times New Roman" w:cs="Times New Roman" w:hAnsi="Times New Roman"/>
          <w:color w:val="000000"/>
          <w:sz w:val="24"/>
          <w:szCs w:val="24"/>
        </w:rPr>
        <w:t>“Dodd-Frank Wall Street Reform and Consumer Protection Act”</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_Toc130859365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3</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"_Toc130859366"</w:instrText>
      </w:r>
      <w:r>
        <w:fldChar w:fldCharType="separate"/>
      </w:r>
      <w:r>
        <w:rPr>
          <w:rFonts w:ascii="Times New Roman" w:cs="Times New Roman" w:hAnsi="Times New Roman"/>
          <w:color w:val="000000"/>
          <w:sz w:val="24"/>
          <w:szCs w:val="24"/>
        </w:rPr>
        <w:t>“Basel III”</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_Toc130859366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4</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"_Toc130859367"</w:instrText>
      </w:r>
      <w:r>
        <w:fldChar w:fldCharType="separate"/>
      </w:r>
      <w:r>
        <w:rPr>
          <w:rFonts w:ascii="Times New Roman" w:cs="Times New Roman" w:hAnsi="Times New Roman"/>
          <w:color w:val="000000"/>
          <w:sz w:val="24"/>
          <w:szCs w:val="24"/>
        </w:rPr>
        <w:t>“European Market Infrastructure Regulation (EMIR)”</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_Toc130859367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5</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"_Toc130859368"</w:instrText>
      </w:r>
      <w:r>
        <w:fldChar w:fldCharType="separate"/>
      </w:r>
      <w:r>
        <w:rPr>
          <w:rFonts w:ascii="Times New Roman" w:cs="Times New Roman" w:hAnsi="Times New Roman"/>
          <w:color w:val="000000"/>
          <w:sz w:val="24"/>
          <w:szCs w:val="24"/>
        </w:rPr>
        <w:t>“MiFID II/MiFIR”</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_Toc130859368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5</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"_Toc130859369"</w:instrText>
      </w:r>
      <w:r>
        <w:fldChar w:fldCharType="separate"/>
      </w:r>
      <w:r>
        <w:rPr>
          <w:rFonts w:ascii="Times New Roman" w:cs="Times New Roman" w:hAnsi="Times New Roman"/>
          <w:color w:val="000000"/>
          <w:sz w:val="24"/>
          <w:szCs w:val="24"/>
        </w:rPr>
        <w:t>“Volcker Rule”</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_Toc130859369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6</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"_Toc130859370"</w:instrText>
      </w:r>
      <w:r>
        <w:fldChar w:fldCharType="separate"/>
      </w:r>
      <w:r>
        <w:rPr>
          <w:rFonts w:ascii="Times New Roman" w:cs="Times New Roman" w:hAnsi="Times New Roman"/>
          <w:color w:val="000000"/>
          <w:sz w:val="24"/>
          <w:szCs w:val="24"/>
        </w:rPr>
        <w:t>Other regulations and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_Toc130859370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7</w:t>
      </w:r>
      <w:r>
        <w:rPr>
          <w:rFonts w:ascii="Times New Roman" w:cs="Times New Roman" w:hAnsi="Times New Roman"/>
          <w:color w:val="000000"/>
          <w:sz w:val="24"/>
          <w:szCs w:val="24"/>
        </w:rPr>
        <w:fldChar w:fldCharType="end"/>
      </w:r>
      <w:r>
        <w:fldChar w:fldCharType="end"/>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"_Toc130859371"</w:instrText>
      </w:r>
      <w:r>
        <w:fldChar w:fldCharType="separate"/>
      </w:r>
      <w:r>
        <w:rPr>
          <w:rFonts w:ascii="Times New Roman" w:cs="Times New Roman" w:hAnsi="Times New Roman"/>
          <w:color w:val="000000"/>
          <w:sz w:val="24"/>
          <w:szCs w:val="24"/>
        </w:rPr>
        <w:t>3. Q2</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_Toc130859371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8</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"_Toc130859372"</w:instrText>
      </w:r>
      <w:r>
        <w:fldChar w:fldCharType="separate"/>
      </w:r>
      <w:r>
        <w:rPr>
          <w:rFonts w:ascii="Times New Roman" w:cs="Times New Roman" w:hAnsi="Times New Roman"/>
          <w:color w:val="000000"/>
          <w:sz w:val="24"/>
          <w:szCs w:val="24"/>
        </w:rPr>
        <w:t>Positive impacts of the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_Toc130859372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8</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"_Toc130859373"</w:instrText>
      </w:r>
      <w:r>
        <w:fldChar w:fldCharType="separate"/>
      </w:r>
      <w:r>
        <w:rPr>
          <w:rFonts w:ascii="Times New Roman" w:cs="Times New Roman" w:hAnsi="Times New Roman"/>
          <w:color w:val="000000"/>
          <w:sz w:val="24"/>
          <w:szCs w:val="24"/>
        </w:rPr>
        <w:t>Negative impacts of the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_Toc130859373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9</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"_Toc130859374"</w:instrText>
      </w:r>
      <w:r>
        <w:fldChar w:fldCharType="separate"/>
      </w:r>
      <w:r>
        <w:rPr>
          <w:rFonts w:ascii="Times New Roman" w:cs="Times New Roman" w:hAnsi="Times New Roman"/>
          <w:color w:val="000000"/>
          <w:sz w:val="24"/>
          <w:szCs w:val="24"/>
        </w:rPr>
        <w:t>Evaluation and assessment of the overall impact of the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_Toc130859374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10</w:t>
      </w:r>
      <w:r>
        <w:rPr>
          <w:rFonts w:ascii="Times New Roman" w:cs="Times New Roman" w:hAnsi="Times New Roman"/>
          <w:color w:val="000000"/>
          <w:sz w:val="24"/>
          <w:szCs w:val="24"/>
        </w:rPr>
        <w:fldChar w:fldCharType="end"/>
      </w:r>
      <w:r>
        <w:fldChar w:fldCharType="end"/>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"_Toc130859375"</w:instrText>
      </w:r>
      <w:r>
        <w:fldChar w:fldCharType="separate"/>
      </w:r>
      <w:r>
        <w:rPr>
          <w:rFonts w:ascii="Times New Roman" w:cs="Times New Roman" w:hAnsi="Times New Roman"/>
          <w:color w:val="000000"/>
          <w:sz w:val="24"/>
          <w:szCs w:val="24"/>
        </w:rPr>
        <w:t>3. Q3</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_Toc130859375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12</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"_Toc130859376"</w:instrText>
      </w:r>
      <w:r>
        <w:fldChar w:fldCharType="separate"/>
      </w:r>
      <w:r>
        <w:rPr>
          <w:rFonts w:ascii="Times New Roman" w:cs="Times New Roman" w:hAnsi="Times New Roman"/>
          <w:color w:val="000000"/>
          <w:sz w:val="24"/>
          <w:szCs w:val="24"/>
        </w:rPr>
        <w:t>Impact of Regulatory Reforms on JPMorgan Chase &amp; Co.</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_Toc130859376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12</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"_Toc130859377"</w:instrText>
      </w:r>
      <w:r>
        <w:fldChar w:fldCharType="separate"/>
      </w:r>
      <w:r>
        <w:rPr>
          <w:rFonts w:ascii="Times New Roman" w:cs="Times New Roman" w:hAnsi="Times New Roman"/>
          <w:color w:val="000000"/>
          <w:sz w:val="24"/>
          <w:szCs w:val="24"/>
        </w:rPr>
        <w:t>Compliance with Regulatory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_Toc130859377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13</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"_Toc130859378"</w:instrText>
      </w:r>
      <w:r>
        <w:fldChar w:fldCharType="separate"/>
      </w:r>
      <w:r>
        <w:rPr>
          <w:rFonts w:ascii="Times New Roman" w:cs="Times New Roman" w:hAnsi="Times New Roman"/>
          <w:color w:val="000000"/>
          <w:sz w:val="24"/>
          <w:szCs w:val="24"/>
        </w:rPr>
        <w:t>Non-Compliance with Regulatory Reforms</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_Toc130859378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13</w:t>
      </w:r>
      <w:r>
        <w:rPr>
          <w:rFonts w:ascii="Times New Roman" w:cs="Times New Roman" w:hAnsi="Times New Roman"/>
          <w:color w:val="000000"/>
          <w:sz w:val="24"/>
          <w:szCs w:val="24"/>
        </w:rPr>
        <w:fldChar w:fldCharType="end"/>
      </w:r>
      <w:r>
        <w:fldChar w:fldCharType="end"/>
      </w:r>
    </w:p>
    <w:p>
      <w:pPr>
        <w:pStyle w:val="21"/>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"_Toc130859379"</w:instrText>
      </w:r>
      <w:r>
        <w:fldChar w:fldCharType="separate"/>
      </w:r>
      <w:r>
        <w:rPr>
          <w:rFonts w:ascii="Times New Roman" w:cs="Times New Roman" w:hAnsi="Times New Roman"/>
          <w:color w:val="000000"/>
          <w:sz w:val="24"/>
          <w:szCs w:val="24"/>
        </w:rPr>
        <w:t>Impact of Regulatory Reforms on Business Model</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_Toc130859379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14</w:t>
      </w:r>
      <w:r>
        <w:rPr>
          <w:rFonts w:ascii="Times New Roman" w:cs="Times New Roman" w:hAnsi="Times New Roman"/>
          <w:color w:val="000000"/>
          <w:sz w:val="24"/>
          <w:szCs w:val="24"/>
        </w:rPr>
        <w:fldChar w:fldCharType="end"/>
      </w:r>
      <w:r>
        <w:fldChar w:fldCharType="end"/>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"_Toc130859380"</w:instrText>
      </w:r>
      <w:r>
        <w:fldChar w:fldCharType="separate"/>
      </w:r>
      <w:r>
        <w:rPr>
          <w:rFonts w:ascii="Times New Roman" w:cs="Times New Roman" w:hAnsi="Times New Roman"/>
          <w:color w:val="000000"/>
          <w:sz w:val="24"/>
          <w:szCs w:val="24"/>
        </w:rPr>
        <w:t>Conclusion</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_Toc130859380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15</w:t>
      </w:r>
      <w:r>
        <w:rPr>
          <w:rFonts w:ascii="Times New Roman" w:cs="Times New Roman" w:hAnsi="Times New Roman"/>
          <w:color w:val="000000"/>
          <w:sz w:val="24"/>
          <w:szCs w:val="24"/>
        </w:rPr>
        <w:fldChar w:fldCharType="end"/>
      </w:r>
      <w:r>
        <w:fldChar w:fldCharType="end"/>
      </w:r>
    </w:p>
    <w:p>
      <w:pPr>
        <w:pStyle w:val="20"/>
        <w:tabs>
          <w:tab w:val="right" w:leader="dot" w:pos="9350"/>
        </w:tabs>
        <w:spacing w:line="360" w:lineRule="auto"/>
        <w:jc w:val="both"/>
        <w:rPr>
          <w:rFonts w:ascii="Times New Roman" w:eastAsia="宋体" w:cs="Times New Roman" w:hAnsi="Times New Roman"/>
          <w:color w:val="000000"/>
          <w:sz w:val="24"/>
          <w:szCs w:val="24"/>
          <w:lang w:val="en-US"/>
        </w:rPr>
      </w:pPr>
      <w:r>
        <w:fldChar w:fldCharType="begin"/>
      </w:r>
      <w:r>
        <w:instrText>Hyperlink \l "_Toc130859381"</w:instrText>
      </w:r>
      <w:r>
        <w:fldChar w:fldCharType="separate"/>
      </w:r>
      <w:r>
        <w:rPr>
          <w:rFonts w:ascii="Times New Roman" w:cs="Times New Roman" w:hAnsi="Times New Roman"/>
          <w:color w:val="000000"/>
          <w:sz w:val="24"/>
          <w:szCs w:val="24"/>
        </w:rPr>
        <w:t>Reference</w:t>
        <w:tab/>
      </w:r>
      <w:r>
        <w:rPr>
          <w:rFonts w:ascii="Times New Roman" w:cs="Times New Roman" w:hAnsi="Times New Roman"/>
          <w:color w:val="000000"/>
          <w:sz w:val="24"/>
          <w:szCs w:val="24"/>
        </w:rPr>
        <w:fldChar w:fldCharType="begin"/>
      </w:r>
      <w:r>
        <w:rPr>
          <w:rFonts w:ascii="Times New Roman" w:cs="Times New Roman" w:hAnsi="Times New Roman"/>
          <w:color w:val="000000"/>
          <w:sz w:val="24"/>
          <w:szCs w:val="24"/>
        </w:rPr>
        <w:instrText xml:space="preserve"> PAGEREF _Toc130859381 \h </w:instrText>
      </w:r>
      <w:r>
        <w:rPr>
          <w:rFonts w:ascii="Times New Roman" w:cs="Times New Roman" w:hAnsi="Times New Roman"/>
          <w:color w:val="000000"/>
          <w:sz w:val="24"/>
          <w:szCs w:val="24"/>
        </w:rPr>
        <w:fldChar w:fldCharType="separate"/>
      </w:r>
      <w:r>
        <w:rPr>
          <w:rFonts w:ascii="Times New Roman" w:cs="Times New Roman" w:hAnsi="Times New Roman"/>
          <w:color w:val="000000"/>
          <w:sz w:val="24"/>
          <w:szCs w:val="24"/>
        </w:rPr>
        <w:t>17</w:t>
      </w:r>
      <w:r>
        <w:rPr>
          <w:rFonts w:ascii="Times New Roman" w:cs="Times New Roman" w:hAnsi="Times New Roman"/>
          <w:color w:val="000000"/>
          <w:sz w:val="24"/>
          <w:szCs w:val="24"/>
        </w:rPr>
        <w:fldChar w:fldCharType="end"/>
      </w:r>
      <w:r>
        <w:fldChar w:fldCharType="end"/>
      </w:r>
    </w:p>
    <w:p>
      <w:pPr>
        <w:spacing w:line="360" w:lineRule="auto"/>
        <w:jc w:val="both"/>
      </w:pPr>
      <w:r>
        <w:rPr>
          <w:rFonts w:ascii="Times New Roman" w:cs="Times New Roman" w:hAnsi="Times New Roman"/>
          <w:b/>
          <w:bCs/>
          <w:color w:val="000000"/>
          <w:sz w:val="24"/>
          <w:szCs w:val="24"/>
        </w:rPr>
        <w:fldChar w:fldCharType="end"/>
      </w:r>
    </w:p>
    <w:p>
      <w:pPr>
        <w:pStyle w:val="1"/>
      </w:pPr>
    </w:p>
    <w:p>
      <w:pPr>
        <w:rPr>
          <w:rFonts w:ascii="Times New Roman" w:eastAsia="Times New Roman" w:cs="Times New Roman" w:hAnsi="Times New Roman"/>
          <w:b/>
          <w:sz w:val="28"/>
          <w:szCs w:val="28"/>
        </w:rPr>
      </w:pPr>
      <w:bookmarkStart w:id="1" w:name="_Toc130859363"/>
      <w:r>
        <w:br w:type="page"/>
      </w:r>
    </w:p>
    <w:p>
      <w:pPr>
        <w:pStyle w:val="1"/>
      </w:pPr>
      <w:r>
        <w:t>1. Introduction</w:t>
      </w:r>
      <w:bookmarkEnd w:id="1"/>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global financial crisis of 2008 had a major effect on both “the financial industry” and the overall economy. Many regulatory changes were made in reaction to the crisis in order to stabilize the financial system and stop another one like it from happening. This research looked at the regulatory changes made in the wake of “the financial crisis,” with a particular emphasis on the significant changes made by the US and the EU. It has also analyzed the impact of these reforms on the business models and compliance practices of JPMorgan Chase &amp; Co., a publicly listed financial institution. Through this analysis, the project has provided insights into the effectiveness of regulatory reforms in achieving their intended objectives and their impact on the operations of financial institutions.</w:t>
      </w:r>
    </w:p>
    <w:p>
      <w:pPr>
        <w:pStyle w:val="1"/>
        <w:rPr>
          <w:sz w:val="24"/>
          <w:szCs w:val="24"/>
        </w:rPr>
      </w:pPr>
      <w:bookmarkStart w:id="2" w:name="_c9t0v2p97gzv"/>
      <w:bookmarkStart w:id="3" w:name="_Toc130859364"/>
      <w:bookmarkEnd w:id="2"/>
      <w:r>
        <w:t>2. Q1</w:t>
      </w:r>
      <w:bookmarkEnd w:id="3"/>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One of the biggest financial crises to shake the world economy was the one that occurred in 2008. The crises had a devastating effect because they caused the financial systems of many developed economies to collapse. The real estate market’s collapse, delinquencies in the underwritten mortgages, and a subsequent recession in many developed economies contributed to this crisis (Cetorelli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2019). As the value of real estate started to decline and some pre-arranged deals fell through, some investors made the decision to shoot some of the deals. Banks stopped investing in mortgages, and some were made to underwrite their mortgage investments, which caused billions of dollars that were planned to be invested in the real estate industry to be frozen. As a result, a number of central bankers and government advisors decided to increase the government’s spending, lower interest rates, and support a number of financial institutions in order to flood the market with cash and other liquidity. A major factor in putting an end to the financial crisis and averting future ones was the adoption of laws, rules, and contracts (Claessens and Kodres, 2019). After the financial crisis of 2008, the following important laws, rules, and contracts were created.</w:t>
      </w:r>
    </w:p>
    <w:p>
      <w:pPr>
        <w:pStyle w:val="2"/>
      </w:pPr>
      <w:bookmarkStart w:id="4" w:name="_ndbwho2jbgk8"/>
      <w:bookmarkStart w:id="5" w:name="_Toc130859365"/>
      <w:bookmarkEnd w:id="4"/>
      <w:r>
        <w:t>“Dodd-Frank Wall Street Reform and Consumer Protection Act”</w:t>
      </w:r>
      <w:bookmarkEnd w:id="5"/>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“Dodd-Frank Wall Street Reform and Consumer Protection Act” was enacted in the US in 2010 to increase transparency, accountability, and oversight of financial institutions and prevent future financial crises. To keep track of financial system hazards, “the legislation established the Consumer Financial Protection Bureau and the Financial Stability Oversight Council”. The Act mandated regulatory agencies to set rules on risk retention by securitizers, creating a new agency to regulate systemic risks and increasing the regulation of derivatives. The Act also increased capital and liquidity requirements for banks and other financial institutions, and it established a process for the orderly liquidation of failed financial institutions.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Dodd-Frank Act” had significant impacts on “financial institutions” and consumers. It created a regulatory environment that ensured that financial institutions are accountable for their actions (DeYoung and Roland, 2020). The Act ensured that financial institutions could not engage in speculative activities with consumer deposits, and it created a framework that allowed consumers to be informed about the risks associated with financial products. In order to deal with the underlying causes of the financial crisis, the “Dodd-Frank Wall Street Reform and Consumer Protection Act” was passed in July 2010. The Act contains a number of regulations for the financial sector, including rules for systemic risk, investor protection, and consumer protection. The following are some of the major sections of the Dodd-Frank Act.</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“Creation of the Financial Stability Oversight Council (FSOC)”</w:t>
      </w:r>
      <w:r>
        <w:rPr>
          <w:rFonts w:ascii="Times New Roman" w:eastAsia="Times New Roman" w:cs="Times New Roman" w:hAnsi="Times New Roman"/>
          <w:sz w:val="24"/>
          <w:szCs w:val="24"/>
        </w:rPr>
        <w:t>: The FSOC was established to track systemic risk and spot dangers to the financial system’s stability. It is presided over by the “Secretary of the Treasury” and is made up of the leaders of various federal agencies.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Enhanced regulation of systemically important financial institutions (SIFIs)</w:t>
      </w:r>
      <w:r>
        <w:rPr>
          <w:rFonts w:ascii="Times New Roman" w:eastAsia="Times New Roman" w:cs="Times New Roman" w:hAnsi="Times New Roman"/>
          <w:sz w:val="24"/>
          <w:szCs w:val="24"/>
        </w:rPr>
        <w:t>: The Act created the “Office of Financial Research (OFR)” to monitor the financial system and identify potential risks (Dowling and Russel, 2019). It also established new requirements for the regulation of SIFIs, including enhanced capital, liquidity, and risk management standards.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Regulation of derivatives:</w:t>
      </w:r>
      <w:r>
        <w:rPr>
          <w:rFonts w:ascii="Times New Roman" w:eastAsia="Times New Roman" w:cs="Times New Roman" w:hAnsi="Times New Roman"/>
          <w:sz w:val="24"/>
          <w:szCs w:val="24"/>
        </w:rPr>
        <w:t xml:space="preserve"> The Act required that most derivatives be traded on regulated exchanges or swap execution facilities and be cleared through central counterparties. It also required that dealers of derivatives be registered with regulators and be subject to new capital and margin requirements.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“Creation of the Consumer Financial Protection Bureau (CFPB)”:</w:t>
      </w:r>
      <w:r>
        <w:rPr>
          <w:rFonts w:ascii="Times New Roman" w:eastAsia="Times New Roman" w:cs="Times New Roman" w:hAnsi="Times New Roman"/>
          <w:sz w:val="24"/>
          <w:szCs w:val="24"/>
        </w:rPr>
        <w:t xml:space="preserve"> To safeguard consumers from unfair financial practices, the CFPB was established. It has the power to create and implement rules governing a variety of financial instruments, including credit cards, student loans, and mortgages.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 xml:space="preserve">Volcker Rule: </w:t>
      </w:r>
      <w:r>
        <w:rPr>
          <w:rFonts w:ascii="Times New Roman" w:eastAsia="Times New Roman" w:cs="Times New Roman" w:hAnsi="Times New Roman"/>
          <w:sz w:val="24"/>
          <w:szCs w:val="24"/>
        </w:rPr>
        <w:t>The Volcker Rule is a provision of the Dodd-Frank Act that forbids banks from sponsoring, owning, or “engaging in proprietary trading” or private equity or hedge fund ownership.</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Whistleblower protections:</w:t>
      </w:r>
      <w:r>
        <w:rPr>
          <w:rFonts w:ascii="Times New Roman" w:eastAsia="Times New Roman" w:cs="Times New Roman" w:hAnsi="Times New Roman"/>
          <w:sz w:val="24"/>
          <w:szCs w:val="24"/>
        </w:rPr>
        <w:t xml:space="preserve"> The Act provided protections for whistleblowers who report violations of securities laws to the SEC.</w:t>
      </w:r>
    </w:p>
    <w:p>
      <w:pPr>
        <w:pStyle w:val="2"/>
      </w:pPr>
      <w:bookmarkStart w:id="6" w:name="_3vjw1ffx8zp8"/>
      <w:bookmarkStart w:id="7" w:name="_Toc130859366"/>
      <w:bookmarkEnd w:id="6"/>
      <w:r>
        <w:t>“Basel III”</w:t>
      </w:r>
      <w:bookmarkEnd w:id="7"/>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Basel Committee on Banking Supervision” passed Basel III to further develop bank guidelines, oversight, and hazard the board. To bring down the gamble of bank breakdown, Basel III orders that banks keep up with bigger degrees of capital and liquidity. Basel III’s models are intended to ensure that banks have sufficient capital and liquidity to cover unexpected monetary misfortunes. Basel III commands that banks keep at least 8% of all out capital, 6% of Level 1 capital, and 4.5% of normal value Level 1 capital (Financial Stability Board, 2019).</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Banking and financial stability were significantly impacted by Basel III. Bank collapse risk was decreased because of the laws’ requirement that banks maintain larger “levels of capital” and liquidity. Also, the rules caused banks to take fewer risks, which increased financial stability.</w:t>
      </w:r>
    </w:p>
    <w:p>
      <w:pPr>
        <w:pStyle w:val="2"/>
      </w:pPr>
      <w:bookmarkStart w:id="8" w:name="_6njo5pedegwc"/>
      <w:bookmarkStart w:id="9" w:name="_Toc130859367"/>
      <w:bookmarkEnd w:id="8"/>
      <w:r>
        <w:t>“European Market Infrastructure Regulation (EMIR)”</w:t>
      </w:r>
      <w:bookmarkEnd w:id="9"/>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To improve market transparency and lower risk, EMIR was implemented in the EU. Some standardized derivatives must be centrally cleared under EMIR, and all derivatives dealings must be reported. In order to protect against the “counterparty credit risk” involved in derivatives deals, EMIR also requires the use of collateral. To comply with the legislation, central counterparties must guarantee that their risk management architecture is solid and that they have enough resources to absorb substantial losses. EMIR had significant impacts on the derivatives market and risk reduction. The regulation increased transparency in the derivatives market, reducing the likelihood of market manipulation and increasing market confidence (Gennaioli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2019). Using collateral to cover counterparty credit risk decreased the likelihood of default and increased financial stability. A collection of rules known as the “European Market Infrastructure Regulation (EMIR)” aims to boost safety, decrease risk, and increase transparency in the European Union’s derivatives market (EU). EMIR was approved in 2012 and started to be used in stages in 2014. The following is a list of some of the main EMIR provisions.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Mandatory clearing:</w:t>
      </w:r>
      <w:r>
        <w:rPr>
          <w:rFonts w:ascii="Times New Roman" w:eastAsia="Times New Roman" w:cs="Times New Roman" w:hAnsi="Times New Roman"/>
          <w:sz w:val="24"/>
          <w:szCs w:val="24"/>
        </w:rPr>
        <w:t xml:space="preserve"> According to EMIR, some standardized derivatives must be cleared by central counterparties (CCPs).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Reporting requirements:</w:t>
      </w:r>
      <w:r>
        <w:rPr>
          <w:rFonts w:ascii="Times New Roman" w:eastAsia="Times New Roman" w:cs="Times New Roman" w:hAnsi="Times New Roman"/>
          <w:sz w:val="24"/>
          <w:szCs w:val="24"/>
        </w:rPr>
        <w:t xml:space="preserve"> All derivatives transactions must be disclosed to trading repositories in accordance with EMIR.</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Risk mitigation techniques:</w:t>
      </w:r>
      <w:r>
        <w:rPr>
          <w:rFonts w:ascii="Times New Roman" w:eastAsia="Times New Roman" w:cs="Times New Roman" w:hAnsi="Times New Roman"/>
          <w:sz w:val="24"/>
          <w:szCs w:val="24"/>
        </w:rPr>
        <w:t xml:space="preserve"> EMIR requires that counterparties to derivatives transactions use risk mitigation techniques such as margining, collateralization, and netting.</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Authorization and supervision of CCPs:</w:t>
      </w:r>
      <w:r>
        <w:rPr>
          <w:rFonts w:ascii="Times New Roman" w:eastAsia="Times New Roman" w:cs="Times New Roman" w:hAnsi="Times New Roman"/>
          <w:sz w:val="24"/>
          <w:szCs w:val="24"/>
        </w:rPr>
        <w:t xml:space="preserve"> EMIR requires that CCPs be authorized and supervised by competent authorities in the EU.</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“Non-financial counterparties”:</w:t>
      </w:r>
      <w:r>
        <w:rPr>
          <w:rFonts w:ascii="Times New Roman" w:eastAsia="Times New Roman" w:cs="Times New Roman" w:hAnsi="Times New Roman"/>
          <w:sz w:val="24"/>
          <w:szCs w:val="24"/>
        </w:rPr>
        <w:t xml:space="preserve"> EMIR includes provisions that are applicable to non-financial counterparties that participate in derivatives transactions, such as energy companies and industrial corporations (IMF, 2019).</w:t>
      </w:r>
    </w:p>
    <w:p>
      <w:pPr>
        <w:pStyle w:val="2"/>
      </w:pPr>
      <w:bookmarkStart w:id="10" w:name="_gck0i44nemvd"/>
      <w:bookmarkStart w:id="11" w:name="_Toc130859368"/>
      <w:bookmarkEnd w:id="10"/>
      <w:r>
        <w:t>“MiFID II/MiFIR”</w:t>
      </w:r>
      <w:bookmarkEnd w:id="11"/>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Regulations known as the “Markets in Financial Instruments Directive II (MiFID II)” and the “Markets in Financial Instruments Regulation (MiFIR)” are aimed at enhancing competition, investor protection, and transparency in the EU’s financial markets. MiFID II and MiFIR were adopted in 2014 and implemented in January 2018. Some of the key provisions of MiFID II/MiFIR include:</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Transparency requirements:</w:t>
      </w:r>
      <w:r>
        <w:rPr>
          <w:rFonts w:ascii="Times New Roman" w:eastAsia="Times New Roman" w:cs="Times New Roman" w:hAnsi="Times New Roman"/>
          <w:sz w:val="24"/>
          <w:szCs w:val="24"/>
        </w:rPr>
        <w:t xml:space="preserve"> Provisions of MiFID II/MiFIR call for increased openness in the “pricing and trading of financial products,” such as stocks, bonds, and derivatives.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 xml:space="preserve">Investor protection: </w:t>
      </w:r>
      <w:r>
        <w:rPr>
          <w:rFonts w:ascii="Times New Roman" w:eastAsia="Times New Roman" w:cs="Times New Roman" w:hAnsi="Times New Roman"/>
          <w:sz w:val="24"/>
          <w:szCs w:val="24"/>
        </w:rPr>
        <w:t>MiFID II/MiFIR includes provisions that aim to improve investor protection, including requirements for firms to provide more detailed information to clients and to act in their best interests.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High-frequency trading:</w:t>
      </w:r>
      <w:r>
        <w:rPr>
          <w:rFonts w:ascii="Times New Roman" w:eastAsia="Times New Roman" w:cs="Times New Roman" w:hAnsi="Times New Roman"/>
          <w:sz w:val="24"/>
          <w:szCs w:val="24"/>
        </w:rPr>
        <w:t xml:space="preserve"> MiFID II/MiFIR includes provisions that regulate high-frequency trading, including requirements for firms to maintain proper risk controls and to be transparent about their trading activities (Kacperczyk and Schnabl, 2019).</w:t>
      </w:r>
    </w:p>
    <w:p>
      <w:pPr>
        <w:pStyle w:val="2"/>
      </w:pPr>
      <w:bookmarkStart w:id="12" w:name="_131sqhhbec02"/>
      <w:bookmarkStart w:id="13" w:name="_Toc130859369"/>
      <w:bookmarkEnd w:id="12"/>
      <w:r>
        <w:t>“Volcker Rule”</w:t>
      </w:r>
      <w:bookmarkEnd w:id="13"/>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Volcker Rule was implemented in the US as a component of the Dodd-Frank Act to forbid banks from participating in proprietary trading and from owning or funding hedge funds. In reaction to the financial crisis, the Volcker Rule was implemented to stop banks from owning or participating in hedge funds and private equity firms as well as engaging in dangerous proprietary trading with their own money. The intention was to curb bank risk-taking and prevent taxpayers from having to support banks that were “too big to fail.” The Volcker Rule is applicable to both American banks and international banks with US operations. It forbids these banks from participating in proprietary trading, which is characterized as the acquisition or disposition of financial instruments for the bank’s own account as opposed to the account of a client. In order to ease client transactions, banks are permitted to participate in trading activities including market-making and hedging. Nevertheless, these activities must be carried out in accordance with the law.</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Volcker Rule forbids banks from operating proprietary trading businesses and from owning or funding hedge funds and private equity companies. This is done to stop banks from investing in these funds and engaging in a high-risk businesses (Klein and Rocholl, 2020). The rule mandates that banks set up a compliance procedure to make sure they are adhering to the requirement. The appropriate regulatory bodies must receive monthly reports from banks regarding their compliance with the regulation. The Volcker Rule has faced criticism from some who argue that it is too complex and burdensome for banks to comply with. Others argue that the rule is not effective in limiting risk-taking by banks and that it may have unintended consequences, such as reducing market liquidity and increasing costs for customers.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In response to these criticisms, in 2018, the US Congress passed a law that made some changes to the Volcker Rule. The changes, known as the Volcker Rule Relief Act, aimed to make it easier for banks to comply with the rule while still limiting their risk-taking activities. The changes included exemptions for small banks and changes to the definition of proprietary trading. Despite these changes, the future of the Volcker Rule remains uncertain. In 2019, the Federal Reserve proposed further changes to the rule, which would further relax some of the restrictions on banks (Lerner and Schoar, 2019). The proposed changes have been met with mixed reactions, with some arguing that they go too far in reducing restrictions on banks, while others argue that the changes are necessary to promote economic growth.</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“Volcker Rule” is a significant rule that tries to restrict banks’ risk-taking behavior and stop future financial disasters. Notwithstanding opposition and implementation difficulties, the regulation continues to be a crucial instrument for managing the “financial system” and guarding against taxpayer-funded bank bailouts. The rule’s future will be influenced by ongoing discussions over the proper ratio of regulation to economic expansion.</w:t>
      </w:r>
    </w:p>
    <w:p>
      <w:pPr>
        <w:pStyle w:val="2"/>
      </w:pPr>
      <w:bookmarkStart w:id="14" w:name="_h2zyarhvqqer"/>
      <w:bookmarkStart w:id="15" w:name="_Toc130859370"/>
      <w:bookmarkEnd w:id="14"/>
      <w:r>
        <w:t>Other regulations and reforms</w:t>
      </w:r>
      <w:bookmarkEnd w:id="15"/>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In addition to the regulations mentioned above, several other reforms and initiatives were introduced post the 2008 financial crisis. Some of them include:</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a. “Basel III”:</w:t>
      </w:r>
      <w:r>
        <w:rPr>
          <w:rFonts w:ascii="Times New Roman" w:eastAsia="Times New Roman" w:cs="Times New Roman" w:hAnsi="Times New Roman"/>
          <w:sz w:val="24"/>
          <w:szCs w:val="24"/>
        </w:rPr>
        <w:t xml:space="preserve"> The “Basel Committee on Banking Supervision” created this collection of international banking laws. The objective is to increase the banking sector’s capacity to withstand shocks brought on by monetary and economic stress. The Basel III accord imposes higher capital requirements, liquidity ratios, and stress testing requirements for banks.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b. Voluntary Foreclosure Moratorium:</w:t>
      </w:r>
      <w:r>
        <w:rPr>
          <w:rFonts w:ascii="Times New Roman" w:eastAsia="Times New Roman" w:cs="Times New Roman" w:hAnsi="Times New Roman"/>
          <w:sz w:val="24"/>
          <w:szCs w:val="24"/>
        </w:rPr>
        <w:t xml:space="preserve"> The foreclosure moratorium was introduced by the US government in December 2008 to help struggling homeowners. It was a voluntary agreement between the government and major banks that suspended foreclosures for a period. The aim was to give homeowners more time to negotiate loan modifications or refinancing.</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 xml:space="preserve">c. “Dodd-Frank Wall Street Reform and Consumer Protection Act”: </w:t>
      </w:r>
      <w:r>
        <w:rPr>
          <w:rFonts w:ascii="Times New Roman" w:eastAsia="Times New Roman" w:cs="Times New Roman" w:hAnsi="Times New Roman"/>
          <w:sz w:val="24"/>
          <w:szCs w:val="24"/>
        </w:rPr>
        <w:t xml:space="preserve">2010 saw the enactment of this federal statute in the US. By enhancing openness and accountability in the financial sector, the bill attempted to stop a repeat of the 2008 financial catastrophe (Mehran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2020). To monitor various facets of the financial system, it established a number of new regulatory organizations, including the “Consumer Financial Protection Bureau (CFPB) and the Financial Stability Oversight Council (FSOC).”</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d. “European Market Infrastructure Regulation (EMIR)”:</w:t>
      </w:r>
      <w:r>
        <w:rPr>
          <w:rFonts w:ascii="Times New Roman" w:eastAsia="Times New Roman" w:cs="Times New Roman" w:hAnsi="Times New Roman"/>
          <w:sz w:val="24"/>
          <w:szCs w:val="24"/>
        </w:rPr>
        <w:t xml:space="preserve"> 2012 saw the introduction of the EMIR legislation by the European Union. The goal is to make the “over-the-counter (OTC) derivatives market” more transparent and less risky. It mandates that all derivative deals be reported by market participants to a trade repository and that some OTC derivatives be cleared by central counterparties (CCPs).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 xml:space="preserve">e. Financial Stability Board (FSB): </w:t>
      </w:r>
      <w:r>
        <w:rPr>
          <w:rFonts w:ascii="Times New Roman" w:eastAsia="Times New Roman" w:cs="Times New Roman" w:hAnsi="Times New Roman"/>
          <w:sz w:val="24"/>
          <w:szCs w:val="24"/>
        </w:rPr>
        <w:t>The FSB is an international body that was established in 2009 to coordinate global financial regulation. It is composed of representatives from national financial authorities, international organizations, and standard-setting bodies.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f. G20 commitments:</w:t>
      </w:r>
      <w:r>
        <w:rPr>
          <w:rFonts w:ascii="Times New Roman" w:eastAsia="Times New Roman" w:cs="Times New Roman" w:hAnsi="Times New Roman"/>
          <w:sz w:val="24"/>
          <w:szCs w:val="24"/>
        </w:rPr>
        <w:t xml:space="preserve"> The G20 nations committed to improving the stability of the international financial system in a number of ways in 2008. A few of these pledges are to increase international collaboration, enhance regulations, and increase transparency.</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global financial system needed to wake up after the financial crisis of 2008. The crisis led to the introduction of several laws, regulations, and contracts to limit the impact of such crises in the future (Mian and Sufi, 2019). These reforms aimed to increase transparency, improve risk management, and prevent excessive risk-taking in the financial system. While some of these reforms have been successful in achieving their objectives, others have faced challenges in implementation. Nonetheless, the financial system is now better equipped to deal with future crises than it was in 2008.</w:t>
      </w:r>
    </w:p>
    <w:p>
      <w:pPr>
        <w:pStyle w:val="1"/>
      </w:pPr>
      <w:bookmarkStart w:id="16" w:name="_Toc130859371"/>
      <w:r>
        <w:t>3. Q2</w:t>
      </w:r>
      <w:bookmarkEnd w:id="16"/>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2008 financial crisis exposed several weaknesses in the “financial system”, leading to a meaningful disruption in the global economy. To prevent such an event from happening again, several reforms were enacted to stabilize the financial system and the banking institutions. This essay will critically review the extent to which these reforms have contributed to achieving their intended goals.</w:t>
      </w:r>
    </w:p>
    <w:p>
      <w:pPr>
        <w:pStyle w:val="2"/>
      </w:pPr>
      <w:bookmarkStart w:id="17" w:name="_hdjoykdmnl93"/>
      <w:bookmarkStart w:id="18" w:name="_Toc130859372"/>
      <w:bookmarkEnd w:id="17"/>
      <w:r>
        <w:t>Positive impacts of the reforms</w:t>
      </w:r>
      <w:bookmarkEnd w:id="18"/>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“financial system” and the various banking institutions have become more stable as a result of the changes implemented in the wake of the 2008 financial crisis. One of the significant impacts of the reforms is the increased transparency and accountability in the financial system. For instance, stress tests were introduced to evaluate the resilience of banks in times of economic stress (Mojon and Shim, 2019). These tests help identify banks that are vulnerable to financial shocks, and corrective measures are taken to strengthen them. Another significant impact of the reforms is the increased capital requirements for banks. By requiring more capital, banks are guaranteed to have enough reserves to withstand “losses during financial downturns”. With an additional 2.5% buffer to be satisfied during the economic crisis, the Basel III framework established a “minimum capital requirement of 7%” for banks. Banks are now more able to withstand financial crises thanks in part to the greater capital requirements.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Adding to the financial system’s stabilization has been the Volcker Rule. The rule prohibits banks from participating in “proprietary trading and places” restrictions on their involvement in hedge funds and private equity. This restriction ensures that banks do not engage in risky investments that could lead to financial instability.</w:t>
      </w:r>
    </w:p>
    <w:p>
      <w:pPr>
        <w:pStyle w:val="2"/>
      </w:pPr>
      <w:bookmarkStart w:id="19" w:name="_m5bjcn3i8cwt"/>
      <w:bookmarkStart w:id="20" w:name="_Toc130859373"/>
      <w:bookmarkEnd w:id="19"/>
      <w:r>
        <w:t>Negative impacts of the reforms</w:t>
      </w:r>
      <w:bookmarkEnd w:id="20"/>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regulatory changes implemented in the wake of the financial crisis of 2008 have both beneficial and bad effects. One of the main criticisms of the reforms is that they have increased the compliance burden on banks, making it more difficult for them to operate and compete effectively (Stiglitz, 2019). Despite the positive impacts of the reforms, there are criticisms of some reforms and their potential negative impacts. For instance, the Volcker Rule has been criticized for being too complex and burdensome. The rule has over 20 exemptions, making it difficult for banks to understand and comply with the regulations. This complexity has led to high compliance costs, which could discourage smaller banks from engaging in profitable activities. </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higher capital requirements have also been criticized for limiting banks’ lending. The quantity of money that may be lent out decreases since banks must keep a specific amount of their assets in capital. This reduction in lending could limit economic growth, especially during economic recoveries. Similarly, stress tests have been criticized for being too stringent and for placing an excessive burden on banks. While the tests are meant to ensure that banks are able to withstand a crisis, some have argued that they are overly punitive and could lead to unintended consequences, such as limiting the ability of banks to lend and generate profits (Calomiris, 2019). Another concern is that the regulatory reforms may have unintended consequences, such as encouraging banks to take on more risk in areas that are not subject to regulation. For example, some banks may be more likely to invest in riskier assets outside of the regulated banking sector, such as hedge funds or private equity firms, in order to generate profits.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Some critics argue that the regulatory reforms may have limited the ability of banks to lend and support economic growth. The increased capital requirements and other regulatory burdens may make it more difficult for banks to provide loans to small businesses and other borrowers, which could have negative effects on economic growth and job creation.</w:t>
      </w:r>
    </w:p>
    <w:p>
      <w:pPr>
        <w:pStyle w:val="2"/>
      </w:pPr>
      <w:bookmarkStart w:id="21" w:name="_bjj50iu9qc9r"/>
      <w:bookmarkStart w:id="22" w:name="_Toc130859374"/>
      <w:bookmarkEnd w:id="21"/>
      <w:r>
        <w:t>Evaluation and assessment of the overall impact of the reforms</w:t>
      </w:r>
      <w:bookmarkEnd w:id="22"/>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reforms enacted post the 2008 financial crisis have contributed significantly to stabilizing the financial system and the different banking institutions. The increased transparency and accountability in the financial system have helped identify and correct potential vulnerabilities. The higher capital requirements have made banks more resilient to financial shocks, reducing the risk of systemic failure. </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There are criticisms of some reforms, such as the Volcker Rule and higher capital requirements. These criticisms highlight the need for continuous evaluation and adjustment of the regulations to ensure they achieve their intended goals without creating unintended consequences. Evaluation of the overall impact of the reforms is typically conducted by a variety of stakeholders, including regulatory agencies, central banks, academics, and industry experts. These stakeholders use a range of data sources and methodologies to assess the impact of the reforms and make recommendations for further improvements or adjustments as necessary. The examination and assessment of the effects of the regulatory changes implemented in the wake of the “2008 financial crisis” is a difficult and continuing process that calls for rigorous investigation and review of a wide variety of data and indicators. “While some reforms” have had beneficial effects, others have had unanticipated effects, necessitating continual examination and revision of the reforms to make sure they are accomplishing their intended aims and limiting unforeseen effects.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reforms enacted post the 2008 financial crisis have contributed significantly to stabilizing the financial system and the different banking institutions. The increased transparency and accountability in the financial system, higher capital requirements, and the Volcker Rule have made banks more resilient to financial shocks (De Haas and Popov, 2019). However, there are criticisms of some reforms, highlighting the need for continuous evaluation and adjustment of the regulations to ensure they achieve their intended goals without creating unintended consequences. Another area where the reforms have made some impact is the resolution plans or “living wills” that banks are required to create. These plans outline how a bank could be safely dismantled in the event of a failure, without causing significant harm to the broader financial system. The living wills are meant to ensure that banks are better prepared to handle a crisis and avoid the need for a government bailout. While a living will have been criticized for being too complex and difficult to implement, they have also been credited with promoting better risk management practices among banks.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Bank operations and organisational adjustments have been made in additional to regulatory reforms. The expansion of banks’ capital requirements has been one of the biggest shifts. Banks have a duty to keep a certain amount of capital as a safeguard against losses under Basel III framework. This capital can come in the form of common equity, preferred shares, or other instruments that can absorb losses (El-Khatib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2020). The increase in capital requirements has made banks more resilient and better able to withstand losses during a crisis. However, critics argue that the higher capital requirements have also made it more difficult for banks to lend and generate profits, which could have negative effects on economic growth.</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Another significant change in the banking industry has been the rise of fintech companies and other non-bank financial institutions. These firms have emerged as competitors to traditional banks, offering new and innovative financial products and services (Fahlenbrach and Prilmeier, 2019). While this has created new challenges for traditional banks, it has also spurred innovation and competition in the industry. The administrative changes set up after the 2008 monetary emergency has had a blended record regarding their effect on the security of the monetary framework and the exhibition of banks. While some reforms, such as the stress tests and the increase in capital requirements, have made banks more resilient, others, such as the Volcker Rule, have been criticized for being too complex and difficult to implement. Additionally, there are concerns that some of the reforms may have unintended consequences, such as limiting the ability of banks to lend and generate profits.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Notwithstanding these difficulties, it is certain that legislative changes have greatly contributed to the advancement of more openness, responsibility, and risk assessment in the banking sector. The public’s trust in the financial sector has also been reestablished, which is crucial for preserving the health of the worldwide economy (Fender &amp; Lewrick, 2021). Hence, although there is still more to be done to guarantee the banking system is secure and stable, the legislative measures implemented in the wake of the 2008 financial meltdown have been a significant advancement toward that goal.</w:t>
      </w:r>
    </w:p>
    <w:p>
      <w:pPr>
        <w:pStyle w:val="1"/>
      </w:pPr>
      <w:bookmarkStart w:id="23" w:name="_Toc130859375"/>
      <w:r>
        <w:t>3. Q3</w:t>
      </w:r>
      <w:bookmarkEnd w:id="23"/>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With assets of more than $3 trillion, “JPMorgan Chase &amp; Co.” is a global provider of financial services with operations in more than 100 nations. In an effort to tackle some of the causes of the financial crisis of 2008, regulatory measures were implemented both domestically and internationally. The impact of these regulatory reforms on JPMorgan Chase &amp; Co. and their degree of compliance or non-compliance with all these regulations will be discussed in this article (JPMorgan Chase &amp; Co., 2021).</w:t>
      </w:r>
    </w:p>
    <w:p>
      <w:pPr>
        <w:pStyle w:val="2"/>
      </w:pPr>
      <w:bookmarkStart w:id="24" w:name="_rnqeb1wdvoj"/>
      <w:bookmarkStart w:id="25" w:name="_Toc130859376"/>
      <w:bookmarkEnd w:id="24"/>
      <w:r>
        <w:t>Impact of Regulatory Reforms on JPMorgan Chase &amp; Co.</w:t>
      </w:r>
      <w:bookmarkEnd w:id="25"/>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key regulatory reforms implemented after the 2008 financial crisis include the Dodd-Frank Act, the Basel III framework, and the Volcker Rule. These reforms were aimed at promoting greater stability and transparency in the financial system, reducing risk, and protecting consumers (Hoekstra &amp; Schmiedel, 2019).</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A number of steps to tighten the “regulation of the financial industry” were included in the Dodd-Frank Act, which was passed into law in 2010. One of the Act’s most important provisions is the organisation of the “Financial Stability Oversight Council”, which is charged with identifying and dealing with risks to the financial system, as well as the Consumer Financial Protection Bureau, which is in charge of safeguarding consumers from unfair, deceptive, or abusive practises.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Basel Committee on Banking Supervision” created the Basel III framework, a collection of international regulatory guidelines intended to support the resilience of banks as well as the stability of the financial system. More capital, liquidity, and improved risk management methods are all part of the framework.</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Dodd-Frank Act’s Volcker Rule restricts banks’ capacity to engage in hedge funds as well as private equity companies and forbids them from participating in proprietary trading. Reducing the likelihood that banks may engage in speculative activity that could result in losses as well as systemic instability is the aim of the Volcker Rule (Jandhyala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2021).</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impact of these regulatory reforms on JPMorgan Chase &amp; Co. has been significant. For example, the increased capital requirements and liquidity requirements under Basel III have forced the company to hold more capital and maintain a larger buffer against potential losses. This has reduced the amount of leverage that the company can employ and made it more difficult for the company to generate high returns on its investments.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In addition, the Volcker Rule has had a significant impact on JPMorgan Chase &amp; Co.’s operations. The company has had to restructure its trading activities and divest some of its proprietary trading businesses. This has led to a reduction in the company’s revenue and profits, as well as a shift in the company’s business model towards more traditional banking activities.</w:t>
      </w:r>
    </w:p>
    <w:p>
      <w:pPr>
        <w:pStyle w:val="2"/>
      </w:pPr>
      <w:bookmarkStart w:id="26" w:name="_qyf9wy6fsh5k"/>
      <w:bookmarkStart w:id="27" w:name="_Toc130859377"/>
      <w:bookmarkEnd w:id="26"/>
      <w:r>
        <w:t>Compliance with Regulatory Reforms</w:t>
      </w:r>
      <w:bookmarkEnd w:id="27"/>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JPMorgan Chase &amp; Co. has made significant efforts to comply with regulatory reforms since the 2008 financial crisis. The company has invested heavily in risk management and compliance functions and has implemented a range of measures to ensure that it meets regulatory requirements (Liu amd Zhou, 2020). For example, the company has developed a comprehensive risk management framework that includes risk assessment, monitoring, and mitigation. The company has also established a dedicated compliance function, which is responsible for ensuring that the company meets regulatory requirements and adheres to ethical standards.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JPMorgan Chase &amp; Co. also has put in place a number of steps to conform to certain regulatory requirements. For instance, to fulfil Basel III regulations, the business strengthened its liquidity and capital buffers, and it reorganised its trading to conform with Volcker Rule.</w:t>
      </w:r>
    </w:p>
    <w:p>
      <w:pPr>
        <w:pStyle w:val="2"/>
      </w:pPr>
      <w:bookmarkStart w:id="28" w:name="_nmbyf9e3s6qm"/>
      <w:bookmarkStart w:id="29" w:name="_Toc130859378"/>
      <w:bookmarkEnd w:id="28"/>
      <w:r>
        <w:t>Non-Compliance with Regulatory Reforms</w:t>
      </w:r>
      <w:bookmarkEnd w:id="29"/>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Despite its efforts to comply with regulatory reforms, JPMorgan Chase &amp; Co. has faced some challenges in meeting certain requirements. For example, the company has been criticized for its compliance with anti-money laundering regulations and has faced a number of enforcement actions related to these issues. In addition to the compliance issues faced by JPMorgan Chase &amp; Co. with regard to regulatory reforms, the bank has also faced non-compliance issues. One of the most significant non-compliance issues faced by JPMorgan Chase &amp; Co. was related to the bank’s involvement in the “London Whale” trading scandal in 2012 (Nishihara &amp; Shibata, 2020). The scandal involved a trader named Bruno Iksil, who was based in JPMorgan’s London office, taking large and risky bets on derivatives that resulted in a loss of over $6 billion for the bank. Serious concerns were raised by the controversy regarding the fund’s risk management policies and adherence to legislative changes, notably the Volcker Rule. According to the Volcker Rule, banks are not allowed to engage in trading activities, which is making speculative transactions using their own funds as opposed to customers’ money. In the case of the “London Whale” scandal, JPMorgan Chase &amp; Co. was accused of engaging in proprietary trading through the activities of Bruno Iksil and his team.</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Several regulatory agencies, including the US exchange commission (SEC) as well as the “US Commodity Futures Trading Commission”, fined JPMorgan Chase &amp; Co. $920 million as a result of the scandal (CFTC) (Ongena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2019). The bank also faced intense scrutiny from regulators and the public, which led to a significant decline in its reputation and a loss of trust among its clients. JPMorgan Chase &amp; Co. took a variety of actions in response to the crisis to improve its risk management procedures and compliance with legislative changes. A new risk committee was formed by the bank, and it now reviews its risk management procedures as well as makes recommendations to the “board of directors”. The bank also appointed a new Chief Risk Officer, who reports directly to the CEO and strengthened its internal controls and compliance processes.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Furthermore, JPMorgan Chase &amp; Co. made significant changes to its business model in order to comply with the regulatory reforms (Petrella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2021). The bank reduced its proprietary trading activities and exited some of its proprietary trading businesses altogether. JPMorgan Chase &amp; Co. also implemented new risk management tools and systems, such as a new risk dashboard, to monitor and manage its risk exposures more effectively. The company has faced significant compliance and non-compliance issues with regard to the regulatory reforms implemented in reaction to the 2008 financial crisis. While the bank has taken steps to strengthen its risk management practices and compliance processes, the “London Whale” trading scandal highlights the challenges faced by large financial institutions in complying with these regulations. The scandal also underscores the significance of effective “risk management practices” and the need for continued vigilance by regulators and the public in ensuring that banks comply with regulatory reforms.</w:t>
      </w:r>
    </w:p>
    <w:p>
      <w:pPr>
        <w:pStyle w:val="2"/>
      </w:pPr>
      <w:bookmarkStart w:id="30" w:name="_slr0tknv7uz3"/>
      <w:bookmarkStart w:id="31" w:name="_Toc130859379"/>
      <w:bookmarkEnd w:id="30"/>
      <w:r>
        <w:t>Impact of Regulatory Reforms on Business Model</w:t>
      </w:r>
      <w:bookmarkEnd w:id="31"/>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One of the biggest financial firms in the world, “JPMorgan Chase &amp; Co.” has a market value of more than $400 billion. In order to comply with new rules and reduce risk, JPMorgan Chase &amp; Co. has significantly altered its business model as a consequence of the 2008 financial crisis and following regulatory reforms (Rajan, 2019). One of the key impacts of regulatory reforms on JPMorgan Chase &amp; Co.’s business model has been a shift towards more conservative risk management practices. This has involved lessening the scope and complexities of its trading activities as well as placing more of a priority on stress analysis and risk modelling. In particular, the Volcker Rule has forced JPMorgan Chase &amp; Co. to divest its proprietary trading activities, which has had a significant impact on the bank’s revenue streams.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JPMorgan Chase &amp; Co. has also made changes to its operations in response to regulatory reforms. For example, the bank has increased its capital reserves and liquidity buffers to meet new regulatory requirements (Stulz, 2019). It has also implemented new compliance and risk management systems and has invested heavily in technology to better monitor and manage risk. The impact of regulatory reforms on JPMorgan Chase &amp; Co.’s performance has been mixed. On the one hand, the bank has seen a decline in revenue from its trading operations as a result of the Volcker Rule. However, it has also benefited from increased stability and a lower risk profile, which has improved investor confidence and reduced the likelihood of another financial crisis.</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In terms of strategy, JPMorgan Chase &amp; Co. has shifted its focus towards more traditional banking activities, such as lending and deposit-taking. This has included an expansion of its retail banking operations, as well as a greater emphasis on asset management and wealth management services (Wang and Chou, 2020). The bank has also increased its focus on digital banking and has made significant investments in fintech startups to stay ahead of the competition. It is evident that the business strategy of “JPMorgan Chase &amp; Co.” has been significantly impacted by regulatory reforms. While the bank has had to make significant changes to comply with new regulations, it has also benefited from increased stability and a lower risk profile. However, the impact on the bank’s revenue streams has been mixed, and it remains to be seen how JPMorgan Chase &amp; Co. will adapt to the changing regulatory environment in the years ahead.</w:t>
      </w:r>
    </w:p>
    <w:p>
      <w:pPr>
        <w:pStyle w:val="1"/>
      </w:pPr>
      <w:bookmarkStart w:id="32" w:name="_k9jrajjywlp3"/>
      <w:bookmarkStart w:id="33" w:name="_Toc130859380"/>
      <w:bookmarkEnd w:id="32"/>
      <w:r>
        <w:t>Conclusion</w:t>
      </w:r>
      <w:bookmarkEnd w:id="33"/>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In conclusion, the regulatory reforms implemented after the 2008 financial crisis have significantly impacted the financial industry, particularly in terms of risk management, capital requirements, and compliance. While these reforms have generally succeeded in stabilizing the financial system and reducing systemic risk, they have also had some unintended consequences, such as increased compliance costs and reduced profitability for financial institutions. The case of JPMorgan Chase &amp; Co. highlights the challenges faced by financial institutions in complying with regulatory reforms while maintaining profitability and growth. Overall, the regulatory reforms have contributed towards a more stable and resilient financial system, but there is a need for ongoing evaluation and refinement to ensure their effectiveness and minimize unintended consequences.</w:t>
      </w:r>
      <w:r>
        <w:br w:type="page"/>
      </w:r>
    </w:p>
    <w:p>
      <w:pPr>
        <w:pStyle w:val="1"/>
      </w:pPr>
      <w:bookmarkStart w:id="34" w:name="_dn4vlontgw25"/>
      <w:bookmarkStart w:id="35" w:name="_Toc130859381"/>
      <w:bookmarkEnd w:id="34"/>
      <w:r>
        <w:t>Reference</w:t>
      </w:r>
      <w:bookmarkEnd w:id="35"/>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Calomiris, C. W. (2019). Financial regulation in a populist era. Journal of Financial Regulation, 5(1), 1-20.</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Cetorelli, N., Goldberg, L. S., &amp; Lucca, D. O. (2019). The real effects of bank capital requirements. Journal of Political Economy, 127(4), 1735-1786.</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Claessens, S., &amp; Kodres, L. (2019). The regulatory responses to the global financial crisis: Some uncomfortable questions. Journal of Financial Intermediation, 39, 1-14.</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De Haas, R., &amp; Popov, A. (2019). Finance and inequality: How does globalisation change the relationship?. Journal of Banking &amp; Finance, 109, 105610.</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DeYoung, R., &amp; Roland, K. P. (2020). Does Dodd-Frank reform act affect small banks? Evidence from community banks. Journal of Banking &amp; Finance, 119, 105692.</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Dowling, M., &amp; Russel, D. (2019). The impact of regulatory reform on the banking sector. Journal of Financial Regulation and Compliance, 27(4), 496-514.</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El-Khatib, R., Fogel, K., &amp; Kohler, T. (2020). Unintended effects of regulatory reforms on bank risk-taking: Evidence from a natural experiment. Journal of Banking &amp; Finance, 111, 105708.</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Fahlenbrach, R., &amp; Prilmeier, R. (2019). Do Staggered Boards Harm Shareholders? Evidence from the 2008 Financial Crisis. Journal of Financial Economics, 132(1), 76-96.</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Fender, I., &amp; Lewrick, U. (2021). Greening monetary policy. Journal of Banking &amp; Finance, 121, 106006.</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Financial Stability Board. (2019). Progress in implementing the G20 reforms. Retrieved from https://www.fsb.org/2019/10/progress-in-implementing-the-g20-reforms-october-2019/</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Gennaioli, N., Laeven, L., &amp; Levine, R. (2019). Bank resolutions without bankruptcy. Journal of Financial Economics, 133(2), 510-530.</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Hoekstra, M., &amp; Schmiedel, H. (2019). Basel III and bank-lending: Evidence from the United States and Europe. Journal of Financial Intermediation, 40, 100814.</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IMF. (2019). Global financial stability report: Lower for longer. Retrieved from https://www.imf.org/en/Publications/GFSR/Issues/2019/10/01/global-financial-stability-report-october-2019</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Jandhyala, S. R., Shang, H., &amp; Sulaeman, J. (2021). Regulatory arbitrage and risk shifting in the shadow banking sector. Journal of Financial Stability, 53, 100848.</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JPMorgan Chase &amp; Co. (2021). Annual report 2020. Retrieved from https://www.jpmorganchase.com/content/dam/jpmc/jpmorgan-chase-and-co/documents/annual-reports/ar2020.pdf</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Kacperczyk, M. T., &amp; Schnabl, P. (2019). How safe are money market funds? Journal of Financial Economics, 134(2), 297-326.</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Klein, M., &amp; Rocholl, J. (2020). The impact of the European sovereign debt crisis on bank lending rates: Firm-level evidence. Journal of Banking &amp; Finance, 113, 105817.</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Lerner, J., &amp; Schoar, A. (2019). The venture capital and private equity industry after the global financial crisis. Journal of Economic Perspectives, 33(1), 13-42.</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Liu, J., Zhang, G., &amp; Zhou, P. (2020). Does high frequency trading affect market stability? Evidence from the 2015 Chinese stock market crash. Journal of Financial Markets, 50, 101216.</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Mehran, H., Morrison, A. D., Shapiro, J. D., &amp; Singhania, M. (2020). Dodd-Frank at 10: Assessing the impact on financial markets. Journal of Financial Intermediation, 44, 100849.</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Mian, A., &amp; Sufi, A. (2019). Finance and business cycles: The credit-driven household demand channel. Journal of Monetary Economics, 108, 29-45.</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Mojon, B., &amp; Shim, I. (2019). Reserves, liquidity, and money: An assessment of balance sheet policies. Journal of Money, Credit and Banking, 51(1), 57-87.</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Nishihara, M., &amp; Shibata, T. (2020). The impact of liquidity regulation on banks: Evidence from Japan. Journal of Banking &amp; Finance, 113, 105772.</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Ongena, S., Popov, A., &amp; Van Horen, N. (2019). The invisible hand of the government: Moral suasion during the European sovereign debt crisis. Journal of Financial Economics, 131(3), 493-513.</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Petrella, G., Resti, A., &amp; Sironi, A. (2021). The COVID-19 pandemic and the impact on the banking system: Evidence from Italy. Journal of Banking &amp; Finance, 123, 106013.</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Rajan, R. G. (2019). The Real Effects of Financial Sector Interventions: Some Empirical Evidence. Journal of Financial Services Research, 55(1), 1-43.</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Stiglitz, J. E. (2019). The theory of credit and macro-economic stability. Journal of Economic Behavior &amp; Organization, 157, 403-421.</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Stulz, R. M. (2019). Corporate governance and firms’ financing and investment decisions. Journal of Applied Corporate Finance, 31(2), 7-23.</w:t>
      </w:r>
    </w:p>
    <w:p>
      <w:pPr>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Wang, C. W., &amp; Chou, P. W. (2020). Regulatory response to fintech: Evidence from a survey of regulators in Asia. Journal of Banking &amp; Finance, 109, 105634.</w:t>
      </w:r>
    </w:p>
    <w:sectPr>
      <w:footerReference w:type="default" r:id="rId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docGrid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8"/>
      <w:tabs>
        <w:tab w:val="center" w:pos="4680"/>
        <w:tab w:val="right" w:pos="9360"/>
      </w:tabs>
      <w:spacing w:line="360" w:lineRule="auto"/>
      <w:jc w:val="right"/>
      <w:rPr>
        <w:rFonts w:ascii="Times New Roman" w:cs="Times New Roman" w:hAnsi="Times New Roman"/>
        <w:color w:val="000000"/>
        <w:sz w:val="20"/>
        <w:szCs w:val="20"/>
      </w:rPr>
    </w:pPr>
    <w:r>
      <w:rPr>
        <w:rFonts w:ascii="Times New Roman" w:cs="Times New Roman" w:hAnsi="Times New Roman"/>
        <w:color w:val="000000"/>
        <w:sz w:val="20"/>
        <w:szCs w:val="20"/>
      </w:rPr>
      <w:fldChar w:fldCharType="begin"/>
    </w:r>
    <w:r>
      <w:rPr>
        <w:rFonts w:ascii="Times New Roman" w:cs="Times New Roman" w:hAnsi="Times New Roman"/>
        <w:color w:val="000000"/>
        <w:sz w:val="20"/>
        <w:szCs w:val="20"/>
      </w:rPr>
      <w:instrText xml:space="preserve"> PAGE   \* MERGEFORMAT </w:instrText>
    </w:r>
    <w:r>
      <w:rPr>
        <w:rFonts w:ascii="Times New Roman" w:cs="Times New Roman" w:hAnsi="Times New Roman"/>
        <w:color w:val="000000"/>
        <w:sz w:val="20"/>
        <w:szCs w:val="20"/>
      </w:rPr>
      <w:fldChar w:fldCharType="separate"/>
    </w:r>
    <w:r>
      <w:rPr>
        <w:rFonts w:ascii="Times New Roman" w:cs="Times New Roman" w:hAnsi="Times New Roman"/>
        <w:color w:val="000000"/>
        <w:sz w:val="20"/>
        <w:szCs w:val="20"/>
      </w:rPr>
      <w:t>19</w:t>
    </w:r>
    <w:r>
      <w:rPr>
        <w:rFonts w:ascii="Times New Roman" w:cs="Times New Roman" w:hAnsi="Times New Roman"/>
        <w:color w:val="000000"/>
        <w:sz w:val="20"/>
        <w:szCs w:val="20"/>
      </w:rPr>
      <w:fldChar w:fldCharType="end"/>
    </w:r>
  </w:p>
  <w:p>
    <w:pPr>
      <w:pStyle w:val="18"/>
      <w:tabs>
        <w:tab w:val="center" w:pos="4680"/>
        <w:tab w:val="right" w:pos="9360"/>
      </w:tabs>
      <w:spacing w:line="360" w:lineRule="auto"/>
      <w:rPr>
        <w:rFonts w:ascii="Times New Roman" w:cs="Times New Roman" w:hAnsi="Times New Roman"/>
        <w:color w:val="000000"/>
        <w:sz w:val="20"/>
        <w:szCs w:val="20"/>
      </w:rPr>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docVars>
    <w:docVar w:name="__Grammarly_42___1" w:val="H4sIAAAAAAAEAKtWcslP9kxRslIyNDY2MjE1MDAxNTU1MTAwMjFT0lEKTi0uzszPAykwrAUASNObYSwAAAA="/>
    <w:docVar w:name="__Grammarly_42____i" w:val="H4sIAAAAAAAEAKtWckksSQxILCpxzi/NK1GyMqwFAAEhoTITAAAA"/>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276" w:lineRule="auto"/>
    </w:pPr>
    <w:rPr>
      <w:rFonts w:ascii="Arial" w:eastAsia="Arial" w:cs="Arial" w:hAnsi="Arial"/>
      <w:sz w:val="22"/>
      <w:szCs w:val="22"/>
      <w:lang w:val="en-IN" w:eastAsia="en-US" w:bidi="ar-SA"/>
    </w:rPr>
  </w:style>
  <w:style w:type="paragraph" w:styleId="1">
    <w:name w:val="heading 1"/>
    <w:basedOn w:val="0"/>
    <w:next w:val="0"/>
    <w:pPr>
      <w:keepNext/>
      <w:keepLines/>
      <w:spacing w:line="360" w:lineRule="auto"/>
      <w:jc w:val="both"/>
      <w:outlineLvl w:val="0"/>
    </w:pPr>
    <w:rPr>
      <w:rFonts w:ascii="Times New Roman" w:eastAsia="Times New Roman" w:cs="Times New Roman" w:hAnsi="Times New Roman"/>
      <w:b/>
      <w:sz w:val="28"/>
      <w:szCs w:val="28"/>
    </w:rPr>
  </w:style>
  <w:style w:type="paragraph" w:styleId="2">
    <w:name w:val="heading 2"/>
    <w:basedOn w:val="0"/>
    <w:next w:val="0"/>
    <w:pPr>
      <w:keepNext/>
      <w:keepLines/>
      <w:spacing w:line="360" w:lineRule="auto"/>
      <w:jc w:val="both"/>
      <w:outlineLvl w:val="1"/>
    </w:pPr>
    <w:rPr>
      <w:rFonts w:ascii="Times New Roman" w:eastAsia="Times New Roman" w:cs="Times New Roman" w:hAnsi="Times New Roman"/>
      <w:b/>
      <w:sz w:val="24"/>
      <w:szCs w:val="24"/>
    </w:rPr>
  </w:style>
  <w:style w:type="paragraph" w:styleId="3">
    <w:name w:val="heading 3"/>
    <w:basedOn w:val="0"/>
    <w:next w:val="0"/>
    <w:pPr>
      <w:keepNext/>
      <w:keepLines/>
      <w:spacing w:before="320" w:after="80"/>
      <w:outlineLvl w:val="2"/>
    </w:pPr>
    <w:rPr>
      <w:color w:val="434343"/>
      <w:sz w:val="28"/>
      <w:szCs w:val="28"/>
    </w:rPr>
  </w:style>
  <w:style w:type="paragraph" w:styleId="4">
    <w:name w:val="heading 4"/>
    <w:basedOn w:val="0"/>
    <w:next w:val="0"/>
    <w:pPr>
      <w:keepNext/>
      <w:keepLines/>
      <w:spacing w:before="280" w:after="80"/>
      <w:outlineLvl w:val="3"/>
    </w:pPr>
    <w:rPr>
      <w:color w:val="666666"/>
      <w:sz w:val="24"/>
      <w:szCs w:val="24"/>
    </w:rPr>
  </w:style>
  <w:style w:type="paragraph" w:styleId="5">
    <w:name w:val="heading 5"/>
    <w:basedOn w:val="0"/>
    <w:next w:val="0"/>
    <w:pPr>
      <w:keepNext/>
      <w:keepLines/>
      <w:spacing w:before="240" w:after="80"/>
      <w:outlineLvl w:val="4"/>
    </w:pPr>
    <w:rPr>
      <w:color w:val="666666"/>
    </w:rPr>
  </w:style>
  <w:style w:type="paragraph" w:styleId="6">
    <w:name w:val="heading 6"/>
    <w:basedOn w:val="0"/>
    <w:next w:val="0"/>
    <w:pPr>
      <w:keepNext/>
      <w:keepLines/>
      <w:spacing w:before="240" w:after="80"/>
      <w:outlineLvl w:val="5"/>
    </w:pPr>
    <w:rPr>
      <w:i/>
      <w:color w:val="666666"/>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Subtitle"/>
    <w:basedOn w:val="0"/>
    <w:next w:val="0"/>
    <w:pPr>
      <w:keepNext/>
      <w:keepLines/>
      <w:spacing w:after="320"/>
    </w:pPr>
    <w:rPr>
      <w:color w:val="666666"/>
      <w:sz w:val="30"/>
      <w:szCs w:val="30"/>
    </w:rPr>
  </w:style>
  <w:style w:type="paragraph" w:styleId="17">
    <w:name w:val="header"/>
    <w:basedOn w:val="0"/>
    <w:pPr>
      <w:tabs>
        <w:tab w:val="center" w:pos="4680"/>
        <w:tab w:val="right" w:pos="9360"/>
      </w:tabs>
      <w:spacing w:line="240" w:lineRule="auto"/>
    </w:pPr>
  </w:style>
  <w:style w:type="paragraph" w:styleId="18">
    <w:name w:val="footer"/>
    <w:basedOn w:val="0"/>
    <w:pPr>
      <w:tabs>
        <w:tab w:val="center" w:pos="4680"/>
        <w:tab w:val="right" w:pos="9360"/>
      </w:tabs>
      <w:spacing w:line="240" w:lineRule="auto"/>
    </w:pPr>
  </w:style>
  <w:style w:type="paragraph" w:customStyle="1" w:styleId="19">
    <w:name w:val="TOC Heading"/>
    <w:basedOn w:val="1"/>
    <w:next w:val="0"/>
    <w:pPr>
      <w:spacing w:before="480" w:line="276" w:lineRule="auto"/>
      <w:jc w:val="left"/>
      <w:outlineLvl w:val="9"/>
    </w:pPr>
    <w:rPr>
      <w:rFonts w:ascii="Calibri" w:eastAsia="宋体" w:cs="Times New Roman" w:hAnsi="Calibri"/>
      <w:bCs/>
      <w:color w:val="365F91"/>
      <w:lang w:val="en-US" w:eastAsia="ja-JP"/>
    </w:rPr>
  </w:style>
  <w:style w:type="paragraph" w:styleId="20">
    <w:name w:val="toc 1"/>
    <w:basedOn w:val="0"/>
    <w:autoRedefine/>
    <w:next w:val="0"/>
    <w:pPr>
      <w:spacing w:after="100"/>
    </w:pPr>
  </w:style>
  <w:style w:type="paragraph" w:styleId="21">
    <w:name w:val="toc 2"/>
    <w:basedOn w:val="0"/>
    <w:autoRedefine/>
    <w:next w:val="0"/>
    <w:pPr>
      <w:spacing w:after="100"/>
      <w:ind w:left="220"/>
    </w:pPr>
  </w:style>
  <w:style w:type="character" w:styleId="22">
    <w:name w:val="Hyperlink"/>
    <w:basedOn w:val="10"/>
    <w:rPr>
      <w:color w:val="0000FF"/>
      <w:u w:val="single"/>
    </w:rPr>
  </w:style>
  <w:style w:type="paragraph" w:styleId="23">
    <w:name w:val="Balloon Text"/>
    <w:basedOn w:val="0"/>
    <w:pPr>
      <w:spacing w:line="240" w:lineRule="auto"/>
    </w:pPr>
    <w:rPr>
      <w:rFonts w:ascii="Tahoma" w:cs="Tahoma" w:hAnsi="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5</TotalTime>
  <Application>Yozo_Office</Application>
  <Pages>1</Pages>
  <Words>1</Words>
  <Characters>6</Characters>
  <Lines>1</Lines>
  <Paragraphs>0</Paragraphs>
  <CharactersWithSpaces>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DELL</dc:creator>
  <cp:lastModifiedBy>vivo user</cp:lastModifiedBy>
  <cp:revision>3</cp:revision>
  <dcterms:created xsi:type="dcterms:W3CDTF">2023-03-27T20:00:00Z</dcterms:created>
  <dcterms:modified xsi:type="dcterms:W3CDTF">2023-04-30T15:49:10Z</dcterms:modified>
</cp:coreProperties>
</file>