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A8309C" w14:textId="77777777" w:rsidR="004051B6" w:rsidRDefault="004051B6">
      <w:pPr>
        <w:spacing w:after="2000"/>
      </w:pPr>
    </w:p>
    <w:p w14:paraId="3A5DBBBF" w14:textId="77777777" w:rsidR="004051B6" w:rsidRPr="00FB3A35" w:rsidRDefault="007B52CE" w:rsidP="00C270C2">
      <w:pPr>
        <w:spacing w:after="300" w:line="360" w:lineRule="auto"/>
        <w:jc w:val="center"/>
        <w:rPr>
          <w:sz w:val="22"/>
          <w:szCs w:val="22"/>
          <w:lang w:val="en-GB"/>
        </w:rPr>
      </w:pPr>
      <w:r w:rsidRPr="00FB3A35">
        <w:rPr>
          <w:rFonts w:ascii="Arial" w:eastAsia="Arial" w:hAnsi="Arial" w:cs="Arial"/>
          <w:b/>
          <w:bCs/>
          <w:sz w:val="22"/>
          <w:szCs w:val="22"/>
          <w:lang w:val="en-GB"/>
        </w:rPr>
        <w:t>LCHS4003 – Introduction to Health and Social Care</w:t>
      </w:r>
    </w:p>
    <w:p w14:paraId="2A424795" w14:textId="70390AB5" w:rsidR="004051B6" w:rsidRPr="00FB3A35" w:rsidRDefault="007B52CE" w:rsidP="00C270C2">
      <w:pPr>
        <w:spacing w:after="300" w:line="360" w:lineRule="auto"/>
        <w:jc w:val="center"/>
        <w:rPr>
          <w:sz w:val="22"/>
          <w:szCs w:val="22"/>
          <w:lang w:val="en-GB"/>
        </w:rPr>
      </w:pPr>
      <w:r w:rsidRPr="00FB3A35">
        <w:rPr>
          <w:rFonts w:ascii="Arial" w:eastAsia="Arial" w:hAnsi="Arial" w:cs="Arial"/>
          <w:b/>
          <w:bCs/>
          <w:sz w:val="22"/>
          <w:szCs w:val="22"/>
          <w:lang w:val="en-GB"/>
        </w:rPr>
        <w:t>Component 2: Written Assignment</w:t>
      </w:r>
    </w:p>
    <w:p w14:paraId="4BC0F6CB" w14:textId="367C4036" w:rsidR="004051B6" w:rsidRPr="00FB3A35" w:rsidRDefault="007B52CE" w:rsidP="00C270C2">
      <w:pPr>
        <w:spacing w:after="150" w:line="360" w:lineRule="auto"/>
        <w:jc w:val="center"/>
        <w:rPr>
          <w:sz w:val="22"/>
          <w:szCs w:val="22"/>
          <w:lang w:val="en-GB"/>
        </w:rPr>
      </w:pPr>
      <w:r w:rsidRPr="00FB3A35">
        <w:rPr>
          <w:rFonts w:ascii="Arial" w:eastAsia="Arial" w:hAnsi="Arial" w:cs="Arial"/>
          <w:sz w:val="22"/>
          <w:szCs w:val="22"/>
          <w:lang w:val="en-GB"/>
        </w:rPr>
        <w:t xml:space="preserve">Student Name: </w:t>
      </w:r>
      <w:proofErr w:type="spellStart"/>
      <w:r w:rsidR="00FB3A35" w:rsidRPr="00FB3A35">
        <w:rPr>
          <w:rFonts w:ascii="Arial" w:eastAsia="Arial" w:hAnsi="Arial" w:cs="Arial"/>
          <w:sz w:val="22"/>
          <w:szCs w:val="22"/>
          <w:lang w:val="en-GB"/>
        </w:rPr>
        <w:t>Meryum</w:t>
      </w:r>
      <w:proofErr w:type="spellEnd"/>
      <w:r w:rsidR="00FB3A35" w:rsidRPr="00FB3A35">
        <w:rPr>
          <w:rFonts w:ascii="Arial" w:eastAsia="Arial" w:hAnsi="Arial" w:cs="Arial"/>
          <w:sz w:val="22"/>
          <w:szCs w:val="22"/>
          <w:lang w:val="en-GB"/>
        </w:rPr>
        <w:t xml:space="preserve"> Alam</w:t>
      </w:r>
    </w:p>
    <w:p w14:paraId="44C8B784" w14:textId="1509122F" w:rsidR="004051B6" w:rsidRPr="00FB3A35" w:rsidRDefault="007B52CE" w:rsidP="00C270C2">
      <w:pPr>
        <w:spacing w:after="150" w:line="360" w:lineRule="auto"/>
        <w:jc w:val="center"/>
        <w:rPr>
          <w:sz w:val="22"/>
          <w:szCs w:val="22"/>
          <w:lang w:val="en-GB"/>
        </w:rPr>
      </w:pPr>
      <w:r w:rsidRPr="00FB3A35">
        <w:rPr>
          <w:rFonts w:ascii="Arial" w:eastAsia="Arial" w:hAnsi="Arial" w:cs="Arial"/>
          <w:sz w:val="22"/>
          <w:szCs w:val="22"/>
          <w:lang w:val="en-GB"/>
        </w:rPr>
        <w:t>Student ID Number:</w:t>
      </w:r>
      <w:r w:rsidR="00FB3A35" w:rsidRPr="00FB3A35">
        <w:rPr>
          <w:rFonts w:ascii="Arial" w:eastAsia="Arial" w:hAnsi="Arial" w:cs="Arial"/>
          <w:sz w:val="22"/>
          <w:szCs w:val="22"/>
          <w:lang w:val="en-GB"/>
        </w:rPr>
        <w:t xml:space="preserve"> 2522888</w:t>
      </w:r>
    </w:p>
    <w:p w14:paraId="633520C3" w14:textId="77777777" w:rsidR="004051B6" w:rsidRPr="00FB3A35" w:rsidRDefault="007B52CE" w:rsidP="00C270C2">
      <w:pPr>
        <w:spacing w:after="150" w:line="360" w:lineRule="auto"/>
        <w:jc w:val="center"/>
        <w:rPr>
          <w:sz w:val="22"/>
          <w:szCs w:val="22"/>
          <w:lang w:val="en-GB"/>
        </w:rPr>
      </w:pPr>
      <w:r w:rsidRPr="00FB3A35">
        <w:rPr>
          <w:rFonts w:ascii="Arial" w:eastAsia="Arial" w:hAnsi="Arial" w:cs="Arial"/>
          <w:sz w:val="22"/>
          <w:szCs w:val="22"/>
          <w:lang w:val="en-GB"/>
        </w:rPr>
        <w:t>Module Code: LCHS4003</w:t>
      </w:r>
    </w:p>
    <w:p w14:paraId="0836C291" w14:textId="77777777" w:rsidR="004051B6" w:rsidRPr="00FB3A35" w:rsidRDefault="007B52CE" w:rsidP="00C270C2">
      <w:pPr>
        <w:spacing w:after="150" w:line="360" w:lineRule="auto"/>
        <w:jc w:val="center"/>
        <w:rPr>
          <w:sz w:val="22"/>
          <w:szCs w:val="22"/>
          <w:lang w:val="en-GB"/>
        </w:rPr>
      </w:pPr>
      <w:r w:rsidRPr="00FB3A35">
        <w:rPr>
          <w:rFonts w:ascii="Arial" w:eastAsia="Arial" w:hAnsi="Arial" w:cs="Arial"/>
          <w:sz w:val="22"/>
          <w:szCs w:val="22"/>
          <w:lang w:val="en-GB"/>
        </w:rPr>
        <w:t>Module Title: Introduction to Health and Social Care</w:t>
      </w:r>
    </w:p>
    <w:p w14:paraId="37D2F377" w14:textId="77777777" w:rsidR="004051B6" w:rsidRPr="00FB3A35" w:rsidRDefault="007B52CE" w:rsidP="00C270C2">
      <w:pPr>
        <w:spacing w:after="150" w:line="360" w:lineRule="auto"/>
        <w:jc w:val="center"/>
        <w:rPr>
          <w:sz w:val="22"/>
          <w:szCs w:val="22"/>
          <w:lang w:val="en-GB"/>
        </w:rPr>
      </w:pPr>
      <w:r w:rsidRPr="00FB3A35">
        <w:rPr>
          <w:rFonts w:ascii="Arial" w:eastAsia="Arial" w:hAnsi="Arial" w:cs="Arial"/>
          <w:sz w:val="22"/>
          <w:szCs w:val="22"/>
          <w:lang w:val="en-GB"/>
        </w:rPr>
        <w:t>Lecturer: Dr Helen Parsons</w:t>
      </w:r>
    </w:p>
    <w:p w14:paraId="32D2FE50" w14:textId="77777777" w:rsidR="004051B6" w:rsidRPr="00FB3A35" w:rsidRDefault="007B52CE" w:rsidP="00C270C2">
      <w:pPr>
        <w:spacing w:after="150" w:line="360" w:lineRule="auto"/>
        <w:jc w:val="center"/>
        <w:rPr>
          <w:sz w:val="22"/>
          <w:szCs w:val="22"/>
          <w:lang w:val="en-GB"/>
        </w:rPr>
      </w:pPr>
      <w:r w:rsidRPr="00FB3A35">
        <w:rPr>
          <w:rFonts w:ascii="Arial" w:eastAsia="Arial" w:hAnsi="Arial" w:cs="Arial"/>
          <w:sz w:val="22"/>
          <w:szCs w:val="22"/>
          <w:lang w:val="en-GB"/>
        </w:rPr>
        <w:t>Assignment Title: Written Assignment (Component 2)</w:t>
      </w:r>
    </w:p>
    <w:p w14:paraId="637313FC" w14:textId="4EAF73CC" w:rsidR="004051B6" w:rsidRPr="00FB3A35" w:rsidRDefault="004051B6" w:rsidP="00C270C2">
      <w:pPr>
        <w:spacing w:after="150" w:line="360" w:lineRule="auto"/>
        <w:jc w:val="center"/>
        <w:rPr>
          <w:sz w:val="22"/>
          <w:szCs w:val="22"/>
          <w:lang w:val="en-GB"/>
        </w:rPr>
      </w:pPr>
    </w:p>
    <w:p w14:paraId="50D28AFB" w14:textId="77777777" w:rsidR="004051B6" w:rsidRPr="00FB3A35" w:rsidRDefault="007B52CE" w:rsidP="00C270C2">
      <w:pPr>
        <w:spacing w:line="360" w:lineRule="auto"/>
        <w:rPr>
          <w:sz w:val="22"/>
          <w:szCs w:val="22"/>
          <w:lang w:val="en-GB"/>
        </w:rPr>
      </w:pPr>
      <w:r w:rsidRPr="00FB3A35">
        <w:rPr>
          <w:sz w:val="22"/>
          <w:szCs w:val="22"/>
          <w:lang w:val="en-GB"/>
        </w:rPr>
        <w:br w:type="page"/>
      </w:r>
    </w:p>
    <w:p w14:paraId="382A9042" w14:textId="77777777" w:rsidR="004051B6" w:rsidRPr="00FB3A35" w:rsidRDefault="007B52CE" w:rsidP="00C270C2">
      <w:pPr>
        <w:spacing w:before="300" w:after="150" w:line="360" w:lineRule="auto"/>
        <w:rPr>
          <w:b/>
          <w:sz w:val="22"/>
          <w:szCs w:val="22"/>
          <w:lang w:val="en-GB"/>
        </w:rPr>
      </w:pPr>
      <w:r w:rsidRPr="00FB3A35">
        <w:rPr>
          <w:rFonts w:ascii="Arial" w:eastAsia="Arial" w:hAnsi="Arial" w:cs="Arial"/>
          <w:b/>
          <w:bCs/>
          <w:sz w:val="22"/>
          <w:szCs w:val="22"/>
          <w:lang w:val="en-GB"/>
        </w:rPr>
        <w:lastRenderedPageBreak/>
        <w:t>Introduction</w:t>
      </w:r>
    </w:p>
    <w:p w14:paraId="613EAF86" w14:textId="5A235CD9" w:rsidR="00713B13" w:rsidRPr="00FB3A35" w:rsidRDefault="00713B13" w:rsidP="00C270C2">
      <w:pPr>
        <w:spacing w:after="200" w:line="360" w:lineRule="auto"/>
        <w:ind w:firstLine="720"/>
        <w:jc w:val="both"/>
        <w:rPr>
          <w:rFonts w:ascii="Arial" w:eastAsia="Arial" w:hAnsi="Arial" w:cs="Arial"/>
          <w:sz w:val="22"/>
          <w:szCs w:val="22"/>
          <w:lang w:val="en-GB"/>
        </w:rPr>
      </w:pPr>
      <w:r w:rsidRPr="00FB3A35">
        <w:rPr>
          <w:rFonts w:ascii="Arial" w:eastAsia="Arial" w:hAnsi="Arial" w:cs="Arial"/>
          <w:sz w:val="22"/>
          <w:szCs w:val="22"/>
          <w:lang w:val="en-GB"/>
        </w:rPr>
        <w:t xml:space="preserve">The case study of </w:t>
      </w:r>
      <w:r w:rsidR="00F44211" w:rsidRPr="00FB3A35">
        <w:rPr>
          <w:rFonts w:ascii="Arial" w:eastAsia="Arial" w:hAnsi="Arial" w:cs="Arial"/>
          <w:sz w:val="22"/>
          <w:szCs w:val="22"/>
          <w:lang w:val="en-GB"/>
        </w:rPr>
        <w:t>an</w:t>
      </w:r>
      <w:r w:rsidRPr="00FB3A35">
        <w:rPr>
          <w:rFonts w:ascii="Arial" w:eastAsia="Arial" w:hAnsi="Arial" w:cs="Arial"/>
          <w:sz w:val="22"/>
          <w:szCs w:val="22"/>
          <w:lang w:val="en-GB"/>
        </w:rPr>
        <w:t xml:space="preserve"> </w:t>
      </w:r>
      <w:r w:rsidR="00F44211" w:rsidRPr="00FB3A35">
        <w:rPr>
          <w:rFonts w:ascii="Arial" w:eastAsia="Arial" w:hAnsi="Arial" w:cs="Arial"/>
          <w:sz w:val="22"/>
          <w:szCs w:val="22"/>
          <w:lang w:val="en-GB"/>
        </w:rPr>
        <w:t>84-year-old</w:t>
      </w:r>
      <w:r w:rsidRPr="00FB3A35">
        <w:rPr>
          <w:rFonts w:ascii="Arial" w:eastAsia="Arial" w:hAnsi="Arial" w:cs="Arial"/>
          <w:sz w:val="22"/>
          <w:szCs w:val="22"/>
          <w:lang w:val="en-GB"/>
        </w:rPr>
        <w:t xml:space="preserve"> woman, Mrs Thompson, recently discharged out of hospital after being admitted due to pneumonia, living alone in a sheltered housing with mild dementia and receiving domiciliary services twice a day is considered in this assignment as a way to </w:t>
      </w:r>
      <w:r w:rsidR="00FB3A35" w:rsidRPr="00FB3A35">
        <w:rPr>
          <w:rFonts w:ascii="Arial" w:eastAsia="Arial" w:hAnsi="Arial" w:cs="Arial"/>
          <w:sz w:val="22"/>
          <w:szCs w:val="22"/>
          <w:lang w:val="en-GB"/>
        </w:rPr>
        <w:t>analyse</w:t>
      </w:r>
      <w:r w:rsidRPr="00FB3A35">
        <w:rPr>
          <w:rFonts w:ascii="Arial" w:eastAsia="Arial" w:hAnsi="Arial" w:cs="Arial"/>
          <w:sz w:val="22"/>
          <w:szCs w:val="22"/>
          <w:lang w:val="en-GB"/>
        </w:rPr>
        <w:t xml:space="preserve"> three interconnected dimensions of professional practice in the field of health and social care. The recent issues such as one of a missed medication episode and a case of being discovered outdoors with a wrongly dressed appearance has provoked a safeguarding review and a medication review. This report explains why communication, good administrative and record-keeping practice, and working collaboratively as a multi-agency is important, based on the appropriate legislation, policy and communications theory acquired </w:t>
      </w:r>
      <w:r w:rsidR="00FB3A35" w:rsidRPr="00FB3A35">
        <w:rPr>
          <w:rFonts w:ascii="Arial" w:eastAsia="Arial" w:hAnsi="Arial" w:cs="Arial"/>
          <w:sz w:val="22"/>
          <w:szCs w:val="22"/>
          <w:lang w:val="en-GB"/>
        </w:rPr>
        <w:t>during</w:t>
      </w:r>
      <w:r w:rsidRPr="00FB3A35">
        <w:rPr>
          <w:rFonts w:ascii="Arial" w:eastAsia="Arial" w:hAnsi="Arial" w:cs="Arial"/>
          <w:sz w:val="22"/>
          <w:szCs w:val="22"/>
          <w:lang w:val="en-GB"/>
        </w:rPr>
        <w:t xml:space="preserve"> the module, to ensure Mrs Thompson is safely in place.</w:t>
      </w:r>
    </w:p>
    <w:p w14:paraId="3CE096E0" w14:textId="77777777" w:rsidR="00713B13" w:rsidRPr="00FB3A35" w:rsidRDefault="00713B13" w:rsidP="00C270C2">
      <w:pPr>
        <w:spacing w:after="200" w:line="360" w:lineRule="auto"/>
        <w:jc w:val="both"/>
        <w:rPr>
          <w:rFonts w:ascii="Arial" w:eastAsia="Arial" w:hAnsi="Arial" w:cs="Arial"/>
          <w:b/>
          <w:sz w:val="22"/>
          <w:szCs w:val="22"/>
          <w:lang w:val="en-GB"/>
        </w:rPr>
      </w:pPr>
      <w:r w:rsidRPr="00FB3A35">
        <w:rPr>
          <w:rFonts w:ascii="Arial" w:eastAsia="Arial" w:hAnsi="Arial" w:cs="Arial"/>
          <w:b/>
          <w:sz w:val="22"/>
          <w:szCs w:val="22"/>
          <w:lang w:val="en-GB"/>
        </w:rPr>
        <w:t>1. Communication during the Care of Mrs Thompson.</w:t>
      </w:r>
    </w:p>
    <w:p w14:paraId="0F08D822" w14:textId="77777777" w:rsidR="00713B13" w:rsidRPr="00FB3A35" w:rsidRDefault="00713B13" w:rsidP="00C270C2">
      <w:pPr>
        <w:spacing w:after="200" w:line="360" w:lineRule="auto"/>
        <w:ind w:firstLine="720"/>
        <w:jc w:val="both"/>
        <w:rPr>
          <w:rFonts w:ascii="Arial" w:eastAsia="Arial" w:hAnsi="Arial" w:cs="Arial"/>
          <w:sz w:val="22"/>
          <w:szCs w:val="22"/>
          <w:lang w:val="en-GB"/>
        </w:rPr>
      </w:pPr>
      <w:r w:rsidRPr="00FB3A35">
        <w:rPr>
          <w:rFonts w:ascii="Arial" w:eastAsia="Arial" w:hAnsi="Arial" w:cs="Arial"/>
          <w:sz w:val="22"/>
          <w:szCs w:val="22"/>
          <w:lang w:val="en-GB"/>
        </w:rPr>
        <w:t>Overall Mrs Thompson care is based on effective communication. Since she has mild dementia and is mostly independent in her life, the patient, clear, person-centred and patient communication between care staff, Mr and Mrs Thompson and the family plays a critical role in ensuring that further days of missed medication are avoided, as well as to mitigate the possibility of confusion or harm. Weak communication can also be seen as a factor in the miscommunication in this case of pill-error, as the domiciliary carers, her GP and any other family member they have would require a clear and correct image of her daily routine and mental status.</w:t>
      </w:r>
    </w:p>
    <w:p w14:paraId="61585223" w14:textId="419F0E1D" w:rsidR="00713B13" w:rsidRPr="00FB3A35" w:rsidRDefault="00713B13" w:rsidP="00C270C2">
      <w:pPr>
        <w:spacing w:after="200" w:line="360" w:lineRule="auto"/>
        <w:ind w:firstLine="720"/>
        <w:jc w:val="both"/>
        <w:rPr>
          <w:rFonts w:ascii="Arial" w:eastAsia="Arial" w:hAnsi="Arial" w:cs="Arial"/>
          <w:sz w:val="22"/>
          <w:szCs w:val="22"/>
          <w:lang w:val="en-GB"/>
        </w:rPr>
      </w:pPr>
      <w:r w:rsidRPr="00FB3A35">
        <w:rPr>
          <w:rFonts w:ascii="Arial" w:eastAsia="Arial" w:hAnsi="Arial" w:cs="Arial"/>
          <w:sz w:val="22"/>
          <w:szCs w:val="22"/>
          <w:lang w:val="en-GB"/>
        </w:rPr>
        <w:t>The Communication Cycle by Michael Argyle can be a practical theoretical background of this process. The model explains communication as a process of six stages of a cycle- an idea comes to the sender, the message is coded, the message is transmitted, the receiver receives it and decodes, lastly the receiver understands the message- and that either party, the sender or the receiver, performs both the roles of a communicator (Argyle, 1972). When applied to Mrs Thompson, a carer should code information (i.e., reminder about medication), in a manner that takes into account her dementia, through use of simple and unhurried language, repetition and use of non-verbal cues (</w:t>
      </w:r>
      <w:r w:rsidR="00FB3A35" w:rsidRPr="00FB3A35">
        <w:rPr>
          <w:rFonts w:ascii="Arial" w:eastAsia="Arial" w:hAnsi="Arial" w:cs="Arial"/>
          <w:sz w:val="22"/>
          <w:szCs w:val="22"/>
          <w:lang w:val="en-GB"/>
        </w:rPr>
        <w:t>i.e.</w:t>
      </w:r>
      <w:r w:rsidRPr="00FB3A35">
        <w:rPr>
          <w:rFonts w:ascii="Arial" w:eastAsia="Arial" w:hAnsi="Arial" w:cs="Arial"/>
          <w:sz w:val="22"/>
          <w:szCs w:val="22"/>
          <w:lang w:val="en-GB"/>
        </w:rPr>
        <w:t xml:space="preserve"> eye contact, calm tone as the research by Argyle has also noted that non-verbal cues can have as much weight to </w:t>
      </w:r>
      <w:r w:rsidR="00FB3A35" w:rsidRPr="00FB3A35">
        <w:rPr>
          <w:rFonts w:ascii="Arial" w:eastAsia="Arial" w:hAnsi="Arial" w:cs="Arial"/>
          <w:sz w:val="22"/>
          <w:szCs w:val="22"/>
          <w:lang w:val="en-GB"/>
        </w:rPr>
        <w:t>meaning making</w:t>
      </w:r>
      <w:r w:rsidRPr="00FB3A35">
        <w:rPr>
          <w:rFonts w:ascii="Arial" w:eastAsia="Arial" w:hAnsi="Arial" w:cs="Arial"/>
          <w:sz w:val="22"/>
          <w:szCs w:val="22"/>
          <w:lang w:val="en-GB"/>
        </w:rPr>
        <w:t xml:space="preserve"> as words do). Understanding should also be verified as opposed to assumed at its core and this will also end the cycle when Mrs Thompson has </w:t>
      </w:r>
      <w:r w:rsidR="00FB3A35" w:rsidRPr="00FB3A35">
        <w:rPr>
          <w:rFonts w:ascii="Arial" w:eastAsia="Arial" w:hAnsi="Arial" w:cs="Arial"/>
          <w:sz w:val="22"/>
          <w:szCs w:val="22"/>
          <w:lang w:val="en-GB"/>
        </w:rPr>
        <w:t>understood</w:t>
      </w:r>
      <w:r w:rsidRPr="00FB3A35">
        <w:rPr>
          <w:rFonts w:ascii="Arial" w:eastAsia="Arial" w:hAnsi="Arial" w:cs="Arial"/>
          <w:sz w:val="22"/>
          <w:szCs w:val="22"/>
          <w:lang w:val="en-GB"/>
        </w:rPr>
        <w:t xml:space="preserve"> the message. At what point in the cycle fails - e.g. when a reminder is not decoded properly by her, carers should be conscious of recycling or modifying a message instead of presuming that it has been received.</w:t>
      </w:r>
    </w:p>
    <w:p w14:paraId="1453F4FD" w14:textId="77777777" w:rsidR="00713B13" w:rsidRPr="00FB3A35" w:rsidRDefault="00713B13" w:rsidP="00C270C2">
      <w:pPr>
        <w:spacing w:after="200" w:line="360" w:lineRule="auto"/>
        <w:ind w:firstLine="720"/>
        <w:jc w:val="both"/>
        <w:rPr>
          <w:rFonts w:ascii="Arial" w:eastAsia="Arial" w:hAnsi="Arial" w:cs="Arial"/>
          <w:sz w:val="22"/>
          <w:szCs w:val="22"/>
          <w:lang w:val="en-GB"/>
        </w:rPr>
      </w:pPr>
      <w:r w:rsidRPr="00FB3A35">
        <w:rPr>
          <w:rFonts w:ascii="Arial" w:eastAsia="Arial" w:hAnsi="Arial" w:cs="Arial"/>
          <w:sz w:val="22"/>
          <w:szCs w:val="22"/>
          <w:lang w:val="en-GB"/>
        </w:rPr>
        <w:lastRenderedPageBreak/>
        <w:t>The communication with Mrs Thompson and her family should also be supported by the Equality Act 2010 which unites the former equality laws and guarantees people against discrimination based on nine representative characteristics, such as age and disability (Equality Act 2010). Care Contextually, this requires communication strategies to be tailored towards the unique needs of Mrs Thompson due to her age and cognitive impairment and not assume a one-size-fits-all strategy and treating her and her family fairly with no discriminatory assumptions being made against her ability due to her dementia (MDDUS, 2025). This could be practically achieved by providing her with more time to have conversations, engaging family members accordingly with the appropriate consent of Mrs Thompson, and making sure that any limitation to her autonomy is reasonably timed and justified rather than stereotypical due to age. Combined, the model by Argyle and Equality Act 2010 enable a theoretically informed yet legally updated communication strategy to Mrs Thompson which will help mitigate the risk of such a failed communication that led to the current incidents.</w:t>
      </w:r>
    </w:p>
    <w:p w14:paraId="73EA5371" w14:textId="627462C1" w:rsidR="00713B13" w:rsidRPr="00FB3A35" w:rsidRDefault="00713B13" w:rsidP="00C270C2">
      <w:pPr>
        <w:spacing w:after="200" w:line="360" w:lineRule="auto"/>
        <w:jc w:val="both"/>
        <w:rPr>
          <w:rFonts w:ascii="Arial" w:eastAsia="Arial" w:hAnsi="Arial" w:cs="Arial"/>
          <w:b/>
          <w:sz w:val="22"/>
          <w:szCs w:val="22"/>
          <w:lang w:val="en-GB"/>
        </w:rPr>
      </w:pPr>
      <w:r w:rsidRPr="00FB3A35">
        <w:rPr>
          <w:rFonts w:ascii="Arial" w:eastAsia="Arial" w:hAnsi="Arial" w:cs="Arial"/>
          <w:b/>
          <w:sz w:val="22"/>
          <w:szCs w:val="22"/>
          <w:lang w:val="en-GB"/>
        </w:rPr>
        <w:t xml:space="preserve">2. Records and </w:t>
      </w:r>
      <w:r w:rsidR="00FB3A35" w:rsidRPr="00FB3A35">
        <w:rPr>
          <w:rFonts w:ascii="Arial" w:eastAsia="Arial" w:hAnsi="Arial" w:cs="Arial"/>
          <w:b/>
          <w:sz w:val="22"/>
          <w:szCs w:val="22"/>
          <w:lang w:val="en-GB"/>
        </w:rPr>
        <w:t>bookkeeping</w:t>
      </w:r>
      <w:r w:rsidRPr="00FB3A35">
        <w:rPr>
          <w:rFonts w:ascii="Arial" w:eastAsia="Arial" w:hAnsi="Arial" w:cs="Arial"/>
          <w:b/>
          <w:sz w:val="22"/>
          <w:szCs w:val="22"/>
          <w:lang w:val="en-GB"/>
        </w:rPr>
        <w:t xml:space="preserve"> and minimum administrative skills.</w:t>
      </w:r>
    </w:p>
    <w:p w14:paraId="7F900577" w14:textId="77777777" w:rsidR="00713B13" w:rsidRPr="00FB3A35" w:rsidRDefault="00713B13" w:rsidP="00C270C2">
      <w:pPr>
        <w:spacing w:after="200" w:line="360" w:lineRule="auto"/>
        <w:ind w:firstLine="720"/>
        <w:jc w:val="both"/>
        <w:rPr>
          <w:rFonts w:ascii="Arial" w:eastAsia="Arial" w:hAnsi="Arial" w:cs="Arial"/>
          <w:sz w:val="22"/>
          <w:szCs w:val="22"/>
          <w:lang w:val="en-GB"/>
        </w:rPr>
      </w:pPr>
      <w:r w:rsidRPr="00FB3A35">
        <w:rPr>
          <w:rFonts w:ascii="Arial" w:eastAsia="Arial" w:hAnsi="Arial" w:cs="Arial"/>
          <w:sz w:val="22"/>
          <w:szCs w:val="22"/>
          <w:lang w:val="en-GB"/>
        </w:rPr>
        <w:t>Central to safe professional practice in the case of Mrs Thompson are good administrative practice and correct record keeping. The reported incident process, which pointed to her missing medication, and the later medication review, are all based on the ability of the care staff to maintain clear, timely and accurate documentation on their visit, observation and concern. In the absence of well-documented patterns, like recurring missed doses or growing confusion, it might not be early enough to initiate a review and expose the patient to greater risk.</w:t>
      </w:r>
    </w:p>
    <w:p w14:paraId="532EAA54" w14:textId="77777777" w:rsidR="00713B13" w:rsidRPr="00FB3A35" w:rsidRDefault="00713B13" w:rsidP="00C270C2">
      <w:pPr>
        <w:spacing w:after="200" w:line="360" w:lineRule="auto"/>
        <w:ind w:firstLine="720"/>
        <w:jc w:val="both"/>
        <w:rPr>
          <w:rFonts w:ascii="Arial" w:eastAsia="Arial" w:hAnsi="Arial" w:cs="Arial"/>
          <w:sz w:val="22"/>
          <w:szCs w:val="22"/>
          <w:lang w:val="en-GB"/>
        </w:rPr>
      </w:pPr>
      <w:r w:rsidRPr="00FB3A35">
        <w:rPr>
          <w:rFonts w:ascii="Arial" w:eastAsia="Arial" w:hAnsi="Arial" w:cs="Arial"/>
          <w:sz w:val="22"/>
          <w:szCs w:val="22"/>
          <w:lang w:val="en-GB"/>
        </w:rPr>
        <w:t xml:space="preserve">In this case, record keeping falls under the Data Protection Act 2018 which adjusts the UK General Data Protection Regulation onto domestic law and provides principles according to which the data must be lawfully, fairly, and transparently processed, collected according to given purposes, kept adequate and factual, and stored safely without longer necessity (Care Learning, 2025). The information about her health, medications, the safeguarding issue is part of care records and it is a type of data that is provided to Mrs Thompson and that is considered as a special category data and therefore, special attention should be given to storage, access and sharing of this data as such information may do harm or distress when improperly disclosed. Staff recording regarding outdoor incident e.g. should make entries that are accurate, objective and proportional: not speculative and only should be provided to professionals who require the information to take care of the patient. Mrs Thompson has also </w:t>
      </w:r>
      <w:proofErr w:type="gramStart"/>
      <w:r w:rsidRPr="00FB3A35">
        <w:rPr>
          <w:rFonts w:ascii="Arial" w:eastAsia="Arial" w:hAnsi="Arial" w:cs="Arial"/>
          <w:sz w:val="22"/>
          <w:szCs w:val="22"/>
          <w:lang w:val="en-GB"/>
        </w:rPr>
        <w:t>rights</w:t>
      </w:r>
      <w:proofErr w:type="gramEnd"/>
      <w:r w:rsidRPr="00FB3A35">
        <w:rPr>
          <w:rFonts w:ascii="Arial" w:eastAsia="Arial" w:hAnsi="Arial" w:cs="Arial"/>
          <w:sz w:val="22"/>
          <w:szCs w:val="22"/>
          <w:lang w:val="en-GB"/>
        </w:rPr>
        <w:t xml:space="preserve"> in relation to her own data, including the right to access her records and ensure any inaccuracies are corrected, which can be viewed as person-centred on her care and aid in </w:t>
      </w:r>
      <w:r w:rsidRPr="00FB3A35">
        <w:rPr>
          <w:rFonts w:ascii="Arial" w:eastAsia="Arial" w:hAnsi="Arial" w:cs="Arial"/>
          <w:sz w:val="22"/>
          <w:szCs w:val="22"/>
          <w:lang w:val="en-GB"/>
        </w:rPr>
        <w:lastRenderedPageBreak/>
        <w:t>building trust between her and the professionals participating in her care (Care Learning, 2025).</w:t>
      </w:r>
    </w:p>
    <w:p w14:paraId="40493B59" w14:textId="34D210B7" w:rsidR="00713B13" w:rsidRPr="00FB3A35" w:rsidRDefault="00713B13" w:rsidP="00C270C2">
      <w:pPr>
        <w:spacing w:after="200" w:line="360" w:lineRule="auto"/>
        <w:ind w:firstLine="720"/>
        <w:jc w:val="both"/>
        <w:rPr>
          <w:rFonts w:ascii="Arial" w:eastAsia="Arial" w:hAnsi="Arial" w:cs="Arial"/>
          <w:sz w:val="22"/>
          <w:szCs w:val="22"/>
          <w:lang w:val="en-GB"/>
        </w:rPr>
      </w:pPr>
      <w:r w:rsidRPr="00FB3A35">
        <w:rPr>
          <w:rFonts w:ascii="Arial" w:eastAsia="Arial" w:hAnsi="Arial" w:cs="Arial"/>
          <w:sz w:val="22"/>
          <w:szCs w:val="22"/>
          <w:lang w:val="en-GB"/>
        </w:rPr>
        <w:t xml:space="preserve">Good administrative practice goes further than compliance even with law; it covers </w:t>
      </w:r>
      <w:r w:rsidR="00FB3A35" w:rsidRPr="00FB3A35">
        <w:rPr>
          <w:rFonts w:ascii="Arial" w:eastAsia="Arial" w:hAnsi="Arial" w:cs="Arial"/>
          <w:sz w:val="22"/>
          <w:szCs w:val="22"/>
          <w:lang w:val="en-GB"/>
        </w:rPr>
        <w:t>the</w:t>
      </w:r>
      <w:r w:rsidRPr="00FB3A35">
        <w:rPr>
          <w:rFonts w:ascii="Arial" w:eastAsia="Arial" w:hAnsi="Arial" w:cs="Arial"/>
          <w:sz w:val="22"/>
          <w:szCs w:val="22"/>
          <w:lang w:val="en-GB"/>
        </w:rPr>
        <w:t xml:space="preserve"> protection of Mrs Thompson in actual sense. Proper documentation provides continuity of care among the domiciliary care team, the GP and any reviewing social worker, and each professional will gain current knowledge of her medication regimen and recent history as opposed to depending on her own explanation, which will be influenced by her dementia. The confidentiality </w:t>
      </w:r>
      <w:r w:rsidR="00FB3A35" w:rsidRPr="00FB3A35">
        <w:rPr>
          <w:rFonts w:ascii="Arial" w:eastAsia="Arial" w:hAnsi="Arial" w:cs="Arial"/>
          <w:sz w:val="22"/>
          <w:szCs w:val="22"/>
          <w:lang w:val="en-GB"/>
        </w:rPr>
        <w:t>must</w:t>
      </w:r>
      <w:r w:rsidRPr="00FB3A35">
        <w:rPr>
          <w:rFonts w:ascii="Arial" w:eastAsia="Arial" w:hAnsi="Arial" w:cs="Arial"/>
          <w:sz w:val="22"/>
          <w:szCs w:val="22"/>
          <w:lang w:val="en-GB"/>
        </w:rPr>
        <w:t xml:space="preserve"> be weighed against the necessity to disclose the appropriate information in a necessary time with the safeguarding concern in accordance with the principle that information disclosure can be of equal importance as information preservation when an individual might be endangered. All in all, an administrative practice should be </w:t>
      </w:r>
      <w:r w:rsidR="00FB3A35" w:rsidRPr="00FB3A35">
        <w:rPr>
          <w:rFonts w:ascii="Arial" w:eastAsia="Arial" w:hAnsi="Arial" w:cs="Arial"/>
          <w:sz w:val="22"/>
          <w:szCs w:val="22"/>
          <w:lang w:val="en-GB"/>
        </w:rPr>
        <w:t>disciplined and</w:t>
      </w:r>
      <w:r w:rsidRPr="00FB3A35">
        <w:rPr>
          <w:rFonts w:ascii="Arial" w:eastAsia="Arial" w:hAnsi="Arial" w:cs="Arial"/>
          <w:sz w:val="22"/>
          <w:szCs w:val="22"/>
          <w:lang w:val="en-GB"/>
        </w:rPr>
        <w:t xml:space="preserve"> supported by the Data Protection Act 2018 </w:t>
      </w:r>
      <w:proofErr w:type="gramStart"/>
      <w:r w:rsidRPr="00FB3A35">
        <w:rPr>
          <w:rFonts w:ascii="Arial" w:eastAsia="Arial" w:hAnsi="Arial" w:cs="Arial"/>
          <w:sz w:val="22"/>
          <w:szCs w:val="22"/>
          <w:lang w:val="en-GB"/>
        </w:rPr>
        <w:t>in order to</w:t>
      </w:r>
      <w:proofErr w:type="gramEnd"/>
      <w:r w:rsidRPr="00FB3A35">
        <w:rPr>
          <w:rFonts w:ascii="Arial" w:eastAsia="Arial" w:hAnsi="Arial" w:cs="Arial"/>
          <w:sz w:val="22"/>
          <w:szCs w:val="22"/>
          <w:lang w:val="en-GB"/>
        </w:rPr>
        <w:t xml:space="preserve"> detect and act upon the concerns like those presented in the case of Mrs Thompson.</w:t>
      </w:r>
    </w:p>
    <w:p w14:paraId="54768F36" w14:textId="712DC159" w:rsidR="00713B13" w:rsidRPr="00FB3A35" w:rsidRDefault="00713B13" w:rsidP="00C270C2">
      <w:pPr>
        <w:spacing w:after="200" w:line="360" w:lineRule="auto"/>
        <w:jc w:val="both"/>
        <w:rPr>
          <w:rFonts w:ascii="Arial" w:eastAsia="Arial" w:hAnsi="Arial" w:cs="Arial"/>
          <w:b/>
          <w:sz w:val="22"/>
          <w:szCs w:val="22"/>
          <w:lang w:val="en-GB"/>
        </w:rPr>
      </w:pPr>
      <w:r w:rsidRPr="00FB3A35">
        <w:rPr>
          <w:rFonts w:ascii="Arial" w:eastAsia="Arial" w:hAnsi="Arial" w:cs="Arial"/>
          <w:b/>
          <w:sz w:val="22"/>
          <w:szCs w:val="22"/>
          <w:lang w:val="en-GB"/>
        </w:rPr>
        <w:t xml:space="preserve">3. </w:t>
      </w:r>
      <w:r w:rsidR="00FB3A35" w:rsidRPr="00FB3A35">
        <w:rPr>
          <w:rFonts w:ascii="Arial" w:eastAsia="Arial" w:hAnsi="Arial" w:cs="Arial"/>
          <w:b/>
          <w:sz w:val="22"/>
          <w:szCs w:val="22"/>
          <w:lang w:val="en-GB"/>
        </w:rPr>
        <w:t>Teamwork</w:t>
      </w:r>
      <w:r w:rsidRPr="00FB3A35">
        <w:rPr>
          <w:rFonts w:ascii="Arial" w:eastAsia="Arial" w:hAnsi="Arial" w:cs="Arial"/>
          <w:b/>
          <w:sz w:val="22"/>
          <w:szCs w:val="22"/>
          <w:lang w:val="en-GB"/>
        </w:rPr>
        <w:t xml:space="preserve"> with other Professionals.</w:t>
      </w:r>
    </w:p>
    <w:p w14:paraId="6360E833" w14:textId="77777777" w:rsidR="00713B13" w:rsidRPr="00FB3A35" w:rsidRDefault="00713B13" w:rsidP="00C270C2">
      <w:pPr>
        <w:spacing w:after="200" w:line="360" w:lineRule="auto"/>
        <w:ind w:firstLine="720"/>
        <w:jc w:val="both"/>
        <w:rPr>
          <w:rFonts w:ascii="Arial" w:eastAsia="Arial" w:hAnsi="Arial" w:cs="Arial"/>
          <w:sz w:val="22"/>
          <w:szCs w:val="22"/>
          <w:lang w:val="en-GB"/>
        </w:rPr>
      </w:pPr>
      <w:r w:rsidRPr="00FB3A35">
        <w:rPr>
          <w:rFonts w:ascii="Arial" w:eastAsia="Arial" w:hAnsi="Arial" w:cs="Arial"/>
          <w:sz w:val="22"/>
          <w:szCs w:val="22"/>
          <w:lang w:val="en-GB"/>
        </w:rPr>
        <w:t>The case of Mrs Thompson exemplifies the importance of multi-agency working in health and social care. She already has a large number of professionals involved in her care, her GP, community nurse, domiciliary care workers, and a social worker, who performs the safeguarding review have all a different half of the picture, and only collaboration will help them create a complete image of her needs and risk factors.</w:t>
      </w:r>
    </w:p>
    <w:p w14:paraId="17B8E7B6" w14:textId="7D3F7EC6" w:rsidR="00713B13" w:rsidRPr="00FB3A35" w:rsidRDefault="00713B13" w:rsidP="00C270C2">
      <w:pPr>
        <w:spacing w:after="200" w:line="360" w:lineRule="auto"/>
        <w:ind w:firstLine="720"/>
        <w:jc w:val="both"/>
        <w:rPr>
          <w:rFonts w:ascii="Arial" w:eastAsia="Arial" w:hAnsi="Arial" w:cs="Arial"/>
          <w:sz w:val="22"/>
          <w:szCs w:val="22"/>
          <w:lang w:val="en-GB"/>
        </w:rPr>
      </w:pPr>
      <w:r w:rsidRPr="00FB3A35">
        <w:rPr>
          <w:rFonts w:ascii="Arial" w:eastAsia="Arial" w:hAnsi="Arial" w:cs="Arial"/>
          <w:sz w:val="22"/>
          <w:szCs w:val="22"/>
          <w:lang w:val="en-GB"/>
        </w:rPr>
        <w:t xml:space="preserve">The benefits of the multi-agency working model can be quite obvious with the ensuing creation of a more comprehensive approach towards the person, the improved ability to solve problems and the decreased risk of people ending up caught between the offerings of different agencies like in the case of Mrs Thompson (Care Learning, 2025). Frequent communication between Domiciliary carers of Mrs Thompson and her GP e.g. could enable the confusion associated to her so far </w:t>
      </w:r>
      <w:r w:rsidR="00FB3A35" w:rsidRPr="00FB3A35">
        <w:rPr>
          <w:rFonts w:ascii="Arial" w:eastAsia="Arial" w:hAnsi="Arial" w:cs="Arial"/>
          <w:sz w:val="22"/>
          <w:szCs w:val="22"/>
          <w:lang w:val="en-GB"/>
        </w:rPr>
        <w:t>unnoticed</w:t>
      </w:r>
      <w:r w:rsidRPr="00FB3A35">
        <w:rPr>
          <w:rFonts w:ascii="Arial" w:eastAsia="Arial" w:hAnsi="Arial" w:cs="Arial"/>
          <w:sz w:val="22"/>
          <w:szCs w:val="22"/>
          <w:lang w:val="en-GB"/>
        </w:rPr>
        <w:t xml:space="preserve"> missing of medication to be detected early and the use of a community nurse would aid in the monitoring of her pneumonia recovery progress in conjunction to her current dementia care requirement. Nonetheless, such obstacles as communication barriers generated by professional jargon or the cultures of different organisations, the uncertainties about the responsibilities that belong to whom and to what aspect of care, as well as the time pressures of meetings and following up on agreed actions are common (High Speed Training, 2025). The exchange of information between agencies needs to be within the disposal of the Data Protection Act 2018 as well, which may hinder collaboration when organisations have different interpretations of the confidentiality needs.</w:t>
      </w:r>
    </w:p>
    <w:p w14:paraId="2B9DFC46" w14:textId="77777777" w:rsidR="00713B13" w:rsidRPr="00FB3A35" w:rsidRDefault="00713B13" w:rsidP="00C270C2">
      <w:pPr>
        <w:spacing w:after="200" w:line="360" w:lineRule="auto"/>
        <w:ind w:firstLine="720"/>
        <w:jc w:val="both"/>
        <w:rPr>
          <w:rFonts w:ascii="Arial" w:eastAsia="Arial" w:hAnsi="Arial" w:cs="Arial"/>
          <w:sz w:val="22"/>
          <w:szCs w:val="22"/>
          <w:lang w:val="en-GB"/>
        </w:rPr>
      </w:pPr>
      <w:r w:rsidRPr="00FB3A35">
        <w:rPr>
          <w:rFonts w:ascii="Arial" w:eastAsia="Arial" w:hAnsi="Arial" w:cs="Arial"/>
          <w:sz w:val="22"/>
          <w:szCs w:val="22"/>
          <w:lang w:val="en-GB"/>
        </w:rPr>
        <w:lastRenderedPageBreak/>
        <w:t>These concerns may be solved by defining roles at the initial stage of multi-agency engagement, structured communication (a review of cases or a multi-disciplinary conference), as well as by a formal agreement on information sharing, which will establish the legal grounds and privacy expectation beforehand (CPD Online, 2025). In the case of Mrs Thompson, a coordinated care plan where all parties involved (GP, community nurse, domiciliary care team and social worker) are involved in the decision, ensure that issues like the outdoor incident are addressed as soon as possible and regularly, without exposing her to additional risks, but at the same time with the understanding that she does want to continue living on her own and in her own home.</w:t>
      </w:r>
    </w:p>
    <w:p w14:paraId="66E3C406" w14:textId="77777777" w:rsidR="00713B13" w:rsidRPr="00FB3A35" w:rsidRDefault="00713B13" w:rsidP="00C270C2">
      <w:pPr>
        <w:spacing w:after="200" w:line="360" w:lineRule="auto"/>
        <w:jc w:val="both"/>
        <w:rPr>
          <w:rFonts w:ascii="Arial" w:eastAsia="Arial" w:hAnsi="Arial" w:cs="Arial"/>
          <w:b/>
          <w:sz w:val="22"/>
          <w:szCs w:val="22"/>
          <w:lang w:val="en-GB"/>
        </w:rPr>
      </w:pPr>
      <w:r w:rsidRPr="00FB3A35">
        <w:rPr>
          <w:rFonts w:ascii="Arial" w:eastAsia="Arial" w:hAnsi="Arial" w:cs="Arial"/>
          <w:b/>
          <w:sz w:val="22"/>
          <w:szCs w:val="22"/>
          <w:lang w:val="en-GB"/>
        </w:rPr>
        <w:t>Conclusion</w:t>
      </w:r>
    </w:p>
    <w:p w14:paraId="67F758EF" w14:textId="3ED83619" w:rsidR="004051B6" w:rsidRPr="00FB3A35" w:rsidRDefault="00713B13" w:rsidP="00C270C2">
      <w:pPr>
        <w:spacing w:after="200" w:line="360" w:lineRule="auto"/>
        <w:ind w:firstLine="720"/>
        <w:jc w:val="both"/>
        <w:rPr>
          <w:sz w:val="22"/>
          <w:szCs w:val="22"/>
          <w:lang w:val="en-GB"/>
        </w:rPr>
      </w:pPr>
      <w:r w:rsidRPr="00FB3A35">
        <w:rPr>
          <w:rFonts w:ascii="Arial" w:eastAsia="Arial" w:hAnsi="Arial" w:cs="Arial"/>
          <w:sz w:val="22"/>
          <w:szCs w:val="22"/>
          <w:lang w:val="en-GB"/>
        </w:rPr>
        <w:t xml:space="preserve">This task has demonstrated that successful communication, strong administrative and record-keeping used and practices, </w:t>
      </w:r>
      <w:r w:rsidR="00FB3A35" w:rsidRPr="00FB3A35">
        <w:rPr>
          <w:rFonts w:ascii="Arial" w:eastAsia="Arial" w:hAnsi="Arial" w:cs="Arial"/>
          <w:sz w:val="22"/>
          <w:szCs w:val="22"/>
          <w:lang w:val="en-GB"/>
        </w:rPr>
        <w:t>as well as</w:t>
      </w:r>
      <w:r w:rsidRPr="00FB3A35">
        <w:rPr>
          <w:rFonts w:ascii="Arial" w:eastAsia="Arial" w:hAnsi="Arial" w:cs="Arial"/>
          <w:sz w:val="22"/>
          <w:szCs w:val="22"/>
          <w:lang w:val="en-GB"/>
        </w:rPr>
        <w:t xml:space="preserve"> authentic cooperation among specialists are all required and mutually supportive aspects of safe, person-centred care to Mrs Thompson. The Communication Cycle and the Equality Act 2010 of Argyle </w:t>
      </w:r>
      <w:r w:rsidR="00FB3A35" w:rsidRPr="00FB3A35">
        <w:rPr>
          <w:rFonts w:ascii="Arial" w:eastAsia="Arial" w:hAnsi="Arial" w:cs="Arial"/>
          <w:sz w:val="22"/>
          <w:szCs w:val="22"/>
          <w:lang w:val="en-GB"/>
        </w:rPr>
        <w:t>give</w:t>
      </w:r>
      <w:r w:rsidRPr="00FB3A35">
        <w:rPr>
          <w:rFonts w:ascii="Arial" w:eastAsia="Arial" w:hAnsi="Arial" w:cs="Arial"/>
          <w:sz w:val="22"/>
          <w:szCs w:val="22"/>
          <w:lang w:val="en-GB"/>
        </w:rPr>
        <w:t xml:space="preserve"> information on how to communicate with her in a way that an appropriate method is possible, whereas the Data Protection Act 2018 supports the correct and secure record keeping necessary to report and respond to issues. The combination of the multi-agencies of her GP, community nurse, domiciliary carers and social worker with their established roles and information sharing frameworks with each other is what will eventually enable the authorities in her identified risks to be addressed while maintaining her autonomy and dignity.</w:t>
      </w:r>
    </w:p>
    <w:p w14:paraId="58924B47" w14:textId="77777777" w:rsidR="0001720E" w:rsidRPr="00FB3A35" w:rsidRDefault="0001720E" w:rsidP="00C270C2">
      <w:pPr>
        <w:spacing w:line="360" w:lineRule="auto"/>
        <w:rPr>
          <w:rFonts w:ascii="Arial" w:eastAsia="Arial" w:hAnsi="Arial" w:cs="Arial"/>
          <w:b/>
          <w:bCs/>
          <w:sz w:val="22"/>
          <w:szCs w:val="22"/>
          <w:lang w:val="en-GB"/>
        </w:rPr>
      </w:pPr>
      <w:r w:rsidRPr="00FB3A35">
        <w:rPr>
          <w:rFonts w:ascii="Arial" w:eastAsia="Arial" w:hAnsi="Arial" w:cs="Arial"/>
          <w:b/>
          <w:bCs/>
          <w:sz w:val="22"/>
          <w:szCs w:val="22"/>
          <w:lang w:val="en-GB"/>
        </w:rPr>
        <w:br w:type="page"/>
      </w:r>
    </w:p>
    <w:p w14:paraId="171BC881" w14:textId="4C39983D" w:rsidR="004051B6" w:rsidRPr="00FB3A35" w:rsidRDefault="007B52CE" w:rsidP="00C270C2">
      <w:pPr>
        <w:spacing w:before="300" w:after="150" w:line="360" w:lineRule="auto"/>
        <w:rPr>
          <w:b/>
          <w:sz w:val="22"/>
          <w:szCs w:val="22"/>
          <w:lang w:val="en-GB"/>
        </w:rPr>
      </w:pPr>
      <w:r w:rsidRPr="00FB3A35">
        <w:rPr>
          <w:rFonts w:ascii="Arial" w:eastAsia="Arial" w:hAnsi="Arial" w:cs="Arial"/>
          <w:b/>
          <w:bCs/>
          <w:sz w:val="22"/>
          <w:szCs w:val="22"/>
          <w:lang w:val="en-GB"/>
        </w:rPr>
        <w:lastRenderedPageBreak/>
        <w:t>Reference List</w:t>
      </w:r>
    </w:p>
    <w:p w14:paraId="1FE7C41F" w14:textId="77777777" w:rsidR="004051B6" w:rsidRPr="00FB3A35" w:rsidRDefault="007B52CE" w:rsidP="00C270C2">
      <w:pPr>
        <w:spacing w:after="150" w:line="360" w:lineRule="auto"/>
        <w:ind w:left="720" w:hanging="720"/>
        <w:rPr>
          <w:sz w:val="22"/>
          <w:szCs w:val="22"/>
          <w:lang w:val="en-GB"/>
        </w:rPr>
      </w:pPr>
      <w:r w:rsidRPr="00FB3A35">
        <w:rPr>
          <w:rFonts w:ascii="Arial" w:eastAsia="Arial" w:hAnsi="Arial" w:cs="Arial"/>
          <w:sz w:val="22"/>
          <w:szCs w:val="22"/>
          <w:lang w:val="en-GB"/>
        </w:rPr>
        <w:t>Care Learning (2025) A Guide to the Data Protection Act 2018 in Health and Social Care. Available at: https://carelearning.org.uk/blog/data-protection-and-gdpr/data-protection-act-2018-in-health-and-social-care/ (Accessed: 7 July 2026).</w:t>
      </w:r>
    </w:p>
    <w:p w14:paraId="195BA923" w14:textId="77777777" w:rsidR="004051B6" w:rsidRPr="00FB3A35" w:rsidRDefault="007B52CE" w:rsidP="00C270C2">
      <w:pPr>
        <w:spacing w:after="150" w:line="360" w:lineRule="auto"/>
        <w:ind w:left="720" w:hanging="720"/>
        <w:rPr>
          <w:sz w:val="22"/>
          <w:szCs w:val="22"/>
          <w:lang w:val="en-GB"/>
        </w:rPr>
      </w:pPr>
      <w:r w:rsidRPr="00FB3A35">
        <w:rPr>
          <w:rFonts w:ascii="Arial" w:eastAsia="Arial" w:hAnsi="Arial" w:cs="Arial"/>
          <w:sz w:val="22"/>
          <w:szCs w:val="22"/>
          <w:lang w:val="en-GB"/>
        </w:rPr>
        <w:t>Care Learning (2025) What are Multi Agency Meetings in Health and Social Care? Available at: https://carelearning.org.uk/blog/communication-blog/what-are-multi-agency-meetings-in-health-and-social-care/ (Accessed: 7 July 2026).</w:t>
      </w:r>
    </w:p>
    <w:p w14:paraId="6C746F51" w14:textId="77777777" w:rsidR="004051B6" w:rsidRPr="00FB3A35" w:rsidRDefault="007B52CE" w:rsidP="00C270C2">
      <w:pPr>
        <w:spacing w:after="150" w:line="360" w:lineRule="auto"/>
        <w:ind w:left="720" w:hanging="720"/>
        <w:rPr>
          <w:sz w:val="22"/>
          <w:szCs w:val="22"/>
          <w:lang w:val="en-GB"/>
        </w:rPr>
      </w:pPr>
      <w:r w:rsidRPr="00FB3A35">
        <w:rPr>
          <w:rFonts w:ascii="Arial" w:eastAsia="Arial" w:hAnsi="Arial" w:cs="Arial"/>
          <w:sz w:val="22"/>
          <w:szCs w:val="22"/>
          <w:lang w:val="en-GB"/>
        </w:rPr>
        <w:t>CPD Online (2025) Multi-Agency Working: 7 Riveting Benefits. Available at: https://cpdonline.co.uk/knowledge-base/care/multi-agency-working/ (Accessed: 7 July 2026).</w:t>
      </w:r>
    </w:p>
    <w:p w14:paraId="49DF5AD4" w14:textId="77777777" w:rsidR="004051B6" w:rsidRPr="00FB3A35" w:rsidRDefault="007B52CE" w:rsidP="00C270C2">
      <w:pPr>
        <w:spacing w:after="150" w:line="360" w:lineRule="auto"/>
        <w:ind w:left="720" w:hanging="720"/>
        <w:rPr>
          <w:sz w:val="22"/>
          <w:szCs w:val="22"/>
          <w:lang w:val="en-GB"/>
        </w:rPr>
      </w:pPr>
      <w:r w:rsidRPr="00FB3A35">
        <w:rPr>
          <w:rFonts w:ascii="Arial" w:eastAsia="Arial" w:hAnsi="Arial" w:cs="Arial"/>
          <w:sz w:val="22"/>
          <w:szCs w:val="22"/>
          <w:lang w:val="en-GB"/>
        </w:rPr>
        <w:t>Data Protection Act 2018, c. 12. London: The Stationery Office.</w:t>
      </w:r>
    </w:p>
    <w:p w14:paraId="18AC6025" w14:textId="77777777" w:rsidR="004051B6" w:rsidRPr="00FB3A35" w:rsidRDefault="007B52CE" w:rsidP="00C270C2">
      <w:pPr>
        <w:spacing w:after="150" w:line="360" w:lineRule="auto"/>
        <w:ind w:left="720" w:hanging="720"/>
        <w:rPr>
          <w:sz w:val="22"/>
          <w:szCs w:val="22"/>
          <w:lang w:val="en-GB"/>
        </w:rPr>
      </w:pPr>
      <w:r w:rsidRPr="00FB3A35">
        <w:rPr>
          <w:rFonts w:ascii="Arial" w:eastAsia="Arial" w:hAnsi="Arial" w:cs="Arial"/>
          <w:sz w:val="22"/>
          <w:szCs w:val="22"/>
          <w:lang w:val="en-GB"/>
        </w:rPr>
        <w:t>Equality Act 2010, c. 15. London: The Stationery Office.</w:t>
      </w:r>
    </w:p>
    <w:p w14:paraId="27F118DA" w14:textId="77777777" w:rsidR="004051B6" w:rsidRPr="00FB3A35" w:rsidRDefault="007B52CE" w:rsidP="00C270C2">
      <w:pPr>
        <w:spacing w:after="150" w:line="360" w:lineRule="auto"/>
        <w:ind w:left="720" w:hanging="720"/>
        <w:rPr>
          <w:sz w:val="22"/>
          <w:szCs w:val="22"/>
          <w:lang w:val="en-GB"/>
        </w:rPr>
      </w:pPr>
      <w:r w:rsidRPr="00FB3A35">
        <w:rPr>
          <w:rFonts w:ascii="Arial" w:eastAsia="Arial" w:hAnsi="Arial" w:cs="Arial"/>
          <w:sz w:val="22"/>
          <w:szCs w:val="22"/>
          <w:lang w:val="en-GB"/>
        </w:rPr>
        <w:t>High Speed Training (2025) Multi-Agency Working: Benefits &amp; Challenges in Safeguarding. Available at: https://www.highspeedtraining.co.uk/hub/multi-agency-working-in-safeguarding/ (Accessed: 7 July 2026).</w:t>
      </w:r>
    </w:p>
    <w:p w14:paraId="67531984" w14:textId="77777777" w:rsidR="004051B6" w:rsidRPr="00FB3A35" w:rsidRDefault="007B52CE" w:rsidP="00C270C2">
      <w:pPr>
        <w:spacing w:after="150" w:line="360" w:lineRule="auto"/>
        <w:ind w:left="720" w:hanging="720"/>
        <w:rPr>
          <w:sz w:val="22"/>
          <w:szCs w:val="22"/>
          <w:lang w:val="en-GB"/>
        </w:rPr>
      </w:pPr>
      <w:r w:rsidRPr="00FB3A35">
        <w:rPr>
          <w:rFonts w:ascii="Arial" w:eastAsia="Arial" w:hAnsi="Arial" w:cs="Arial"/>
          <w:sz w:val="22"/>
          <w:szCs w:val="22"/>
          <w:lang w:val="en-GB"/>
        </w:rPr>
        <w:t>MDDUS (2025) Equality Act 2010 in Healthcare: Advice &amp; Guidance. Available at: https://www.mddus.com/advice-and-support/advice-library/equality-act-2010 (Accessed: 7 July 2026).</w:t>
      </w:r>
    </w:p>
    <w:p w14:paraId="7A06D13D" w14:textId="77777777" w:rsidR="004051B6" w:rsidRPr="00FB3A35" w:rsidRDefault="007B52CE" w:rsidP="00C270C2">
      <w:pPr>
        <w:spacing w:after="150" w:line="360" w:lineRule="auto"/>
        <w:ind w:left="720" w:hanging="720"/>
        <w:rPr>
          <w:sz w:val="22"/>
          <w:szCs w:val="22"/>
          <w:lang w:val="en-GB"/>
        </w:rPr>
      </w:pPr>
      <w:r w:rsidRPr="00FB3A35">
        <w:rPr>
          <w:rFonts w:ascii="Arial" w:eastAsia="Arial" w:hAnsi="Arial" w:cs="Arial"/>
          <w:sz w:val="22"/>
          <w:szCs w:val="22"/>
          <w:lang w:val="en-GB"/>
        </w:rPr>
        <w:t>Argyle, M. (1972) The Psychology of Interpersonal Behaviour. Harmondsworth: Penguin.</w:t>
      </w:r>
    </w:p>
    <w:sectPr w:rsidR="004051B6" w:rsidRPr="00FB3A35">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86652A" w14:textId="77777777" w:rsidR="007B52CE" w:rsidRDefault="007B52CE">
      <w:r>
        <w:separator/>
      </w:r>
    </w:p>
  </w:endnote>
  <w:endnote w:type="continuationSeparator" w:id="0">
    <w:p w14:paraId="07997A45" w14:textId="77777777" w:rsidR="007B52CE" w:rsidRDefault="007B52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744BB8" w14:textId="77777777" w:rsidR="00F44211" w:rsidRDefault="00F4421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50AC15" w14:textId="77777777" w:rsidR="004051B6" w:rsidRDefault="007B52CE">
    <w:pPr>
      <w:jc w:val="center"/>
    </w:pPr>
    <w:r>
      <w:rPr>
        <w:rFonts w:ascii="Arial" w:eastAsia="Arial" w:hAnsi="Arial" w:cs="Arial"/>
        <w:sz w:val="18"/>
        <w:szCs w:val="18"/>
      </w:rPr>
      <w:fldChar w:fldCharType="begin"/>
    </w:r>
    <w:r>
      <w:rPr>
        <w:rFonts w:ascii="Arial" w:eastAsia="Arial" w:hAnsi="Arial" w:cs="Arial"/>
        <w:sz w:val="18"/>
        <w:szCs w:val="18"/>
      </w:rPr>
      <w:instrText>PAGE</w:instrText>
    </w:r>
    <w:r>
      <w:rPr>
        <w:rFonts w:ascii="Arial" w:eastAsia="Arial" w:hAnsi="Arial" w:cs="Arial"/>
        <w:sz w:val="18"/>
        <w:szCs w:val="18"/>
      </w:rPr>
      <w:fldChar w:fldCharType="separate"/>
    </w:r>
    <w:r w:rsidR="00925CBC">
      <w:rPr>
        <w:rFonts w:ascii="Arial" w:eastAsia="Arial" w:hAnsi="Arial" w:cs="Arial"/>
        <w:noProof/>
        <w:sz w:val="18"/>
        <w:szCs w:val="18"/>
      </w:rPr>
      <w:t>1</w:t>
    </w:r>
    <w:r>
      <w:rPr>
        <w:rFonts w:ascii="Arial" w:eastAsia="Arial" w:hAnsi="Arial" w:cs="Arial"/>
        <w:sz w:val="18"/>
        <w:szCs w:val="18"/>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AAFC0B" w14:textId="77777777" w:rsidR="00F44211" w:rsidRDefault="00F442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4792FF" w14:textId="77777777" w:rsidR="007B52CE" w:rsidRDefault="007B52CE">
      <w:r>
        <w:separator/>
      </w:r>
    </w:p>
  </w:footnote>
  <w:footnote w:type="continuationSeparator" w:id="0">
    <w:p w14:paraId="3BA1EB76" w14:textId="77777777" w:rsidR="007B52CE" w:rsidRDefault="007B52C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C4E313" w14:textId="77777777" w:rsidR="00F44211" w:rsidRDefault="00F4421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50A5DE" w14:textId="77777777" w:rsidR="00F44211" w:rsidRDefault="00F4421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51FEDF" w14:textId="77777777" w:rsidR="00F44211" w:rsidRDefault="00F4421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19D2EAA"/>
    <w:multiLevelType w:val="hybridMultilevel"/>
    <w:tmpl w:val="C29A0974"/>
    <w:lvl w:ilvl="0" w:tplc="0EC2989C">
      <w:start w:val="1"/>
      <w:numFmt w:val="bullet"/>
      <w:lvlText w:val="●"/>
      <w:lvlJc w:val="left"/>
      <w:pPr>
        <w:ind w:left="720" w:hanging="360"/>
      </w:pPr>
    </w:lvl>
    <w:lvl w:ilvl="1" w:tplc="47865EE8">
      <w:start w:val="1"/>
      <w:numFmt w:val="bullet"/>
      <w:lvlText w:val="○"/>
      <w:lvlJc w:val="left"/>
      <w:pPr>
        <w:ind w:left="1440" w:hanging="360"/>
      </w:pPr>
    </w:lvl>
    <w:lvl w:ilvl="2" w:tplc="88A6EDBA">
      <w:start w:val="1"/>
      <w:numFmt w:val="bullet"/>
      <w:lvlText w:val="■"/>
      <w:lvlJc w:val="left"/>
      <w:pPr>
        <w:ind w:left="2160" w:hanging="360"/>
      </w:pPr>
    </w:lvl>
    <w:lvl w:ilvl="3" w:tplc="8310935A">
      <w:start w:val="1"/>
      <w:numFmt w:val="bullet"/>
      <w:lvlText w:val="●"/>
      <w:lvlJc w:val="left"/>
      <w:pPr>
        <w:ind w:left="2880" w:hanging="360"/>
      </w:pPr>
    </w:lvl>
    <w:lvl w:ilvl="4" w:tplc="6F7C6ACA">
      <w:start w:val="1"/>
      <w:numFmt w:val="bullet"/>
      <w:lvlText w:val="○"/>
      <w:lvlJc w:val="left"/>
      <w:pPr>
        <w:ind w:left="3600" w:hanging="360"/>
      </w:pPr>
    </w:lvl>
    <w:lvl w:ilvl="5" w:tplc="3AA2D99C">
      <w:start w:val="1"/>
      <w:numFmt w:val="bullet"/>
      <w:lvlText w:val="■"/>
      <w:lvlJc w:val="left"/>
      <w:pPr>
        <w:ind w:left="4320" w:hanging="360"/>
      </w:pPr>
    </w:lvl>
    <w:lvl w:ilvl="6" w:tplc="B41E5C10">
      <w:start w:val="1"/>
      <w:numFmt w:val="bullet"/>
      <w:lvlText w:val="●"/>
      <w:lvlJc w:val="left"/>
      <w:pPr>
        <w:ind w:left="5040" w:hanging="360"/>
      </w:pPr>
    </w:lvl>
    <w:lvl w:ilvl="7" w:tplc="2F484F5C">
      <w:start w:val="1"/>
      <w:numFmt w:val="bullet"/>
      <w:lvlText w:val="●"/>
      <w:lvlJc w:val="left"/>
      <w:pPr>
        <w:ind w:left="5760" w:hanging="360"/>
      </w:pPr>
    </w:lvl>
    <w:lvl w:ilvl="8" w:tplc="E032746C">
      <w:start w:val="1"/>
      <w:numFmt w:val="bullet"/>
      <w:lvlText w:val="●"/>
      <w:lvlJc w:val="left"/>
      <w:pPr>
        <w:ind w:left="6480" w:hanging="360"/>
      </w:pPr>
    </w:lvl>
  </w:abstractNum>
  <w:num w:numId="1" w16cid:durableId="70591863">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51B6"/>
    <w:rsid w:val="00015A1E"/>
    <w:rsid w:val="0001720E"/>
    <w:rsid w:val="004051B6"/>
    <w:rsid w:val="004A1FF2"/>
    <w:rsid w:val="0065495F"/>
    <w:rsid w:val="006A570B"/>
    <w:rsid w:val="00713B13"/>
    <w:rsid w:val="007B52CE"/>
    <w:rsid w:val="00925CBC"/>
    <w:rsid w:val="009E709B"/>
    <w:rsid w:val="00A40E1E"/>
    <w:rsid w:val="00B25ADE"/>
    <w:rsid w:val="00C270C2"/>
    <w:rsid w:val="00DC3CFB"/>
    <w:rsid w:val="00F44211"/>
    <w:rsid w:val="00FB3A35"/>
    <w:rsid w:val="00FD072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9EBF41"/>
  <w15:docId w15:val="{4505D0DD-0A6B-4026-911C-25691D455E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925CBC"/>
    <w:pPr>
      <w:tabs>
        <w:tab w:val="center" w:pos="4680"/>
        <w:tab w:val="right" w:pos="9360"/>
      </w:tabs>
    </w:pPr>
  </w:style>
  <w:style w:type="character" w:customStyle="1" w:styleId="HeaderChar">
    <w:name w:val="Header Char"/>
    <w:basedOn w:val="DefaultParagraphFont"/>
    <w:link w:val="Header"/>
    <w:uiPriority w:val="99"/>
    <w:rsid w:val="00925CBC"/>
  </w:style>
  <w:style w:type="paragraph" w:styleId="Footer">
    <w:name w:val="footer"/>
    <w:basedOn w:val="Normal"/>
    <w:link w:val="FooterChar"/>
    <w:uiPriority w:val="99"/>
    <w:unhideWhenUsed/>
    <w:rsid w:val="00925CBC"/>
    <w:pPr>
      <w:tabs>
        <w:tab w:val="center" w:pos="4680"/>
        <w:tab w:val="right" w:pos="9360"/>
      </w:tabs>
    </w:pPr>
  </w:style>
  <w:style w:type="character" w:customStyle="1" w:styleId="FooterChar">
    <w:name w:val="Footer Char"/>
    <w:basedOn w:val="DefaultParagraphFont"/>
    <w:link w:val="Footer"/>
    <w:uiPriority w:val="99"/>
    <w:rsid w:val="00925C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BF2DDD9-8903-4EB3-B760-969F9548B196}">
  <we:reference id="wa200010453" version="1.0.0.1" store="en-US" storeType="OMEX"/>
  <we:alternateReferences>
    <we:reference id="wa200010453" version="1.0.0.1" store="" storeType="OMEX"/>
  </we:alternateReferences>
  <we:properties>
    <we:property name="claude.fileId" value="&quot;31ddb3ac-30fc-4564-ba30-6d4c26baf90c&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2</TotalTime>
  <Pages>6</Pages>
  <Words>1731</Words>
  <Characters>9873</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LCHS4003 Component 2 - Written Assignment</vt:lpstr>
    </vt:vector>
  </TitlesOfParts>
  <Company/>
  <LinksUpToDate>false</LinksUpToDate>
  <CharactersWithSpaces>11581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LCHS4003 Component 2 - Written Assignment</dc:title>
  <dc:creator>Maryam Afshan</dc:creator>
  <cp:lastModifiedBy>MERYUM ALAM</cp:lastModifiedBy>
  <cp:revision>2</cp:revision>
  <dcterms:created xsi:type="dcterms:W3CDTF">2026-07-20T12:38:00Z</dcterms:created>
  <dcterms:modified xsi:type="dcterms:W3CDTF">2026-07-20T12:38:00Z</dcterms:modified>
</cp:coreProperties>
</file>