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2FA9D7" w14:textId="77777777" w:rsidR="00E30C62" w:rsidRPr="00A60B82" w:rsidRDefault="00E30C62" w:rsidP="00A60B82">
      <w:pPr>
        <w:spacing w:line="360" w:lineRule="auto"/>
        <w:rPr>
          <w:rFonts w:ascii="Arial" w:hAnsi="Arial" w:cs="Arial"/>
          <w:b/>
          <w:sz w:val="32"/>
          <w:szCs w:val="32"/>
        </w:rPr>
      </w:pPr>
      <w:r w:rsidRPr="00A60B82">
        <w:rPr>
          <w:rFonts w:ascii="Arial" w:hAnsi="Arial" w:cs="Arial"/>
          <w:b/>
          <w:sz w:val="32"/>
          <w:szCs w:val="32"/>
        </w:rPr>
        <w:t>CHAPTER 3 – Methods and Search Strategy</w:t>
      </w:r>
    </w:p>
    <w:p w14:paraId="5C9379F1"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3.1 Introduction</w:t>
      </w:r>
    </w:p>
    <w:p w14:paraId="20B9EE6A" w14:textId="77777777" w:rsidR="00E30C62" w:rsidRPr="00A60B82" w:rsidRDefault="00E30C62" w:rsidP="00A60B82">
      <w:pPr>
        <w:spacing w:line="360" w:lineRule="auto"/>
        <w:rPr>
          <w:rFonts w:ascii="Arial" w:hAnsi="Arial" w:cs="Arial"/>
        </w:rPr>
      </w:pPr>
      <w:r w:rsidRPr="00A60B82">
        <w:rPr>
          <w:rFonts w:ascii="Arial" w:hAnsi="Arial" w:cs="Arial"/>
        </w:rPr>
        <w:t xml:space="preserve">This chapter outlines and critically justifies the methodological approach adopted for this dissertation. The study employed a structured </w:t>
      </w:r>
      <w:r w:rsidRPr="00A60B82">
        <w:rPr>
          <w:rFonts w:ascii="Arial" w:hAnsi="Arial" w:cs="Arial"/>
          <w:b/>
        </w:rPr>
        <w:t>secondary research design</w:t>
      </w:r>
      <w:r w:rsidRPr="00A60B82">
        <w:rPr>
          <w:rFonts w:ascii="Arial" w:hAnsi="Arial" w:cs="Arial"/>
        </w:rPr>
        <w:t>, utilising a desk-based review of existing empirical literature to explore the mental health impact of the COVID-19 pandemic on healthcare workers (HCWs) and to examine the coping strategies implemented to mitigate stress, anxiety, burnout, and psychological distress.</w:t>
      </w:r>
    </w:p>
    <w:p w14:paraId="17FC2683" w14:textId="77777777" w:rsidR="00E30C62" w:rsidRPr="00A60B82" w:rsidRDefault="00E30C62" w:rsidP="00A60B82">
      <w:pPr>
        <w:spacing w:line="360" w:lineRule="auto"/>
        <w:rPr>
          <w:rFonts w:ascii="Arial" w:hAnsi="Arial" w:cs="Arial"/>
        </w:rPr>
      </w:pPr>
      <w:r w:rsidRPr="00A60B82">
        <w:rPr>
          <w:rFonts w:ascii="Arial" w:hAnsi="Arial" w:cs="Arial"/>
        </w:rPr>
        <w:t>A secondary research methodology was deemed most appropriate for several reasons. First, the COVID-19 pandemic generated a substantial body of international research within a short period, offering rich datasets across diverse healthcare systems. Synthesising this existing evidence allows for comparative insight and thematic integration across contexts (Aveyard, 2019). Second, primary data collection concerning psychological distress among HCWs could raise ethical sensitivities and practical challenges, particularly given the ongoing workforce pressures within healthcare systems. Secondary analysis therefore enabled rigorous academic investigation without imposing additional burden on participants (Johnston, 2017).</w:t>
      </w:r>
    </w:p>
    <w:p w14:paraId="3F5E2670" w14:textId="77777777" w:rsidR="00E30C62" w:rsidRPr="00A60B82" w:rsidRDefault="00E30C62" w:rsidP="00A60B82">
      <w:pPr>
        <w:spacing w:line="360" w:lineRule="auto"/>
        <w:rPr>
          <w:rFonts w:ascii="Arial" w:hAnsi="Arial" w:cs="Arial"/>
        </w:rPr>
      </w:pPr>
      <w:r w:rsidRPr="00A60B82">
        <w:rPr>
          <w:rFonts w:ascii="Arial" w:hAnsi="Arial" w:cs="Arial"/>
        </w:rPr>
        <w:t xml:space="preserve">The methodological framework was informed by principles of systematic literature review design (Booth, Sutton and </w:t>
      </w:r>
      <w:proofErr w:type="spellStart"/>
      <w:r w:rsidRPr="00A60B82">
        <w:rPr>
          <w:rFonts w:ascii="Arial" w:hAnsi="Arial" w:cs="Arial"/>
        </w:rPr>
        <w:t>Papaioannou</w:t>
      </w:r>
      <w:proofErr w:type="spellEnd"/>
      <w:r w:rsidRPr="00A60B82">
        <w:rPr>
          <w:rFonts w:ascii="Arial" w:hAnsi="Arial" w:cs="Arial"/>
        </w:rPr>
        <w:t>, 2016). Although not a full systematic review, structured search processes, explicit inclusion and exclusion criteria, and transparent analytical procedures were implemented to enhance rigour, credibility, and reproducibility. An academic methodology poster was previously developed to summarise the research process visually; this chapter expands that overview into a detailed methodological narrative, outlining search strategy development, database selection, validation procedures, eligibility criteria, and thematic analysis processes. These methodological decisions underpin the trustworthiness of the findings presented in Chapter 4.</w:t>
      </w:r>
    </w:p>
    <w:p w14:paraId="19F56F08" w14:textId="77777777" w:rsidR="00E30C62" w:rsidRPr="00A60B82" w:rsidRDefault="00E30C62" w:rsidP="00A60B82">
      <w:pPr>
        <w:spacing w:line="360" w:lineRule="auto"/>
        <w:rPr>
          <w:rFonts w:ascii="Arial" w:hAnsi="Arial" w:cs="Arial"/>
        </w:rPr>
      </w:pPr>
    </w:p>
    <w:p w14:paraId="77B13F4C"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3.2 Search Strategy</w:t>
      </w:r>
    </w:p>
    <w:p w14:paraId="65D64C0E" w14:textId="77777777" w:rsidR="00E30C62" w:rsidRPr="00A60B82" w:rsidRDefault="00E30C62" w:rsidP="00A60B82">
      <w:pPr>
        <w:spacing w:line="360" w:lineRule="auto"/>
        <w:rPr>
          <w:rFonts w:ascii="Arial" w:hAnsi="Arial" w:cs="Arial"/>
        </w:rPr>
      </w:pPr>
      <w:r w:rsidRPr="00A60B82">
        <w:rPr>
          <w:rFonts w:ascii="Arial" w:hAnsi="Arial" w:cs="Arial"/>
        </w:rPr>
        <w:t xml:space="preserve">A structured and replicable search strategy was developed to identify relevant, high-quality academic literature aligned with the research aim and objectives. The strategy was guided by systematic search principles outlined by Booth, Sutton and </w:t>
      </w:r>
      <w:proofErr w:type="spellStart"/>
      <w:r w:rsidRPr="00A60B82">
        <w:rPr>
          <w:rFonts w:ascii="Arial" w:hAnsi="Arial" w:cs="Arial"/>
        </w:rPr>
        <w:t>Papaioannou</w:t>
      </w:r>
      <w:proofErr w:type="spellEnd"/>
      <w:r w:rsidRPr="00A60B82">
        <w:rPr>
          <w:rFonts w:ascii="Arial" w:hAnsi="Arial" w:cs="Arial"/>
        </w:rPr>
        <w:t xml:space="preserve"> (2016) and Aveyard (2019), ensuring clarity, transparency, and methodological coherence.</w:t>
      </w:r>
    </w:p>
    <w:p w14:paraId="6930A241" w14:textId="77777777" w:rsidR="00E30C62" w:rsidRPr="00A60B82" w:rsidRDefault="00E30C62" w:rsidP="00A60B82">
      <w:pPr>
        <w:spacing w:line="360" w:lineRule="auto"/>
        <w:rPr>
          <w:rFonts w:ascii="Arial" w:hAnsi="Arial" w:cs="Arial"/>
        </w:rPr>
      </w:pPr>
      <w:r w:rsidRPr="00A60B82">
        <w:rPr>
          <w:rFonts w:ascii="Arial" w:hAnsi="Arial" w:cs="Arial"/>
        </w:rPr>
        <w:lastRenderedPageBreak/>
        <w:t>Keywords were derived directly from the research question and refined through preliminary scoping searches. Core search terms included:</w:t>
      </w:r>
    </w:p>
    <w:p w14:paraId="09CD8A68"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rPr>
        <w:t>Healthcare</w:t>
      </w:r>
      <w:r w:rsidRPr="00A60B82">
        <w:rPr>
          <w:rFonts w:ascii="Arial" w:hAnsi="Arial" w:cs="Arial"/>
        </w:rPr>
        <w:t xml:space="preserve"> workers</w:t>
      </w:r>
    </w:p>
    <w:p w14:paraId="2D4375C0"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COVID-19</w:t>
      </w:r>
    </w:p>
    <w:p w14:paraId="1009028C"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proofErr w:type="gramStart"/>
      <w:r w:rsidRPr="00A60B82">
        <w:rPr>
          <w:rFonts w:ascii="Arial" w:hAnsi="Arial" w:cs="Arial"/>
        </w:rPr>
        <w:t>mental</w:t>
      </w:r>
      <w:proofErr w:type="gramEnd"/>
      <w:r w:rsidRPr="00A60B82">
        <w:rPr>
          <w:rFonts w:ascii="Arial" w:hAnsi="Arial" w:cs="Arial"/>
        </w:rPr>
        <w:t xml:space="preserve"> health</w:t>
      </w:r>
    </w:p>
    <w:p w14:paraId="44B36663"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rPr>
        <w:t>Burnout</w:t>
      </w:r>
    </w:p>
    <w:p w14:paraId="316BC047"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rPr>
        <w:t>Stress</w:t>
      </w:r>
    </w:p>
    <w:p w14:paraId="0DBC353E"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proofErr w:type="gramStart"/>
      <w:r w:rsidRPr="00A60B82">
        <w:rPr>
          <w:rFonts w:ascii="Arial" w:hAnsi="Arial" w:cs="Arial"/>
        </w:rPr>
        <w:t>coping</w:t>
      </w:r>
      <w:proofErr w:type="gramEnd"/>
      <w:r w:rsidRPr="00A60B82">
        <w:rPr>
          <w:rFonts w:ascii="Arial" w:hAnsi="Arial" w:cs="Arial"/>
        </w:rPr>
        <w:t xml:space="preserve"> strategies</w:t>
      </w:r>
    </w:p>
    <w:p w14:paraId="08535003"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rPr>
        <w:t>Resilience</w:t>
      </w:r>
    </w:p>
    <w:p w14:paraId="7F313750"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rPr>
        <w:t>Well-being</w:t>
      </w:r>
    </w:p>
    <w:p w14:paraId="1E23E90F" w14:textId="77777777" w:rsidR="00E30C62" w:rsidRPr="00A60B82" w:rsidRDefault="00E30C62" w:rsidP="00A60B82">
      <w:pPr>
        <w:spacing w:line="360" w:lineRule="auto"/>
        <w:rPr>
          <w:rFonts w:ascii="Arial" w:hAnsi="Arial" w:cs="Arial"/>
        </w:rPr>
      </w:pPr>
      <w:r w:rsidRPr="00A60B82">
        <w:rPr>
          <w:rFonts w:ascii="Arial" w:hAnsi="Arial" w:cs="Arial"/>
        </w:rPr>
        <w:t>To enhance comprehensiveness, synonyms and related professional terminology were incorporated, including frontline staff, nurses, doctors, psychological distress, emotional exhaustion, moral injury, and occupational stress. The inclusion of alternative terminology reduces the risk of publication bias caused by narrow keyword selection (Hart, 2018).</w:t>
      </w:r>
    </w:p>
    <w:p w14:paraId="62B094A0" w14:textId="77777777" w:rsidR="00E30C62" w:rsidRPr="00A60B82" w:rsidRDefault="00E30C62" w:rsidP="00A60B82">
      <w:pPr>
        <w:spacing w:line="360" w:lineRule="auto"/>
        <w:rPr>
          <w:rFonts w:ascii="Arial" w:hAnsi="Arial" w:cs="Arial"/>
        </w:rPr>
      </w:pPr>
      <w:r w:rsidRPr="00A60B82">
        <w:rPr>
          <w:rFonts w:ascii="Arial" w:hAnsi="Arial" w:cs="Arial"/>
        </w:rPr>
        <w:t xml:space="preserve">Boolean operators were systematically applied to structure searches. The operator </w:t>
      </w:r>
      <w:r w:rsidRPr="00A60B82">
        <w:rPr>
          <w:rFonts w:ascii="Arial" w:hAnsi="Arial" w:cs="Arial"/>
          <w:b/>
        </w:rPr>
        <w:t>AND</w:t>
      </w:r>
      <w:r w:rsidRPr="00A60B82">
        <w:rPr>
          <w:rFonts w:ascii="Arial" w:hAnsi="Arial" w:cs="Arial"/>
        </w:rPr>
        <w:t xml:space="preserve"> was used to combine central concepts (e.g., healthcare workers AND COVID-19 AND mental health), ensuring retrieval of studies addressing all relevant variables. The operator </w:t>
      </w:r>
      <w:r w:rsidRPr="00A60B82">
        <w:rPr>
          <w:rFonts w:ascii="Arial" w:hAnsi="Arial" w:cs="Arial"/>
          <w:b/>
        </w:rPr>
        <w:t xml:space="preserve">OR </w:t>
      </w:r>
      <w:r w:rsidRPr="00A60B82">
        <w:rPr>
          <w:rFonts w:ascii="Arial" w:hAnsi="Arial" w:cs="Arial"/>
        </w:rPr>
        <w:t>enabled the inclusion of synonymous terms (e.g., burnout OR emotional exhaustion), broadening search sensitivity. The</w:t>
      </w:r>
      <w:r w:rsidRPr="00A60B82">
        <w:rPr>
          <w:rFonts w:ascii="Arial" w:hAnsi="Arial" w:cs="Arial"/>
          <w:b/>
        </w:rPr>
        <w:t xml:space="preserve"> NOT</w:t>
      </w:r>
      <w:r w:rsidRPr="00A60B82">
        <w:rPr>
          <w:rFonts w:ascii="Arial" w:hAnsi="Arial" w:cs="Arial"/>
        </w:rPr>
        <w:t xml:space="preserve"> operator was used cautiously to exclude irrelevant populations (e.g., COVID-19 AND mental health NOT general public), thereby improving specificity without excessively restricting results.</w:t>
      </w:r>
    </w:p>
    <w:p w14:paraId="2B42B676" w14:textId="77777777" w:rsidR="00E30C62" w:rsidRPr="00A60B82" w:rsidRDefault="00E30C62" w:rsidP="00A60B82">
      <w:pPr>
        <w:spacing w:line="360" w:lineRule="auto"/>
        <w:rPr>
          <w:rFonts w:ascii="Arial" w:hAnsi="Arial" w:cs="Arial"/>
        </w:rPr>
      </w:pPr>
      <w:r w:rsidRPr="00A60B82">
        <w:rPr>
          <w:rFonts w:ascii="Arial" w:hAnsi="Arial" w:cs="Arial"/>
        </w:rPr>
        <w:t xml:space="preserve">A structured search log was maintained to document keyword combinations, database used, number of results retrieved, and refinement steps. Maintaining a transparent audit trail enhances methodological reliability and allows replication of the search process (Booth, Sutton and </w:t>
      </w:r>
      <w:proofErr w:type="spellStart"/>
      <w:r w:rsidRPr="00A60B82">
        <w:rPr>
          <w:rFonts w:ascii="Arial" w:hAnsi="Arial" w:cs="Arial"/>
        </w:rPr>
        <w:t>Papaioannou</w:t>
      </w:r>
      <w:proofErr w:type="spellEnd"/>
      <w:r w:rsidRPr="00A60B82">
        <w:rPr>
          <w:rFonts w:ascii="Arial" w:hAnsi="Arial" w:cs="Arial"/>
        </w:rPr>
        <w:t>, 2016).</w:t>
      </w:r>
    </w:p>
    <w:p w14:paraId="395E9BC4" w14:textId="77777777" w:rsidR="00E30C62" w:rsidRPr="00A60B82" w:rsidRDefault="00E30C62" w:rsidP="00A60B82">
      <w:pPr>
        <w:spacing w:line="360" w:lineRule="auto"/>
        <w:rPr>
          <w:rFonts w:ascii="Arial" w:hAnsi="Arial" w:cs="Arial"/>
        </w:rPr>
      </w:pPr>
    </w:p>
    <w:p w14:paraId="7D8A924E"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3.3 Information Sources and Search Process</w:t>
      </w:r>
    </w:p>
    <w:p w14:paraId="481BADF3" w14:textId="77777777" w:rsidR="00E30C62" w:rsidRPr="00A60B82" w:rsidRDefault="00E30C62" w:rsidP="00A60B82">
      <w:pPr>
        <w:spacing w:line="360" w:lineRule="auto"/>
        <w:rPr>
          <w:rFonts w:ascii="Arial" w:hAnsi="Arial" w:cs="Arial"/>
        </w:rPr>
      </w:pPr>
      <w:r w:rsidRPr="00A60B82">
        <w:rPr>
          <w:rFonts w:ascii="Arial" w:hAnsi="Arial" w:cs="Arial"/>
        </w:rPr>
        <w:t>Academic literature was identified using multiple reputable databases to ensure breadth and depth of coverage. These included:</w:t>
      </w:r>
    </w:p>
    <w:p w14:paraId="68ED279B" w14:textId="77777777" w:rsidR="00E30C62" w:rsidRPr="00A60B82" w:rsidRDefault="00E30C62" w:rsidP="00A60B82">
      <w:pPr>
        <w:spacing w:line="360" w:lineRule="auto"/>
        <w:rPr>
          <w:rFonts w:ascii="Arial" w:hAnsi="Arial" w:cs="Arial"/>
          <w:b/>
        </w:rPr>
      </w:pPr>
      <w:r w:rsidRPr="00A60B82">
        <w:rPr>
          <w:rFonts w:ascii="Arial" w:hAnsi="Arial" w:cs="Arial"/>
        </w:rPr>
        <w:t>●</w:t>
      </w:r>
      <w:r w:rsidRPr="00A60B82">
        <w:rPr>
          <w:rFonts w:ascii="Arial" w:hAnsi="Arial" w:cs="Arial"/>
        </w:rPr>
        <w:tab/>
      </w:r>
      <w:r w:rsidRPr="00A60B82">
        <w:rPr>
          <w:rFonts w:ascii="Arial" w:hAnsi="Arial" w:cs="Arial"/>
          <w:b/>
        </w:rPr>
        <w:t>PubMed</w:t>
      </w:r>
    </w:p>
    <w:p w14:paraId="6D154776" w14:textId="77777777" w:rsidR="00E30C62" w:rsidRPr="00A60B82" w:rsidRDefault="00E30C62" w:rsidP="00A60B82">
      <w:pPr>
        <w:spacing w:line="360" w:lineRule="auto"/>
        <w:rPr>
          <w:rFonts w:ascii="Arial" w:hAnsi="Arial" w:cs="Arial"/>
          <w:b/>
        </w:rPr>
      </w:pPr>
      <w:r w:rsidRPr="00A60B82">
        <w:rPr>
          <w:rFonts w:ascii="Arial" w:hAnsi="Arial" w:cs="Arial"/>
          <w:b/>
        </w:rPr>
        <w:lastRenderedPageBreak/>
        <w:t>●</w:t>
      </w:r>
      <w:r w:rsidRPr="00A60B82">
        <w:rPr>
          <w:rFonts w:ascii="Arial" w:hAnsi="Arial" w:cs="Arial"/>
          <w:b/>
        </w:rPr>
        <w:tab/>
        <w:t>Google Scholar</w:t>
      </w:r>
    </w:p>
    <w:p w14:paraId="6463781F" w14:textId="77777777" w:rsidR="00E30C62" w:rsidRPr="00A60B82" w:rsidRDefault="00E30C62" w:rsidP="00A60B82">
      <w:pPr>
        <w:spacing w:line="360" w:lineRule="auto"/>
        <w:rPr>
          <w:rFonts w:ascii="Arial" w:hAnsi="Arial" w:cs="Arial"/>
          <w:b/>
        </w:rPr>
      </w:pPr>
      <w:r w:rsidRPr="00A60B82">
        <w:rPr>
          <w:rFonts w:ascii="Arial" w:hAnsi="Arial" w:cs="Arial"/>
          <w:b/>
        </w:rPr>
        <w:t>●</w:t>
      </w:r>
      <w:r w:rsidRPr="00A60B82">
        <w:rPr>
          <w:rFonts w:ascii="Arial" w:hAnsi="Arial" w:cs="Arial"/>
          <w:b/>
        </w:rPr>
        <w:tab/>
        <w:t>University of Wales Trinity Saint David (UWTSD) Library database</w:t>
      </w:r>
    </w:p>
    <w:p w14:paraId="570419A6" w14:textId="77777777" w:rsidR="00E30C62" w:rsidRPr="00A60B82" w:rsidRDefault="00E30C62" w:rsidP="00A60B82">
      <w:pPr>
        <w:spacing w:line="360" w:lineRule="auto"/>
        <w:rPr>
          <w:rFonts w:ascii="Arial" w:hAnsi="Arial" w:cs="Arial"/>
        </w:rPr>
      </w:pPr>
      <w:r w:rsidRPr="00A60B82">
        <w:rPr>
          <w:rFonts w:ascii="Arial" w:hAnsi="Arial" w:cs="Arial"/>
        </w:rPr>
        <w:t>PubMed was prioritised for its extensive indexing of biomedical and mental health research, including peer-reviewed journal articles relevant to occupational health and psychological well-being. Google Scholar facilitated broader interdisciplinary searches and access to international studies, while the UWTSD Library provided access to subscription-based journals and healthcare databases. Using multiple databases reduces database bias and increases comprehensiveness (Aveyard, 2019).</w:t>
      </w:r>
    </w:p>
    <w:p w14:paraId="5358CDB8" w14:textId="77777777" w:rsidR="00E30C62" w:rsidRPr="00A60B82" w:rsidRDefault="00E30C62" w:rsidP="00A60B82">
      <w:pPr>
        <w:spacing w:line="360" w:lineRule="auto"/>
        <w:rPr>
          <w:rFonts w:ascii="Arial" w:hAnsi="Arial" w:cs="Arial"/>
        </w:rPr>
      </w:pPr>
      <w:r w:rsidRPr="00A60B82">
        <w:rPr>
          <w:rFonts w:ascii="Arial" w:hAnsi="Arial" w:cs="Arial"/>
        </w:rPr>
        <w:t>Search filters were applied to enhance relevance and quality. These included:</w:t>
      </w:r>
    </w:p>
    <w:p w14:paraId="10D8F293"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 xml:space="preserve">Publication dates between </w:t>
      </w:r>
      <w:r w:rsidRPr="00A60B82">
        <w:rPr>
          <w:rFonts w:ascii="Arial" w:hAnsi="Arial" w:cs="Arial"/>
          <w:b/>
        </w:rPr>
        <w:t>2020 and 2025</w:t>
      </w:r>
      <w:r w:rsidRPr="00A60B82">
        <w:rPr>
          <w:rFonts w:ascii="Arial" w:hAnsi="Arial" w:cs="Arial"/>
        </w:rPr>
        <w:t>, capturing research conducted during and after the pandemic peak.</w:t>
      </w:r>
    </w:p>
    <w:p w14:paraId="6DDEA600"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Peer-reviewed journal articles only.</w:t>
      </w:r>
    </w:p>
    <w:p w14:paraId="11933B79"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English-language publications.</w:t>
      </w:r>
    </w:p>
    <w:p w14:paraId="585D52F8"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Studies focusing specifically on healthcare professionals.</w:t>
      </w:r>
    </w:p>
    <w:p w14:paraId="0F44CEE9" w14:textId="77777777" w:rsidR="00E30C62" w:rsidRPr="00A60B82" w:rsidRDefault="00E30C62" w:rsidP="00A60B82">
      <w:pPr>
        <w:spacing w:line="360" w:lineRule="auto"/>
        <w:rPr>
          <w:rFonts w:ascii="Arial" w:hAnsi="Arial" w:cs="Arial"/>
        </w:rPr>
      </w:pPr>
      <w:r w:rsidRPr="00A60B82">
        <w:rPr>
          <w:rFonts w:ascii="Arial" w:hAnsi="Arial" w:cs="Arial"/>
        </w:rPr>
        <w:t>Where possible, UK-based studies were prioritised to strengthen contextual relevance to the NHS workforce. However, international research was included where it contributed transferable insight into shared occupational stressors.</w:t>
      </w:r>
    </w:p>
    <w:p w14:paraId="5DC279D0" w14:textId="77777777" w:rsidR="00E30C62" w:rsidRPr="00A60B82" w:rsidRDefault="00E30C62" w:rsidP="00A60B82">
      <w:pPr>
        <w:spacing w:line="360" w:lineRule="auto"/>
        <w:rPr>
          <w:rFonts w:ascii="Arial" w:hAnsi="Arial" w:cs="Arial"/>
        </w:rPr>
      </w:pPr>
      <w:r w:rsidRPr="00A60B82">
        <w:rPr>
          <w:rFonts w:ascii="Arial" w:hAnsi="Arial" w:cs="Arial"/>
        </w:rPr>
        <w:t>The search process was iterative. Initial broad searches produced a large volume of results, which were refined through additional keywords such as organisational support, job demands, resilience training, and psychological interventions. A source tracking table was developed to document author(s), year, country, study design, sample size, methodology, and key findings. This facilitated systematic organisation and comparative analysis and is included in the appendices.</w:t>
      </w:r>
    </w:p>
    <w:p w14:paraId="08C8111C" w14:textId="77777777" w:rsidR="00E30C62" w:rsidRPr="00A60B82" w:rsidRDefault="00E30C62" w:rsidP="00A60B82">
      <w:pPr>
        <w:spacing w:line="360" w:lineRule="auto"/>
        <w:rPr>
          <w:rFonts w:ascii="Arial" w:hAnsi="Arial" w:cs="Arial"/>
          <w:sz w:val="28"/>
          <w:szCs w:val="28"/>
        </w:rPr>
      </w:pPr>
    </w:p>
    <w:p w14:paraId="7E450BE7" w14:textId="77777777" w:rsidR="00E30C62" w:rsidRPr="00A60B82" w:rsidRDefault="00E30C62" w:rsidP="00A60B82">
      <w:pPr>
        <w:spacing w:line="360" w:lineRule="auto"/>
        <w:rPr>
          <w:rFonts w:ascii="Arial" w:hAnsi="Arial" w:cs="Arial"/>
          <w:b/>
        </w:rPr>
      </w:pPr>
      <w:r w:rsidRPr="00A60B82">
        <w:rPr>
          <w:rFonts w:ascii="Arial" w:hAnsi="Arial" w:cs="Arial"/>
          <w:b/>
          <w:sz w:val="28"/>
          <w:szCs w:val="28"/>
        </w:rPr>
        <w:t>3.4 Research Validation and Quality Appraisal</w:t>
      </w:r>
    </w:p>
    <w:p w14:paraId="39E6879E" w14:textId="77777777" w:rsidR="00E30C62" w:rsidRPr="00A60B82" w:rsidRDefault="00E30C62" w:rsidP="00A60B82">
      <w:pPr>
        <w:spacing w:line="360" w:lineRule="auto"/>
        <w:rPr>
          <w:rFonts w:ascii="Arial" w:hAnsi="Arial" w:cs="Arial"/>
        </w:rPr>
      </w:pPr>
      <w:r w:rsidRPr="00A60B82">
        <w:rPr>
          <w:rFonts w:ascii="Arial" w:hAnsi="Arial" w:cs="Arial"/>
        </w:rPr>
        <w:t>To ensure academic robustness, a structured validation process was implemented. Initial screening involved reviewing titles and abstracts to assess alignment with the research question. Articles deemed potentially relevant were then subjected to full-text review. This staged screening approach reflects recognised literature review methodology (Hart, 2018).</w:t>
      </w:r>
    </w:p>
    <w:p w14:paraId="5BED850C" w14:textId="77777777" w:rsidR="00E30C62" w:rsidRPr="00A60B82" w:rsidRDefault="00E30C62" w:rsidP="00A60B82">
      <w:pPr>
        <w:spacing w:line="360" w:lineRule="auto"/>
        <w:rPr>
          <w:rFonts w:ascii="Arial" w:hAnsi="Arial" w:cs="Arial"/>
        </w:rPr>
      </w:pPr>
      <w:r w:rsidRPr="00A60B82">
        <w:rPr>
          <w:rFonts w:ascii="Arial" w:hAnsi="Arial" w:cs="Arial"/>
        </w:rPr>
        <w:t xml:space="preserve">Quality appraisal was conducted using the </w:t>
      </w:r>
      <w:r w:rsidRPr="00A60B82">
        <w:rPr>
          <w:rFonts w:ascii="Arial" w:hAnsi="Arial" w:cs="Arial"/>
          <w:b/>
        </w:rPr>
        <w:t>CRAAP test</w:t>
      </w:r>
      <w:r w:rsidRPr="00A60B82">
        <w:rPr>
          <w:rFonts w:ascii="Arial" w:hAnsi="Arial" w:cs="Arial"/>
        </w:rPr>
        <w:t xml:space="preserve"> (Blakeslee, 2004), which evaluates:</w:t>
      </w:r>
    </w:p>
    <w:p w14:paraId="42161698" w14:textId="77777777" w:rsidR="00E30C62" w:rsidRPr="00A60B82" w:rsidRDefault="00E30C62" w:rsidP="00A60B82">
      <w:pPr>
        <w:spacing w:line="360" w:lineRule="auto"/>
        <w:rPr>
          <w:rFonts w:ascii="Arial" w:hAnsi="Arial" w:cs="Arial"/>
        </w:rPr>
      </w:pPr>
      <w:r w:rsidRPr="00A60B82">
        <w:rPr>
          <w:rFonts w:ascii="Arial" w:hAnsi="Arial" w:cs="Arial"/>
        </w:rPr>
        <w:lastRenderedPageBreak/>
        <w:t>●</w:t>
      </w:r>
      <w:r w:rsidRPr="00A60B82">
        <w:rPr>
          <w:rFonts w:ascii="Arial" w:hAnsi="Arial" w:cs="Arial"/>
        </w:rPr>
        <w:tab/>
      </w:r>
      <w:r w:rsidRPr="00A60B82">
        <w:rPr>
          <w:rFonts w:ascii="Arial" w:hAnsi="Arial" w:cs="Arial"/>
          <w:b/>
        </w:rPr>
        <w:t>Currency</w:t>
      </w:r>
      <w:r w:rsidRPr="00A60B82">
        <w:rPr>
          <w:rFonts w:ascii="Arial" w:hAnsi="Arial" w:cs="Arial"/>
        </w:rPr>
        <w:t xml:space="preserve"> – relevance to the pandemic period</w:t>
      </w:r>
    </w:p>
    <w:p w14:paraId="646D9B02"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b/>
        </w:rPr>
        <w:t>Relevance</w:t>
      </w:r>
      <w:r w:rsidRPr="00A60B82">
        <w:rPr>
          <w:rFonts w:ascii="Arial" w:hAnsi="Arial" w:cs="Arial"/>
        </w:rPr>
        <w:t xml:space="preserve"> – alignment with HCW mental health</w:t>
      </w:r>
    </w:p>
    <w:p w14:paraId="5BE09B1A"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b/>
        </w:rPr>
        <w:t>Authority</w:t>
      </w:r>
      <w:r w:rsidRPr="00A60B82">
        <w:rPr>
          <w:rFonts w:ascii="Arial" w:hAnsi="Arial" w:cs="Arial"/>
        </w:rPr>
        <w:t xml:space="preserve"> – author credentials and institutional affiliation</w:t>
      </w:r>
    </w:p>
    <w:p w14:paraId="52AB2C8E"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b/>
        </w:rPr>
        <w:t>Accuracy</w:t>
      </w:r>
      <w:r w:rsidRPr="00A60B82">
        <w:rPr>
          <w:rFonts w:ascii="Arial" w:hAnsi="Arial" w:cs="Arial"/>
        </w:rPr>
        <w:t xml:space="preserve"> – methodological transparency and evidence base</w:t>
      </w:r>
    </w:p>
    <w:p w14:paraId="0BD923F2"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r>
      <w:r w:rsidRPr="00A60B82">
        <w:rPr>
          <w:rFonts w:ascii="Arial" w:hAnsi="Arial" w:cs="Arial"/>
          <w:b/>
        </w:rPr>
        <w:t>Purpose</w:t>
      </w:r>
      <w:r w:rsidRPr="00A60B82">
        <w:rPr>
          <w:rFonts w:ascii="Arial" w:hAnsi="Arial" w:cs="Arial"/>
        </w:rPr>
        <w:t xml:space="preserve"> – absence of commercial or ideological bias</w:t>
      </w:r>
    </w:p>
    <w:p w14:paraId="2444C505" w14:textId="77777777" w:rsidR="00E30C62" w:rsidRPr="00A60B82" w:rsidRDefault="00E30C62" w:rsidP="00A60B82">
      <w:pPr>
        <w:spacing w:line="360" w:lineRule="auto"/>
        <w:rPr>
          <w:rFonts w:ascii="Arial" w:hAnsi="Arial" w:cs="Arial"/>
        </w:rPr>
      </w:pPr>
      <w:r w:rsidRPr="00A60B82">
        <w:rPr>
          <w:rFonts w:ascii="Arial" w:hAnsi="Arial" w:cs="Arial"/>
        </w:rPr>
        <w:t>In addition, methodological rigour was assessed by examining study design (e.g., longitudinal vs cross-sectional), sample size adequacy, clarity of data analysis, and ethical transparency. Longitudinal and mixed-methods studies were prioritised where available, as they provide deeper insight into psychological trajectories over time (Johnston, 2017).</w:t>
      </w:r>
    </w:p>
    <w:p w14:paraId="7D471CF1" w14:textId="77777777" w:rsidR="00E30C62" w:rsidRPr="00A60B82" w:rsidRDefault="00E30C62" w:rsidP="00A60B82">
      <w:pPr>
        <w:spacing w:line="360" w:lineRule="auto"/>
        <w:rPr>
          <w:rFonts w:ascii="Arial" w:hAnsi="Arial" w:cs="Arial"/>
        </w:rPr>
      </w:pPr>
      <w:r w:rsidRPr="00A60B82">
        <w:rPr>
          <w:rFonts w:ascii="Arial" w:hAnsi="Arial" w:cs="Arial"/>
        </w:rPr>
        <w:t>Opinion articles, non-peer-reviewed publications, and studies lacking methodological clarity were excluded to maintain academic integrity. This structured validation process strengthened the credibility and reliability of the final dataset.</w:t>
      </w:r>
    </w:p>
    <w:p w14:paraId="2C2E385F" w14:textId="77777777" w:rsidR="00E30C62" w:rsidRPr="00A60B82" w:rsidRDefault="00E30C62" w:rsidP="00A60B82">
      <w:pPr>
        <w:spacing w:line="360" w:lineRule="auto"/>
        <w:rPr>
          <w:rFonts w:ascii="Arial" w:hAnsi="Arial" w:cs="Arial"/>
          <w:b/>
          <w:sz w:val="32"/>
          <w:szCs w:val="32"/>
        </w:rPr>
      </w:pPr>
      <w:r w:rsidRPr="00A60B82">
        <w:rPr>
          <w:rFonts w:ascii="Arial" w:hAnsi="Arial" w:cs="Arial"/>
          <w:b/>
          <w:sz w:val="32"/>
          <w:szCs w:val="32"/>
        </w:rPr>
        <w:t>3.5 Inclusion and Exclusion Criteria</w:t>
      </w:r>
    </w:p>
    <w:p w14:paraId="043560DE" w14:textId="77777777" w:rsidR="00E30C62" w:rsidRPr="00A60B82" w:rsidRDefault="00E30C62" w:rsidP="00A60B82">
      <w:pPr>
        <w:spacing w:line="360" w:lineRule="auto"/>
        <w:rPr>
          <w:rFonts w:ascii="Arial" w:hAnsi="Arial" w:cs="Arial"/>
        </w:rPr>
      </w:pPr>
      <w:r w:rsidRPr="00A60B82">
        <w:rPr>
          <w:rFonts w:ascii="Arial" w:hAnsi="Arial" w:cs="Arial"/>
        </w:rPr>
        <w:t>Clear eligibility criteria were established prior to full-text review to enhance methodological transparency and reduce selection bias (Aveyard, 2019).</w:t>
      </w:r>
    </w:p>
    <w:p w14:paraId="0ED1DBA6"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Inclusion Criteria</w:t>
      </w:r>
    </w:p>
    <w:p w14:paraId="23E42F38"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Peer-reviewed journal articles</w:t>
      </w:r>
    </w:p>
    <w:p w14:paraId="03F44EDD"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Published between 2020–2025 (with limited pre-2020 theoretical context where essential)</w:t>
      </w:r>
    </w:p>
    <w:p w14:paraId="4E822DC1"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Focus on healthcare workers</w:t>
      </w:r>
    </w:p>
    <w:p w14:paraId="73222B2A"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Examination of mental health outcomes (e.g., stress, burnout, anxiety, depression)</w:t>
      </w:r>
    </w:p>
    <w:p w14:paraId="00DED33D"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Exploration of coping strategies, resilience, or organisational support</w:t>
      </w:r>
    </w:p>
    <w:p w14:paraId="7F5A6AB4"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Exclusion Criteria</w:t>
      </w:r>
    </w:p>
    <w:p w14:paraId="4ABC674A"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Opinion blogs or media reports</w:t>
      </w:r>
    </w:p>
    <w:p w14:paraId="38D3567A"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Conference abstracts without full papers</w:t>
      </w:r>
    </w:p>
    <w:p w14:paraId="1EA962EF"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Studies not focused on healthcare settings</w:t>
      </w:r>
    </w:p>
    <w:p w14:paraId="634531C8"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Non-English publications</w:t>
      </w:r>
    </w:p>
    <w:p w14:paraId="7093A004" w14:textId="77777777" w:rsidR="00E30C62" w:rsidRPr="00A60B82" w:rsidRDefault="00E30C62" w:rsidP="00A60B82">
      <w:pPr>
        <w:spacing w:line="360" w:lineRule="auto"/>
        <w:rPr>
          <w:rFonts w:ascii="Arial" w:hAnsi="Arial" w:cs="Arial"/>
        </w:rPr>
      </w:pPr>
      <w:r w:rsidRPr="00A60B82">
        <w:rPr>
          <w:rFonts w:ascii="Arial" w:hAnsi="Arial" w:cs="Arial"/>
        </w:rPr>
        <w:lastRenderedPageBreak/>
        <w:t>●</w:t>
      </w:r>
      <w:r w:rsidRPr="00A60B82">
        <w:rPr>
          <w:rFonts w:ascii="Arial" w:hAnsi="Arial" w:cs="Arial"/>
        </w:rPr>
        <w:tab/>
        <w:t>Articles lacking methodological transparency</w:t>
      </w:r>
    </w:p>
    <w:p w14:paraId="6A6EBBE7" w14:textId="77777777" w:rsidR="00E30C62" w:rsidRPr="00A60B82" w:rsidRDefault="00E30C62" w:rsidP="00A60B82">
      <w:pPr>
        <w:spacing w:line="360" w:lineRule="auto"/>
        <w:rPr>
          <w:rFonts w:ascii="Arial" w:hAnsi="Arial" w:cs="Arial"/>
        </w:rPr>
      </w:pPr>
      <w:r w:rsidRPr="00A60B82">
        <w:rPr>
          <w:rFonts w:ascii="Arial" w:hAnsi="Arial" w:cs="Arial"/>
        </w:rPr>
        <w:t>Applying predefined criteria enhanced objectivity and ensured that included studies directly addressed the research objectives.</w:t>
      </w:r>
    </w:p>
    <w:p w14:paraId="352B6FE6"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3.6 Data Analysis: Thematic Approach</w:t>
      </w:r>
    </w:p>
    <w:p w14:paraId="5E70A25E" w14:textId="77777777" w:rsidR="00E30C62" w:rsidRPr="00A60B82" w:rsidRDefault="00E30C62" w:rsidP="00A60B82">
      <w:pPr>
        <w:spacing w:line="360" w:lineRule="auto"/>
        <w:rPr>
          <w:rFonts w:ascii="Arial" w:hAnsi="Arial" w:cs="Arial"/>
        </w:rPr>
      </w:pPr>
      <w:r w:rsidRPr="00A60B82">
        <w:rPr>
          <w:rFonts w:ascii="Arial" w:hAnsi="Arial" w:cs="Arial"/>
        </w:rPr>
        <w:t xml:space="preserve">The selected literature was analysed using </w:t>
      </w:r>
      <w:r w:rsidRPr="00A60B82">
        <w:rPr>
          <w:rFonts w:ascii="Arial" w:hAnsi="Arial" w:cs="Arial"/>
          <w:b/>
        </w:rPr>
        <w:t>thematic analysis</w:t>
      </w:r>
      <w:r w:rsidRPr="00A60B82">
        <w:rPr>
          <w:rFonts w:ascii="Arial" w:hAnsi="Arial" w:cs="Arial"/>
        </w:rPr>
        <w:t>, following the six-phase framework developed by Braun and Clarke (2006). Thematic analysis was chosen due to its flexibility and suitability for synthesising qualitative and quantitative findings within secondary research.</w:t>
      </w:r>
    </w:p>
    <w:p w14:paraId="2211EBDB" w14:textId="77777777" w:rsidR="00E30C62" w:rsidRPr="00A60B82" w:rsidRDefault="00E30C62" w:rsidP="00A60B82">
      <w:pPr>
        <w:spacing w:line="360" w:lineRule="auto"/>
        <w:rPr>
          <w:rFonts w:ascii="Arial" w:hAnsi="Arial" w:cs="Arial"/>
        </w:rPr>
      </w:pPr>
    </w:p>
    <w:p w14:paraId="24920621" w14:textId="77777777" w:rsidR="00E30C62" w:rsidRPr="00A60B82" w:rsidRDefault="00E30C62" w:rsidP="00A60B82">
      <w:pPr>
        <w:spacing w:line="360" w:lineRule="auto"/>
        <w:rPr>
          <w:rFonts w:ascii="Arial" w:hAnsi="Arial" w:cs="Arial"/>
        </w:rPr>
      </w:pPr>
      <w:r w:rsidRPr="00A60B82">
        <w:rPr>
          <w:rFonts w:ascii="Arial" w:hAnsi="Arial" w:cs="Arial"/>
        </w:rPr>
        <w:t>The six stages included:</w:t>
      </w:r>
    </w:p>
    <w:p w14:paraId="1101E41A" w14:textId="77777777" w:rsidR="00E30C62" w:rsidRPr="00A60B82" w:rsidRDefault="00E30C62" w:rsidP="00A60B82">
      <w:pPr>
        <w:spacing w:line="360" w:lineRule="auto"/>
        <w:rPr>
          <w:rFonts w:ascii="Arial" w:hAnsi="Arial" w:cs="Arial"/>
        </w:rPr>
      </w:pPr>
      <w:r w:rsidRPr="00A60B82">
        <w:rPr>
          <w:rFonts w:ascii="Arial" w:hAnsi="Arial" w:cs="Arial"/>
        </w:rPr>
        <w:t>1.</w:t>
      </w:r>
      <w:r w:rsidRPr="00A60B82">
        <w:rPr>
          <w:rFonts w:ascii="Arial" w:hAnsi="Arial" w:cs="Arial"/>
        </w:rPr>
        <w:tab/>
      </w:r>
      <w:r w:rsidRPr="00A60B82">
        <w:rPr>
          <w:rFonts w:ascii="Arial" w:hAnsi="Arial" w:cs="Arial"/>
          <w:b/>
        </w:rPr>
        <w:t>Familiarisation</w:t>
      </w:r>
      <w:r w:rsidRPr="00A60B82">
        <w:rPr>
          <w:rFonts w:ascii="Arial" w:hAnsi="Arial" w:cs="Arial"/>
        </w:rPr>
        <w:t xml:space="preserve"> – repeated reading of full texts</w:t>
      </w:r>
    </w:p>
    <w:p w14:paraId="10987132" w14:textId="77777777" w:rsidR="00E30C62" w:rsidRPr="00A60B82" w:rsidRDefault="00E30C62" w:rsidP="00A60B82">
      <w:pPr>
        <w:spacing w:line="360" w:lineRule="auto"/>
        <w:rPr>
          <w:rFonts w:ascii="Arial" w:hAnsi="Arial" w:cs="Arial"/>
        </w:rPr>
      </w:pPr>
      <w:r w:rsidRPr="00A60B82">
        <w:rPr>
          <w:rFonts w:ascii="Arial" w:hAnsi="Arial" w:cs="Arial"/>
        </w:rPr>
        <w:t>2.</w:t>
      </w:r>
      <w:r w:rsidRPr="00A60B82">
        <w:rPr>
          <w:rFonts w:ascii="Arial" w:hAnsi="Arial" w:cs="Arial"/>
        </w:rPr>
        <w:tab/>
      </w:r>
      <w:r w:rsidRPr="00A60B82">
        <w:rPr>
          <w:rFonts w:ascii="Arial" w:hAnsi="Arial" w:cs="Arial"/>
          <w:b/>
        </w:rPr>
        <w:t>Generating initial codes</w:t>
      </w:r>
      <w:r w:rsidRPr="00A60B82">
        <w:rPr>
          <w:rFonts w:ascii="Arial" w:hAnsi="Arial" w:cs="Arial"/>
        </w:rPr>
        <w:t xml:space="preserve"> – identifying recurring concepts</w:t>
      </w:r>
    </w:p>
    <w:p w14:paraId="433B4409" w14:textId="77777777" w:rsidR="00E30C62" w:rsidRPr="00A60B82" w:rsidRDefault="00E30C62" w:rsidP="00A60B82">
      <w:pPr>
        <w:spacing w:line="360" w:lineRule="auto"/>
        <w:rPr>
          <w:rFonts w:ascii="Arial" w:hAnsi="Arial" w:cs="Arial"/>
        </w:rPr>
      </w:pPr>
      <w:r w:rsidRPr="00A60B82">
        <w:rPr>
          <w:rFonts w:ascii="Arial" w:hAnsi="Arial" w:cs="Arial"/>
        </w:rPr>
        <w:t>3.</w:t>
      </w:r>
      <w:r w:rsidRPr="00A60B82">
        <w:rPr>
          <w:rFonts w:ascii="Arial" w:hAnsi="Arial" w:cs="Arial"/>
        </w:rPr>
        <w:tab/>
      </w:r>
      <w:r w:rsidRPr="00A60B82">
        <w:rPr>
          <w:rFonts w:ascii="Arial" w:hAnsi="Arial" w:cs="Arial"/>
          <w:b/>
        </w:rPr>
        <w:t>Searching for themes</w:t>
      </w:r>
      <w:r w:rsidRPr="00A60B82">
        <w:rPr>
          <w:rFonts w:ascii="Arial" w:hAnsi="Arial" w:cs="Arial"/>
        </w:rPr>
        <w:t xml:space="preserve"> – grouping related codes</w:t>
      </w:r>
    </w:p>
    <w:p w14:paraId="53ADE1F0" w14:textId="77777777" w:rsidR="00E30C62" w:rsidRPr="00A60B82" w:rsidRDefault="00E30C62" w:rsidP="00A60B82">
      <w:pPr>
        <w:spacing w:line="360" w:lineRule="auto"/>
        <w:rPr>
          <w:rFonts w:ascii="Arial" w:hAnsi="Arial" w:cs="Arial"/>
        </w:rPr>
      </w:pPr>
      <w:r w:rsidRPr="00A60B82">
        <w:rPr>
          <w:rFonts w:ascii="Arial" w:hAnsi="Arial" w:cs="Arial"/>
        </w:rPr>
        <w:t>4.</w:t>
      </w:r>
      <w:r w:rsidRPr="00A60B82">
        <w:rPr>
          <w:rFonts w:ascii="Arial" w:hAnsi="Arial" w:cs="Arial"/>
        </w:rPr>
        <w:tab/>
      </w:r>
      <w:r w:rsidRPr="00A60B82">
        <w:rPr>
          <w:rFonts w:ascii="Arial" w:hAnsi="Arial" w:cs="Arial"/>
          <w:b/>
        </w:rPr>
        <w:t>Reviewing themes</w:t>
      </w:r>
      <w:r w:rsidRPr="00A60B82">
        <w:rPr>
          <w:rFonts w:ascii="Arial" w:hAnsi="Arial" w:cs="Arial"/>
        </w:rPr>
        <w:t xml:space="preserve"> – refining coherence and distinction</w:t>
      </w:r>
    </w:p>
    <w:p w14:paraId="50C197C4" w14:textId="77777777" w:rsidR="00E30C62" w:rsidRPr="00A60B82" w:rsidRDefault="00E30C62" w:rsidP="00A60B82">
      <w:pPr>
        <w:spacing w:line="360" w:lineRule="auto"/>
        <w:rPr>
          <w:rFonts w:ascii="Arial" w:hAnsi="Arial" w:cs="Arial"/>
          <w:b/>
        </w:rPr>
      </w:pPr>
      <w:r w:rsidRPr="00A60B82">
        <w:rPr>
          <w:rFonts w:ascii="Arial" w:hAnsi="Arial" w:cs="Arial"/>
        </w:rPr>
        <w:t>5.</w:t>
      </w:r>
      <w:r w:rsidRPr="00A60B82">
        <w:rPr>
          <w:rFonts w:ascii="Arial" w:hAnsi="Arial" w:cs="Arial"/>
        </w:rPr>
        <w:tab/>
      </w:r>
      <w:r w:rsidRPr="00A60B82">
        <w:rPr>
          <w:rFonts w:ascii="Arial" w:hAnsi="Arial" w:cs="Arial"/>
          <w:b/>
        </w:rPr>
        <w:t>Defining and naming themes</w:t>
      </w:r>
    </w:p>
    <w:p w14:paraId="2DE82367" w14:textId="77777777" w:rsidR="00E30C62" w:rsidRPr="00A60B82" w:rsidRDefault="00E30C62" w:rsidP="00A60B82">
      <w:pPr>
        <w:spacing w:line="360" w:lineRule="auto"/>
        <w:rPr>
          <w:rFonts w:ascii="Arial" w:hAnsi="Arial" w:cs="Arial"/>
          <w:b/>
        </w:rPr>
      </w:pPr>
      <w:r w:rsidRPr="00A60B82">
        <w:rPr>
          <w:rFonts w:ascii="Arial" w:hAnsi="Arial" w:cs="Arial"/>
        </w:rPr>
        <w:t>6.</w:t>
      </w:r>
      <w:r w:rsidRPr="00A60B82">
        <w:rPr>
          <w:rFonts w:ascii="Arial" w:hAnsi="Arial" w:cs="Arial"/>
          <w:b/>
        </w:rPr>
        <w:tab/>
        <w:t>Producing the report</w:t>
      </w:r>
    </w:p>
    <w:p w14:paraId="3DA30128" w14:textId="77777777" w:rsidR="00E30C62" w:rsidRPr="00A60B82" w:rsidRDefault="00E30C62" w:rsidP="00A60B82">
      <w:pPr>
        <w:spacing w:line="360" w:lineRule="auto"/>
        <w:rPr>
          <w:rFonts w:ascii="Arial" w:hAnsi="Arial" w:cs="Arial"/>
        </w:rPr>
      </w:pPr>
      <w:r w:rsidRPr="00A60B82">
        <w:rPr>
          <w:rFonts w:ascii="Arial" w:hAnsi="Arial" w:cs="Arial"/>
        </w:rPr>
        <w:t>Codes such as burnout, emotional exhaustion, moral injury, peer support, organisational leadership, and resilience-building were identified across multiple studies. These were systematically recorded using spreadsheets and colour-coding to enhance transparency and consistency.</w:t>
      </w:r>
    </w:p>
    <w:p w14:paraId="31703419" w14:textId="77777777" w:rsidR="00E30C62" w:rsidRPr="00A60B82" w:rsidRDefault="00E30C62" w:rsidP="00A60B82">
      <w:pPr>
        <w:spacing w:line="360" w:lineRule="auto"/>
        <w:rPr>
          <w:rFonts w:ascii="Arial" w:hAnsi="Arial" w:cs="Arial"/>
        </w:rPr>
      </w:pPr>
      <w:r w:rsidRPr="00A60B82">
        <w:rPr>
          <w:rFonts w:ascii="Arial" w:hAnsi="Arial" w:cs="Arial"/>
        </w:rPr>
        <w:t>Codes were then synthesised into broader analytical themes aligned with the research objectives, including:</w:t>
      </w:r>
    </w:p>
    <w:p w14:paraId="388B7162"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Burnout and Emotional Exhaustion</w:t>
      </w:r>
    </w:p>
    <w:p w14:paraId="58898F52"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Organisational Support and Leadership</w:t>
      </w:r>
    </w:p>
    <w:p w14:paraId="304C2B03"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Coping Strategies and Resilience</w:t>
      </w:r>
    </w:p>
    <w:p w14:paraId="751ACCFB" w14:textId="77777777" w:rsidR="00E30C62" w:rsidRPr="00A60B82" w:rsidRDefault="00E30C62" w:rsidP="00A60B82">
      <w:pPr>
        <w:spacing w:line="360" w:lineRule="auto"/>
        <w:rPr>
          <w:rFonts w:ascii="Arial" w:hAnsi="Arial" w:cs="Arial"/>
        </w:rPr>
      </w:pPr>
      <w:r w:rsidRPr="00A60B82">
        <w:rPr>
          <w:rFonts w:ascii="Arial" w:hAnsi="Arial" w:cs="Arial"/>
        </w:rPr>
        <w:t>●</w:t>
      </w:r>
      <w:r w:rsidRPr="00A60B82">
        <w:rPr>
          <w:rFonts w:ascii="Arial" w:hAnsi="Arial" w:cs="Arial"/>
        </w:rPr>
        <w:tab/>
        <w:t>Long-Term Psychological Impact</w:t>
      </w:r>
    </w:p>
    <w:p w14:paraId="2036B08C" w14:textId="77777777" w:rsidR="00E30C62" w:rsidRPr="00A60B82" w:rsidRDefault="00E30C62" w:rsidP="00A60B82">
      <w:pPr>
        <w:spacing w:line="360" w:lineRule="auto"/>
        <w:rPr>
          <w:rFonts w:ascii="Arial" w:hAnsi="Arial" w:cs="Arial"/>
        </w:rPr>
      </w:pPr>
      <w:r w:rsidRPr="00A60B82">
        <w:rPr>
          <w:rFonts w:ascii="Arial" w:hAnsi="Arial" w:cs="Arial"/>
        </w:rPr>
        <w:t>This structured analytic process ensured that findings were grounded in the literature rather than researcher bias, thereby enhancing credibility and confirmability (Braun and Clarke, 2006).</w:t>
      </w:r>
    </w:p>
    <w:p w14:paraId="6D1FABF8"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lastRenderedPageBreak/>
        <w:t>3.7 Ethical Considerations</w:t>
      </w:r>
    </w:p>
    <w:p w14:paraId="73154360" w14:textId="77777777" w:rsidR="00E30C62" w:rsidRPr="00A60B82" w:rsidRDefault="00E30C62" w:rsidP="00A60B82">
      <w:pPr>
        <w:spacing w:line="360" w:lineRule="auto"/>
        <w:rPr>
          <w:rFonts w:ascii="Arial" w:hAnsi="Arial" w:cs="Arial"/>
        </w:rPr>
      </w:pPr>
      <w:r w:rsidRPr="00A60B82">
        <w:rPr>
          <w:rFonts w:ascii="Arial" w:hAnsi="Arial" w:cs="Arial"/>
        </w:rPr>
        <w:t>As this dissertation relied exclusively on secondary data, formal ethical approval was not required. No primary data were collected, and no participants were directly involved. However, ethical responsibility remained central to the research process.</w:t>
      </w:r>
    </w:p>
    <w:p w14:paraId="11C6A480" w14:textId="77777777" w:rsidR="00E30C62" w:rsidRPr="00A60B82" w:rsidRDefault="00E30C62" w:rsidP="00A60B82">
      <w:pPr>
        <w:spacing w:line="360" w:lineRule="auto"/>
        <w:rPr>
          <w:rFonts w:ascii="Arial" w:hAnsi="Arial" w:cs="Arial"/>
        </w:rPr>
      </w:pPr>
      <w:r w:rsidRPr="00A60B82">
        <w:rPr>
          <w:rFonts w:ascii="Arial" w:hAnsi="Arial" w:cs="Arial"/>
        </w:rPr>
        <w:t>Academic integrity was upheld through accurate citation and referencing using the Harvard system. Care was taken to avoid plagiarism, selective reporting, or misrepresentation of findings. Conflicting evidence was acknowledged to present a balanced synthesis. Transparency in search procedures, inclusion criteria, and analytical decisions further strengthened the ethical rigour of the study (Aveyard, 2019).</w:t>
      </w:r>
    </w:p>
    <w:p w14:paraId="0CA18843" w14:textId="77777777" w:rsidR="00E30C62" w:rsidRPr="00A60B82" w:rsidRDefault="00E30C62" w:rsidP="00A60B82">
      <w:pPr>
        <w:spacing w:line="360" w:lineRule="auto"/>
        <w:rPr>
          <w:rFonts w:ascii="Arial" w:hAnsi="Arial" w:cs="Arial"/>
        </w:rPr>
      </w:pPr>
    </w:p>
    <w:p w14:paraId="2BF529F0" w14:textId="77777777" w:rsidR="00E30C62" w:rsidRPr="00A60B82" w:rsidRDefault="00E30C62" w:rsidP="00A60B82">
      <w:pPr>
        <w:spacing w:line="360" w:lineRule="auto"/>
        <w:rPr>
          <w:rFonts w:ascii="Arial" w:hAnsi="Arial" w:cs="Arial"/>
          <w:b/>
          <w:sz w:val="32"/>
          <w:szCs w:val="32"/>
        </w:rPr>
      </w:pPr>
      <w:r w:rsidRPr="00A60B82">
        <w:rPr>
          <w:rFonts w:ascii="Arial" w:hAnsi="Arial" w:cs="Arial"/>
          <w:b/>
          <w:sz w:val="32"/>
          <w:szCs w:val="32"/>
        </w:rPr>
        <w:t>3.8 Chapter Conclusion</w:t>
      </w:r>
    </w:p>
    <w:p w14:paraId="7756AD7B" w14:textId="77777777" w:rsidR="00E30C62" w:rsidRPr="00A60B82" w:rsidRDefault="00E30C62" w:rsidP="00A60B82">
      <w:pPr>
        <w:spacing w:line="360" w:lineRule="auto"/>
        <w:rPr>
          <w:rFonts w:ascii="Arial" w:hAnsi="Arial" w:cs="Arial"/>
        </w:rPr>
      </w:pPr>
      <w:r w:rsidRPr="00A60B82">
        <w:rPr>
          <w:rFonts w:ascii="Arial" w:hAnsi="Arial" w:cs="Arial"/>
        </w:rPr>
        <w:t>This chapter has provided a detailed and critically justified account of the methodological approach underpinning this dissertation. Through the implementation of a structured search strategy, multi-database selection, explicit inclusion and exclusion criteria, systematic quality appraisal, and rigorous thematic analysis, the study achieved a transparent and academically robust synthesis of literature.</w:t>
      </w:r>
    </w:p>
    <w:p w14:paraId="534A4AF5" w14:textId="77777777" w:rsidR="00E30C62" w:rsidRPr="00A60B82" w:rsidRDefault="00E30C62" w:rsidP="00A60B82">
      <w:pPr>
        <w:spacing w:line="360" w:lineRule="auto"/>
        <w:rPr>
          <w:rFonts w:ascii="Arial" w:hAnsi="Arial" w:cs="Arial"/>
        </w:rPr>
      </w:pPr>
      <w:r w:rsidRPr="00A60B82">
        <w:rPr>
          <w:rFonts w:ascii="Arial" w:hAnsi="Arial" w:cs="Arial"/>
        </w:rPr>
        <w:t>The methodological framework ensures that the findings presented in Chapter 4 are grounded in credible, peer-reviewed evidence and analysed using a systematic and reproducible process. Collectively, these methodological decisions enhance the trustworthiness, validity, and academic integrity of the research.</w:t>
      </w:r>
    </w:p>
    <w:p w14:paraId="642A7BD5" w14:textId="77777777" w:rsidR="00E30C62" w:rsidRPr="00A60B82" w:rsidRDefault="00E30C62" w:rsidP="00A60B82">
      <w:pPr>
        <w:spacing w:line="360" w:lineRule="auto"/>
        <w:rPr>
          <w:rFonts w:ascii="Arial" w:hAnsi="Arial" w:cs="Arial"/>
        </w:rPr>
      </w:pPr>
    </w:p>
    <w:p w14:paraId="4CDD8A9F" w14:textId="77777777" w:rsidR="00E30C62" w:rsidRPr="00A60B82" w:rsidRDefault="00E30C62" w:rsidP="00A60B82">
      <w:pPr>
        <w:spacing w:line="360" w:lineRule="auto"/>
        <w:rPr>
          <w:rFonts w:ascii="Arial" w:hAnsi="Arial" w:cs="Arial"/>
        </w:rPr>
      </w:pPr>
    </w:p>
    <w:p w14:paraId="6A1BD358" w14:textId="77777777" w:rsidR="00E30C62" w:rsidRPr="00A60B82" w:rsidRDefault="00E30C62" w:rsidP="00A60B82">
      <w:pPr>
        <w:spacing w:line="360" w:lineRule="auto"/>
        <w:rPr>
          <w:rFonts w:ascii="Arial" w:hAnsi="Arial" w:cs="Arial"/>
        </w:rPr>
      </w:pPr>
    </w:p>
    <w:p w14:paraId="4887D227" w14:textId="77777777" w:rsidR="00E30C62" w:rsidRPr="00A60B82" w:rsidRDefault="00E30C62" w:rsidP="00A60B82">
      <w:pPr>
        <w:spacing w:line="360" w:lineRule="auto"/>
        <w:rPr>
          <w:rFonts w:ascii="Arial" w:hAnsi="Arial" w:cs="Arial"/>
        </w:rPr>
      </w:pPr>
    </w:p>
    <w:p w14:paraId="1D95ED53" w14:textId="77777777" w:rsidR="00E30C62" w:rsidRPr="00A60B82" w:rsidRDefault="00E30C62" w:rsidP="00A60B82">
      <w:pPr>
        <w:spacing w:line="360" w:lineRule="auto"/>
        <w:rPr>
          <w:rFonts w:ascii="Arial" w:hAnsi="Arial" w:cs="Arial"/>
        </w:rPr>
      </w:pPr>
    </w:p>
    <w:p w14:paraId="1BBE43C0" w14:textId="77777777" w:rsidR="00E30C62" w:rsidRPr="00A60B82" w:rsidRDefault="00E30C62" w:rsidP="00A60B82">
      <w:pPr>
        <w:spacing w:line="360" w:lineRule="auto"/>
        <w:rPr>
          <w:rFonts w:ascii="Arial" w:hAnsi="Arial" w:cs="Arial"/>
        </w:rPr>
      </w:pPr>
    </w:p>
    <w:p w14:paraId="6D39D1DF" w14:textId="77777777" w:rsidR="00E30C62" w:rsidRPr="00A60B82" w:rsidRDefault="00E30C62" w:rsidP="00A60B82">
      <w:pPr>
        <w:spacing w:line="360" w:lineRule="auto"/>
        <w:rPr>
          <w:rFonts w:ascii="Arial" w:hAnsi="Arial" w:cs="Arial"/>
        </w:rPr>
      </w:pPr>
    </w:p>
    <w:p w14:paraId="5E354FE5" w14:textId="77777777" w:rsidR="00E30C62" w:rsidRPr="00A60B82" w:rsidRDefault="00E30C62" w:rsidP="00A60B82">
      <w:pPr>
        <w:spacing w:line="360" w:lineRule="auto"/>
        <w:rPr>
          <w:rFonts w:ascii="Arial" w:hAnsi="Arial" w:cs="Arial"/>
        </w:rPr>
      </w:pPr>
    </w:p>
    <w:p w14:paraId="3E46F602" w14:textId="77777777" w:rsidR="00E30C62" w:rsidRPr="00A60B82" w:rsidRDefault="00E30C62" w:rsidP="00A60B82">
      <w:pPr>
        <w:spacing w:line="360" w:lineRule="auto"/>
        <w:rPr>
          <w:rFonts w:ascii="Arial" w:hAnsi="Arial" w:cs="Arial"/>
        </w:rPr>
      </w:pPr>
    </w:p>
    <w:p w14:paraId="43588132" w14:textId="77777777" w:rsidR="00E30C62" w:rsidRPr="00A60B82" w:rsidRDefault="00E30C62" w:rsidP="00A60B82">
      <w:pPr>
        <w:spacing w:line="360" w:lineRule="auto"/>
        <w:rPr>
          <w:rFonts w:ascii="Arial" w:hAnsi="Arial" w:cs="Arial"/>
          <w:sz w:val="28"/>
          <w:szCs w:val="28"/>
        </w:rPr>
      </w:pPr>
    </w:p>
    <w:p w14:paraId="3561262B" w14:textId="77777777" w:rsidR="00E30C62" w:rsidRPr="00A60B82" w:rsidRDefault="00E30C62" w:rsidP="00A60B82">
      <w:pPr>
        <w:spacing w:line="360" w:lineRule="auto"/>
        <w:rPr>
          <w:rFonts w:ascii="Arial" w:hAnsi="Arial" w:cs="Arial"/>
          <w:b/>
          <w:sz w:val="28"/>
          <w:szCs w:val="28"/>
        </w:rPr>
      </w:pPr>
      <w:r w:rsidRPr="00A60B82">
        <w:rPr>
          <w:rFonts w:ascii="Arial" w:hAnsi="Arial" w:cs="Arial"/>
          <w:b/>
          <w:sz w:val="28"/>
          <w:szCs w:val="28"/>
        </w:rPr>
        <w:t>References</w:t>
      </w:r>
    </w:p>
    <w:p w14:paraId="6B0212A4" w14:textId="77777777" w:rsidR="00E30C62" w:rsidRPr="00A60B82" w:rsidRDefault="00E30C62" w:rsidP="00A60B82">
      <w:pPr>
        <w:spacing w:line="360" w:lineRule="auto"/>
        <w:rPr>
          <w:rFonts w:ascii="Arial" w:hAnsi="Arial" w:cs="Arial"/>
        </w:rPr>
      </w:pPr>
      <w:r w:rsidRPr="00A60B82">
        <w:rPr>
          <w:rFonts w:ascii="Arial" w:hAnsi="Arial" w:cs="Arial"/>
        </w:rPr>
        <w:t xml:space="preserve">Aveyard, H. (2019) Doing a Literature Review in Health and Social Care. 4th </w:t>
      </w:r>
      <w:proofErr w:type="spellStart"/>
      <w:r w:rsidRPr="00A60B82">
        <w:rPr>
          <w:rFonts w:ascii="Arial" w:hAnsi="Arial" w:cs="Arial"/>
        </w:rPr>
        <w:t>edn</w:t>
      </w:r>
      <w:proofErr w:type="spellEnd"/>
      <w:r w:rsidRPr="00A60B82">
        <w:rPr>
          <w:rFonts w:ascii="Arial" w:hAnsi="Arial" w:cs="Arial"/>
        </w:rPr>
        <w:t>. Maidenhead: Open University Press.</w:t>
      </w:r>
    </w:p>
    <w:p w14:paraId="4992014F" w14:textId="77777777" w:rsidR="00E30C62" w:rsidRPr="00A60B82" w:rsidRDefault="00E30C62" w:rsidP="00A60B82">
      <w:pPr>
        <w:spacing w:line="360" w:lineRule="auto"/>
        <w:rPr>
          <w:rFonts w:ascii="Arial" w:hAnsi="Arial" w:cs="Arial"/>
        </w:rPr>
      </w:pPr>
      <w:r w:rsidRPr="00A60B82">
        <w:rPr>
          <w:rFonts w:ascii="Arial" w:hAnsi="Arial" w:cs="Arial"/>
        </w:rPr>
        <w:t>Blakeslee, S. (2004) The CRAAP Test. California State University, Chico.</w:t>
      </w:r>
    </w:p>
    <w:p w14:paraId="0149048D" w14:textId="77777777" w:rsidR="00E30C62" w:rsidRPr="00A60B82" w:rsidRDefault="00E30C62" w:rsidP="00A60B82">
      <w:pPr>
        <w:spacing w:line="360" w:lineRule="auto"/>
        <w:rPr>
          <w:rFonts w:ascii="Arial" w:hAnsi="Arial" w:cs="Arial"/>
        </w:rPr>
      </w:pPr>
      <w:r w:rsidRPr="00A60B82">
        <w:rPr>
          <w:rFonts w:ascii="Arial" w:hAnsi="Arial" w:cs="Arial"/>
        </w:rPr>
        <w:t xml:space="preserve">Booth, A., Sutton, A. and </w:t>
      </w:r>
      <w:proofErr w:type="spellStart"/>
      <w:r w:rsidRPr="00A60B82">
        <w:rPr>
          <w:rFonts w:ascii="Arial" w:hAnsi="Arial" w:cs="Arial"/>
        </w:rPr>
        <w:t>Papaioannou</w:t>
      </w:r>
      <w:proofErr w:type="spellEnd"/>
      <w:r w:rsidRPr="00A60B82">
        <w:rPr>
          <w:rFonts w:ascii="Arial" w:hAnsi="Arial" w:cs="Arial"/>
        </w:rPr>
        <w:t xml:space="preserve">, D. (2016) Systematic Approaches to a Successful Literature Review. 2nd </w:t>
      </w:r>
      <w:proofErr w:type="spellStart"/>
      <w:r w:rsidRPr="00A60B82">
        <w:rPr>
          <w:rFonts w:ascii="Arial" w:hAnsi="Arial" w:cs="Arial"/>
        </w:rPr>
        <w:t>edn</w:t>
      </w:r>
      <w:proofErr w:type="spellEnd"/>
      <w:r w:rsidRPr="00A60B82">
        <w:rPr>
          <w:rFonts w:ascii="Arial" w:hAnsi="Arial" w:cs="Arial"/>
        </w:rPr>
        <w:t>. London: SAGE.</w:t>
      </w:r>
    </w:p>
    <w:p w14:paraId="69404852" w14:textId="77777777" w:rsidR="00E30C62" w:rsidRPr="00A60B82" w:rsidRDefault="00E30C62" w:rsidP="00A60B82">
      <w:pPr>
        <w:spacing w:line="360" w:lineRule="auto"/>
        <w:rPr>
          <w:rFonts w:ascii="Arial" w:hAnsi="Arial" w:cs="Arial"/>
        </w:rPr>
      </w:pPr>
      <w:r w:rsidRPr="00A60B82">
        <w:rPr>
          <w:rFonts w:ascii="Arial" w:hAnsi="Arial" w:cs="Arial"/>
        </w:rPr>
        <w:t>Braun, V. and Clarke, V. (2006) Using thematic analysis in psychology. Qualitative Research in Psychology, 3(2), pp. 77–101.</w:t>
      </w:r>
    </w:p>
    <w:p w14:paraId="62236D58" w14:textId="77777777" w:rsidR="00E30C62" w:rsidRPr="00A60B82" w:rsidRDefault="00E30C62" w:rsidP="00A60B82">
      <w:pPr>
        <w:spacing w:line="360" w:lineRule="auto"/>
        <w:rPr>
          <w:rFonts w:ascii="Arial" w:hAnsi="Arial" w:cs="Arial"/>
        </w:rPr>
      </w:pPr>
      <w:r w:rsidRPr="00A60B82">
        <w:rPr>
          <w:rFonts w:ascii="Arial" w:hAnsi="Arial" w:cs="Arial"/>
        </w:rPr>
        <w:t xml:space="preserve">Hart, C. (2018) Doing a Literature Review. 2nd </w:t>
      </w:r>
      <w:proofErr w:type="spellStart"/>
      <w:r w:rsidRPr="00A60B82">
        <w:rPr>
          <w:rFonts w:ascii="Arial" w:hAnsi="Arial" w:cs="Arial"/>
        </w:rPr>
        <w:t>edn</w:t>
      </w:r>
      <w:proofErr w:type="spellEnd"/>
      <w:r w:rsidRPr="00A60B82">
        <w:rPr>
          <w:rFonts w:ascii="Arial" w:hAnsi="Arial" w:cs="Arial"/>
        </w:rPr>
        <w:t>. London: SAGE.</w:t>
      </w:r>
    </w:p>
    <w:p w14:paraId="0426C26E" w14:textId="77777777" w:rsidR="00E30C62" w:rsidRPr="00A60B82" w:rsidRDefault="00E30C62" w:rsidP="00A60B82">
      <w:pPr>
        <w:spacing w:line="360" w:lineRule="auto"/>
        <w:rPr>
          <w:rFonts w:ascii="Arial" w:hAnsi="Arial" w:cs="Arial"/>
        </w:rPr>
      </w:pPr>
      <w:r w:rsidRPr="00A60B82">
        <w:rPr>
          <w:rFonts w:ascii="Arial" w:hAnsi="Arial" w:cs="Arial"/>
        </w:rPr>
        <w:t>Johnston, M.P. (2017) Secondary data analysis: A method of which the time has come. Qualitative and Quantitative Methods in Libraries, 3(3), pp. 619–626</w:t>
      </w:r>
    </w:p>
    <w:p w14:paraId="5DFDBA4B" w14:textId="77777777" w:rsidR="002B53C9" w:rsidRPr="00A60B82" w:rsidRDefault="002B53C9" w:rsidP="00A60B82">
      <w:pPr>
        <w:spacing w:line="360" w:lineRule="auto"/>
        <w:rPr>
          <w:rFonts w:ascii="Arial" w:hAnsi="Arial" w:cs="Arial"/>
        </w:rPr>
      </w:pPr>
      <w:bookmarkStart w:id="0" w:name="_GoBack"/>
      <w:bookmarkEnd w:id="0"/>
    </w:p>
    <w:sectPr w:rsidR="002B53C9" w:rsidRPr="00A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C62"/>
    <w:rsid w:val="002B53C9"/>
    <w:rsid w:val="00A60B82"/>
    <w:rsid w:val="00E30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52E4"/>
  <w15:chartTrackingRefBased/>
  <w15:docId w15:val="{A8B44691-ACDA-4A0A-BEBB-03B0523E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1681</Words>
  <Characters>9584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Arif</dc:creator>
  <cp:keywords/>
  <dc:description/>
  <cp:lastModifiedBy>Saira Arif</cp:lastModifiedBy>
  <cp:revision>1</cp:revision>
  <dcterms:created xsi:type="dcterms:W3CDTF">2026-02-19T12:44:00Z</dcterms:created>
  <dcterms:modified xsi:type="dcterms:W3CDTF">2026-02-19T12:56:00Z</dcterms:modified>
</cp:coreProperties>
</file>