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4853A" w14:textId="77777777" w:rsidR="00E11230" w:rsidRDefault="00E11230" w:rsidP="00E11230">
      <w:pPr>
        <w:spacing w:after="136"/>
        <w:ind w:left="10" w:hanging="10"/>
      </w:pPr>
      <w:r>
        <w:rPr>
          <w:noProof/>
        </w:rPr>
        <w:drawing>
          <wp:anchor distT="0" distB="0" distL="114300" distR="114300" simplePos="0" relativeHeight="251659264" behindDoc="0" locked="0" layoutInCell="1" allowOverlap="0" wp14:anchorId="351B9ED8" wp14:editId="7FA99CCE">
            <wp:simplePos x="0" y="0"/>
            <wp:positionH relativeFrom="column">
              <wp:posOffset>-333679</wp:posOffset>
            </wp:positionH>
            <wp:positionV relativeFrom="paragraph">
              <wp:posOffset>-228830</wp:posOffset>
            </wp:positionV>
            <wp:extent cx="1705991" cy="1228725"/>
            <wp:effectExtent l="0" t="0" r="0" b="0"/>
            <wp:wrapSquare wrapText="bothSides"/>
            <wp:docPr id="6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7"/>
                    <a:stretch>
                      <a:fillRect/>
                    </a:stretch>
                  </pic:blipFill>
                  <pic:spPr>
                    <a:xfrm>
                      <a:off x="0" y="0"/>
                      <a:ext cx="1705991" cy="1228725"/>
                    </a:xfrm>
                    <a:prstGeom prst="rect">
                      <a:avLst/>
                    </a:prstGeom>
                  </pic:spPr>
                </pic:pic>
              </a:graphicData>
            </a:graphic>
          </wp:anchor>
        </w:drawing>
      </w:r>
      <w:r>
        <w:rPr>
          <w:rFonts w:ascii="Calibri" w:eastAsia="Calibri" w:hAnsi="Calibri" w:cs="Calibri"/>
          <w:b/>
        </w:rPr>
        <w:t>University of Wales</w:t>
      </w:r>
      <w:r>
        <w:rPr>
          <w:rFonts w:ascii="Calibri" w:eastAsia="Calibri" w:hAnsi="Calibri" w:cs="Calibri"/>
          <w:sz w:val="22"/>
        </w:rPr>
        <w:t xml:space="preserve"> </w:t>
      </w:r>
    </w:p>
    <w:p w14:paraId="04D7B793" w14:textId="77777777" w:rsidR="00E11230" w:rsidRDefault="00E11230" w:rsidP="00E11230">
      <w:pPr>
        <w:spacing w:after="136"/>
        <w:ind w:left="10" w:hanging="10"/>
      </w:pPr>
      <w:r>
        <w:rPr>
          <w:rFonts w:ascii="Calibri" w:eastAsia="Calibri" w:hAnsi="Calibri" w:cs="Calibri"/>
          <w:b/>
        </w:rPr>
        <w:t xml:space="preserve">Trinity Saint David </w:t>
      </w:r>
    </w:p>
    <w:p w14:paraId="62AA2A0A" w14:textId="77777777" w:rsidR="00E11230" w:rsidRDefault="00E11230" w:rsidP="00E11230">
      <w:pPr>
        <w:spacing w:after="200"/>
        <w:ind w:left="10" w:hanging="10"/>
      </w:pPr>
      <w:r>
        <w:rPr>
          <w:rFonts w:ascii="Calibri" w:eastAsia="Calibri" w:hAnsi="Calibri" w:cs="Calibri"/>
          <w:b/>
        </w:rPr>
        <w:t xml:space="preserve">London </w:t>
      </w:r>
    </w:p>
    <w:p w14:paraId="20423815" w14:textId="1E5B3083" w:rsidR="003150D2" w:rsidRPr="00E97DE8" w:rsidRDefault="003150D2">
      <w:pPr>
        <w:spacing w:before="1600" w:after="400"/>
        <w:jc w:val="center"/>
      </w:pPr>
    </w:p>
    <w:p w14:paraId="49B206BB" w14:textId="77777777" w:rsidR="003150D2" w:rsidRPr="00E97DE8" w:rsidRDefault="00000000" w:rsidP="001A2171">
      <w:pPr>
        <w:jc w:val="center"/>
      </w:pPr>
      <w:r w:rsidRPr="00E97DE8">
        <w:rPr>
          <w:b/>
          <w:bCs/>
          <w:sz w:val="32"/>
          <w:szCs w:val="32"/>
        </w:rPr>
        <w:t>Marketing Environment Analysis</w:t>
      </w:r>
    </w:p>
    <w:p w14:paraId="4DB908E7" w14:textId="77777777" w:rsidR="003150D2" w:rsidRDefault="00000000" w:rsidP="001A2171">
      <w:pPr>
        <w:jc w:val="center"/>
        <w:rPr>
          <w:i/>
          <w:iCs/>
        </w:rPr>
      </w:pPr>
      <w:r w:rsidRPr="00E97DE8">
        <w:rPr>
          <w:i/>
          <w:iCs/>
        </w:rPr>
        <w:t>A Case Study of BHP Group Limited</w:t>
      </w:r>
    </w:p>
    <w:p w14:paraId="541F6798" w14:textId="77777777" w:rsidR="00E11230" w:rsidRDefault="00E11230" w:rsidP="001A2171">
      <w:pPr>
        <w:spacing w:before="240" w:line="360" w:lineRule="auto"/>
        <w:jc w:val="center"/>
        <w:rPr>
          <w:sz w:val="26"/>
          <w:szCs w:val="26"/>
        </w:rPr>
      </w:pPr>
      <w:r w:rsidRPr="001A2171">
        <w:rPr>
          <w:b/>
          <w:bCs/>
          <w:sz w:val="32"/>
          <w:szCs w:val="32"/>
        </w:rPr>
        <w:t>Module:</w:t>
      </w:r>
      <w:r>
        <w:rPr>
          <w:sz w:val="26"/>
          <w:szCs w:val="26"/>
        </w:rPr>
        <w:t xml:space="preserve"> </w:t>
      </w:r>
      <w:r w:rsidRPr="00E97DE8">
        <w:rPr>
          <w:sz w:val="26"/>
          <w:szCs w:val="26"/>
        </w:rPr>
        <w:t>Marketing Management (LCMB7024)</w:t>
      </w:r>
    </w:p>
    <w:p w14:paraId="7E25C0D7" w14:textId="65FA731F" w:rsidR="00E11230" w:rsidRPr="00E11230" w:rsidRDefault="00E11230" w:rsidP="001A2171">
      <w:pPr>
        <w:spacing w:before="240" w:line="360" w:lineRule="auto"/>
        <w:jc w:val="center"/>
        <w:rPr>
          <w:sz w:val="26"/>
          <w:szCs w:val="26"/>
        </w:rPr>
      </w:pPr>
      <w:r w:rsidRPr="001A2171">
        <w:rPr>
          <w:b/>
          <w:bCs/>
          <w:sz w:val="32"/>
          <w:szCs w:val="32"/>
        </w:rPr>
        <w:t>Word Count:</w:t>
      </w:r>
      <w:r w:rsidRPr="00E97DE8">
        <w:rPr>
          <w:sz w:val="22"/>
          <w:szCs w:val="22"/>
        </w:rPr>
        <w:t xml:space="preserve"> 2,500 </w:t>
      </w:r>
    </w:p>
    <w:p w14:paraId="2024A872" w14:textId="631A656E" w:rsidR="003150D2" w:rsidRPr="0073096D" w:rsidRDefault="00000000" w:rsidP="001A2171">
      <w:pPr>
        <w:spacing w:before="240" w:line="360" w:lineRule="auto"/>
        <w:jc w:val="center"/>
      </w:pPr>
      <w:r w:rsidRPr="001A2171">
        <w:rPr>
          <w:b/>
          <w:bCs/>
          <w:sz w:val="32"/>
          <w:szCs w:val="32"/>
        </w:rPr>
        <w:t>Student Name:</w:t>
      </w:r>
      <w:r w:rsidRPr="00E97DE8">
        <w:rPr>
          <w:sz w:val="22"/>
          <w:szCs w:val="22"/>
        </w:rPr>
        <w:t xml:space="preserve"> </w:t>
      </w:r>
      <w:r w:rsidR="004919B9" w:rsidRPr="00E97DE8">
        <w:rPr>
          <w:sz w:val="22"/>
          <w:szCs w:val="22"/>
        </w:rPr>
        <w:t>Nanga Pedro</w:t>
      </w:r>
      <w:r w:rsidR="00E11230">
        <w:t xml:space="preserve"> / </w:t>
      </w:r>
      <w:r w:rsidRPr="006811E7">
        <w:rPr>
          <w:b/>
          <w:bCs/>
          <w:sz w:val="32"/>
          <w:szCs w:val="32"/>
        </w:rPr>
        <w:t>Student ID:</w:t>
      </w:r>
      <w:r w:rsidRPr="0073096D">
        <w:rPr>
          <w:sz w:val="22"/>
          <w:szCs w:val="22"/>
        </w:rPr>
        <w:t xml:space="preserve"> </w:t>
      </w:r>
      <w:r w:rsidR="004919B9" w:rsidRPr="0073096D">
        <w:rPr>
          <w:sz w:val="22"/>
          <w:szCs w:val="22"/>
        </w:rPr>
        <w:t>2247167</w:t>
      </w:r>
    </w:p>
    <w:p w14:paraId="05DC885E" w14:textId="2D1435E5" w:rsidR="003150D2" w:rsidRPr="00E11230" w:rsidRDefault="00000000" w:rsidP="001A2171">
      <w:pPr>
        <w:spacing w:line="360" w:lineRule="auto"/>
        <w:jc w:val="center"/>
      </w:pPr>
      <w:r w:rsidRPr="001A2171">
        <w:rPr>
          <w:b/>
          <w:bCs/>
          <w:sz w:val="32"/>
          <w:szCs w:val="32"/>
        </w:rPr>
        <w:t>Lecturer:</w:t>
      </w:r>
      <w:r w:rsidRPr="0073096D">
        <w:rPr>
          <w:sz w:val="22"/>
          <w:szCs w:val="22"/>
        </w:rPr>
        <w:t xml:space="preserve"> Laila Maazouz</w:t>
      </w:r>
    </w:p>
    <w:p w14:paraId="4DAF768B" w14:textId="1188F836" w:rsidR="003150D2" w:rsidRPr="00E97DE8" w:rsidRDefault="001A2171" w:rsidP="001A2171">
      <w:pPr>
        <w:spacing w:line="360" w:lineRule="auto"/>
        <w:jc w:val="center"/>
      </w:pPr>
      <w:r w:rsidRPr="001A2171">
        <w:rPr>
          <w:b/>
          <w:bCs/>
          <w:sz w:val="32"/>
          <w:szCs w:val="32"/>
        </w:rPr>
        <w:t>Submission Date:</w:t>
      </w:r>
      <w:r w:rsidRPr="00E97DE8">
        <w:rPr>
          <w:sz w:val="22"/>
          <w:szCs w:val="22"/>
        </w:rPr>
        <w:t xml:space="preserve"> 2</w:t>
      </w:r>
      <w:r>
        <w:rPr>
          <w:sz w:val="22"/>
          <w:szCs w:val="22"/>
        </w:rPr>
        <w:t>4</w:t>
      </w:r>
      <w:r w:rsidRPr="00E97DE8">
        <w:rPr>
          <w:sz w:val="22"/>
          <w:szCs w:val="22"/>
        </w:rPr>
        <w:t xml:space="preserve"> Ju</w:t>
      </w:r>
      <w:r w:rsidR="00E528C3">
        <w:rPr>
          <w:sz w:val="22"/>
          <w:szCs w:val="22"/>
        </w:rPr>
        <w:t>ly</w:t>
      </w:r>
      <w:r w:rsidRPr="00E97DE8">
        <w:rPr>
          <w:sz w:val="22"/>
          <w:szCs w:val="22"/>
        </w:rPr>
        <w:t xml:space="preserve"> 2026</w:t>
      </w:r>
    </w:p>
    <w:p w14:paraId="5F6380A5" w14:textId="77777777" w:rsidR="003150D2" w:rsidRDefault="00000000" w:rsidP="008C2D6C">
      <w:pPr>
        <w:spacing w:line="360" w:lineRule="auto"/>
      </w:pPr>
      <w:r>
        <w:br w:type="page"/>
      </w:r>
    </w:p>
    <w:p w14:paraId="074B2518" w14:textId="77777777" w:rsidR="003150D2" w:rsidRPr="00E528C3" w:rsidRDefault="00000000">
      <w:pPr>
        <w:spacing w:before="320" w:after="240"/>
      </w:pPr>
      <w:r w:rsidRPr="00E528C3">
        <w:rPr>
          <w:b/>
          <w:bCs/>
          <w:sz w:val="30"/>
          <w:szCs w:val="30"/>
        </w:rPr>
        <w:lastRenderedPageBreak/>
        <w:t>Table of Contents</w:t>
      </w:r>
    </w:p>
    <w:sdt>
      <w:sdtPr>
        <w:alias w:val="Table of Contents"/>
        <w:id w:val="1019437957"/>
      </w:sdtPr>
      <w:sdtContent>
        <w:p w14:paraId="68DAB374" w14:textId="2C8FE0EE" w:rsidR="004919B9" w:rsidRDefault="00000000">
          <w:pPr>
            <w:pStyle w:val="TOC2"/>
            <w:tabs>
              <w:tab w:val="right" w:leader="dot" w:pos="9350"/>
            </w:tabs>
            <w:rPr>
              <w:noProof/>
            </w:rPr>
          </w:pPr>
          <w:r>
            <w:fldChar w:fldCharType="begin"/>
          </w:r>
          <w:r>
            <w:instrText>TOC \h \o "1-3"</w:instrText>
          </w:r>
          <w:r>
            <w:fldChar w:fldCharType="separate"/>
          </w:r>
          <w:hyperlink w:anchor="_Toc233316543" w:history="1">
            <w:r w:rsidR="004919B9" w:rsidRPr="007428B8">
              <w:rPr>
                <w:rStyle w:val="Hyperlink"/>
                <w:noProof/>
              </w:rPr>
              <w:t>AI Use Acknowledgement</w:t>
            </w:r>
            <w:r w:rsidR="004919B9">
              <w:rPr>
                <w:noProof/>
              </w:rPr>
              <w:tab/>
            </w:r>
            <w:r w:rsidR="004919B9">
              <w:rPr>
                <w:noProof/>
              </w:rPr>
              <w:fldChar w:fldCharType="begin"/>
            </w:r>
            <w:r w:rsidR="004919B9">
              <w:rPr>
                <w:noProof/>
              </w:rPr>
              <w:instrText xml:space="preserve"> PAGEREF _Toc233316543 \h </w:instrText>
            </w:r>
            <w:r w:rsidR="004919B9">
              <w:rPr>
                <w:noProof/>
              </w:rPr>
            </w:r>
            <w:r w:rsidR="004919B9">
              <w:rPr>
                <w:noProof/>
              </w:rPr>
              <w:fldChar w:fldCharType="separate"/>
            </w:r>
            <w:r w:rsidR="00E97DE8">
              <w:rPr>
                <w:noProof/>
              </w:rPr>
              <w:t>3</w:t>
            </w:r>
            <w:r w:rsidR="004919B9">
              <w:rPr>
                <w:noProof/>
              </w:rPr>
              <w:fldChar w:fldCharType="end"/>
            </w:r>
          </w:hyperlink>
        </w:p>
        <w:p w14:paraId="292349A6" w14:textId="00BBFCC9" w:rsidR="004919B9" w:rsidRDefault="004919B9">
          <w:pPr>
            <w:pStyle w:val="TOC1"/>
            <w:tabs>
              <w:tab w:val="right" w:leader="dot" w:pos="9350"/>
            </w:tabs>
            <w:rPr>
              <w:noProof/>
            </w:rPr>
          </w:pPr>
          <w:hyperlink w:anchor="_Toc233316544" w:history="1">
            <w:r w:rsidRPr="007428B8">
              <w:rPr>
                <w:rStyle w:val="Hyperlink"/>
                <w:noProof/>
              </w:rPr>
              <w:t>Task 1: Marketing Environment Analysis</w:t>
            </w:r>
            <w:r>
              <w:rPr>
                <w:noProof/>
              </w:rPr>
              <w:tab/>
            </w:r>
            <w:r>
              <w:rPr>
                <w:noProof/>
              </w:rPr>
              <w:fldChar w:fldCharType="begin"/>
            </w:r>
            <w:r>
              <w:rPr>
                <w:noProof/>
              </w:rPr>
              <w:instrText xml:space="preserve"> PAGEREF _Toc233316544 \h </w:instrText>
            </w:r>
            <w:r>
              <w:rPr>
                <w:noProof/>
              </w:rPr>
            </w:r>
            <w:r>
              <w:rPr>
                <w:noProof/>
              </w:rPr>
              <w:fldChar w:fldCharType="separate"/>
            </w:r>
            <w:r w:rsidR="00E97DE8">
              <w:rPr>
                <w:noProof/>
              </w:rPr>
              <w:t>4</w:t>
            </w:r>
            <w:r>
              <w:rPr>
                <w:noProof/>
              </w:rPr>
              <w:fldChar w:fldCharType="end"/>
            </w:r>
          </w:hyperlink>
        </w:p>
        <w:p w14:paraId="49CD3D58" w14:textId="327F8257" w:rsidR="004919B9" w:rsidRDefault="004919B9">
          <w:pPr>
            <w:pStyle w:val="TOC2"/>
            <w:tabs>
              <w:tab w:val="right" w:leader="dot" w:pos="9350"/>
            </w:tabs>
            <w:rPr>
              <w:noProof/>
            </w:rPr>
          </w:pPr>
          <w:hyperlink w:anchor="_Toc233316545" w:history="1">
            <w:r w:rsidRPr="007428B8">
              <w:rPr>
                <w:rStyle w:val="Hyperlink"/>
                <w:noProof/>
              </w:rPr>
              <w:t>The Natural Environment</w:t>
            </w:r>
            <w:r>
              <w:rPr>
                <w:noProof/>
              </w:rPr>
              <w:tab/>
            </w:r>
            <w:r>
              <w:rPr>
                <w:noProof/>
              </w:rPr>
              <w:fldChar w:fldCharType="begin"/>
            </w:r>
            <w:r>
              <w:rPr>
                <w:noProof/>
              </w:rPr>
              <w:instrText xml:space="preserve"> PAGEREF _Toc233316545 \h </w:instrText>
            </w:r>
            <w:r>
              <w:rPr>
                <w:noProof/>
              </w:rPr>
            </w:r>
            <w:r>
              <w:rPr>
                <w:noProof/>
              </w:rPr>
              <w:fldChar w:fldCharType="separate"/>
            </w:r>
            <w:r w:rsidR="00E97DE8">
              <w:rPr>
                <w:noProof/>
              </w:rPr>
              <w:t>4</w:t>
            </w:r>
            <w:r>
              <w:rPr>
                <w:noProof/>
              </w:rPr>
              <w:fldChar w:fldCharType="end"/>
            </w:r>
          </w:hyperlink>
        </w:p>
        <w:p w14:paraId="61B74337" w14:textId="12207229" w:rsidR="004919B9" w:rsidRDefault="004919B9">
          <w:pPr>
            <w:pStyle w:val="TOC2"/>
            <w:tabs>
              <w:tab w:val="right" w:leader="dot" w:pos="9350"/>
            </w:tabs>
            <w:rPr>
              <w:noProof/>
            </w:rPr>
          </w:pPr>
          <w:hyperlink w:anchor="_Toc233316546" w:history="1">
            <w:r w:rsidRPr="007428B8">
              <w:rPr>
                <w:rStyle w:val="Hyperlink"/>
                <w:noProof/>
              </w:rPr>
              <w:t>The Political and Legal Environment</w:t>
            </w:r>
            <w:r>
              <w:rPr>
                <w:noProof/>
              </w:rPr>
              <w:tab/>
            </w:r>
            <w:r>
              <w:rPr>
                <w:noProof/>
              </w:rPr>
              <w:fldChar w:fldCharType="begin"/>
            </w:r>
            <w:r>
              <w:rPr>
                <w:noProof/>
              </w:rPr>
              <w:instrText xml:space="preserve"> PAGEREF _Toc233316546 \h </w:instrText>
            </w:r>
            <w:r>
              <w:rPr>
                <w:noProof/>
              </w:rPr>
            </w:r>
            <w:r>
              <w:rPr>
                <w:noProof/>
              </w:rPr>
              <w:fldChar w:fldCharType="separate"/>
            </w:r>
            <w:r w:rsidR="00E97DE8">
              <w:rPr>
                <w:noProof/>
              </w:rPr>
              <w:t>6</w:t>
            </w:r>
            <w:r>
              <w:rPr>
                <w:noProof/>
              </w:rPr>
              <w:fldChar w:fldCharType="end"/>
            </w:r>
          </w:hyperlink>
        </w:p>
        <w:p w14:paraId="4E9A848C" w14:textId="78F7DB94" w:rsidR="004919B9" w:rsidRDefault="004919B9">
          <w:pPr>
            <w:pStyle w:val="TOC1"/>
            <w:tabs>
              <w:tab w:val="right" w:leader="dot" w:pos="9350"/>
            </w:tabs>
            <w:rPr>
              <w:noProof/>
            </w:rPr>
          </w:pPr>
          <w:hyperlink w:anchor="_Toc233316547" w:history="1">
            <w:r w:rsidRPr="007428B8">
              <w:rPr>
                <w:rStyle w:val="Hyperlink"/>
                <w:noProof/>
              </w:rPr>
              <w:t>Task 2: Strategic Growth and Competitive Positioning</w:t>
            </w:r>
            <w:r>
              <w:rPr>
                <w:noProof/>
              </w:rPr>
              <w:tab/>
            </w:r>
            <w:r>
              <w:rPr>
                <w:noProof/>
              </w:rPr>
              <w:fldChar w:fldCharType="begin"/>
            </w:r>
            <w:r>
              <w:rPr>
                <w:noProof/>
              </w:rPr>
              <w:instrText xml:space="preserve"> PAGEREF _Toc233316547 \h </w:instrText>
            </w:r>
            <w:r>
              <w:rPr>
                <w:noProof/>
              </w:rPr>
            </w:r>
            <w:r>
              <w:rPr>
                <w:noProof/>
              </w:rPr>
              <w:fldChar w:fldCharType="separate"/>
            </w:r>
            <w:r w:rsidR="00E97DE8">
              <w:rPr>
                <w:noProof/>
              </w:rPr>
              <w:t>8</w:t>
            </w:r>
            <w:r>
              <w:rPr>
                <w:noProof/>
              </w:rPr>
              <w:fldChar w:fldCharType="end"/>
            </w:r>
          </w:hyperlink>
        </w:p>
        <w:p w14:paraId="18DBDA76" w14:textId="0C86D80C" w:rsidR="004919B9" w:rsidRDefault="004919B9">
          <w:pPr>
            <w:pStyle w:val="TOC2"/>
            <w:tabs>
              <w:tab w:val="right" w:leader="dot" w:pos="9350"/>
            </w:tabs>
            <w:rPr>
              <w:noProof/>
            </w:rPr>
          </w:pPr>
          <w:hyperlink w:anchor="_Toc233316548" w:history="1">
            <w:r w:rsidRPr="007428B8">
              <w:rPr>
                <w:rStyle w:val="Hyperlink"/>
                <w:noProof/>
              </w:rPr>
              <w:t>Market Penetration</w:t>
            </w:r>
            <w:r>
              <w:rPr>
                <w:noProof/>
              </w:rPr>
              <w:tab/>
            </w:r>
            <w:r>
              <w:rPr>
                <w:noProof/>
              </w:rPr>
              <w:fldChar w:fldCharType="begin"/>
            </w:r>
            <w:r>
              <w:rPr>
                <w:noProof/>
              </w:rPr>
              <w:instrText xml:space="preserve"> PAGEREF _Toc233316548 \h </w:instrText>
            </w:r>
            <w:r>
              <w:rPr>
                <w:noProof/>
              </w:rPr>
            </w:r>
            <w:r>
              <w:rPr>
                <w:noProof/>
              </w:rPr>
              <w:fldChar w:fldCharType="separate"/>
            </w:r>
            <w:r w:rsidR="00E97DE8">
              <w:rPr>
                <w:noProof/>
              </w:rPr>
              <w:t>8</w:t>
            </w:r>
            <w:r>
              <w:rPr>
                <w:noProof/>
              </w:rPr>
              <w:fldChar w:fldCharType="end"/>
            </w:r>
          </w:hyperlink>
        </w:p>
        <w:p w14:paraId="45588E0D" w14:textId="2296F36C" w:rsidR="004919B9" w:rsidRDefault="004919B9">
          <w:pPr>
            <w:pStyle w:val="TOC2"/>
            <w:tabs>
              <w:tab w:val="right" w:leader="dot" w:pos="9350"/>
            </w:tabs>
            <w:rPr>
              <w:noProof/>
            </w:rPr>
          </w:pPr>
          <w:hyperlink w:anchor="_Toc233316549" w:history="1">
            <w:r w:rsidRPr="007428B8">
              <w:rPr>
                <w:rStyle w:val="Hyperlink"/>
                <w:noProof/>
              </w:rPr>
              <w:t>Market Development</w:t>
            </w:r>
            <w:r>
              <w:rPr>
                <w:noProof/>
              </w:rPr>
              <w:tab/>
            </w:r>
            <w:r>
              <w:rPr>
                <w:noProof/>
              </w:rPr>
              <w:fldChar w:fldCharType="begin"/>
            </w:r>
            <w:r>
              <w:rPr>
                <w:noProof/>
              </w:rPr>
              <w:instrText xml:space="preserve"> PAGEREF _Toc233316549 \h </w:instrText>
            </w:r>
            <w:r>
              <w:rPr>
                <w:noProof/>
              </w:rPr>
            </w:r>
            <w:r>
              <w:rPr>
                <w:noProof/>
              </w:rPr>
              <w:fldChar w:fldCharType="separate"/>
            </w:r>
            <w:r w:rsidR="00E97DE8">
              <w:rPr>
                <w:noProof/>
              </w:rPr>
              <w:t>9</w:t>
            </w:r>
            <w:r>
              <w:rPr>
                <w:noProof/>
              </w:rPr>
              <w:fldChar w:fldCharType="end"/>
            </w:r>
          </w:hyperlink>
        </w:p>
        <w:p w14:paraId="714E5080" w14:textId="2A0BE404" w:rsidR="004919B9" w:rsidRDefault="004919B9">
          <w:pPr>
            <w:pStyle w:val="TOC2"/>
            <w:tabs>
              <w:tab w:val="right" w:leader="dot" w:pos="9350"/>
            </w:tabs>
            <w:rPr>
              <w:noProof/>
            </w:rPr>
          </w:pPr>
          <w:hyperlink w:anchor="_Toc233316550" w:history="1">
            <w:r w:rsidRPr="007428B8">
              <w:rPr>
                <w:rStyle w:val="Hyperlink"/>
                <w:noProof/>
              </w:rPr>
              <w:t>Product Development</w:t>
            </w:r>
            <w:r>
              <w:rPr>
                <w:noProof/>
              </w:rPr>
              <w:tab/>
            </w:r>
            <w:r>
              <w:rPr>
                <w:noProof/>
              </w:rPr>
              <w:fldChar w:fldCharType="begin"/>
            </w:r>
            <w:r>
              <w:rPr>
                <w:noProof/>
              </w:rPr>
              <w:instrText xml:space="preserve"> PAGEREF _Toc233316550 \h </w:instrText>
            </w:r>
            <w:r>
              <w:rPr>
                <w:noProof/>
              </w:rPr>
            </w:r>
            <w:r>
              <w:rPr>
                <w:noProof/>
              </w:rPr>
              <w:fldChar w:fldCharType="separate"/>
            </w:r>
            <w:r w:rsidR="00E97DE8">
              <w:rPr>
                <w:noProof/>
              </w:rPr>
              <w:t>9</w:t>
            </w:r>
            <w:r>
              <w:rPr>
                <w:noProof/>
              </w:rPr>
              <w:fldChar w:fldCharType="end"/>
            </w:r>
          </w:hyperlink>
        </w:p>
        <w:p w14:paraId="64733F26" w14:textId="53BCC52B" w:rsidR="004919B9" w:rsidRDefault="004919B9">
          <w:pPr>
            <w:pStyle w:val="TOC2"/>
            <w:tabs>
              <w:tab w:val="right" w:leader="dot" w:pos="9350"/>
            </w:tabs>
            <w:rPr>
              <w:noProof/>
            </w:rPr>
          </w:pPr>
          <w:hyperlink w:anchor="_Toc233316551" w:history="1">
            <w:r w:rsidRPr="007428B8">
              <w:rPr>
                <w:rStyle w:val="Hyperlink"/>
                <w:noProof/>
              </w:rPr>
              <w:t>Diversification: The Recommended Growth Path</w:t>
            </w:r>
            <w:r>
              <w:rPr>
                <w:noProof/>
              </w:rPr>
              <w:tab/>
            </w:r>
            <w:r>
              <w:rPr>
                <w:noProof/>
              </w:rPr>
              <w:fldChar w:fldCharType="begin"/>
            </w:r>
            <w:r>
              <w:rPr>
                <w:noProof/>
              </w:rPr>
              <w:instrText xml:space="preserve"> PAGEREF _Toc233316551 \h </w:instrText>
            </w:r>
            <w:r>
              <w:rPr>
                <w:noProof/>
              </w:rPr>
            </w:r>
            <w:r>
              <w:rPr>
                <w:noProof/>
              </w:rPr>
              <w:fldChar w:fldCharType="separate"/>
            </w:r>
            <w:r w:rsidR="00E97DE8">
              <w:rPr>
                <w:noProof/>
              </w:rPr>
              <w:t>9</w:t>
            </w:r>
            <w:r>
              <w:rPr>
                <w:noProof/>
              </w:rPr>
              <w:fldChar w:fldCharType="end"/>
            </w:r>
          </w:hyperlink>
        </w:p>
        <w:p w14:paraId="344A905D" w14:textId="67D5F66C" w:rsidR="004919B9" w:rsidRDefault="004919B9">
          <w:pPr>
            <w:pStyle w:val="TOC2"/>
            <w:tabs>
              <w:tab w:val="right" w:leader="dot" w:pos="9350"/>
            </w:tabs>
            <w:rPr>
              <w:noProof/>
            </w:rPr>
          </w:pPr>
          <w:hyperlink w:anchor="_Toc233316552" w:history="1">
            <w:r w:rsidRPr="007428B8">
              <w:rPr>
                <w:rStyle w:val="Hyperlink"/>
                <w:noProof/>
              </w:rPr>
              <w:t>Building Competitive Advantage</w:t>
            </w:r>
            <w:r>
              <w:rPr>
                <w:noProof/>
              </w:rPr>
              <w:tab/>
            </w:r>
            <w:r>
              <w:rPr>
                <w:noProof/>
              </w:rPr>
              <w:fldChar w:fldCharType="begin"/>
            </w:r>
            <w:r>
              <w:rPr>
                <w:noProof/>
              </w:rPr>
              <w:instrText xml:space="preserve"> PAGEREF _Toc233316552 \h </w:instrText>
            </w:r>
            <w:r>
              <w:rPr>
                <w:noProof/>
              </w:rPr>
            </w:r>
            <w:r>
              <w:rPr>
                <w:noProof/>
              </w:rPr>
              <w:fldChar w:fldCharType="separate"/>
            </w:r>
            <w:r w:rsidR="00E97DE8">
              <w:rPr>
                <w:noProof/>
              </w:rPr>
              <w:t>10</w:t>
            </w:r>
            <w:r>
              <w:rPr>
                <w:noProof/>
              </w:rPr>
              <w:fldChar w:fldCharType="end"/>
            </w:r>
          </w:hyperlink>
        </w:p>
        <w:p w14:paraId="2B91076B" w14:textId="4F1D4C94" w:rsidR="004919B9" w:rsidRDefault="004919B9">
          <w:pPr>
            <w:pStyle w:val="TOC1"/>
            <w:tabs>
              <w:tab w:val="right" w:leader="dot" w:pos="9350"/>
            </w:tabs>
            <w:rPr>
              <w:noProof/>
            </w:rPr>
          </w:pPr>
          <w:hyperlink w:anchor="_Toc233316553" w:history="1">
            <w:r w:rsidRPr="007428B8">
              <w:rPr>
                <w:rStyle w:val="Hyperlink"/>
                <w:noProof/>
              </w:rPr>
              <w:t>Task 3: Critical Reflection on AI Usage</w:t>
            </w:r>
            <w:r>
              <w:rPr>
                <w:noProof/>
              </w:rPr>
              <w:tab/>
            </w:r>
            <w:r>
              <w:rPr>
                <w:noProof/>
              </w:rPr>
              <w:fldChar w:fldCharType="begin"/>
            </w:r>
            <w:r>
              <w:rPr>
                <w:noProof/>
              </w:rPr>
              <w:instrText xml:space="preserve"> PAGEREF _Toc233316553 \h </w:instrText>
            </w:r>
            <w:r>
              <w:rPr>
                <w:noProof/>
              </w:rPr>
            </w:r>
            <w:r>
              <w:rPr>
                <w:noProof/>
              </w:rPr>
              <w:fldChar w:fldCharType="separate"/>
            </w:r>
            <w:r w:rsidR="00E97DE8">
              <w:rPr>
                <w:noProof/>
              </w:rPr>
              <w:t>12</w:t>
            </w:r>
            <w:r>
              <w:rPr>
                <w:noProof/>
              </w:rPr>
              <w:fldChar w:fldCharType="end"/>
            </w:r>
          </w:hyperlink>
        </w:p>
        <w:p w14:paraId="75D66038" w14:textId="1CA56740" w:rsidR="004919B9" w:rsidRDefault="004919B9">
          <w:pPr>
            <w:pStyle w:val="TOC2"/>
            <w:tabs>
              <w:tab w:val="right" w:leader="dot" w:pos="9350"/>
            </w:tabs>
            <w:rPr>
              <w:noProof/>
            </w:rPr>
          </w:pPr>
          <w:hyperlink w:anchor="_Toc233316554" w:history="1">
            <w:r w:rsidRPr="007428B8">
              <w:rPr>
                <w:rStyle w:val="Hyperlink"/>
                <w:noProof/>
              </w:rPr>
              <w:t>a. Tool Disclosure</w:t>
            </w:r>
            <w:r>
              <w:rPr>
                <w:noProof/>
              </w:rPr>
              <w:tab/>
            </w:r>
            <w:r>
              <w:rPr>
                <w:noProof/>
              </w:rPr>
              <w:fldChar w:fldCharType="begin"/>
            </w:r>
            <w:r>
              <w:rPr>
                <w:noProof/>
              </w:rPr>
              <w:instrText xml:space="preserve"> PAGEREF _Toc233316554 \h </w:instrText>
            </w:r>
            <w:r>
              <w:rPr>
                <w:noProof/>
              </w:rPr>
            </w:r>
            <w:r>
              <w:rPr>
                <w:noProof/>
              </w:rPr>
              <w:fldChar w:fldCharType="separate"/>
            </w:r>
            <w:r w:rsidR="00E97DE8">
              <w:rPr>
                <w:noProof/>
              </w:rPr>
              <w:t>12</w:t>
            </w:r>
            <w:r>
              <w:rPr>
                <w:noProof/>
              </w:rPr>
              <w:fldChar w:fldCharType="end"/>
            </w:r>
          </w:hyperlink>
        </w:p>
        <w:p w14:paraId="3C364811" w14:textId="38372EF0" w:rsidR="004919B9" w:rsidRDefault="004919B9">
          <w:pPr>
            <w:pStyle w:val="TOC2"/>
            <w:tabs>
              <w:tab w:val="right" w:leader="dot" w:pos="9350"/>
            </w:tabs>
            <w:rPr>
              <w:noProof/>
            </w:rPr>
          </w:pPr>
          <w:hyperlink w:anchor="_Toc233316555" w:history="1">
            <w:r w:rsidRPr="007428B8">
              <w:rPr>
                <w:rStyle w:val="Hyperlink"/>
                <w:noProof/>
              </w:rPr>
              <w:t>b. Critical Evaluation of AI Output</w:t>
            </w:r>
            <w:r>
              <w:rPr>
                <w:noProof/>
              </w:rPr>
              <w:tab/>
            </w:r>
            <w:r>
              <w:rPr>
                <w:noProof/>
              </w:rPr>
              <w:fldChar w:fldCharType="begin"/>
            </w:r>
            <w:r>
              <w:rPr>
                <w:noProof/>
              </w:rPr>
              <w:instrText xml:space="preserve"> PAGEREF _Toc233316555 \h </w:instrText>
            </w:r>
            <w:r>
              <w:rPr>
                <w:noProof/>
              </w:rPr>
            </w:r>
            <w:r>
              <w:rPr>
                <w:noProof/>
              </w:rPr>
              <w:fldChar w:fldCharType="separate"/>
            </w:r>
            <w:r w:rsidR="00E97DE8">
              <w:rPr>
                <w:noProof/>
              </w:rPr>
              <w:t>12</w:t>
            </w:r>
            <w:r>
              <w:rPr>
                <w:noProof/>
              </w:rPr>
              <w:fldChar w:fldCharType="end"/>
            </w:r>
          </w:hyperlink>
        </w:p>
        <w:p w14:paraId="09779A9B" w14:textId="6B279F96" w:rsidR="004919B9" w:rsidRDefault="004919B9">
          <w:pPr>
            <w:pStyle w:val="TOC2"/>
            <w:tabs>
              <w:tab w:val="right" w:leader="dot" w:pos="9350"/>
            </w:tabs>
            <w:rPr>
              <w:noProof/>
            </w:rPr>
          </w:pPr>
          <w:hyperlink w:anchor="_Toc233316556" w:history="1">
            <w:r w:rsidRPr="007428B8">
              <w:rPr>
                <w:rStyle w:val="Hyperlink"/>
                <w:noProof/>
              </w:rPr>
              <w:t>c. Contribution Analysis</w:t>
            </w:r>
            <w:r>
              <w:rPr>
                <w:noProof/>
              </w:rPr>
              <w:tab/>
            </w:r>
            <w:r>
              <w:rPr>
                <w:noProof/>
              </w:rPr>
              <w:fldChar w:fldCharType="begin"/>
            </w:r>
            <w:r>
              <w:rPr>
                <w:noProof/>
              </w:rPr>
              <w:instrText xml:space="preserve"> PAGEREF _Toc233316556 \h </w:instrText>
            </w:r>
            <w:r>
              <w:rPr>
                <w:noProof/>
              </w:rPr>
            </w:r>
            <w:r>
              <w:rPr>
                <w:noProof/>
              </w:rPr>
              <w:fldChar w:fldCharType="separate"/>
            </w:r>
            <w:r w:rsidR="00E97DE8">
              <w:rPr>
                <w:noProof/>
              </w:rPr>
              <w:t>12</w:t>
            </w:r>
            <w:r>
              <w:rPr>
                <w:noProof/>
              </w:rPr>
              <w:fldChar w:fldCharType="end"/>
            </w:r>
          </w:hyperlink>
        </w:p>
        <w:p w14:paraId="4C72EB66" w14:textId="3C3023A9" w:rsidR="004919B9" w:rsidRDefault="004919B9">
          <w:pPr>
            <w:pStyle w:val="TOC2"/>
            <w:tabs>
              <w:tab w:val="right" w:leader="dot" w:pos="9350"/>
            </w:tabs>
            <w:rPr>
              <w:noProof/>
            </w:rPr>
          </w:pPr>
          <w:hyperlink w:anchor="_Toc233316557" w:history="1">
            <w:r w:rsidRPr="007428B8">
              <w:rPr>
                <w:rStyle w:val="Hyperlink"/>
                <w:noProof/>
              </w:rPr>
              <w:t>d. Ethical and Professional Reflection</w:t>
            </w:r>
            <w:r>
              <w:rPr>
                <w:noProof/>
              </w:rPr>
              <w:tab/>
            </w:r>
            <w:r>
              <w:rPr>
                <w:noProof/>
              </w:rPr>
              <w:fldChar w:fldCharType="begin"/>
            </w:r>
            <w:r>
              <w:rPr>
                <w:noProof/>
              </w:rPr>
              <w:instrText xml:space="preserve"> PAGEREF _Toc233316557 \h </w:instrText>
            </w:r>
            <w:r>
              <w:rPr>
                <w:noProof/>
              </w:rPr>
            </w:r>
            <w:r>
              <w:rPr>
                <w:noProof/>
              </w:rPr>
              <w:fldChar w:fldCharType="separate"/>
            </w:r>
            <w:r w:rsidR="00E97DE8">
              <w:rPr>
                <w:noProof/>
              </w:rPr>
              <w:t>13</w:t>
            </w:r>
            <w:r>
              <w:rPr>
                <w:noProof/>
              </w:rPr>
              <w:fldChar w:fldCharType="end"/>
            </w:r>
          </w:hyperlink>
        </w:p>
        <w:p w14:paraId="6FBD7FA5" w14:textId="0878E3AD" w:rsidR="004919B9" w:rsidRDefault="004919B9">
          <w:pPr>
            <w:pStyle w:val="TOC1"/>
            <w:tabs>
              <w:tab w:val="right" w:leader="dot" w:pos="9350"/>
            </w:tabs>
            <w:rPr>
              <w:noProof/>
            </w:rPr>
          </w:pPr>
          <w:hyperlink w:anchor="_Toc233316558" w:history="1">
            <w:r w:rsidRPr="007428B8">
              <w:rPr>
                <w:rStyle w:val="Hyperlink"/>
                <w:noProof/>
              </w:rPr>
              <w:t>References</w:t>
            </w:r>
            <w:r>
              <w:rPr>
                <w:noProof/>
              </w:rPr>
              <w:tab/>
            </w:r>
            <w:r>
              <w:rPr>
                <w:noProof/>
              </w:rPr>
              <w:fldChar w:fldCharType="begin"/>
            </w:r>
            <w:r>
              <w:rPr>
                <w:noProof/>
              </w:rPr>
              <w:instrText xml:space="preserve"> PAGEREF _Toc233316558 \h </w:instrText>
            </w:r>
            <w:r>
              <w:rPr>
                <w:noProof/>
              </w:rPr>
            </w:r>
            <w:r>
              <w:rPr>
                <w:noProof/>
              </w:rPr>
              <w:fldChar w:fldCharType="separate"/>
            </w:r>
            <w:r w:rsidR="00E97DE8">
              <w:rPr>
                <w:noProof/>
              </w:rPr>
              <w:t>14</w:t>
            </w:r>
            <w:r>
              <w:rPr>
                <w:noProof/>
              </w:rPr>
              <w:fldChar w:fldCharType="end"/>
            </w:r>
          </w:hyperlink>
        </w:p>
        <w:p w14:paraId="53D6C3BE" w14:textId="09A76164" w:rsidR="003150D2" w:rsidRDefault="00000000">
          <w:r>
            <w:fldChar w:fldCharType="end"/>
          </w:r>
        </w:p>
      </w:sdtContent>
    </w:sdt>
    <w:p w14:paraId="75DE8E48" w14:textId="77777777" w:rsidR="00E97DE8" w:rsidRDefault="00E97DE8">
      <w:pPr>
        <w:pStyle w:val="Heading2"/>
      </w:pPr>
      <w:bookmarkStart w:id="0" w:name="_Toc233316543"/>
    </w:p>
    <w:p w14:paraId="44603CFF" w14:textId="77777777" w:rsidR="00E97DE8" w:rsidRDefault="00E97DE8">
      <w:pPr>
        <w:pStyle w:val="Heading2"/>
      </w:pPr>
    </w:p>
    <w:p w14:paraId="1325EC21" w14:textId="77777777" w:rsidR="00E97DE8" w:rsidRDefault="00E97DE8">
      <w:pPr>
        <w:pStyle w:val="Heading2"/>
      </w:pPr>
    </w:p>
    <w:p w14:paraId="2DED828A" w14:textId="77777777" w:rsidR="00E97DE8" w:rsidRDefault="00E97DE8">
      <w:pPr>
        <w:pStyle w:val="Heading2"/>
      </w:pPr>
    </w:p>
    <w:p w14:paraId="52B1EF3D" w14:textId="77777777" w:rsidR="00E97DE8" w:rsidRDefault="00E97DE8">
      <w:pPr>
        <w:pStyle w:val="Heading2"/>
      </w:pPr>
    </w:p>
    <w:p w14:paraId="519B0209" w14:textId="77777777" w:rsidR="00E97DE8" w:rsidRDefault="00E97DE8">
      <w:pPr>
        <w:pStyle w:val="Heading2"/>
      </w:pPr>
    </w:p>
    <w:p w14:paraId="0AB82B55" w14:textId="77777777" w:rsidR="00E97DE8" w:rsidRDefault="00E97DE8">
      <w:pPr>
        <w:pStyle w:val="Heading2"/>
      </w:pPr>
    </w:p>
    <w:p w14:paraId="316DA670" w14:textId="77777777" w:rsidR="00E97DE8" w:rsidRDefault="00E97DE8">
      <w:pPr>
        <w:pStyle w:val="Heading2"/>
      </w:pPr>
    </w:p>
    <w:p w14:paraId="7717C267" w14:textId="77777777" w:rsidR="00E97DE8" w:rsidRDefault="00E97DE8">
      <w:pPr>
        <w:pStyle w:val="Heading2"/>
      </w:pPr>
    </w:p>
    <w:p w14:paraId="75309D63" w14:textId="77777777" w:rsidR="00E97DE8" w:rsidRDefault="00E97DE8">
      <w:pPr>
        <w:pStyle w:val="Heading2"/>
      </w:pPr>
    </w:p>
    <w:p w14:paraId="799540BB" w14:textId="6589DEAE" w:rsidR="003150D2" w:rsidRPr="00123FCB" w:rsidRDefault="00000000">
      <w:pPr>
        <w:pStyle w:val="Heading2"/>
        <w:rPr>
          <w:color w:val="auto"/>
          <w:sz w:val="28"/>
          <w:szCs w:val="28"/>
        </w:rPr>
      </w:pPr>
      <w:r w:rsidRPr="00F30345">
        <w:rPr>
          <w:color w:val="auto"/>
          <w:sz w:val="28"/>
          <w:szCs w:val="28"/>
        </w:rPr>
        <w:lastRenderedPageBreak/>
        <w:t>AI Use Acknowledgement</w:t>
      </w:r>
      <w:bookmarkEnd w:id="0"/>
    </w:p>
    <w:p w14:paraId="76F8F6B3" w14:textId="37E0FBE9" w:rsidR="003150D2" w:rsidRDefault="005152CA" w:rsidP="005152CA">
      <w:pPr>
        <w:spacing w:line="360" w:lineRule="auto"/>
      </w:pPr>
      <w:r w:rsidRPr="005152CA">
        <w:t>In preparing this assessment, I used (</w:t>
      </w:r>
      <w:r w:rsidR="00E528C3">
        <w:t>DeepSeek</w:t>
      </w:r>
      <w:r w:rsidR="008629D1">
        <w:t xml:space="preserve"> AI</w:t>
      </w:r>
      <w:r w:rsidRPr="005152CA">
        <w:t>), a generative artificial intelligence tool, strictly within the permitted boundaries set by the UWTSD. AI was employed solely to support research</w:t>
      </w:r>
      <w:r>
        <w:t xml:space="preserve"> </w:t>
      </w:r>
      <w:r w:rsidRPr="005152CA">
        <w:t>such as identifying and summarising relevant academic, industry, and regulatory sources on BHP and the mining sector’s sustainability transition</w:t>
      </w:r>
      <w:r>
        <w:t xml:space="preserve"> </w:t>
      </w:r>
      <w:r w:rsidRPr="005152CA">
        <w:t>and for proofreading my own writing (grammar, syntax, clarity). AI was not used for structuring, drafting, or writing any part of the submitted text, nor for generating creative materials or code. All arguments, analysis, structure, and recommendations are entirely my own. A detailed critical reflection on this process is provided in Task 3.</w:t>
      </w:r>
      <w:r>
        <w:br w:type="page"/>
      </w:r>
    </w:p>
    <w:p w14:paraId="481D26BD" w14:textId="77777777" w:rsidR="003150D2" w:rsidRPr="00F30345" w:rsidRDefault="00000000">
      <w:pPr>
        <w:pStyle w:val="Heading1"/>
        <w:rPr>
          <w:color w:val="auto"/>
          <w:sz w:val="28"/>
          <w:szCs w:val="28"/>
        </w:rPr>
      </w:pPr>
      <w:bookmarkStart w:id="1" w:name="_Toc233316544"/>
      <w:r w:rsidRPr="00F30345">
        <w:rPr>
          <w:color w:val="auto"/>
          <w:sz w:val="28"/>
          <w:szCs w:val="28"/>
        </w:rPr>
        <w:lastRenderedPageBreak/>
        <w:t>Task 1: Marketing Environment Analysis</w:t>
      </w:r>
      <w:bookmarkEnd w:id="1"/>
    </w:p>
    <w:p w14:paraId="159EBA61" w14:textId="77777777" w:rsidR="003150D2" w:rsidRPr="00E97DE8" w:rsidRDefault="00000000">
      <w:pPr>
        <w:spacing w:after="200" w:line="360" w:lineRule="auto"/>
        <w:jc w:val="both"/>
      </w:pPr>
      <w:r w:rsidRPr="00E97DE8">
        <w:t>This analysis examines BHP Group Limited (BHP), a globally diversified resources company headquartered in Australia and one of the world's largest producers of iron ore, copper and metallurgical coal. As the assignment brief notes, the metals and mining sector accounts for approximately a quarter of the greenhouse gas (GHG) emissions reported by the world's 12,000 largest companies, placing firms such as BHP under sustained stakeholder, regulatory and competitive pressure to transition toward lower-carbon products (Kotler et al., 2024, pp. 115–117). Using Kotler et al.'s (2024) model of the marketing environment, this section critically analyses two external macro-environment actors shaping BHP's transition: the Natural Environment, which receives the primary focus required by the brief, and the Political and Legal environment, which is increasingly converting environmental expectation into binding obligation. Together, these two actors explain not only why BHP must transition toward lower-carbon products, but also why the credibility of how it communicates that transition has itself become a strategically material issue.</w:t>
      </w:r>
    </w:p>
    <w:p w14:paraId="0560D742" w14:textId="77777777" w:rsidR="003150D2" w:rsidRPr="00F30345" w:rsidRDefault="00000000">
      <w:pPr>
        <w:pStyle w:val="Heading2"/>
        <w:rPr>
          <w:color w:val="auto"/>
          <w:sz w:val="28"/>
          <w:szCs w:val="28"/>
        </w:rPr>
      </w:pPr>
      <w:bookmarkStart w:id="2" w:name="_Toc233316545"/>
      <w:r w:rsidRPr="00F30345">
        <w:rPr>
          <w:color w:val="auto"/>
          <w:sz w:val="28"/>
          <w:szCs w:val="28"/>
        </w:rPr>
        <w:t>The Natural Environment</w:t>
      </w:r>
      <w:bookmarkEnd w:id="2"/>
    </w:p>
    <w:p w14:paraId="6F2EC568" w14:textId="64E16237" w:rsidR="003150D2" w:rsidRPr="00E97DE8" w:rsidRDefault="00000000" w:rsidP="00626CC5">
      <w:pPr>
        <w:spacing w:after="200" w:line="360" w:lineRule="auto"/>
        <w:jc w:val="both"/>
      </w:pPr>
      <w:r w:rsidRPr="00E97DE8">
        <w:t>The natural environment refers to the physical resources that marketers draw on as inputs and the ecological conditions their activities affect; Kotler et al. (2024) identify growing resource scarcity, rising pollution and increasingly assertive government intervention as the defining trends of this force. For a diversified miner such as BHP, the natural environment is not a peripheral concern but the foundation of its ‘licence to operate’ the implicit social and regulatory permission that allows extraction to continue and is therefore a direct determinant of marketing strategy and corporate reputation.</w:t>
      </w:r>
    </w:p>
    <w:p w14:paraId="70581D17" w14:textId="6900ACA1" w:rsidR="003150D2" w:rsidRPr="00E97DE8" w:rsidRDefault="00000000" w:rsidP="00626CC5">
      <w:pPr>
        <w:spacing w:after="200" w:line="360" w:lineRule="auto"/>
        <w:jc w:val="both"/>
      </w:pPr>
      <w:r w:rsidRPr="00E97DE8">
        <w:t xml:space="preserve">Two dimensions of natural-environment pressure are particularly significant for BHP. The first is physical: water scarcity at its Pilbara iron-ore operations and at its Chilean copper assets has pushed the company toward electrification, with the Escondida and Spence copper mines having already moved to 100 per cent purchased renewable electricity under long-term power agreements (Skarn Associates, n.d.). The Pilbara, by contrast, is not grid-connected, so BHP must build standalone solar and storage capacity to keep </w:t>
      </w:r>
      <w:r w:rsidRPr="00E97DE8">
        <w:lastRenderedPageBreak/>
        <w:t>operations running continuously illustrating how site-specific natural conditions constrain the pace of decarbonisation.</w:t>
      </w:r>
    </w:p>
    <w:p w14:paraId="7F60F45C" w14:textId="77777777" w:rsidR="003150D2" w:rsidRPr="00E97DE8" w:rsidRDefault="00000000" w:rsidP="00626CC5">
      <w:pPr>
        <w:spacing w:after="200" w:line="360" w:lineRule="auto"/>
        <w:jc w:val="both"/>
      </w:pPr>
      <w:r w:rsidRPr="00E97DE8">
        <w:t>The second, more consequential, dimension is the transition-risk profile created by BHP's downstream value chain. The large majority of BHP's total carbon footprint sits in Scope 3 emissions generated by customers converting its iron ore and metallurgical coal into steel (BHP, 2024a). BHP's Climate Transition Action Plan therefore sets a medium-term goal of supporting a 30 per cent reduction in steelmaking emissions intensity relative to conventional blast-furnace production by 2030, an operational (Scope 1 and 2) target of at least a 30 per cent reduction by FY2030 against a FY2020 baseline, and an aspirational net-zero ambition across all scopes by 2050 (BHP, 2024a). Independent analysts have, however, criticised BHP's continued emphasis on carbon capture, utilisation and storage (CCUS) as a retrofit solution for blast furnaces, arguing the technology offers limited near-term abatement potential and that BHP risks lagging peers moving more decisively toward hydrogen-based direct-reduced-iron technology (IEEFA, 2024). This matters for marketing strategy: a decarbonisation narrative built around an unproven technology pathway is vulnerable to being read by sophisticated B2B customers, investors and NGOs as greenwashing rather than genuine transition.</w:t>
      </w:r>
    </w:p>
    <w:p w14:paraId="458B7B1C" w14:textId="77777777" w:rsidR="003150D2" w:rsidRPr="00E97DE8" w:rsidRDefault="00000000" w:rsidP="00626CC5">
      <w:pPr>
        <w:spacing w:after="200" w:line="360" w:lineRule="auto"/>
        <w:jc w:val="both"/>
      </w:pPr>
      <w:r w:rsidRPr="00E97DE8">
        <w:t xml:space="preserve">The reputational stakes of natural-environment failure are illustrated starkly by the 2015 Fundão tailings dam collapse, operated by BHP and Vale's joint venture Samarco, which remains the costliest environmental disaster in Brazilian mining history. In October 2024, BHP, Vale and Samarco signed a Definitive Settlement worth approximately US$32 billion (R$170 billion) with Brazilian public authorities to fund remediation, compensation and infrastructure recovery over twenty years, while parallel UK and Dutch group litigation continued; in 2025 the English High Court found BHP liable under Brazilian law for the collapse, with damages still to be assessed (Business and Human Rights Resource Centre, 2025; BHP, 2025a). This decade-long liability shows that natural-environment harms translate directly into balance-sheet exposure and into a continuing deficit of stakeholder trust that any ‘lower-carbon’ marketing message must work to overcome; by Vale's own account, more than US$13 billion had already been spent on remediation and compensation since 2015, underscoring the scale of harm that any future environmental </w:t>
      </w:r>
      <w:r w:rsidRPr="00E97DE8">
        <w:lastRenderedPageBreak/>
        <w:t>claims must be measured against (Vale S.A., 2025). The strategic implication is that BHP's environmental communication can no longer rely on aspirational targets alone; it must be evidenced, third-party assured and tied to demonstrable operational change to remain credible with increasingly sceptical audiences. For a marketing function, this reframes sustainability messaging from a brand-building exercise into a risk-management discipline, in which overstating progress carries a measurable cost in litigation, regulatory scrutiny and lost customer trust.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3150D2" w:rsidRPr="00E97DE8" w14:paraId="30A7ECF2" w14:textId="77777777" w:rsidTr="00A41AE5">
        <w:tc>
          <w:tcPr>
            <w:tcW w:w="3120" w:type="dxa"/>
            <w:tcBorders>
              <w:top w:val="single" w:sz="2" w:space="0" w:color="BFBFBF"/>
              <w:left w:val="single" w:sz="2" w:space="0" w:color="BFBFBF"/>
              <w:bottom w:val="single" w:sz="2" w:space="0" w:color="BFBFBF"/>
              <w:right w:val="single" w:sz="2" w:space="0" w:color="BFBFBF"/>
            </w:tcBorders>
            <w:shd w:val="clear" w:color="auto" w:fill="153D63" w:themeFill="text2" w:themeFillTint="E6"/>
            <w:tcMar>
              <w:top w:w="100" w:type="dxa"/>
              <w:left w:w="120" w:type="dxa"/>
              <w:bottom w:w="100" w:type="dxa"/>
              <w:right w:w="120" w:type="dxa"/>
            </w:tcMar>
            <w:vAlign w:val="center"/>
          </w:tcPr>
          <w:p w14:paraId="12FECD99" w14:textId="77777777" w:rsidR="003150D2" w:rsidRPr="00E97DE8" w:rsidRDefault="00000000">
            <w:pPr>
              <w:jc w:val="center"/>
            </w:pPr>
            <w:r w:rsidRPr="00E97DE8">
              <w:rPr>
                <w:b/>
                <w:bCs/>
                <w:sz w:val="20"/>
                <w:szCs w:val="20"/>
              </w:rPr>
              <w:t>Target Area</w:t>
            </w:r>
          </w:p>
        </w:tc>
        <w:tc>
          <w:tcPr>
            <w:tcW w:w="3120" w:type="dxa"/>
            <w:tcBorders>
              <w:top w:val="single" w:sz="2" w:space="0" w:color="BFBFBF"/>
              <w:left w:val="single" w:sz="2" w:space="0" w:color="BFBFBF"/>
              <w:bottom w:val="single" w:sz="2" w:space="0" w:color="BFBFBF"/>
              <w:right w:val="single" w:sz="2" w:space="0" w:color="BFBFBF"/>
            </w:tcBorders>
            <w:shd w:val="clear" w:color="auto" w:fill="153D63" w:themeFill="text2" w:themeFillTint="E6"/>
            <w:tcMar>
              <w:top w:w="100" w:type="dxa"/>
              <w:left w:w="120" w:type="dxa"/>
              <w:bottom w:w="100" w:type="dxa"/>
              <w:right w:w="120" w:type="dxa"/>
            </w:tcMar>
            <w:vAlign w:val="center"/>
          </w:tcPr>
          <w:p w14:paraId="542213B0" w14:textId="77777777" w:rsidR="003150D2" w:rsidRPr="00E97DE8" w:rsidRDefault="00000000">
            <w:pPr>
              <w:jc w:val="center"/>
            </w:pPr>
            <w:r w:rsidRPr="00E97DE8">
              <w:rPr>
                <w:b/>
                <w:bCs/>
                <w:sz w:val="20"/>
                <w:szCs w:val="20"/>
              </w:rPr>
              <w:t>Goal</w:t>
            </w:r>
          </w:p>
        </w:tc>
        <w:tc>
          <w:tcPr>
            <w:tcW w:w="3120" w:type="dxa"/>
            <w:tcBorders>
              <w:top w:val="single" w:sz="2" w:space="0" w:color="BFBFBF"/>
              <w:left w:val="single" w:sz="2" w:space="0" w:color="BFBFBF"/>
              <w:bottom w:val="single" w:sz="2" w:space="0" w:color="BFBFBF"/>
              <w:right w:val="single" w:sz="2" w:space="0" w:color="BFBFBF"/>
            </w:tcBorders>
            <w:shd w:val="clear" w:color="auto" w:fill="153D63" w:themeFill="text2" w:themeFillTint="E6"/>
            <w:tcMar>
              <w:top w:w="100" w:type="dxa"/>
              <w:left w:w="120" w:type="dxa"/>
              <w:bottom w:w="100" w:type="dxa"/>
              <w:right w:w="120" w:type="dxa"/>
            </w:tcMar>
            <w:vAlign w:val="center"/>
          </w:tcPr>
          <w:p w14:paraId="3A5A2E1D" w14:textId="77777777" w:rsidR="003150D2" w:rsidRPr="00E97DE8" w:rsidRDefault="00000000">
            <w:pPr>
              <w:jc w:val="center"/>
            </w:pPr>
            <w:r w:rsidRPr="00E97DE8">
              <w:rPr>
                <w:b/>
                <w:bCs/>
                <w:sz w:val="20"/>
                <w:szCs w:val="20"/>
              </w:rPr>
              <w:t>Timeframe</w:t>
            </w:r>
          </w:p>
        </w:tc>
      </w:tr>
      <w:tr w:rsidR="003150D2" w:rsidRPr="00E97DE8" w14:paraId="383AF695" w14:textId="77777777">
        <w:tc>
          <w:tcPr>
            <w:tcW w:w="3120" w:type="dxa"/>
            <w:tcBorders>
              <w:top w:val="single" w:sz="2" w:space="0" w:color="BFBFBF"/>
              <w:left w:val="single" w:sz="2" w:space="0" w:color="BFBFBF"/>
              <w:bottom w:val="single" w:sz="2" w:space="0" w:color="BFBFBF"/>
              <w:right w:val="single" w:sz="2" w:space="0" w:color="BFBFBF"/>
            </w:tcBorders>
            <w:tcMar>
              <w:top w:w="100" w:type="dxa"/>
              <w:left w:w="120" w:type="dxa"/>
              <w:bottom w:w="100" w:type="dxa"/>
              <w:right w:w="120" w:type="dxa"/>
            </w:tcMar>
            <w:vAlign w:val="center"/>
          </w:tcPr>
          <w:p w14:paraId="3539D4A9" w14:textId="77777777" w:rsidR="003150D2" w:rsidRPr="00A41AE5" w:rsidRDefault="00000000">
            <w:pPr>
              <w:rPr>
                <w:sz w:val="16"/>
                <w:szCs w:val="16"/>
              </w:rPr>
            </w:pPr>
            <w:r w:rsidRPr="00A41AE5">
              <w:rPr>
                <w:sz w:val="16"/>
                <w:szCs w:val="16"/>
              </w:rPr>
              <w:t>Scope 1 &amp; 2 emissions</w:t>
            </w:r>
          </w:p>
        </w:tc>
        <w:tc>
          <w:tcPr>
            <w:tcW w:w="3120" w:type="dxa"/>
            <w:tcBorders>
              <w:top w:val="single" w:sz="2" w:space="0" w:color="BFBFBF"/>
              <w:left w:val="single" w:sz="2" w:space="0" w:color="BFBFBF"/>
              <w:bottom w:val="single" w:sz="2" w:space="0" w:color="BFBFBF"/>
              <w:right w:val="single" w:sz="2" w:space="0" w:color="BFBFBF"/>
            </w:tcBorders>
            <w:tcMar>
              <w:top w:w="100" w:type="dxa"/>
              <w:left w:w="120" w:type="dxa"/>
              <w:bottom w:w="100" w:type="dxa"/>
              <w:right w:w="120" w:type="dxa"/>
            </w:tcMar>
            <w:vAlign w:val="center"/>
          </w:tcPr>
          <w:p w14:paraId="06A01B95" w14:textId="77777777" w:rsidR="003150D2" w:rsidRPr="00A41AE5" w:rsidRDefault="00000000">
            <w:pPr>
              <w:rPr>
                <w:sz w:val="16"/>
                <w:szCs w:val="16"/>
              </w:rPr>
            </w:pPr>
            <w:r w:rsidRPr="00A41AE5">
              <w:rPr>
                <w:sz w:val="16"/>
                <w:szCs w:val="16"/>
              </w:rPr>
              <w:t>≥30% reduction vs FY2020 baseline</w:t>
            </w:r>
          </w:p>
        </w:tc>
        <w:tc>
          <w:tcPr>
            <w:tcW w:w="3120" w:type="dxa"/>
            <w:tcBorders>
              <w:top w:val="single" w:sz="2" w:space="0" w:color="BFBFBF"/>
              <w:left w:val="single" w:sz="2" w:space="0" w:color="BFBFBF"/>
              <w:bottom w:val="single" w:sz="2" w:space="0" w:color="BFBFBF"/>
              <w:right w:val="single" w:sz="2" w:space="0" w:color="BFBFBF"/>
            </w:tcBorders>
            <w:tcMar>
              <w:top w:w="100" w:type="dxa"/>
              <w:left w:w="120" w:type="dxa"/>
              <w:bottom w:w="100" w:type="dxa"/>
              <w:right w:w="120" w:type="dxa"/>
            </w:tcMar>
            <w:vAlign w:val="center"/>
          </w:tcPr>
          <w:p w14:paraId="474EE1D8" w14:textId="77777777" w:rsidR="003150D2" w:rsidRPr="00A41AE5" w:rsidRDefault="00000000">
            <w:pPr>
              <w:rPr>
                <w:sz w:val="16"/>
                <w:szCs w:val="16"/>
              </w:rPr>
            </w:pPr>
            <w:r w:rsidRPr="00A41AE5">
              <w:rPr>
                <w:sz w:val="16"/>
                <w:szCs w:val="16"/>
              </w:rPr>
              <w:t>By FY2030</w:t>
            </w:r>
          </w:p>
        </w:tc>
      </w:tr>
      <w:tr w:rsidR="003150D2" w:rsidRPr="00E97DE8" w14:paraId="6B37AA77" w14:textId="77777777" w:rsidTr="0073096D">
        <w:tc>
          <w:tcPr>
            <w:tcW w:w="3120" w:type="dxa"/>
            <w:tcBorders>
              <w:top w:val="single" w:sz="2" w:space="0" w:color="BFBFBF"/>
              <w:left w:val="single" w:sz="2" w:space="0" w:color="BFBFBF"/>
              <w:bottom w:val="single" w:sz="2" w:space="0" w:color="BFBFBF"/>
              <w:right w:val="single" w:sz="2" w:space="0" w:color="BFBFBF"/>
            </w:tcBorders>
            <w:shd w:val="clear" w:color="auto" w:fill="DAE9F7" w:themeFill="text2" w:themeFillTint="1A"/>
            <w:tcMar>
              <w:top w:w="100" w:type="dxa"/>
              <w:left w:w="120" w:type="dxa"/>
              <w:bottom w:w="100" w:type="dxa"/>
              <w:right w:w="120" w:type="dxa"/>
            </w:tcMar>
            <w:vAlign w:val="center"/>
          </w:tcPr>
          <w:p w14:paraId="4912872C" w14:textId="77777777" w:rsidR="003150D2" w:rsidRPr="00A41AE5" w:rsidRDefault="00000000">
            <w:pPr>
              <w:rPr>
                <w:sz w:val="16"/>
                <w:szCs w:val="16"/>
              </w:rPr>
            </w:pPr>
            <w:r w:rsidRPr="00A41AE5">
              <w:rPr>
                <w:sz w:val="16"/>
                <w:szCs w:val="16"/>
              </w:rPr>
              <w:t>Steelmaking (Scope 3) intensity</w:t>
            </w:r>
          </w:p>
        </w:tc>
        <w:tc>
          <w:tcPr>
            <w:tcW w:w="3120" w:type="dxa"/>
            <w:tcBorders>
              <w:top w:val="single" w:sz="2" w:space="0" w:color="BFBFBF"/>
              <w:left w:val="single" w:sz="2" w:space="0" w:color="BFBFBF"/>
              <w:bottom w:val="single" w:sz="2" w:space="0" w:color="BFBFBF"/>
              <w:right w:val="single" w:sz="2" w:space="0" w:color="BFBFBF"/>
            </w:tcBorders>
            <w:shd w:val="clear" w:color="auto" w:fill="DAE9F7" w:themeFill="text2" w:themeFillTint="1A"/>
            <w:tcMar>
              <w:top w:w="100" w:type="dxa"/>
              <w:left w:w="120" w:type="dxa"/>
              <w:bottom w:w="100" w:type="dxa"/>
              <w:right w:w="120" w:type="dxa"/>
            </w:tcMar>
            <w:vAlign w:val="center"/>
          </w:tcPr>
          <w:p w14:paraId="66D8830A" w14:textId="77777777" w:rsidR="003150D2" w:rsidRPr="00A41AE5" w:rsidRDefault="00000000">
            <w:pPr>
              <w:rPr>
                <w:sz w:val="16"/>
                <w:szCs w:val="16"/>
              </w:rPr>
            </w:pPr>
            <w:r w:rsidRPr="00A41AE5">
              <w:rPr>
                <w:sz w:val="16"/>
                <w:szCs w:val="16"/>
              </w:rPr>
              <w:t>30% lower than conventional blast-furnace route</w:t>
            </w:r>
          </w:p>
        </w:tc>
        <w:tc>
          <w:tcPr>
            <w:tcW w:w="3120" w:type="dxa"/>
            <w:tcBorders>
              <w:top w:val="single" w:sz="2" w:space="0" w:color="BFBFBF"/>
              <w:left w:val="single" w:sz="2" w:space="0" w:color="BFBFBF"/>
              <w:bottom w:val="single" w:sz="2" w:space="0" w:color="BFBFBF"/>
              <w:right w:val="single" w:sz="2" w:space="0" w:color="BFBFBF"/>
            </w:tcBorders>
            <w:shd w:val="clear" w:color="auto" w:fill="DAE9F7" w:themeFill="text2" w:themeFillTint="1A"/>
            <w:tcMar>
              <w:top w:w="100" w:type="dxa"/>
              <w:left w:w="120" w:type="dxa"/>
              <w:bottom w:w="100" w:type="dxa"/>
              <w:right w:w="120" w:type="dxa"/>
            </w:tcMar>
            <w:vAlign w:val="center"/>
          </w:tcPr>
          <w:p w14:paraId="1B281198" w14:textId="77777777" w:rsidR="003150D2" w:rsidRPr="00A41AE5" w:rsidRDefault="00000000">
            <w:pPr>
              <w:rPr>
                <w:sz w:val="16"/>
                <w:szCs w:val="16"/>
              </w:rPr>
            </w:pPr>
            <w:r w:rsidRPr="00A41AE5">
              <w:rPr>
                <w:sz w:val="16"/>
                <w:szCs w:val="16"/>
              </w:rPr>
              <w:t>By 2030</w:t>
            </w:r>
          </w:p>
        </w:tc>
      </w:tr>
      <w:tr w:rsidR="003150D2" w:rsidRPr="00E97DE8" w14:paraId="70025F8F" w14:textId="77777777">
        <w:tc>
          <w:tcPr>
            <w:tcW w:w="3120" w:type="dxa"/>
            <w:tcBorders>
              <w:top w:val="single" w:sz="2" w:space="0" w:color="BFBFBF"/>
              <w:left w:val="single" w:sz="2" w:space="0" w:color="BFBFBF"/>
              <w:bottom w:val="single" w:sz="2" w:space="0" w:color="BFBFBF"/>
              <w:right w:val="single" w:sz="2" w:space="0" w:color="BFBFBF"/>
            </w:tcBorders>
            <w:tcMar>
              <w:top w:w="100" w:type="dxa"/>
              <w:left w:w="120" w:type="dxa"/>
              <w:bottom w:w="100" w:type="dxa"/>
              <w:right w:w="120" w:type="dxa"/>
            </w:tcMar>
            <w:vAlign w:val="center"/>
          </w:tcPr>
          <w:p w14:paraId="5193848D" w14:textId="77777777" w:rsidR="003150D2" w:rsidRPr="00A41AE5" w:rsidRDefault="00000000">
            <w:pPr>
              <w:rPr>
                <w:sz w:val="16"/>
                <w:szCs w:val="16"/>
              </w:rPr>
            </w:pPr>
            <w:r w:rsidRPr="00A41AE5">
              <w:rPr>
                <w:sz w:val="16"/>
                <w:szCs w:val="16"/>
              </w:rPr>
              <w:t>Shipping emissions intensity</w:t>
            </w:r>
          </w:p>
        </w:tc>
        <w:tc>
          <w:tcPr>
            <w:tcW w:w="3120" w:type="dxa"/>
            <w:tcBorders>
              <w:top w:val="single" w:sz="2" w:space="0" w:color="BFBFBF"/>
              <w:left w:val="single" w:sz="2" w:space="0" w:color="BFBFBF"/>
              <w:bottom w:val="single" w:sz="2" w:space="0" w:color="BFBFBF"/>
              <w:right w:val="single" w:sz="2" w:space="0" w:color="BFBFBF"/>
            </w:tcBorders>
            <w:tcMar>
              <w:top w:w="100" w:type="dxa"/>
              <w:left w:w="120" w:type="dxa"/>
              <w:bottom w:w="100" w:type="dxa"/>
              <w:right w:w="120" w:type="dxa"/>
            </w:tcMar>
            <w:vAlign w:val="center"/>
          </w:tcPr>
          <w:p w14:paraId="2350EFAA" w14:textId="77777777" w:rsidR="003150D2" w:rsidRPr="00A41AE5" w:rsidRDefault="00000000">
            <w:pPr>
              <w:rPr>
                <w:sz w:val="16"/>
                <w:szCs w:val="16"/>
              </w:rPr>
            </w:pPr>
            <w:r w:rsidRPr="00A41AE5">
              <w:rPr>
                <w:sz w:val="16"/>
                <w:szCs w:val="16"/>
              </w:rPr>
              <w:t>40% reduction vs 2008 baseline</w:t>
            </w:r>
          </w:p>
        </w:tc>
        <w:tc>
          <w:tcPr>
            <w:tcW w:w="3120" w:type="dxa"/>
            <w:tcBorders>
              <w:top w:val="single" w:sz="2" w:space="0" w:color="BFBFBF"/>
              <w:left w:val="single" w:sz="2" w:space="0" w:color="BFBFBF"/>
              <w:bottom w:val="single" w:sz="2" w:space="0" w:color="BFBFBF"/>
              <w:right w:val="single" w:sz="2" w:space="0" w:color="BFBFBF"/>
            </w:tcBorders>
            <w:tcMar>
              <w:top w:w="100" w:type="dxa"/>
              <w:left w:w="120" w:type="dxa"/>
              <w:bottom w:w="100" w:type="dxa"/>
              <w:right w:w="120" w:type="dxa"/>
            </w:tcMar>
            <w:vAlign w:val="center"/>
          </w:tcPr>
          <w:p w14:paraId="73070972" w14:textId="77777777" w:rsidR="003150D2" w:rsidRPr="00A41AE5" w:rsidRDefault="00000000">
            <w:pPr>
              <w:rPr>
                <w:sz w:val="16"/>
                <w:szCs w:val="16"/>
              </w:rPr>
            </w:pPr>
            <w:r w:rsidRPr="00A41AE5">
              <w:rPr>
                <w:sz w:val="16"/>
                <w:szCs w:val="16"/>
              </w:rPr>
              <w:t>By 2030</w:t>
            </w:r>
          </w:p>
        </w:tc>
      </w:tr>
      <w:tr w:rsidR="003150D2" w:rsidRPr="00E97DE8" w14:paraId="1E801C24" w14:textId="77777777" w:rsidTr="0073096D">
        <w:tc>
          <w:tcPr>
            <w:tcW w:w="3120" w:type="dxa"/>
            <w:tcBorders>
              <w:top w:val="single" w:sz="2" w:space="0" w:color="BFBFBF"/>
              <w:left w:val="single" w:sz="2" w:space="0" w:color="BFBFBF"/>
              <w:bottom w:val="single" w:sz="2" w:space="0" w:color="BFBFBF"/>
              <w:right w:val="single" w:sz="2" w:space="0" w:color="BFBFBF"/>
            </w:tcBorders>
            <w:shd w:val="clear" w:color="auto" w:fill="DAE9F7" w:themeFill="text2" w:themeFillTint="1A"/>
            <w:tcMar>
              <w:top w:w="100" w:type="dxa"/>
              <w:left w:w="120" w:type="dxa"/>
              <w:bottom w:w="100" w:type="dxa"/>
              <w:right w:w="120" w:type="dxa"/>
            </w:tcMar>
            <w:vAlign w:val="center"/>
          </w:tcPr>
          <w:p w14:paraId="2618E89D" w14:textId="77777777" w:rsidR="003150D2" w:rsidRPr="00A41AE5" w:rsidRDefault="00000000">
            <w:pPr>
              <w:rPr>
                <w:sz w:val="16"/>
                <w:szCs w:val="16"/>
              </w:rPr>
            </w:pPr>
            <w:r w:rsidRPr="00A41AE5">
              <w:rPr>
                <w:sz w:val="16"/>
                <w:szCs w:val="16"/>
              </w:rPr>
              <w:t>Group-wide net zero</w:t>
            </w:r>
          </w:p>
        </w:tc>
        <w:tc>
          <w:tcPr>
            <w:tcW w:w="3120" w:type="dxa"/>
            <w:tcBorders>
              <w:top w:val="single" w:sz="2" w:space="0" w:color="BFBFBF"/>
              <w:left w:val="single" w:sz="2" w:space="0" w:color="BFBFBF"/>
              <w:bottom w:val="single" w:sz="2" w:space="0" w:color="BFBFBF"/>
              <w:right w:val="single" w:sz="2" w:space="0" w:color="BFBFBF"/>
            </w:tcBorders>
            <w:shd w:val="clear" w:color="auto" w:fill="DAE9F7" w:themeFill="text2" w:themeFillTint="1A"/>
            <w:tcMar>
              <w:top w:w="100" w:type="dxa"/>
              <w:left w:w="120" w:type="dxa"/>
              <w:bottom w:w="100" w:type="dxa"/>
              <w:right w:w="120" w:type="dxa"/>
            </w:tcMar>
            <w:vAlign w:val="center"/>
          </w:tcPr>
          <w:p w14:paraId="24A085A9" w14:textId="77777777" w:rsidR="003150D2" w:rsidRPr="00A41AE5" w:rsidRDefault="00000000">
            <w:pPr>
              <w:rPr>
                <w:sz w:val="16"/>
                <w:szCs w:val="16"/>
              </w:rPr>
            </w:pPr>
            <w:r w:rsidRPr="00A41AE5">
              <w:rPr>
                <w:sz w:val="16"/>
                <w:szCs w:val="16"/>
              </w:rPr>
              <w:t>Net zero operational and Scope 3 emissions</w:t>
            </w:r>
          </w:p>
        </w:tc>
        <w:tc>
          <w:tcPr>
            <w:tcW w:w="3120" w:type="dxa"/>
            <w:tcBorders>
              <w:top w:val="single" w:sz="2" w:space="0" w:color="BFBFBF"/>
              <w:left w:val="single" w:sz="2" w:space="0" w:color="BFBFBF"/>
              <w:bottom w:val="single" w:sz="2" w:space="0" w:color="BFBFBF"/>
              <w:right w:val="single" w:sz="2" w:space="0" w:color="BFBFBF"/>
            </w:tcBorders>
            <w:shd w:val="clear" w:color="auto" w:fill="DAE9F7" w:themeFill="text2" w:themeFillTint="1A"/>
            <w:tcMar>
              <w:top w:w="100" w:type="dxa"/>
              <w:left w:w="120" w:type="dxa"/>
              <w:bottom w:w="100" w:type="dxa"/>
              <w:right w:w="120" w:type="dxa"/>
            </w:tcMar>
            <w:vAlign w:val="center"/>
          </w:tcPr>
          <w:p w14:paraId="3D3467D5" w14:textId="77777777" w:rsidR="003150D2" w:rsidRPr="00A41AE5" w:rsidRDefault="00000000">
            <w:pPr>
              <w:rPr>
                <w:sz w:val="16"/>
                <w:szCs w:val="16"/>
              </w:rPr>
            </w:pPr>
            <w:r w:rsidRPr="00A41AE5">
              <w:rPr>
                <w:sz w:val="16"/>
                <w:szCs w:val="16"/>
              </w:rPr>
              <w:t>By 2050</w:t>
            </w:r>
          </w:p>
        </w:tc>
      </w:tr>
    </w:tbl>
    <w:p w14:paraId="33C448AD" w14:textId="77777777" w:rsidR="003150D2" w:rsidRPr="00A41AE5" w:rsidRDefault="00000000">
      <w:pPr>
        <w:spacing w:before="100" w:after="200"/>
        <w:rPr>
          <w:sz w:val="16"/>
          <w:szCs w:val="16"/>
        </w:rPr>
      </w:pPr>
      <w:r w:rsidRPr="00A41AE5">
        <w:rPr>
          <w:i/>
          <w:iCs/>
          <w:sz w:val="16"/>
          <w:szCs w:val="16"/>
        </w:rPr>
        <w:t>Table 1: Summary of BHP's headline decarbonisation targets (Source: compiled from BHP, 2024a).</w:t>
      </w:r>
    </w:p>
    <w:p w14:paraId="0C24E626" w14:textId="77777777" w:rsidR="003150D2" w:rsidRPr="00F30345" w:rsidRDefault="00000000">
      <w:pPr>
        <w:pStyle w:val="Heading2"/>
        <w:rPr>
          <w:color w:val="auto"/>
          <w:sz w:val="28"/>
          <w:szCs w:val="28"/>
        </w:rPr>
      </w:pPr>
      <w:bookmarkStart w:id="3" w:name="_Toc233316546"/>
      <w:r w:rsidRPr="00F30345">
        <w:rPr>
          <w:color w:val="auto"/>
          <w:sz w:val="28"/>
          <w:szCs w:val="28"/>
        </w:rPr>
        <w:t>The Political and Legal Environment</w:t>
      </w:r>
      <w:bookmarkEnd w:id="3"/>
    </w:p>
    <w:p w14:paraId="7E9DF659" w14:textId="512156D1" w:rsidR="003150D2" w:rsidRPr="00E97DE8" w:rsidRDefault="00000000" w:rsidP="00626CC5">
      <w:pPr>
        <w:spacing w:after="200" w:line="360" w:lineRule="auto"/>
      </w:pPr>
      <w:r w:rsidRPr="00E97DE8">
        <w:t xml:space="preserve">A second, closely related actor is the Political and Legal environment: the laws, regulatory agencies and government policies that constrain, and increasingly mandate, marketing and operational behaviour (Kotler et al., 2024). In Australia, the reformed Safeguard Mechanism requires facilities emitting more than 100,000 tonnes of CO2-equivalent a year a threshold most of BHP's major sites exceed to reduce emissions-intensity baselines by 4.9 per cent annually to 2030, settling any shortfall through Australian Carbon Credit Units or Safeguard Mechanism Credits, which traded at an average of roughly A$37 per tonne in early 2026 (Clean Energy Regulator, 2026; DCCEEW, 2026). Compliance is no longer voluntary: from January 2025, large ‘Group 1’ entities including BHP have been required, under amendments to the Corporations Act, to publish mandatory climate-related financial disclosures aligned with AASB S2, covering Scope 1–3 emissions, scenario analysis and transition plans, with independent assurance and director accountability attached (Ernst &amp; Young, 2025). Regulators are also examining a border carbon adjustment for carbon-leakage-exposed commodities as part of the 2026–27 Safeguard Mechanism review, echoing the European Union's </w:t>
      </w:r>
      <w:r w:rsidRPr="00E97DE8">
        <w:lastRenderedPageBreak/>
        <w:t>Carbon Border Adjustment Mechanism and further tying market access to verified carbon performance. Together with the cross-border legal exposure created by the Samarco litigation, these developments show that natural-environment risk is rapidly being converted into enforceable political and legal obligation. For BHP's marketing function, this closes off the option of treating sustainability positioning as discretionary brand-building: claims made in disclosures and commercial communications must now be defensible under audit and under law, reinforcing the case for evidence-based, conservative environmental messaging rather than aspirational rhetoric. It also means that the two actors analysed here cannot be treated separately in practice: natural-environment performance is what the political-legal environment now measures, assures and penalises.</w:t>
      </w:r>
    </w:p>
    <w:p w14:paraId="0D00BD87" w14:textId="77777777" w:rsidR="003150D2" w:rsidRPr="00E97DE8" w:rsidRDefault="00000000">
      <w:r w:rsidRPr="00E97DE8">
        <w:br w:type="page"/>
      </w:r>
    </w:p>
    <w:p w14:paraId="7073ADFF" w14:textId="77777777" w:rsidR="003150D2" w:rsidRPr="00F30345" w:rsidRDefault="00000000">
      <w:pPr>
        <w:pStyle w:val="Heading1"/>
        <w:rPr>
          <w:color w:val="auto"/>
          <w:sz w:val="28"/>
          <w:szCs w:val="28"/>
        </w:rPr>
      </w:pPr>
      <w:bookmarkStart w:id="4" w:name="_Toc233316547"/>
      <w:r w:rsidRPr="00F30345">
        <w:rPr>
          <w:color w:val="auto"/>
          <w:sz w:val="28"/>
          <w:szCs w:val="28"/>
        </w:rPr>
        <w:lastRenderedPageBreak/>
        <w:t>Task 2: Strategic Growth and Competitive Positioning</w:t>
      </w:r>
      <w:bookmarkEnd w:id="4"/>
    </w:p>
    <w:p w14:paraId="5732CCA6" w14:textId="327CC703" w:rsidR="003150D2" w:rsidRPr="00E97DE8" w:rsidRDefault="00000000" w:rsidP="00626CC5">
      <w:pPr>
        <w:spacing w:after="200" w:line="360" w:lineRule="auto"/>
      </w:pPr>
      <w:r w:rsidRPr="00E97DE8">
        <w:t>Building on the environmental analysis above, this section recommends a strategic growth approach for BHP using the Ansoff Matrix, before considering how the company can secure competitive advantage as it transitions toward a lower-carbon business model. The Ansoff Matrix evaluates four growth options market penetration, market development, product development and diversification according to whether a firm pursues existing or new products in existing or new markets (Ansoff, 1957, cited in Kotler et al., 2024). Applying this framework to BHP's current position shows why a diversification-led approach, supported by targeted product development, offers the most defensible route to sustainable, lower-carbon growth, and why the two weaker options market penetration and market development alone</w:t>
      </w:r>
      <w:r w:rsidR="00A41AE5">
        <w:t xml:space="preserve"> </w:t>
      </w:r>
      <w:r w:rsidRPr="00E97DE8">
        <w:t>leave BHP's principal natural-environment and regulatory exposures largely unaddressed.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3510"/>
        <w:gridCol w:w="3510"/>
      </w:tblGrid>
      <w:tr w:rsidR="003150D2" w:rsidRPr="00E97DE8" w14:paraId="0FE4C150" w14:textId="77777777" w:rsidTr="00A41AE5">
        <w:tc>
          <w:tcPr>
            <w:tcW w:w="2340" w:type="dxa"/>
            <w:tcBorders>
              <w:top w:val="single" w:sz="2" w:space="0" w:color="BFBFBF"/>
              <w:left w:val="single" w:sz="2" w:space="0" w:color="BFBFBF"/>
              <w:bottom w:val="single" w:sz="2" w:space="0" w:color="BFBFBF"/>
              <w:right w:val="single" w:sz="2" w:space="0" w:color="BFBFBF"/>
            </w:tcBorders>
            <w:shd w:val="clear" w:color="auto" w:fill="153D63" w:themeFill="text2" w:themeFillTint="E6"/>
            <w:tcMar>
              <w:top w:w="100" w:type="dxa"/>
              <w:left w:w="120" w:type="dxa"/>
              <w:bottom w:w="100" w:type="dxa"/>
              <w:right w:w="120" w:type="dxa"/>
            </w:tcMar>
            <w:vAlign w:val="center"/>
          </w:tcPr>
          <w:p w14:paraId="52E1D5C5" w14:textId="77777777" w:rsidR="003150D2" w:rsidRPr="00E97DE8" w:rsidRDefault="003150D2">
            <w:pPr>
              <w:jc w:val="center"/>
            </w:pPr>
          </w:p>
        </w:tc>
        <w:tc>
          <w:tcPr>
            <w:tcW w:w="3510" w:type="dxa"/>
            <w:tcBorders>
              <w:top w:val="single" w:sz="2" w:space="0" w:color="BFBFBF"/>
              <w:left w:val="single" w:sz="2" w:space="0" w:color="BFBFBF"/>
              <w:bottom w:val="single" w:sz="2" w:space="0" w:color="BFBFBF"/>
              <w:right w:val="single" w:sz="2" w:space="0" w:color="BFBFBF"/>
            </w:tcBorders>
            <w:shd w:val="clear" w:color="auto" w:fill="153D63" w:themeFill="text2" w:themeFillTint="E6"/>
            <w:tcMar>
              <w:top w:w="100" w:type="dxa"/>
              <w:left w:w="120" w:type="dxa"/>
              <w:bottom w:w="100" w:type="dxa"/>
              <w:right w:w="120" w:type="dxa"/>
            </w:tcMar>
            <w:vAlign w:val="center"/>
          </w:tcPr>
          <w:p w14:paraId="3CD2BBC3" w14:textId="77777777" w:rsidR="003150D2" w:rsidRPr="00E97DE8" w:rsidRDefault="00000000">
            <w:pPr>
              <w:jc w:val="center"/>
            </w:pPr>
            <w:r w:rsidRPr="00E97DE8">
              <w:rPr>
                <w:b/>
                <w:bCs/>
                <w:sz w:val="20"/>
                <w:szCs w:val="20"/>
              </w:rPr>
              <w:t>Existing Products</w:t>
            </w:r>
          </w:p>
        </w:tc>
        <w:tc>
          <w:tcPr>
            <w:tcW w:w="3510" w:type="dxa"/>
            <w:tcBorders>
              <w:top w:val="single" w:sz="2" w:space="0" w:color="BFBFBF"/>
              <w:left w:val="single" w:sz="2" w:space="0" w:color="BFBFBF"/>
              <w:bottom w:val="single" w:sz="2" w:space="0" w:color="BFBFBF"/>
              <w:right w:val="single" w:sz="2" w:space="0" w:color="BFBFBF"/>
            </w:tcBorders>
            <w:shd w:val="clear" w:color="auto" w:fill="153D63" w:themeFill="text2" w:themeFillTint="E6"/>
            <w:tcMar>
              <w:top w:w="100" w:type="dxa"/>
              <w:left w:w="120" w:type="dxa"/>
              <w:bottom w:w="100" w:type="dxa"/>
              <w:right w:w="120" w:type="dxa"/>
            </w:tcMar>
            <w:vAlign w:val="center"/>
          </w:tcPr>
          <w:p w14:paraId="7B79EF78" w14:textId="77777777" w:rsidR="003150D2" w:rsidRPr="00E97DE8" w:rsidRDefault="00000000">
            <w:pPr>
              <w:jc w:val="center"/>
            </w:pPr>
            <w:r w:rsidRPr="00E97DE8">
              <w:rPr>
                <w:b/>
                <w:bCs/>
                <w:sz w:val="20"/>
                <w:szCs w:val="20"/>
              </w:rPr>
              <w:t>New Products</w:t>
            </w:r>
          </w:p>
        </w:tc>
      </w:tr>
      <w:tr w:rsidR="003150D2" w:rsidRPr="00E97DE8" w14:paraId="630A191A" w14:textId="77777777">
        <w:tc>
          <w:tcPr>
            <w:tcW w:w="2340" w:type="dxa"/>
            <w:tcBorders>
              <w:top w:val="single" w:sz="2" w:space="0" w:color="BFBFBF"/>
              <w:left w:val="single" w:sz="2" w:space="0" w:color="BFBFBF"/>
              <w:bottom w:val="single" w:sz="2" w:space="0" w:color="BFBFBF"/>
              <w:right w:val="single" w:sz="2" w:space="0" w:color="BFBFBF"/>
            </w:tcBorders>
            <w:shd w:val="clear" w:color="auto" w:fill="F2F2F2"/>
            <w:tcMar>
              <w:top w:w="100" w:type="dxa"/>
              <w:left w:w="120" w:type="dxa"/>
              <w:bottom w:w="100" w:type="dxa"/>
              <w:right w:w="120" w:type="dxa"/>
            </w:tcMar>
            <w:vAlign w:val="center"/>
          </w:tcPr>
          <w:p w14:paraId="55D8D122" w14:textId="77777777" w:rsidR="003150D2" w:rsidRPr="00A41AE5" w:rsidRDefault="00000000">
            <w:pPr>
              <w:rPr>
                <w:sz w:val="16"/>
                <w:szCs w:val="16"/>
              </w:rPr>
            </w:pPr>
            <w:r w:rsidRPr="00A41AE5">
              <w:rPr>
                <w:b/>
                <w:bCs/>
                <w:sz w:val="16"/>
                <w:szCs w:val="16"/>
              </w:rPr>
              <w:t>Existing Markets</w:t>
            </w:r>
          </w:p>
        </w:tc>
        <w:tc>
          <w:tcPr>
            <w:tcW w:w="3510" w:type="dxa"/>
            <w:tcBorders>
              <w:top w:val="single" w:sz="2" w:space="0" w:color="BFBFBF"/>
              <w:left w:val="single" w:sz="2" w:space="0" w:color="BFBFBF"/>
              <w:bottom w:val="single" w:sz="2" w:space="0" w:color="BFBFBF"/>
              <w:right w:val="single" w:sz="2" w:space="0" w:color="BFBFBF"/>
            </w:tcBorders>
            <w:shd w:val="clear" w:color="auto" w:fill="F2F2F2"/>
            <w:tcMar>
              <w:top w:w="100" w:type="dxa"/>
              <w:left w:w="120" w:type="dxa"/>
              <w:bottom w:w="100" w:type="dxa"/>
              <w:right w:w="120" w:type="dxa"/>
            </w:tcMar>
            <w:vAlign w:val="center"/>
          </w:tcPr>
          <w:p w14:paraId="79DBF298" w14:textId="77777777" w:rsidR="003150D2" w:rsidRPr="00A41AE5" w:rsidRDefault="00000000">
            <w:pPr>
              <w:rPr>
                <w:sz w:val="16"/>
                <w:szCs w:val="16"/>
              </w:rPr>
            </w:pPr>
            <w:r w:rsidRPr="00A41AE5">
              <w:rPr>
                <w:sz w:val="16"/>
                <w:szCs w:val="16"/>
              </w:rPr>
              <w:t>Market penetration: deepen iron ore/copper sales to existing steelmakers and industrial buyers</w:t>
            </w:r>
          </w:p>
        </w:tc>
        <w:tc>
          <w:tcPr>
            <w:tcW w:w="3510" w:type="dxa"/>
            <w:tcBorders>
              <w:top w:val="single" w:sz="2" w:space="0" w:color="BFBFBF"/>
              <w:left w:val="single" w:sz="2" w:space="0" w:color="BFBFBF"/>
              <w:bottom w:val="single" w:sz="2" w:space="0" w:color="BFBFBF"/>
              <w:right w:val="single" w:sz="2" w:space="0" w:color="BFBFBF"/>
            </w:tcBorders>
            <w:shd w:val="clear" w:color="auto" w:fill="F2F2F2"/>
            <w:tcMar>
              <w:top w:w="100" w:type="dxa"/>
              <w:left w:w="120" w:type="dxa"/>
              <w:bottom w:w="100" w:type="dxa"/>
              <w:right w:w="120" w:type="dxa"/>
            </w:tcMar>
            <w:vAlign w:val="center"/>
          </w:tcPr>
          <w:p w14:paraId="05F6AAFB" w14:textId="77777777" w:rsidR="003150D2" w:rsidRPr="00A41AE5" w:rsidRDefault="00000000">
            <w:pPr>
              <w:rPr>
                <w:sz w:val="16"/>
                <w:szCs w:val="16"/>
              </w:rPr>
            </w:pPr>
            <w:r w:rsidRPr="00A41AE5">
              <w:rPr>
                <w:sz w:val="16"/>
                <w:szCs w:val="16"/>
              </w:rPr>
              <w:t>Product development: lower-carbon ore grades and steelmaking R&amp;D partnerships for existing customers</w:t>
            </w:r>
          </w:p>
        </w:tc>
      </w:tr>
      <w:tr w:rsidR="003150D2" w:rsidRPr="00E97DE8" w14:paraId="44B7E367" w14:textId="77777777" w:rsidTr="0073096D">
        <w:tc>
          <w:tcPr>
            <w:tcW w:w="2340" w:type="dxa"/>
            <w:tcBorders>
              <w:top w:val="single" w:sz="2" w:space="0" w:color="BFBFBF"/>
              <w:left w:val="single" w:sz="2" w:space="0" w:color="BFBFBF"/>
              <w:bottom w:val="single" w:sz="2" w:space="0" w:color="BFBFBF"/>
              <w:right w:val="single" w:sz="2" w:space="0" w:color="BFBFBF"/>
            </w:tcBorders>
            <w:shd w:val="clear" w:color="auto" w:fill="DAE9F7" w:themeFill="text2" w:themeFillTint="1A"/>
            <w:tcMar>
              <w:top w:w="100" w:type="dxa"/>
              <w:left w:w="120" w:type="dxa"/>
              <w:bottom w:w="100" w:type="dxa"/>
              <w:right w:w="120" w:type="dxa"/>
            </w:tcMar>
            <w:vAlign w:val="center"/>
          </w:tcPr>
          <w:p w14:paraId="1571E3F3" w14:textId="77777777" w:rsidR="003150D2" w:rsidRPr="00A41AE5" w:rsidRDefault="00000000">
            <w:pPr>
              <w:rPr>
                <w:sz w:val="16"/>
                <w:szCs w:val="16"/>
              </w:rPr>
            </w:pPr>
            <w:r w:rsidRPr="00A41AE5">
              <w:rPr>
                <w:b/>
                <w:bCs/>
                <w:sz w:val="16"/>
                <w:szCs w:val="16"/>
              </w:rPr>
              <w:t>New Markets</w:t>
            </w:r>
          </w:p>
        </w:tc>
        <w:tc>
          <w:tcPr>
            <w:tcW w:w="3510" w:type="dxa"/>
            <w:tcBorders>
              <w:top w:val="single" w:sz="2" w:space="0" w:color="BFBFBF"/>
              <w:left w:val="single" w:sz="2" w:space="0" w:color="BFBFBF"/>
              <w:bottom w:val="single" w:sz="2" w:space="0" w:color="BFBFBF"/>
              <w:right w:val="single" w:sz="2" w:space="0" w:color="BFBFBF"/>
            </w:tcBorders>
            <w:shd w:val="clear" w:color="auto" w:fill="DAE9F7" w:themeFill="text2" w:themeFillTint="1A"/>
            <w:tcMar>
              <w:top w:w="100" w:type="dxa"/>
              <w:left w:w="120" w:type="dxa"/>
              <w:bottom w:w="100" w:type="dxa"/>
              <w:right w:w="120" w:type="dxa"/>
            </w:tcMar>
            <w:vAlign w:val="center"/>
          </w:tcPr>
          <w:p w14:paraId="4D428B29" w14:textId="77777777" w:rsidR="003150D2" w:rsidRPr="00A41AE5" w:rsidRDefault="00000000">
            <w:pPr>
              <w:rPr>
                <w:sz w:val="16"/>
                <w:szCs w:val="16"/>
              </w:rPr>
            </w:pPr>
            <w:r w:rsidRPr="00A41AE5">
              <w:rPr>
                <w:sz w:val="16"/>
                <w:szCs w:val="16"/>
              </w:rPr>
              <w:t>Market development: copper sales into new electrification/AI data-centre and Indian growth markets</w:t>
            </w:r>
          </w:p>
        </w:tc>
        <w:tc>
          <w:tcPr>
            <w:tcW w:w="3510" w:type="dxa"/>
            <w:tcBorders>
              <w:top w:val="single" w:sz="2" w:space="0" w:color="BFBFBF"/>
              <w:left w:val="single" w:sz="2" w:space="0" w:color="BFBFBF"/>
              <w:bottom w:val="single" w:sz="2" w:space="0" w:color="BFBFBF"/>
              <w:right w:val="single" w:sz="2" w:space="0" w:color="BFBFBF"/>
            </w:tcBorders>
            <w:shd w:val="clear" w:color="auto" w:fill="DAE9F7" w:themeFill="text2" w:themeFillTint="1A"/>
            <w:tcMar>
              <w:top w:w="100" w:type="dxa"/>
              <w:left w:w="120" w:type="dxa"/>
              <w:bottom w:w="100" w:type="dxa"/>
              <w:right w:w="120" w:type="dxa"/>
            </w:tcMar>
            <w:vAlign w:val="center"/>
          </w:tcPr>
          <w:p w14:paraId="0CE19258" w14:textId="77777777" w:rsidR="003150D2" w:rsidRPr="00A41AE5" w:rsidRDefault="00000000">
            <w:pPr>
              <w:rPr>
                <w:sz w:val="16"/>
                <w:szCs w:val="16"/>
              </w:rPr>
            </w:pPr>
            <w:r w:rsidRPr="00A41AE5">
              <w:rPr>
                <w:sz w:val="16"/>
                <w:szCs w:val="16"/>
              </w:rPr>
              <w:t>Diversification (recommended): Jansen potash for agriculture; expanded copper for the energy transition</w:t>
            </w:r>
          </w:p>
        </w:tc>
      </w:tr>
    </w:tbl>
    <w:p w14:paraId="5D9BD16A" w14:textId="77777777" w:rsidR="003150D2" w:rsidRPr="00A41AE5" w:rsidRDefault="00000000">
      <w:pPr>
        <w:spacing w:before="100" w:after="200"/>
        <w:rPr>
          <w:sz w:val="16"/>
          <w:szCs w:val="16"/>
        </w:rPr>
      </w:pPr>
      <w:r w:rsidRPr="00A41AE5">
        <w:rPr>
          <w:i/>
          <w:iCs/>
          <w:sz w:val="16"/>
          <w:szCs w:val="16"/>
        </w:rPr>
        <w:t>Table 2: Ansoff Matrix applied to BHP's lower-carbon growth options (Source: author's analysis, adapted from Ansoff, 1957, cited in Kotler et al., 2024).</w:t>
      </w:r>
    </w:p>
    <w:p w14:paraId="3DBDB809" w14:textId="77777777" w:rsidR="003150D2" w:rsidRPr="00F30345" w:rsidRDefault="00000000">
      <w:pPr>
        <w:pStyle w:val="Heading2"/>
        <w:rPr>
          <w:color w:val="auto"/>
          <w:sz w:val="28"/>
          <w:szCs w:val="28"/>
        </w:rPr>
      </w:pPr>
      <w:bookmarkStart w:id="5" w:name="_Toc233316548"/>
      <w:r w:rsidRPr="00F30345">
        <w:rPr>
          <w:color w:val="auto"/>
          <w:sz w:val="28"/>
          <w:szCs w:val="28"/>
        </w:rPr>
        <w:t>Market Penetration</w:t>
      </w:r>
      <w:bookmarkEnd w:id="5"/>
    </w:p>
    <w:p w14:paraId="3249F3A8" w14:textId="7665BEB0" w:rsidR="003150D2" w:rsidRDefault="00000000">
      <w:pPr>
        <w:spacing w:after="200" w:line="360" w:lineRule="auto"/>
        <w:jc w:val="both"/>
      </w:pPr>
      <w:r w:rsidRPr="00E97DE8">
        <w:t>Market penetration selling more of BHP's existing iron ore and copper into existing steelmaking and industrial markets offers limited strategic value for the low-carbon transition. Steel demand growth is real, with India emerging as a key driver of rising copper and steel consumption alongside resilient Chinese demand (BHP, 2026a); however, deepening penetration of carbon-intensive blast-furnace-grade ore does little to reduce BHP's Scope 3 exposure and risks reinforcing dependence on a steelmaking pathway that international analysts already consider to be losing relevance (IEEFA, 2024). Penetration therefore remains a useful short-term volume lever but cannot, alone, address the pressures identified in Task 1.</w:t>
      </w:r>
    </w:p>
    <w:p w14:paraId="310C9A3A" w14:textId="77777777" w:rsidR="008629D1" w:rsidRPr="00E97DE8" w:rsidRDefault="008629D1">
      <w:pPr>
        <w:spacing w:after="200" w:line="360" w:lineRule="auto"/>
        <w:jc w:val="both"/>
      </w:pPr>
    </w:p>
    <w:p w14:paraId="5A154B52" w14:textId="77777777" w:rsidR="003150D2" w:rsidRPr="00F30345" w:rsidRDefault="00000000">
      <w:pPr>
        <w:pStyle w:val="Heading2"/>
        <w:rPr>
          <w:color w:val="auto"/>
          <w:sz w:val="28"/>
          <w:szCs w:val="28"/>
        </w:rPr>
      </w:pPr>
      <w:bookmarkStart w:id="6" w:name="_Toc233316549"/>
      <w:r w:rsidRPr="00F30345">
        <w:rPr>
          <w:color w:val="auto"/>
          <w:sz w:val="28"/>
          <w:szCs w:val="28"/>
        </w:rPr>
        <w:lastRenderedPageBreak/>
        <w:t>Market Development</w:t>
      </w:r>
      <w:bookmarkEnd w:id="6"/>
    </w:p>
    <w:p w14:paraId="7DF77A14" w14:textId="54480A6E" w:rsidR="003150D2" w:rsidRPr="00E97DE8" w:rsidRDefault="00000000">
      <w:pPr>
        <w:spacing w:after="200" w:line="360" w:lineRule="auto"/>
        <w:jc w:val="both"/>
      </w:pPr>
      <w:r w:rsidRPr="00E97DE8">
        <w:t>Market development taking existing products into new markets has more relevance. BHP's own reporting identifies India as an emerging engine of copper and steel demand and points to electrification and, increasingly, AI data-centre infrastructure as fast-growing new buyer segments for an existing product (BHP, 2026a; Fintool, 2026). Positioning copper supply toward energy-transition customers, rather than only traditional industrial buyers, allows BHP to grow revenue from an existing asset base while aligning sales growth with global decarbonisation demand rather than against it.</w:t>
      </w:r>
    </w:p>
    <w:p w14:paraId="1A1343AF" w14:textId="77777777" w:rsidR="003150D2" w:rsidRPr="00E97DE8" w:rsidRDefault="00000000">
      <w:pPr>
        <w:pStyle w:val="Heading2"/>
        <w:rPr>
          <w:color w:val="auto"/>
        </w:rPr>
      </w:pPr>
      <w:bookmarkStart w:id="7" w:name="_Toc233316550"/>
      <w:r w:rsidRPr="00E97DE8">
        <w:rPr>
          <w:color w:val="auto"/>
        </w:rPr>
        <w:t>Product Development</w:t>
      </w:r>
      <w:bookmarkEnd w:id="7"/>
    </w:p>
    <w:p w14:paraId="70185222" w14:textId="65A4B64A" w:rsidR="003150D2" w:rsidRPr="00E97DE8" w:rsidRDefault="00000000">
      <w:pPr>
        <w:spacing w:after="200" w:line="360" w:lineRule="auto"/>
        <w:jc w:val="both"/>
      </w:pPr>
      <w:r w:rsidRPr="00E97DE8">
        <w:t>Product development creating new or substantially modified products for existing customers is directly relevant to decarbonising BHP's core iron-ore and steelmaking relationships. Since 2020, BHP has committed an estimated US$420 million (FY2020–FY2029) to research partnerships supporting lower-emissions steel pathways, including blast-furnace carbon capture, direct-reduced-iron/electric-arc-furnace routes, and longer-term electrochemical reduction technologies suited to Pilbara ore (BHP, 2024a; BHP, 2024b). Developing and certifying a distinct ‘lower-carbon-intensity’ ore grade, marketed specifically to steelmakers facing their own Scope 3 and carbon-border pressures, would convert an existing product into a differentiated offering. However, BHP's continued reliance on CCUS as the primary near-term pathway, while competitors such as Stegra move toward commercial green-hydrogen steelmaking from 2026, suggests this strategy alone carries execution risk and should not be BHP's sole growth lever (IEEFA, 2024). A credible product-development strategy therefore needs to diversify its technology bets, not only its commodity mix.</w:t>
      </w:r>
    </w:p>
    <w:p w14:paraId="7013E014" w14:textId="77777777" w:rsidR="003150D2" w:rsidRPr="00E97DE8" w:rsidRDefault="00000000">
      <w:pPr>
        <w:pStyle w:val="Heading2"/>
        <w:rPr>
          <w:color w:val="auto"/>
        </w:rPr>
      </w:pPr>
      <w:bookmarkStart w:id="8" w:name="_Toc233316551"/>
      <w:r w:rsidRPr="00E97DE8">
        <w:rPr>
          <w:color w:val="auto"/>
        </w:rPr>
        <w:t>Diversification: The Recommended Growth Path</w:t>
      </w:r>
      <w:bookmarkEnd w:id="8"/>
    </w:p>
    <w:p w14:paraId="458857AD" w14:textId="3E8BD7A4" w:rsidR="003150D2" w:rsidRPr="00E97DE8" w:rsidRDefault="00000000">
      <w:pPr>
        <w:spacing w:after="200" w:line="360" w:lineRule="auto"/>
        <w:jc w:val="both"/>
      </w:pPr>
      <w:r w:rsidRPr="00E97DE8">
        <w:t>The strongest growth option is diversification: developing new products for new markets that are structurally less carbon-intensive than BHP's legacy iron-ore and metallurgical coal business. BHP's Jansen potash project in Saskatchewan, Canada its first major entry into the fertiliser market is framed by the company as a ‘future-facing commodity</w:t>
      </w:r>
      <w:r w:rsidR="00626CC5" w:rsidRPr="00E97DE8">
        <w:t>,’</w:t>
      </w:r>
      <w:r w:rsidRPr="00E97DE8">
        <w:t xml:space="preserve"> supported by long-term demand growth from population growth, dietary change and the </w:t>
      </w:r>
      <w:r w:rsidRPr="00E97DE8">
        <w:lastRenderedPageBreak/>
        <w:t xml:space="preserve">need for more sustainable use of arable land (BHP, 2026b; Ad-Hoc News, 2026). Once Stage 1 reaches first production in mid-2027 and Stage 2 ramps up thereafter, the combined Jansen operation is expected to become the lowest-unit-cost Canadian potash mine, at roughly US$114–130 per tonne, giving BHP a durable cost position in an entirely new commodity market (BHP, 2026b). In parallel, BHP has upgraded its FY2026 copper production guidance to 1.9–2.0 million tonnes, driven by record throughput at Escondida, as copper prices have reached record highs on the London Metal Exchange amid surging demand from electrification and AI data-centre infrastructure (Fintool, 2026). Together, potash and copper form BHP's ‘future-facing commodities’ portfolio: a deliberate diversification away from carbon-intensive, regulation-exposed iron ore and coal revenue toward commodities whose demand is driven by, rather than threatened </w:t>
      </w:r>
      <w:r w:rsidR="00626CC5" w:rsidRPr="00E97DE8">
        <w:t>by</w:t>
      </w:r>
      <w:r w:rsidRPr="00E97DE8">
        <w:t xml:space="preserve"> the global energy transition. This diversification directly addresses the pressures identified in Task 1 by reducing BHP's earnings concentration in its highest-Scope-3 product lines, while the lowest-cost positioning at Jansen and Escondida provides resilience against future carbon-pricing and Safeguard Mechanism compliance costs.</w:t>
      </w:r>
    </w:p>
    <w:p w14:paraId="1A985DCB" w14:textId="77777777" w:rsidR="003150D2" w:rsidRPr="00E97DE8" w:rsidRDefault="00000000">
      <w:pPr>
        <w:pStyle w:val="Heading2"/>
        <w:rPr>
          <w:color w:val="auto"/>
        </w:rPr>
      </w:pPr>
      <w:bookmarkStart w:id="9" w:name="_Toc233316552"/>
      <w:r w:rsidRPr="00E97DE8">
        <w:rPr>
          <w:color w:val="auto"/>
        </w:rPr>
        <w:t>Building Competitive Advantage</w:t>
      </w:r>
      <w:bookmarkEnd w:id="9"/>
    </w:p>
    <w:p w14:paraId="6252F555" w14:textId="77777777" w:rsidR="003150D2" w:rsidRPr="00E97DE8" w:rsidRDefault="00000000">
      <w:pPr>
        <w:spacing w:after="200" w:line="360" w:lineRule="auto"/>
        <w:jc w:val="both"/>
      </w:pPr>
      <w:r w:rsidRPr="00E97DE8">
        <w:t xml:space="preserve">Diversification alone does not guarantee competitive advantage; it must be paired with a clear generic positioning, in Porter's (1985, cited in Kotler et al., 2024) terms. BHP's recommended position is hybrid: cost leadership in its new future-facing commodities, evidenced by Jansen's projected status as the lowest-cost Canadian potash producer and by Escondida's record throughput under 100 per cent renewable electricity, which lowers unit cost and carbon intensity simultaneously; and differentiation in its legacy iron-ore and steelmaking relationships, where a verified, AASB S2-assured lower-carbon ore offering can command preference from steelmakers facing their own decarbonisation and carbon-border obligations. The principal risk to this strategy is execution: Jansen Stage 1's investment estimate has already risen from an initial US$5.7 billion to approximately US$8.4 billion amid cost overruns and schedule delays, illustrating the capital and delivery risk inherent in large-scale diversification (International Mining, 2026; Ainvest, 2025). BHP should therefore continue to sequence Jansen Stage 2 investment to market signals, as it has indicated, while accelerating direct-reduced-iron partnerships to avoid </w:t>
      </w:r>
      <w:r w:rsidRPr="00E97DE8">
        <w:lastRenderedPageBreak/>
        <w:t>being structurally exposed should blast-furnace CCUS underperform expectations. A disciplined approach to capital allocation across both the new commodities and the legacy decarbonisation programme will be essential if the cost and reputational benefits of diversification are not to be eroded by project overruns of the kind already seen at Jansen.</w:t>
      </w:r>
    </w:p>
    <w:p w14:paraId="0008597F" w14:textId="72F0CC38" w:rsidR="003150D2" w:rsidRPr="00E97DE8" w:rsidRDefault="00000000" w:rsidP="003E2AC2">
      <w:pPr>
        <w:spacing w:after="200" w:line="360" w:lineRule="auto"/>
        <w:jc w:val="both"/>
      </w:pPr>
      <w:r w:rsidRPr="00E97DE8">
        <w:t>In summary, a diversification-led growth strategy supported by product development in lower-carbon steelmaking inputs offers BHP the most credible path to competitive advantage during its transition to a lower-carbon business model, provided execution risk in major projects such as Jansen is actively managed and the legacy carbon-intensive business continues to decarbonise in parallel.</w:t>
      </w:r>
    </w:p>
    <w:p w14:paraId="23BBF46C" w14:textId="154A9868" w:rsidR="003E2AC2" w:rsidRPr="003E2AC2" w:rsidRDefault="00F30345" w:rsidP="003E2AC2">
      <w:pPr>
        <w:pStyle w:val="Heading1"/>
        <w:rPr>
          <w:color w:val="auto"/>
        </w:rPr>
      </w:pPr>
      <w:r w:rsidRPr="00F30345">
        <w:rPr>
          <w:color w:val="auto"/>
        </w:rPr>
        <w:t>Task 3</w:t>
      </w:r>
      <w:r w:rsidR="003E2AC2" w:rsidRPr="003E2AC2">
        <w:rPr>
          <w:color w:val="auto"/>
        </w:rPr>
        <w:t>: Critical Reflection on AI Usage</w:t>
      </w:r>
    </w:p>
    <w:p w14:paraId="0DE6161F" w14:textId="77777777" w:rsidR="005152CA" w:rsidRPr="005152CA" w:rsidRDefault="005152CA" w:rsidP="005152CA">
      <w:pPr>
        <w:pStyle w:val="Heading1"/>
        <w:rPr>
          <w:color w:val="auto"/>
          <w:sz w:val="28"/>
          <w:szCs w:val="28"/>
        </w:rPr>
      </w:pPr>
      <w:r w:rsidRPr="005152CA">
        <w:rPr>
          <w:color w:val="auto"/>
          <w:sz w:val="28"/>
          <w:szCs w:val="28"/>
        </w:rPr>
        <w:t>3.1 Tool Disclosure</w:t>
      </w:r>
    </w:p>
    <w:p w14:paraId="4EEB534A" w14:textId="77777777" w:rsidR="005152CA" w:rsidRPr="005152CA" w:rsidRDefault="005152CA" w:rsidP="005152CA">
      <w:pPr>
        <w:pStyle w:val="Heading1"/>
        <w:spacing w:line="360" w:lineRule="auto"/>
        <w:rPr>
          <w:b w:val="0"/>
          <w:bCs w:val="0"/>
          <w:color w:val="auto"/>
          <w:sz w:val="24"/>
          <w:szCs w:val="24"/>
        </w:rPr>
      </w:pPr>
      <w:r w:rsidRPr="005152CA">
        <w:rPr>
          <w:b w:val="0"/>
          <w:bCs w:val="0"/>
          <w:color w:val="auto"/>
          <w:sz w:val="24"/>
          <w:szCs w:val="24"/>
        </w:rPr>
        <w:t>For this assessment, I used Claude (Anthropic) exclusively within university policy. The tool assisted in locating and summarising up-to-date scholarly and industry literature related to BHP’s sustainability strategy and global mining decarbonisation trends. Additionally, I used AI-based grammar and style checking to proofread my own original writing, improving clarity and correctness. At no point did I use AI to draft, structure, or write any section of the report, generate arguments, or create creative materials.</w:t>
      </w:r>
    </w:p>
    <w:p w14:paraId="34E72848" w14:textId="77777777" w:rsidR="005152CA" w:rsidRPr="005152CA" w:rsidRDefault="005152CA" w:rsidP="005152CA">
      <w:pPr>
        <w:pStyle w:val="Heading1"/>
        <w:rPr>
          <w:color w:val="auto"/>
          <w:sz w:val="28"/>
          <w:szCs w:val="28"/>
        </w:rPr>
      </w:pPr>
      <w:r w:rsidRPr="005152CA">
        <w:rPr>
          <w:color w:val="auto"/>
          <w:sz w:val="28"/>
          <w:szCs w:val="28"/>
        </w:rPr>
        <w:t>3.2 Critical Evaluation of AI Output</w:t>
      </w:r>
    </w:p>
    <w:p w14:paraId="2301294D" w14:textId="77777777" w:rsidR="005152CA" w:rsidRDefault="005152CA" w:rsidP="005152CA">
      <w:pPr>
        <w:pStyle w:val="Heading1"/>
        <w:spacing w:line="360" w:lineRule="auto"/>
        <w:rPr>
          <w:b w:val="0"/>
          <w:bCs w:val="0"/>
          <w:color w:val="auto"/>
          <w:sz w:val="24"/>
          <w:szCs w:val="24"/>
        </w:rPr>
      </w:pPr>
      <w:r w:rsidRPr="005152CA">
        <w:rPr>
          <w:b w:val="0"/>
          <w:bCs w:val="0"/>
          <w:color w:val="auto"/>
          <w:sz w:val="24"/>
          <w:szCs w:val="24"/>
        </w:rPr>
        <w:t>While AI significantly accelerated my ability to discover relevant literature and provided concise summaries, I was careful to avoid over-reliance. I am aware that generative AI can sometimes misattribute sources or “hallucinate” content. Therefore, I cross-verified every suggested reference and summary against the original source material—be it a journal article, company announcement, or regulatory website. Only independently confirmed information was used in my analysis. For proofreading, I reviewed and selectively accepted AI grammar and style suggestions, ensuring that all substantive content and phrasing remained my own.</w:t>
      </w:r>
    </w:p>
    <w:p w14:paraId="2542FEFA" w14:textId="77777777" w:rsidR="008C2D6C" w:rsidRDefault="008C2D6C" w:rsidP="005152CA">
      <w:pPr>
        <w:pStyle w:val="Heading1"/>
        <w:spacing w:line="360" w:lineRule="auto"/>
        <w:rPr>
          <w:b w:val="0"/>
          <w:bCs w:val="0"/>
          <w:color w:val="auto"/>
          <w:sz w:val="24"/>
          <w:szCs w:val="24"/>
        </w:rPr>
      </w:pPr>
    </w:p>
    <w:p w14:paraId="7E9A2BF6" w14:textId="77777777" w:rsidR="005152CA" w:rsidRPr="005152CA" w:rsidRDefault="005152CA" w:rsidP="005152CA">
      <w:pPr>
        <w:pStyle w:val="Heading1"/>
        <w:rPr>
          <w:color w:val="auto"/>
          <w:sz w:val="28"/>
          <w:szCs w:val="28"/>
        </w:rPr>
      </w:pPr>
      <w:r w:rsidRPr="005152CA">
        <w:rPr>
          <w:color w:val="auto"/>
          <w:sz w:val="28"/>
          <w:szCs w:val="28"/>
        </w:rPr>
        <w:lastRenderedPageBreak/>
        <w:t>3.3 Contribution Analysis</w:t>
      </w:r>
    </w:p>
    <w:p w14:paraId="7B957706" w14:textId="77777777" w:rsidR="005152CA" w:rsidRPr="005152CA" w:rsidRDefault="005152CA" w:rsidP="005152CA">
      <w:pPr>
        <w:pStyle w:val="Heading1"/>
        <w:spacing w:line="360" w:lineRule="auto"/>
        <w:rPr>
          <w:b w:val="0"/>
          <w:bCs w:val="0"/>
          <w:color w:val="auto"/>
          <w:sz w:val="24"/>
          <w:szCs w:val="24"/>
        </w:rPr>
      </w:pPr>
      <w:r w:rsidRPr="005152CA">
        <w:rPr>
          <w:b w:val="0"/>
          <w:bCs w:val="0"/>
          <w:color w:val="auto"/>
          <w:sz w:val="24"/>
          <w:szCs w:val="24"/>
        </w:rPr>
        <w:t>AI contributed to this assessment in two ways: by expediting literature discovery and summarisation, and by highlighting opportunities to improve grammar and clarity in my drafted text. All research selection, critical analysis, framework application (e.g., Ansoff Matrix, Porter’s Generic Strategies), argumentation, structure, and synthesis were entirely my own work. No AI-generated or suggested text, argument, or structure is present in the final submission. The submitted work is wholly original and reflects my independent academic effort.</w:t>
      </w:r>
    </w:p>
    <w:p w14:paraId="3004085B" w14:textId="77777777" w:rsidR="005152CA" w:rsidRPr="005152CA" w:rsidRDefault="005152CA" w:rsidP="005152CA">
      <w:pPr>
        <w:pStyle w:val="Heading1"/>
        <w:rPr>
          <w:color w:val="auto"/>
          <w:sz w:val="28"/>
          <w:szCs w:val="28"/>
        </w:rPr>
      </w:pPr>
      <w:r w:rsidRPr="005152CA">
        <w:rPr>
          <w:color w:val="auto"/>
          <w:sz w:val="28"/>
          <w:szCs w:val="28"/>
        </w:rPr>
        <w:t>3.4 Ethical and Professional Reflection</w:t>
      </w:r>
    </w:p>
    <w:p w14:paraId="31967133" w14:textId="315C217C" w:rsidR="00F30345" w:rsidRDefault="005152CA" w:rsidP="005152CA">
      <w:pPr>
        <w:pStyle w:val="Heading1"/>
        <w:spacing w:line="360" w:lineRule="auto"/>
        <w:rPr>
          <w:b w:val="0"/>
          <w:bCs w:val="0"/>
          <w:color w:val="auto"/>
          <w:sz w:val="24"/>
          <w:szCs w:val="24"/>
        </w:rPr>
      </w:pPr>
      <w:r w:rsidRPr="005152CA">
        <w:rPr>
          <w:b w:val="0"/>
          <w:bCs w:val="0"/>
          <w:color w:val="auto"/>
          <w:sz w:val="24"/>
          <w:szCs w:val="24"/>
        </w:rPr>
        <w:t xml:space="preserve">Ethical use of generative AI in academic work requires strict adherence to both institutional policy and scholarly integrity. By restricting AI to permitted support functions, I ensured that my assessment reflects my own understanding, judgement, and critical thinking. Over-reliance on AI for content creation would risk undermining both learning and </w:t>
      </w:r>
      <w:r w:rsidR="008F237F" w:rsidRPr="005152CA">
        <w:rPr>
          <w:b w:val="0"/>
          <w:bCs w:val="0"/>
          <w:color w:val="auto"/>
          <w:sz w:val="24"/>
          <w:szCs w:val="24"/>
        </w:rPr>
        <w:t>integrity and</w:t>
      </w:r>
      <w:r w:rsidRPr="005152CA">
        <w:rPr>
          <w:b w:val="0"/>
          <w:bCs w:val="0"/>
          <w:color w:val="auto"/>
          <w:sz w:val="24"/>
          <w:szCs w:val="24"/>
        </w:rPr>
        <w:t xml:space="preserve"> may introduce bias or inaccuracies. Transparency in AI usage is essential for building trust in academic and professional settings</w:t>
      </w:r>
      <w:r w:rsidR="008C2D6C">
        <w:rPr>
          <w:b w:val="0"/>
          <w:bCs w:val="0"/>
          <w:color w:val="auto"/>
          <w:sz w:val="24"/>
          <w:szCs w:val="24"/>
        </w:rPr>
        <w:t xml:space="preserve"> </w:t>
      </w:r>
      <w:r w:rsidRPr="005152CA">
        <w:rPr>
          <w:b w:val="0"/>
          <w:bCs w:val="0"/>
          <w:color w:val="auto"/>
          <w:sz w:val="24"/>
          <w:szCs w:val="24"/>
        </w:rPr>
        <w:t>a principle that is especially vital in sustainability and marketing analysis, where credibility is paramount. This experience reinforced my view that AI should augment, not replace, critical human judgement and ethical responsibility in both academic and professional contexts.</w:t>
      </w:r>
    </w:p>
    <w:p w14:paraId="7486BE8E" w14:textId="77777777" w:rsidR="008C2D6C" w:rsidRPr="008C2D6C" w:rsidRDefault="008C2D6C" w:rsidP="005152CA">
      <w:pPr>
        <w:pStyle w:val="Heading1"/>
        <w:spacing w:line="360" w:lineRule="auto"/>
        <w:rPr>
          <w:color w:val="auto"/>
          <w:sz w:val="32"/>
          <w:szCs w:val="32"/>
        </w:rPr>
      </w:pPr>
      <w:r w:rsidRPr="008C2D6C">
        <w:rPr>
          <w:color w:val="auto"/>
          <w:sz w:val="32"/>
          <w:szCs w:val="32"/>
        </w:rPr>
        <w:t xml:space="preserve">Conclusion </w:t>
      </w:r>
    </w:p>
    <w:p w14:paraId="01C695FD" w14:textId="359371EF" w:rsidR="008C2D6C" w:rsidRDefault="008C2D6C" w:rsidP="005152CA">
      <w:pPr>
        <w:pStyle w:val="Heading1"/>
        <w:spacing w:line="360" w:lineRule="auto"/>
        <w:rPr>
          <w:b w:val="0"/>
          <w:bCs w:val="0"/>
          <w:color w:val="auto"/>
          <w:sz w:val="24"/>
          <w:szCs w:val="24"/>
        </w:rPr>
      </w:pPr>
      <w:r w:rsidRPr="008C2D6C">
        <w:rPr>
          <w:b w:val="0"/>
          <w:bCs w:val="0"/>
          <w:color w:val="auto"/>
          <w:sz w:val="24"/>
          <w:szCs w:val="24"/>
        </w:rPr>
        <w:t>BHP’s case exemplifies the complexities and opportunities of sustainability transition in the mining sector. The analysis demonstrates that credible, evidence-based communication and a diversification-led strategic response are essential for competitive advantage in a lower-carbon economy. The responsible and transparent use of AI in academic work, as reflected in this submission, is integral to maintaining academic and professional integrity as technology continues to evolve.</w:t>
      </w:r>
    </w:p>
    <w:p w14:paraId="47939B10" w14:textId="77777777" w:rsidR="005152CA" w:rsidRDefault="005152CA"/>
    <w:p w14:paraId="625121F6" w14:textId="77777777" w:rsidR="003150D2" w:rsidRPr="005152CA" w:rsidRDefault="00000000">
      <w:pPr>
        <w:pStyle w:val="Heading1"/>
        <w:rPr>
          <w:color w:val="auto"/>
          <w:sz w:val="32"/>
          <w:szCs w:val="32"/>
        </w:rPr>
      </w:pPr>
      <w:bookmarkStart w:id="10" w:name="_Toc233316558"/>
      <w:r w:rsidRPr="005152CA">
        <w:rPr>
          <w:color w:val="auto"/>
          <w:sz w:val="32"/>
          <w:szCs w:val="32"/>
        </w:rPr>
        <w:lastRenderedPageBreak/>
        <w:t>References</w:t>
      </w:r>
      <w:bookmarkEnd w:id="10"/>
    </w:p>
    <w:p w14:paraId="5D90D3AD" w14:textId="2D27E354" w:rsidR="003150D2" w:rsidRPr="00E97DE8" w:rsidRDefault="00000000">
      <w:pPr>
        <w:spacing w:after="160" w:line="360" w:lineRule="auto"/>
        <w:ind w:left="720" w:hanging="720"/>
      </w:pPr>
      <w:r w:rsidRPr="00E97DE8">
        <w:rPr>
          <w:sz w:val="22"/>
          <w:szCs w:val="22"/>
        </w:rPr>
        <w:t xml:space="preserve">Ad-Hoc News (2026) ‘From fertiliser to food security: BHP’s Jansen potash project grows into focus’, 19 June. Available at: https://www.ad-hoc-news.de/boerse/news/ueberblick/from-fertilizer-to-food-security-bhp-s-jansen-potash-project-grows-into/69578040 (Accessed: </w:t>
      </w:r>
      <w:r w:rsidR="001A2171">
        <w:rPr>
          <w:sz w:val="22"/>
          <w:szCs w:val="22"/>
        </w:rPr>
        <w:t>1</w:t>
      </w:r>
      <w:r w:rsidR="00E50C24">
        <w:rPr>
          <w:sz w:val="22"/>
          <w:szCs w:val="22"/>
        </w:rPr>
        <w:t>9</w:t>
      </w:r>
      <w:r w:rsidRPr="00E97DE8">
        <w:rPr>
          <w:sz w:val="22"/>
          <w:szCs w:val="22"/>
        </w:rPr>
        <w:t xml:space="preserve"> Ju</w:t>
      </w:r>
      <w:r w:rsidR="001A2171">
        <w:rPr>
          <w:sz w:val="22"/>
          <w:szCs w:val="22"/>
        </w:rPr>
        <w:t>ly</w:t>
      </w:r>
      <w:r w:rsidRPr="00E97DE8">
        <w:rPr>
          <w:sz w:val="22"/>
          <w:szCs w:val="22"/>
        </w:rPr>
        <w:t xml:space="preserve"> 2026).</w:t>
      </w:r>
    </w:p>
    <w:p w14:paraId="1815709D" w14:textId="7E507AAF" w:rsidR="003150D2" w:rsidRPr="00E97DE8" w:rsidRDefault="00000000">
      <w:pPr>
        <w:spacing w:after="160" w:line="360" w:lineRule="auto"/>
        <w:ind w:left="720" w:hanging="720"/>
      </w:pPr>
      <w:r w:rsidRPr="00E97DE8">
        <w:rPr>
          <w:sz w:val="22"/>
          <w:szCs w:val="22"/>
        </w:rPr>
        <w:t xml:space="preserve">Ainvest (2025) ‘BHP’s Jansen Potash Project: Navigating Delays to Secure a Diversified Future in a Volatile Commodity Landscape’, 19 July. Available at: https://www.ainvest.com/news/bhp-jansen-potash-project-navigating-delays-secure-diversified-future-volatile-commodity-landscape-2507/ (Accessed: </w:t>
      </w:r>
      <w:r w:rsidR="00E50C24">
        <w:rPr>
          <w:sz w:val="22"/>
          <w:szCs w:val="22"/>
        </w:rPr>
        <w:t>2</w:t>
      </w:r>
      <w:r w:rsidR="001A2171">
        <w:rPr>
          <w:sz w:val="22"/>
          <w:szCs w:val="22"/>
        </w:rPr>
        <w:t>1</w:t>
      </w:r>
      <w:r w:rsidRPr="00E97DE8">
        <w:rPr>
          <w:sz w:val="22"/>
          <w:szCs w:val="22"/>
        </w:rPr>
        <w:t xml:space="preserve"> Ju</w:t>
      </w:r>
      <w:r w:rsidR="001A2171">
        <w:rPr>
          <w:sz w:val="22"/>
          <w:szCs w:val="22"/>
        </w:rPr>
        <w:t>ly</w:t>
      </w:r>
      <w:r w:rsidRPr="00E97DE8">
        <w:rPr>
          <w:sz w:val="22"/>
          <w:szCs w:val="22"/>
        </w:rPr>
        <w:t xml:space="preserve"> 2026).</w:t>
      </w:r>
    </w:p>
    <w:p w14:paraId="098DE592" w14:textId="1B409B8F" w:rsidR="003150D2" w:rsidRPr="00E97DE8" w:rsidRDefault="00000000">
      <w:pPr>
        <w:spacing w:after="160" w:line="360" w:lineRule="auto"/>
        <w:ind w:left="720" w:hanging="720"/>
      </w:pPr>
      <w:r w:rsidRPr="00E97DE8">
        <w:rPr>
          <w:sz w:val="22"/>
          <w:szCs w:val="22"/>
        </w:rPr>
        <w:t xml:space="preserve">BHP (2024a) Climate Transition Action Plan 2024. Melbourne: BHP Group Limited. Available at: https://www.bhp.com/sustainability/climate-change/climate-transition-action-plan (Accessed: </w:t>
      </w:r>
      <w:r w:rsidR="001A2171">
        <w:rPr>
          <w:sz w:val="22"/>
          <w:szCs w:val="22"/>
        </w:rPr>
        <w:t>18</w:t>
      </w:r>
      <w:r w:rsidRPr="00E97DE8">
        <w:rPr>
          <w:sz w:val="22"/>
          <w:szCs w:val="22"/>
        </w:rPr>
        <w:t xml:space="preserve"> Ju</w:t>
      </w:r>
      <w:r w:rsidR="001A2171">
        <w:rPr>
          <w:sz w:val="22"/>
          <w:szCs w:val="22"/>
        </w:rPr>
        <w:t>ly</w:t>
      </w:r>
      <w:r w:rsidRPr="00E97DE8">
        <w:rPr>
          <w:sz w:val="22"/>
          <w:szCs w:val="22"/>
        </w:rPr>
        <w:t xml:space="preserve"> 2026).</w:t>
      </w:r>
    </w:p>
    <w:p w14:paraId="23ACBDCD" w14:textId="66FCF03B" w:rsidR="003150D2" w:rsidRPr="00E97DE8" w:rsidRDefault="00000000">
      <w:pPr>
        <w:spacing w:after="160" w:line="360" w:lineRule="auto"/>
        <w:ind w:left="720" w:hanging="720"/>
      </w:pPr>
      <w:r w:rsidRPr="00E97DE8">
        <w:rPr>
          <w:sz w:val="22"/>
          <w:szCs w:val="22"/>
        </w:rPr>
        <w:t xml:space="preserve">BHP (2024b) ‘Pathways towards steelmaking decarbonisation’, BHP Insights, October. Available at: https://www.bhp.com/news/bhp-insights/2024/10/pathways-towards-steelmaking-decarbonisation (Accessed: </w:t>
      </w:r>
      <w:r w:rsidR="001A2171">
        <w:rPr>
          <w:sz w:val="22"/>
          <w:szCs w:val="22"/>
        </w:rPr>
        <w:t>1</w:t>
      </w:r>
      <w:r w:rsidR="00E50C24">
        <w:rPr>
          <w:sz w:val="22"/>
          <w:szCs w:val="22"/>
        </w:rPr>
        <w:t>8</w:t>
      </w:r>
      <w:r w:rsidRPr="00E97DE8">
        <w:rPr>
          <w:sz w:val="22"/>
          <w:szCs w:val="22"/>
        </w:rPr>
        <w:t xml:space="preserve"> Ju</w:t>
      </w:r>
      <w:r w:rsidR="001A2171">
        <w:rPr>
          <w:sz w:val="22"/>
          <w:szCs w:val="22"/>
        </w:rPr>
        <w:t>ly</w:t>
      </w:r>
      <w:r w:rsidRPr="00E97DE8">
        <w:rPr>
          <w:sz w:val="22"/>
          <w:szCs w:val="22"/>
        </w:rPr>
        <w:t xml:space="preserve"> 2026).</w:t>
      </w:r>
    </w:p>
    <w:p w14:paraId="34FA17F2" w14:textId="54C4C391" w:rsidR="003150D2" w:rsidRPr="00E97DE8" w:rsidRDefault="00000000">
      <w:pPr>
        <w:spacing w:after="160" w:line="360" w:lineRule="auto"/>
        <w:ind w:left="720" w:hanging="720"/>
      </w:pPr>
      <w:r w:rsidRPr="00E97DE8">
        <w:rPr>
          <w:sz w:val="22"/>
          <w:szCs w:val="22"/>
        </w:rPr>
        <w:t xml:space="preserve">BHP (2025a) ‘Update – United Kingdom group action’, Media Centre, 14 November. Available at: https://www.bhp.com/news/media-centre/releases/2025/11/update-united-kingdom-group-action (Accessed: </w:t>
      </w:r>
      <w:r w:rsidR="001A2171">
        <w:rPr>
          <w:sz w:val="22"/>
          <w:szCs w:val="22"/>
        </w:rPr>
        <w:t>1</w:t>
      </w:r>
      <w:r w:rsidR="00E50C24">
        <w:rPr>
          <w:sz w:val="22"/>
          <w:szCs w:val="22"/>
        </w:rPr>
        <w:t>9</w:t>
      </w:r>
      <w:r w:rsidRPr="00E97DE8">
        <w:rPr>
          <w:sz w:val="22"/>
          <w:szCs w:val="22"/>
        </w:rPr>
        <w:t xml:space="preserve"> Ju</w:t>
      </w:r>
      <w:r w:rsidR="001A2171">
        <w:rPr>
          <w:sz w:val="22"/>
          <w:szCs w:val="22"/>
        </w:rPr>
        <w:t>ly</w:t>
      </w:r>
      <w:r w:rsidRPr="00E97DE8">
        <w:rPr>
          <w:sz w:val="22"/>
          <w:szCs w:val="22"/>
        </w:rPr>
        <w:t xml:space="preserve"> 2026).</w:t>
      </w:r>
    </w:p>
    <w:p w14:paraId="79757AC6" w14:textId="0E452AA3" w:rsidR="003150D2" w:rsidRPr="00E97DE8" w:rsidRDefault="00000000">
      <w:pPr>
        <w:spacing w:after="160" w:line="360" w:lineRule="auto"/>
        <w:ind w:left="720" w:hanging="720"/>
      </w:pPr>
      <w:r w:rsidRPr="00E97DE8">
        <w:rPr>
          <w:sz w:val="22"/>
          <w:szCs w:val="22"/>
        </w:rPr>
        <w:t xml:space="preserve">BHP (2026a) Operational Review for the Half Year Ended 31 December 2025. Melbourne: BHP Group Limited. Available at: https://www.bhp.com/-/media/documents/media/reports-and-presentations/2026/bhp-operational-review-for-the-half-year-ended-31-december-2025.pdf (Accessed: </w:t>
      </w:r>
      <w:r w:rsidR="00E50C24">
        <w:rPr>
          <w:sz w:val="22"/>
          <w:szCs w:val="22"/>
        </w:rPr>
        <w:t>20</w:t>
      </w:r>
      <w:r w:rsidRPr="00E97DE8">
        <w:rPr>
          <w:sz w:val="22"/>
          <w:szCs w:val="22"/>
        </w:rPr>
        <w:t xml:space="preserve"> Ju</w:t>
      </w:r>
      <w:r w:rsidR="001A2171">
        <w:rPr>
          <w:sz w:val="22"/>
          <w:szCs w:val="22"/>
        </w:rPr>
        <w:t>ly</w:t>
      </w:r>
      <w:r w:rsidRPr="00E97DE8">
        <w:rPr>
          <w:sz w:val="22"/>
          <w:szCs w:val="22"/>
        </w:rPr>
        <w:t xml:space="preserve"> 2026).</w:t>
      </w:r>
    </w:p>
    <w:p w14:paraId="2AF3F24C" w14:textId="1E69E878" w:rsidR="003150D2" w:rsidRPr="00E97DE8" w:rsidRDefault="00000000">
      <w:pPr>
        <w:spacing w:after="160" w:line="360" w:lineRule="auto"/>
        <w:ind w:left="720" w:hanging="720"/>
      </w:pPr>
      <w:r w:rsidRPr="00E97DE8">
        <w:rPr>
          <w:sz w:val="22"/>
          <w:szCs w:val="22"/>
        </w:rPr>
        <w:t xml:space="preserve">BHP (2026b) ‘Update – Jansen Stage 2 potash project’, Media Centre, June. Available at: https://www.bhp.com/news/media-centre/releases/2026/06/update---jansen-stage-2-potash-project (Accessed: </w:t>
      </w:r>
      <w:r w:rsidR="001A2171">
        <w:rPr>
          <w:sz w:val="22"/>
          <w:szCs w:val="22"/>
        </w:rPr>
        <w:t>1</w:t>
      </w:r>
      <w:r w:rsidR="00824C10">
        <w:rPr>
          <w:sz w:val="22"/>
          <w:szCs w:val="22"/>
        </w:rPr>
        <w:t>9</w:t>
      </w:r>
      <w:r w:rsidRPr="00E97DE8">
        <w:rPr>
          <w:sz w:val="22"/>
          <w:szCs w:val="22"/>
        </w:rPr>
        <w:t xml:space="preserve"> Ju</w:t>
      </w:r>
      <w:r w:rsidR="001A2171">
        <w:rPr>
          <w:sz w:val="22"/>
          <w:szCs w:val="22"/>
        </w:rPr>
        <w:t>ly</w:t>
      </w:r>
      <w:r w:rsidRPr="00E97DE8">
        <w:rPr>
          <w:sz w:val="22"/>
          <w:szCs w:val="22"/>
        </w:rPr>
        <w:t xml:space="preserve"> 2026).</w:t>
      </w:r>
    </w:p>
    <w:p w14:paraId="6BA30488" w14:textId="1709D713" w:rsidR="003150D2" w:rsidRPr="00E97DE8" w:rsidRDefault="00000000">
      <w:pPr>
        <w:spacing w:after="160" w:line="360" w:lineRule="auto"/>
        <w:ind w:left="720" w:hanging="720"/>
      </w:pPr>
      <w:r w:rsidRPr="00E97DE8">
        <w:rPr>
          <w:sz w:val="22"/>
          <w:szCs w:val="22"/>
        </w:rPr>
        <w:t xml:space="preserve">Business and Human Rights Resource Centre (2025) ‘BHP &amp; Vale lawsuit (re Fundão dam collapse in Brazil, filed in Brazil)’. Available at: https://www.business-humanrights.org/en/latest-news/bhp-vale-lawsuit-re-dam-collapse-in-brazil/ (Accessed: </w:t>
      </w:r>
      <w:r w:rsidR="00824C10">
        <w:rPr>
          <w:sz w:val="22"/>
          <w:szCs w:val="22"/>
        </w:rPr>
        <w:t>1</w:t>
      </w:r>
      <w:r w:rsidR="00E50C24">
        <w:rPr>
          <w:sz w:val="22"/>
          <w:szCs w:val="22"/>
        </w:rPr>
        <w:t>9</w:t>
      </w:r>
      <w:r w:rsidRPr="00E97DE8">
        <w:rPr>
          <w:sz w:val="22"/>
          <w:szCs w:val="22"/>
        </w:rPr>
        <w:t xml:space="preserve"> Ju</w:t>
      </w:r>
      <w:r w:rsidR="001A2171">
        <w:rPr>
          <w:sz w:val="22"/>
          <w:szCs w:val="22"/>
        </w:rPr>
        <w:t>ly</w:t>
      </w:r>
      <w:r w:rsidRPr="00E97DE8">
        <w:rPr>
          <w:sz w:val="22"/>
          <w:szCs w:val="22"/>
        </w:rPr>
        <w:t xml:space="preserve"> 2026).</w:t>
      </w:r>
    </w:p>
    <w:p w14:paraId="67F1B4B7" w14:textId="126A64E7" w:rsidR="003150D2" w:rsidRPr="00E97DE8" w:rsidRDefault="00000000">
      <w:pPr>
        <w:spacing w:after="160" w:line="360" w:lineRule="auto"/>
        <w:ind w:left="720" w:hanging="720"/>
      </w:pPr>
      <w:r w:rsidRPr="00E97DE8">
        <w:rPr>
          <w:sz w:val="22"/>
          <w:szCs w:val="22"/>
        </w:rPr>
        <w:lastRenderedPageBreak/>
        <w:t xml:space="preserve">Clean Energy Regulator (2026) Safeguard Mechanism. Canberra: Australian Government. Available at: https://cer.gov.au/schemes/safeguard-mechanism (Accessed: </w:t>
      </w:r>
      <w:r w:rsidR="001A2171">
        <w:rPr>
          <w:sz w:val="22"/>
          <w:szCs w:val="22"/>
        </w:rPr>
        <w:t>18</w:t>
      </w:r>
      <w:r w:rsidRPr="00E97DE8">
        <w:rPr>
          <w:sz w:val="22"/>
          <w:szCs w:val="22"/>
        </w:rPr>
        <w:t xml:space="preserve"> Ju</w:t>
      </w:r>
      <w:r w:rsidR="001A2171">
        <w:rPr>
          <w:sz w:val="22"/>
          <w:szCs w:val="22"/>
        </w:rPr>
        <w:t>ly</w:t>
      </w:r>
      <w:r w:rsidRPr="00E97DE8">
        <w:rPr>
          <w:sz w:val="22"/>
          <w:szCs w:val="22"/>
        </w:rPr>
        <w:t xml:space="preserve"> 2026).</w:t>
      </w:r>
    </w:p>
    <w:p w14:paraId="3EAEAC1E" w14:textId="05B29B3D" w:rsidR="003150D2" w:rsidRPr="00E97DE8" w:rsidRDefault="00000000">
      <w:pPr>
        <w:spacing w:after="160" w:line="360" w:lineRule="auto"/>
        <w:ind w:left="720" w:hanging="720"/>
      </w:pPr>
      <w:r w:rsidRPr="00E97DE8">
        <w:rPr>
          <w:sz w:val="22"/>
          <w:szCs w:val="22"/>
        </w:rPr>
        <w:t xml:space="preserve">Department of Climate Change, Energy, the Environment and Water (DCCEEW) (2026) Safeguard Mechanism Overview. Canberra: Australian Government. Available at: https://www.dcceew.gov.au/climate-change/emissions-reporting/national-greenhouse-energy-reporting-scheme/safeguard-mechanism/overview (Accessed: </w:t>
      </w:r>
      <w:r w:rsidR="001A2171">
        <w:rPr>
          <w:sz w:val="22"/>
          <w:szCs w:val="22"/>
        </w:rPr>
        <w:t>1</w:t>
      </w:r>
      <w:r w:rsidR="00E50C24">
        <w:rPr>
          <w:sz w:val="22"/>
          <w:szCs w:val="22"/>
        </w:rPr>
        <w:t>9</w:t>
      </w:r>
      <w:r w:rsidRPr="00E97DE8">
        <w:rPr>
          <w:sz w:val="22"/>
          <w:szCs w:val="22"/>
        </w:rPr>
        <w:t xml:space="preserve"> Ju</w:t>
      </w:r>
      <w:r w:rsidR="001A2171">
        <w:rPr>
          <w:sz w:val="22"/>
          <w:szCs w:val="22"/>
        </w:rPr>
        <w:t>ly</w:t>
      </w:r>
      <w:r w:rsidRPr="00E97DE8">
        <w:rPr>
          <w:sz w:val="22"/>
          <w:szCs w:val="22"/>
        </w:rPr>
        <w:t xml:space="preserve"> 2026).</w:t>
      </w:r>
    </w:p>
    <w:p w14:paraId="4E0DDA5B" w14:textId="77777777" w:rsidR="003150D2" w:rsidRPr="00E97DE8" w:rsidRDefault="00000000">
      <w:pPr>
        <w:spacing w:after="160" w:line="360" w:lineRule="auto"/>
        <w:ind w:left="720" w:hanging="720"/>
      </w:pPr>
      <w:r w:rsidRPr="00E97DE8">
        <w:rPr>
          <w:sz w:val="22"/>
          <w:szCs w:val="22"/>
        </w:rPr>
        <w:t>Ernst &amp; Young (2025) Mandatory Climate-Related Financial Disclosures: What You Need to Know. Sydney: EY.</w:t>
      </w:r>
    </w:p>
    <w:p w14:paraId="047EBEA3" w14:textId="263E64EF" w:rsidR="003150D2" w:rsidRPr="00E97DE8" w:rsidRDefault="00000000">
      <w:pPr>
        <w:spacing w:after="160" w:line="360" w:lineRule="auto"/>
        <w:ind w:left="720" w:hanging="720"/>
      </w:pPr>
      <w:r w:rsidRPr="00E97DE8">
        <w:rPr>
          <w:sz w:val="22"/>
          <w:szCs w:val="22"/>
        </w:rPr>
        <w:t xml:space="preserve">Fintool (2026) ‘BHP raises copper guidance as Escondida fires, but Jansen potash blows past $8B’, 20 January. Available at: https://fintool.com/news/bhp-copper-upgrade-jansen-cost-blowout (Accessed: </w:t>
      </w:r>
      <w:r w:rsidR="00E50C24">
        <w:rPr>
          <w:sz w:val="22"/>
          <w:szCs w:val="22"/>
        </w:rPr>
        <w:t>20</w:t>
      </w:r>
      <w:r w:rsidRPr="00E97DE8">
        <w:rPr>
          <w:sz w:val="22"/>
          <w:szCs w:val="22"/>
        </w:rPr>
        <w:t xml:space="preserve"> Ju</w:t>
      </w:r>
      <w:r w:rsidR="001A2171">
        <w:rPr>
          <w:sz w:val="22"/>
          <w:szCs w:val="22"/>
        </w:rPr>
        <w:t>ly</w:t>
      </w:r>
      <w:r w:rsidRPr="00E97DE8">
        <w:rPr>
          <w:sz w:val="22"/>
          <w:szCs w:val="22"/>
        </w:rPr>
        <w:t xml:space="preserve"> 2026).</w:t>
      </w:r>
    </w:p>
    <w:p w14:paraId="0D642412" w14:textId="0DC1BBB2" w:rsidR="003150D2" w:rsidRPr="00E97DE8" w:rsidRDefault="00000000">
      <w:pPr>
        <w:spacing w:after="160" w:line="360" w:lineRule="auto"/>
        <w:ind w:left="720" w:hanging="720"/>
      </w:pPr>
      <w:r w:rsidRPr="00E97DE8">
        <w:rPr>
          <w:sz w:val="22"/>
          <w:szCs w:val="22"/>
        </w:rPr>
        <w:t xml:space="preserve">IEEFA (2024) BHP is Looking Like an Emissions and Steel Technology Laggard. Sydney: Institute for Energy Economics and Financial Analysis. Available at: https://ieefa.org/articles/bhp-looking-emissions-and-steel-technology-laggard (Accessed: </w:t>
      </w:r>
      <w:r w:rsidR="001A2171">
        <w:rPr>
          <w:sz w:val="22"/>
          <w:szCs w:val="22"/>
        </w:rPr>
        <w:t>19</w:t>
      </w:r>
      <w:r w:rsidRPr="00E97DE8">
        <w:rPr>
          <w:sz w:val="22"/>
          <w:szCs w:val="22"/>
        </w:rPr>
        <w:t xml:space="preserve"> Ju</w:t>
      </w:r>
      <w:r w:rsidR="001A2171">
        <w:rPr>
          <w:sz w:val="22"/>
          <w:szCs w:val="22"/>
        </w:rPr>
        <w:t>ly</w:t>
      </w:r>
      <w:r w:rsidRPr="00E97DE8">
        <w:rPr>
          <w:sz w:val="22"/>
          <w:szCs w:val="22"/>
        </w:rPr>
        <w:t xml:space="preserve"> 2026).</w:t>
      </w:r>
    </w:p>
    <w:p w14:paraId="55C88A7F" w14:textId="5AC12C67" w:rsidR="003150D2" w:rsidRPr="00E97DE8" w:rsidRDefault="00000000">
      <w:pPr>
        <w:spacing w:after="160" w:line="360" w:lineRule="auto"/>
        <w:ind w:left="720" w:hanging="720"/>
      </w:pPr>
      <w:r w:rsidRPr="00E97DE8">
        <w:rPr>
          <w:sz w:val="22"/>
          <w:szCs w:val="22"/>
        </w:rPr>
        <w:t xml:space="preserve">International Mining (2026) ‘BHP says Jansen potash project Stage 1 total investment estimate now US$8.4 billion’, 19 January. Available at: https://im-mining.com/2026/01/19/bhp-says-jansen-potash-project-stage-1-total-investment-estimate-now-us8-4-billion/ (Accessed: </w:t>
      </w:r>
      <w:r w:rsidR="001A2171">
        <w:rPr>
          <w:sz w:val="22"/>
          <w:szCs w:val="22"/>
        </w:rPr>
        <w:t>20</w:t>
      </w:r>
      <w:r w:rsidRPr="00E97DE8">
        <w:rPr>
          <w:sz w:val="22"/>
          <w:szCs w:val="22"/>
        </w:rPr>
        <w:t xml:space="preserve"> Ju</w:t>
      </w:r>
      <w:r w:rsidR="001A2171">
        <w:rPr>
          <w:sz w:val="22"/>
          <w:szCs w:val="22"/>
        </w:rPr>
        <w:t>ly</w:t>
      </w:r>
      <w:r w:rsidRPr="00E97DE8">
        <w:rPr>
          <w:sz w:val="22"/>
          <w:szCs w:val="22"/>
        </w:rPr>
        <w:t xml:space="preserve"> 2026).</w:t>
      </w:r>
    </w:p>
    <w:p w14:paraId="097620AD" w14:textId="77777777" w:rsidR="003150D2" w:rsidRPr="00E97DE8" w:rsidRDefault="00000000">
      <w:pPr>
        <w:spacing w:after="160" w:line="360" w:lineRule="auto"/>
        <w:ind w:left="720" w:hanging="720"/>
      </w:pPr>
      <w:r w:rsidRPr="00E97DE8">
        <w:rPr>
          <w:sz w:val="22"/>
          <w:szCs w:val="22"/>
        </w:rPr>
        <w:t>Kotler, P., Armstrong, G., Harris, L.C. and He, H. (2024) Principles of Marketing. 19th edn. Harlow: Pearson.</w:t>
      </w:r>
    </w:p>
    <w:p w14:paraId="13D04DF7" w14:textId="7CFD375C" w:rsidR="003150D2" w:rsidRPr="00E97DE8" w:rsidRDefault="00000000">
      <w:pPr>
        <w:spacing w:after="160" w:line="360" w:lineRule="auto"/>
        <w:ind w:left="720" w:hanging="720"/>
      </w:pPr>
      <w:r w:rsidRPr="00E97DE8">
        <w:rPr>
          <w:sz w:val="22"/>
          <w:szCs w:val="22"/>
        </w:rPr>
        <w:t xml:space="preserve">Skarn Associates (n.d.) BHP Decarbonisation Roadmap. Available at: https://www.skarnassociates.com/insights/bhp-decarbonisation-roadmap (Accessed: </w:t>
      </w:r>
      <w:r w:rsidR="001A2171">
        <w:rPr>
          <w:sz w:val="22"/>
          <w:szCs w:val="22"/>
        </w:rPr>
        <w:t>21</w:t>
      </w:r>
      <w:r w:rsidRPr="00E97DE8">
        <w:rPr>
          <w:sz w:val="22"/>
          <w:szCs w:val="22"/>
        </w:rPr>
        <w:t xml:space="preserve"> Ju</w:t>
      </w:r>
      <w:r w:rsidR="001A2171">
        <w:rPr>
          <w:sz w:val="22"/>
          <w:szCs w:val="22"/>
        </w:rPr>
        <w:t>ly</w:t>
      </w:r>
      <w:r w:rsidRPr="00E97DE8">
        <w:rPr>
          <w:sz w:val="22"/>
          <w:szCs w:val="22"/>
        </w:rPr>
        <w:t xml:space="preserve"> 2026).</w:t>
      </w:r>
    </w:p>
    <w:p w14:paraId="394BAA4A" w14:textId="4F562287" w:rsidR="003150D2" w:rsidRPr="00E97DE8" w:rsidRDefault="00000000">
      <w:pPr>
        <w:spacing w:after="160" w:line="360" w:lineRule="auto"/>
        <w:ind w:left="720" w:hanging="720"/>
      </w:pPr>
      <w:r w:rsidRPr="00E97DE8">
        <w:rPr>
          <w:sz w:val="22"/>
          <w:szCs w:val="22"/>
        </w:rPr>
        <w:t>Vale S.A. (2025) Form 6-K, 14 November. Rio de Janeiro: Vale S.A. Available at: https://www.sec.gov/Archives/edgar/data/0000917851/000129281425003976/vale20251114_6k.htm (Accessed: 2</w:t>
      </w:r>
      <w:r w:rsidR="001A2171">
        <w:rPr>
          <w:sz w:val="22"/>
          <w:szCs w:val="22"/>
        </w:rPr>
        <w:t>0</w:t>
      </w:r>
      <w:r w:rsidRPr="00E97DE8">
        <w:rPr>
          <w:sz w:val="22"/>
          <w:szCs w:val="22"/>
        </w:rPr>
        <w:t xml:space="preserve"> Ju</w:t>
      </w:r>
      <w:r w:rsidR="001A2171">
        <w:rPr>
          <w:sz w:val="22"/>
          <w:szCs w:val="22"/>
        </w:rPr>
        <w:t>ly</w:t>
      </w:r>
      <w:r w:rsidRPr="00E97DE8">
        <w:rPr>
          <w:sz w:val="22"/>
          <w:szCs w:val="22"/>
        </w:rPr>
        <w:t xml:space="preserve"> 2026).</w:t>
      </w:r>
    </w:p>
    <w:sectPr w:rsidR="003150D2" w:rsidRPr="00E97DE8">
      <w:headerReference w:type="default" r:id="rId8"/>
      <w:footerReference w:type="default" r:id="rId9"/>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1AD45" w14:textId="77777777" w:rsidR="00186794" w:rsidRDefault="00186794">
      <w:r>
        <w:separator/>
      </w:r>
    </w:p>
  </w:endnote>
  <w:endnote w:type="continuationSeparator" w:id="0">
    <w:p w14:paraId="02218C1A" w14:textId="77777777" w:rsidR="00186794" w:rsidRDefault="00186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1C19A" w14:textId="77777777" w:rsidR="003150D2" w:rsidRDefault="00000000">
    <w:pPr>
      <w:jc w:val="center"/>
    </w:pPr>
    <w:r>
      <w:rPr>
        <w:color w:val="808080"/>
        <w:sz w:val="18"/>
        <w:szCs w:val="18"/>
      </w:rPr>
      <w:t xml:space="preserve">Page </w:t>
    </w:r>
    <w:r>
      <w:rPr>
        <w:color w:val="808080"/>
        <w:sz w:val="18"/>
        <w:szCs w:val="18"/>
      </w:rPr>
      <w:fldChar w:fldCharType="begin"/>
    </w:r>
    <w:r>
      <w:rPr>
        <w:color w:val="808080"/>
        <w:sz w:val="18"/>
        <w:szCs w:val="18"/>
      </w:rPr>
      <w:instrText>PAGE</w:instrText>
    </w:r>
    <w:r>
      <w:rPr>
        <w:color w:val="808080"/>
        <w:sz w:val="18"/>
        <w:szCs w:val="18"/>
      </w:rPr>
      <w:fldChar w:fldCharType="separate"/>
    </w:r>
    <w:r w:rsidR="004919B9">
      <w:rPr>
        <w:noProof/>
        <w:color w:val="808080"/>
        <w:sz w:val="18"/>
        <w:szCs w:val="18"/>
      </w:rPr>
      <w:t>1</w:t>
    </w:r>
    <w:r>
      <w:rPr>
        <w:color w:val="808080"/>
        <w:sz w:val="18"/>
        <w:szCs w:val="18"/>
      </w:rPr>
      <w:fldChar w:fldCharType="end"/>
    </w:r>
    <w:r>
      <w:rPr>
        <w:color w:val="808080"/>
        <w:sz w:val="18"/>
        <w:szCs w:val="18"/>
      </w:rPr>
      <w:t xml:space="preserve"> of </w:t>
    </w:r>
    <w:r>
      <w:rPr>
        <w:color w:val="808080"/>
        <w:sz w:val="18"/>
        <w:szCs w:val="18"/>
      </w:rPr>
      <w:fldChar w:fldCharType="begin"/>
    </w:r>
    <w:r>
      <w:rPr>
        <w:color w:val="808080"/>
        <w:sz w:val="18"/>
        <w:szCs w:val="18"/>
      </w:rPr>
      <w:instrText>NUMPAGES</w:instrText>
    </w:r>
    <w:r>
      <w:rPr>
        <w:color w:val="808080"/>
        <w:sz w:val="18"/>
        <w:szCs w:val="18"/>
      </w:rPr>
      <w:fldChar w:fldCharType="separate"/>
    </w:r>
    <w:r w:rsidR="004919B9">
      <w:rPr>
        <w:noProof/>
        <w:color w:val="808080"/>
        <w:sz w:val="18"/>
        <w:szCs w:val="18"/>
      </w:rPr>
      <w:t>1</w:t>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E06DD" w14:textId="77777777" w:rsidR="00186794" w:rsidRDefault="00186794">
      <w:r>
        <w:separator/>
      </w:r>
    </w:p>
  </w:footnote>
  <w:footnote w:type="continuationSeparator" w:id="0">
    <w:p w14:paraId="0E30895C" w14:textId="77777777" w:rsidR="00186794" w:rsidRDefault="00186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0682B" w14:textId="77777777" w:rsidR="003150D2" w:rsidRDefault="00000000">
    <w:pPr>
      <w:tabs>
        <w:tab w:val="right" w:pos="9026"/>
      </w:tabs>
    </w:pPr>
    <w:r>
      <w:rPr>
        <w:color w:val="808080"/>
        <w:sz w:val="18"/>
        <w:szCs w:val="18"/>
      </w:rPr>
      <w:t>LCMB7024 – Marketing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B3C8A"/>
    <w:multiLevelType w:val="hybridMultilevel"/>
    <w:tmpl w:val="45449B28"/>
    <w:lvl w:ilvl="0" w:tplc="CFBE487E">
      <w:start w:val="1"/>
      <w:numFmt w:val="bullet"/>
      <w:lvlText w:val="●"/>
      <w:lvlJc w:val="left"/>
      <w:pPr>
        <w:ind w:left="720" w:hanging="360"/>
      </w:pPr>
    </w:lvl>
    <w:lvl w:ilvl="1" w:tplc="6DFAA498">
      <w:start w:val="1"/>
      <w:numFmt w:val="bullet"/>
      <w:lvlText w:val="○"/>
      <w:lvlJc w:val="left"/>
      <w:pPr>
        <w:ind w:left="1440" w:hanging="360"/>
      </w:pPr>
    </w:lvl>
    <w:lvl w:ilvl="2" w:tplc="D5304346">
      <w:start w:val="1"/>
      <w:numFmt w:val="bullet"/>
      <w:lvlText w:val="■"/>
      <w:lvlJc w:val="left"/>
      <w:pPr>
        <w:ind w:left="2160" w:hanging="360"/>
      </w:pPr>
    </w:lvl>
    <w:lvl w:ilvl="3" w:tplc="27BA62C8">
      <w:start w:val="1"/>
      <w:numFmt w:val="bullet"/>
      <w:lvlText w:val="●"/>
      <w:lvlJc w:val="left"/>
      <w:pPr>
        <w:ind w:left="2880" w:hanging="360"/>
      </w:pPr>
    </w:lvl>
    <w:lvl w:ilvl="4" w:tplc="063687FA">
      <w:start w:val="1"/>
      <w:numFmt w:val="bullet"/>
      <w:lvlText w:val="○"/>
      <w:lvlJc w:val="left"/>
      <w:pPr>
        <w:ind w:left="3600" w:hanging="360"/>
      </w:pPr>
    </w:lvl>
    <w:lvl w:ilvl="5" w:tplc="23EEBBBA">
      <w:start w:val="1"/>
      <w:numFmt w:val="bullet"/>
      <w:lvlText w:val="■"/>
      <w:lvlJc w:val="left"/>
      <w:pPr>
        <w:ind w:left="4320" w:hanging="360"/>
      </w:pPr>
    </w:lvl>
    <w:lvl w:ilvl="6" w:tplc="780AA4D2">
      <w:start w:val="1"/>
      <w:numFmt w:val="bullet"/>
      <w:lvlText w:val="●"/>
      <w:lvlJc w:val="left"/>
      <w:pPr>
        <w:ind w:left="5040" w:hanging="360"/>
      </w:pPr>
    </w:lvl>
    <w:lvl w:ilvl="7" w:tplc="A2BC9E42">
      <w:start w:val="1"/>
      <w:numFmt w:val="bullet"/>
      <w:lvlText w:val="●"/>
      <w:lvlJc w:val="left"/>
      <w:pPr>
        <w:ind w:left="5760" w:hanging="360"/>
      </w:pPr>
    </w:lvl>
    <w:lvl w:ilvl="8" w:tplc="F7EA69A6">
      <w:start w:val="1"/>
      <w:numFmt w:val="bullet"/>
      <w:lvlText w:val="●"/>
      <w:lvlJc w:val="left"/>
      <w:pPr>
        <w:ind w:left="6480" w:hanging="360"/>
      </w:pPr>
    </w:lvl>
  </w:abstractNum>
  <w:num w:numId="1" w16cid:durableId="12656476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0D2"/>
    <w:rsid w:val="000A1938"/>
    <w:rsid w:val="00123FCB"/>
    <w:rsid w:val="00186794"/>
    <w:rsid w:val="001A2171"/>
    <w:rsid w:val="001C64CD"/>
    <w:rsid w:val="003150D2"/>
    <w:rsid w:val="003331A5"/>
    <w:rsid w:val="00366FD5"/>
    <w:rsid w:val="00374765"/>
    <w:rsid w:val="003E2AC2"/>
    <w:rsid w:val="0047773B"/>
    <w:rsid w:val="004919B9"/>
    <w:rsid w:val="005152CA"/>
    <w:rsid w:val="00626CC5"/>
    <w:rsid w:val="006811E7"/>
    <w:rsid w:val="0073096D"/>
    <w:rsid w:val="007F1DAB"/>
    <w:rsid w:val="00824C10"/>
    <w:rsid w:val="00845016"/>
    <w:rsid w:val="008629D1"/>
    <w:rsid w:val="008C2D6C"/>
    <w:rsid w:val="008F237F"/>
    <w:rsid w:val="00A41AE5"/>
    <w:rsid w:val="00AE09BC"/>
    <w:rsid w:val="00AE4366"/>
    <w:rsid w:val="00B9565D"/>
    <w:rsid w:val="00CB1C82"/>
    <w:rsid w:val="00CB6F59"/>
    <w:rsid w:val="00D14179"/>
    <w:rsid w:val="00DF4939"/>
    <w:rsid w:val="00E11230"/>
    <w:rsid w:val="00E50C24"/>
    <w:rsid w:val="00E528C3"/>
    <w:rsid w:val="00E97DE8"/>
    <w:rsid w:val="00F30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64868"/>
  <w15:docId w15:val="{FD595EB1-3B22-4102-A5AD-796C5A528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240"/>
      <w:outlineLvl w:val="0"/>
    </w:pPr>
    <w:rPr>
      <w:b/>
      <w:bCs/>
      <w:color w:val="1F4E5F"/>
      <w:sz w:val="30"/>
      <w:szCs w:val="30"/>
    </w:rPr>
  </w:style>
  <w:style w:type="paragraph" w:styleId="Heading2">
    <w:name w:val="heading 2"/>
    <w:uiPriority w:val="9"/>
    <w:unhideWhenUsed/>
    <w:qFormat/>
    <w:pPr>
      <w:spacing w:before="260" w:after="180"/>
      <w:outlineLvl w:val="1"/>
    </w:pPr>
    <w:rPr>
      <w:b/>
      <w:bCs/>
      <w:color w:val="2E75B6"/>
      <w:sz w:val="26"/>
      <w:szCs w:val="26"/>
    </w:rPr>
  </w:style>
  <w:style w:type="paragraph" w:styleId="Heading3">
    <w:name w:val="heading 3"/>
    <w:uiPriority w:val="9"/>
    <w:semiHidden/>
    <w:unhideWhenUsed/>
    <w:qFormat/>
    <w:pPr>
      <w:spacing w:before="200" w:after="140"/>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2">
    <w:name w:val="toc 2"/>
    <w:basedOn w:val="Normal"/>
    <w:next w:val="Normal"/>
    <w:autoRedefine/>
    <w:uiPriority w:val="39"/>
    <w:unhideWhenUsed/>
    <w:rsid w:val="004919B9"/>
    <w:pPr>
      <w:spacing w:after="100"/>
      <w:ind w:left="240"/>
    </w:pPr>
  </w:style>
  <w:style w:type="paragraph" w:styleId="TOC1">
    <w:name w:val="toc 1"/>
    <w:basedOn w:val="Normal"/>
    <w:next w:val="Normal"/>
    <w:autoRedefine/>
    <w:uiPriority w:val="39"/>
    <w:unhideWhenUsed/>
    <w:rsid w:val="004919B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214</TotalTime>
  <Pages>14</Pages>
  <Words>3771</Words>
  <Characters>21498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Nanga Pedro (2247167)</cp:lastModifiedBy>
  <cp:revision>5</cp:revision>
  <cp:lastPrinted>2026-07-01T16:10:00Z</cp:lastPrinted>
  <dcterms:created xsi:type="dcterms:W3CDTF">2026-06-23T17:42:00Z</dcterms:created>
  <dcterms:modified xsi:type="dcterms:W3CDTF">2026-07-21T20:51:00Z</dcterms:modified>
</cp:coreProperties>
</file>