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B7497" w14:textId="46AE390B" w:rsidR="00A16F89" w:rsidRDefault="00A16F89" w:rsidP="00A16F89">
      <w:pPr>
        <w:spacing w:line="480" w:lineRule="auto"/>
        <w:jc w:val="center"/>
        <w:rPr>
          <w:rFonts w:ascii="Times New Roman" w:hAnsi="Times New Roman" w:cs="Times New Roman"/>
          <w:b/>
          <w:bCs/>
          <w:sz w:val="32"/>
          <w:szCs w:val="32"/>
        </w:rPr>
      </w:pPr>
      <w:r>
        <w:rPr>
          <w:noProof/>
        </w:rPr>
        <w:drawing>
          <wp:inline distT="0" distB="0" distL="0" distR="0" wp14:anchorId="24CF46E5" wp14:editId="3EDF883F">
            <wp:extent cx="2156460" cy="1120140"/>
            <wp:effectExtent l="0" t="0" r="0" b="0"/>
            <wp:docPr id="300" name="Picture 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00" name="Picture 300" descr="A black background with white text&#10;&#10;Description automatically generated"/>
                    <pic:cNvPicPr/>
                  </pic:nvPicPr>
                  <pic:blipFill>
                    <a:blip r:embed="rId7"/>
                    <a:stretch>
                      <a:fillRect/>
                    </a:stretch>
                  </pic:blipFill>
                  <pic:spPr>
                    <a:xfrm>
                      <a:off x="0" y="0"/>
                      <a:ext cx="2156460" cy="1120140"/>
                    </a:xfrm>
                    <a:prstGeom prst="rect">
                      <a:avLst/>
                    </a:prstGeom>
                  </pic:spPr>
                </pic:pic>
              </a:graphicData>
            </a:graphic>
          </wp:inline>
        </w:drawing>
      </w:r>
    </w:p>
    <w:p w14:paraId="6F1E10FE" w14:textId="77777777" w:rsidR="00A16F89" w:rsidRDefault="00A16F89" w:rsidP="00A16F89">
      <w:pPr>
        <w:spacing w:line="480" w:lineRule="auto"/>
        <w:jc w:val="center"/>
        <w:rPr>
          <w:rFonts w:ascii="Times New Roman" w:hAnsi="Times New Roman" w:cs="Times New Roman"/>
          <w:b/>
          <w:bCs/>
          <w:sz w:val="32"/>
          <w:szCs w:val="32"/>
        </w:rPr>
      </w:pPr>
    </w:p>
    <w:p w14:paraId="047DBB65" w14:textId="6F3B7565" w:rsidR="00A16F89" w:rsidRDefault="00A16F89" w:rsidP="00A16F89">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Program: MBA – Master of Business Administration</w:t>
      </w:r>
    </w:p>
    <w:p w14:paraId="668AD679" w14:textId="5E4E048E" w:rsidR="00A16F89" w:rsidRDefault="00A16F89" w:rsidP="00A16F89">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Module:</w:t>
      </w:r>
      <w:r w:rsidR="00077349">
        <w:rPr>
          <w:rFonts w:ascii="Times New Roman" w:hAnsi="Times New Roman" w:cs="Times New Roman"/>
          <w:b/>
          <w:bCs/>
          <w:sz w:val="32"/>
          <w:szCs w:val="32"/>
        </w:rPr>
        <w:t xml:space="preserve"> </w:t>
      </w:r>
      <w:r w:rsidR="00077349">
        <w:rPr>
          <w:rFonts w:ascii="Times New Roman" w:hAnsi="Times New Roman" w:cs="Times New Roman"/>
          <w:b/>
          <w:bCs/>
          <w:sz w:val="32"/>
          <w:szCs w:val="32"/>
        </w:rPr>
        <w:t>C</w:t>
      </w:r>
      <w:r w:rsidR="00077349">
        <w:rPr>
          <w:rFonts w:ascii="Times New Roman" w:hAnsi="Times New Roman" w:cs="Times New Roman"/>
          <w:b/>
          <w:bCs/>
          <w:sz w:val="32"/>
          <w:szCs w:val="32"/>
        </w:rPr>
        <w:t xml:space="preserve">orporate </w:t>
      </w:r>
      <w:r w:rsidR="00077349">
        <w:rPr>
          <w:rFonts w:ascii="Times New Roman" w:hAnsi="Times New Roman" w:cs="Times New Roman"/>
          <w:b/>
          <w:bCs/>
          <w:sz w:val="32"/>
          <w:szCs w:val="32"/>
        </w:rPr>
        <w:t>F</w:t>
      </w:r>
      <w:r w:rsidR="00077349">
        <w:rPr>
          <w:rFonts w:ascii="Times New Roman" w:hAnsi="Times New Roman" w:cs="Times New Roman"/>
          <w:b/>
          <w:bCs/>
          <w:sz w:val="32"/>
          <w:szCs w:val="32"/>
        </w:rPr>
        <w:t>inance</w:t>
      </w:r>
      <w:r>
        <w:rPr>
          <w:rFonts w:ascii="Times New Roman" w:hAnsi="Times New Roman" w:cs="Times New Roman"/>
          <w:b/>
          <w:bCs/>
          <w:sz w:val="32"/>
          <w:szCs w:val="32"/>
        </w:rPr>
        <w:t xml:space="preserve"> </w:t>
      </w:r>
    </w:p>
    <w:p w14:paraId="7752D66A" w14:textId="5F8B50B3" w:rsidR="00A16F89" w:rsidRDefault="00A16F89" w:rsidP="00A16F89">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Module Code: LCMB70</w:t>
      </w:r>
      <w:r w:rsidR="00077349">
        <w:rPr>
          <w:rFonts w:ascii="Times New Roman" w:hAnsi="Times New Roman" w:cs="Times New Roman"/>
          <w:b/>
          <w:bCs/>
          <w:sz w:val="32"/>
          <w:szCs w:val="32"/>
        </w:rPr>
        <w:t>05</w:t>
      </w:r>
    </w:p>
    <w:p w14:paraId="3FF8A761" w14:textId="54CF87E8" w:rsidR="00A16F89" w:rsidRDefault="00A16F89" w:rsidP="00A16F89">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Assignment Title:</w:t>
      </w:r>
      <w:r w:rsidR="00077349" w:rsidRPr="00077349">
        <w:rPr>
          <w:rFonts w:ascii="Times New Roman" w:hAnsi="Times New Roman" w:cs="Times New Roman"/>
          <w:b/>
          <w:bCs/>
          <w:sz w:val="32"/>
          <w:szCs w:val="32"/>
        </w:rPr>
        <w:t xml:space="preserve"> </w:t>
      </w:r>
      <w:r w:rsidR="00077349">
        <w:rPr>
          <w:rFonts w:ascii="Times New Roman" w:hAnsi="Times New Roman" w:cs="Times New Roman"/>
          <w:b/>
          <w:bCs/>
          <w:sz w:val="32"/>
          <w:szCs w:val="32"/>
        </w:rPr>
        <w:t>C</w:t>
      </w:r>
      <w:r w:rsidR="00077349" w:rsidRPr="00077349">
        <w:rPr>
          <w:rFonts w:ascii="Times New Roman" w:hAnsi="Times New Roman" w:cs="Times New Roman"/>
          <w:b/>
          <w:bCs/>
          <w:sz w:val="32"/>
          <w:szCs w:val="32"/>
        </w:rPr>
        <w:t xml:space="preserve">orporate </w:t>
      </w:r>
      <w:r w:rsidR="00077349">
        <w:rPr>
          <w:rFonts w:ascii="Times New Roman" w:hAnsi="Times New Roman" w:cs="Times New Roman"/>
          <w:b/>
          <w:bCs/>
          <w:sz w:val="32"/>
          <w:szCs w:val="32"/>
        </w:rPr>
        <w:t>F</w:t>
      </w:r>
      <w:r w:rsidR="00077349" w:rsidRPr="00077349">
        <w:rPr>
          <w:rFonts w:ascii="Times New Roman" w:hAnsi="Times New Roman" w:cs="Times New Roman"/>
          <w:b/>
          <w:bCs/>
          <w:sz w:val="32"/>
          <w:szCs w:val="32"/>
        </w:rPr>
        <w:t>inance</w:t>
      </w:r>
    </w:p>
    <w:p w14:paraId="744D22FD" w14:textId="61F89170" w:rsidR="00A16F89" w:rsidRPr="00A16F89" w:rsidRDefault="00A16F89" w:rsidP="00A16F89">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Student ID:2315380</w:t>
      </w:r>
    </w:p>
    <w:p w14:paraId="654C6D47" w14:textId="61674A17" w:rsidR="00EE049B" w:rsidRDefault="00EE049B" w:rsidP="00A16F89">
      <w:pPr>
        <w:rPr>
          <w:rFonts w:ascii="Calibri" w:hAnsi="Calibri" w:cs="Calibri"/>
          <w:b/>
          <w:bCs/>
          <w:sz w:val="32"/>
          <w:szCs w:val="32"/>
        </w:rPr>
      </w:pPr>
    </w:p>
    <w:p w14:paraId="5641F24B" w14:textId="77777777" w:rsidR="00EE049B" w:rsidRDefault="00EE049B" w:rsidP="00A16F89">
      <w:pPr>
        <w:rPr>
          <w:rFonts w:ascii="Calibri" w:hAnsi="Calibri" w:cs="Calibri"/>
          <w:b/>
          <w:bCs/>
          <w:sz w:val="32"/>
          <w:szCs w:val="32"/>
        </w:rPr>
      </w:pPr>
    </w:p>
    <w:p w14:paraId="7FF5E047" w14:textId="77777777" w:rsidR="00EE049B" w:rsidRDefault="00EE049B" w:rsidP="00274BB4">
      <w:pPr>
        <w:jc w:val="center"/>
        <w:rPr>
          <w:rFonts w:ascii="Calibri" w:hAnsi="Calibri" w:cs="Calibri"/>
          <w:b/>
          <w:bCs/>
          <w:sz w:val="32"/>
          <w:szCs w:val="32"/>
        </w:rPr>
      </w:pPr>
    </w:p>
    <w:p w14:paraId="13D55A79" w14:textId="77777777" w:rsidR="00EE049B" w:rsidRDefault="00EE049B" w:rsidP="00274BB4">
      <w:pPr>
        <w:jc w:val="center"/>
        <w:rPr>
          <w:rFonts w:ascii="Calibri" w:hAnsi="Calibri" w:cs="Calibri"/>
          <w:b/>
          <w:bCs/>
          <w:sz w:val="32"/>
          <w:szCs w:val="32"/>
        </w:rPr>
      </w:pPr>
    </w:p>
    <w:p w14:paraId="4565D92D" w14:textId="77777777" w:rsidR="00EE049B" w:rsidRDefault="00EE049B" w:rsidP="00274BB4">
      <w:pPr>
        <w:jc w:val="center"/>
        <w:rPr>
          <w:rFonts w:ascii="Calibri" w:hAnsi="Calibri" w:cs="Calibri"/>
          <w:b/>
          <w:bCs/>
          <w:sz w:val="32"/>
          <w:szCs w:val="32"/>
        </w:rPr>
      </w:pPr>
    </w:p>
    <w:p w14:paraId="6FD491C3" w14:textId="77777777" w:rsidR="00EE049B" w:rsidRDefault="00EE049B" w:rsidP="00274BB4">
      <w:pPr>
        <w:jc w:val="center"/>
        <w:rPr>
          <w:rFonts w:ascii="Calibri" w:hAnsi="Calibri" w:cs="Calibri"/>
          <w:b/>
          <w:bCs/>
          <w:sz w:val="32"/>
          <w:szCs w:val="32"/>
        </w:rPr>
      </w:pPr>
    </w:p>
    <w:p w14:paraId="2658AD94" w14:textId="77777777" w:rsidR="00EE049B" w:rsidRDefault="00EE049B" w:rsidP="00274BB4">
      <w:pPr>
        <w:jc w:val="center"/>
        <w:rPr>
          <w:rFonts w:ascii="Calibri" w:hAnsi="Calibri" w:cs="Calibri"/>
          <w:b/>
          <w:bCs/>
          <w:sz w:val="32"/>
          <w:szCs w:val="32"/>
        </w:rPr>
      </w:pPr>
    </w:p>
    <w:p w14:paraId="4BF93D41" w14:textId="77777777" w:rsidR="00EE049B" w:rsidRDefault="00EE049B" w:rsidP="00274BB4">
      <w:pPr>
        <w:jc w:val="center"/>
        <w:rPr>
          <w:rFonts w:ascii="Calibri" w:hAnsi="Calibri" w:cs="Calibri"/>
          <w:b/>
          <w:bCs/>
          <w:sz w:val="32"/>
          <w:szCs w:val="32"/>
        </w:rPr>
      </w:pPr>
    </w:p>
    <w:p w14:paraId="77FB595F" w14:textId="77777777" w:rsidR="00EE049B" w:rsidRDefault="00EE049B" w:rsidP="00274BB4">
      <w:pPr>
        <w:jc w:val="center"/>
        <w:rPr>
          <w:rFonts w:ascii="Calibri" w:hAnsi="Calibri" w:cs="Calibri"/>
          <w:b/>
          <w:bCs/>
          <w:sz w:val="32"/>
          <w:szCs w:val="32"/>
        </w:rPr>
      </w:pPr>
    </w:p>
    <w:p w14:paraId="28C1254C" w14:textId="77777777" w:rsidR="00EE049B" w:rsidRDefault="00EE049B" w:rsidP="00274BB4">
      <w:pPr>
        <w:jc w:val="center"/>
        <w:rPr>
          <w:rFonts w:ascii="Calibri" w:hAnsi="Calibri" w:cs="Calibri"/>
          <w:b/>
          <w:bCs/>
          <w:sz w:val="32"/>
          <w:szCs w:val="32"/>
        </w:rPr>
      </w:pPr>
    </w:p>
    <w:p w14:paraId="3E9DF2B4" w14:textId="77777777" w:rsidR="00EE049B" w:rsidRDefault="00EE049B" w:rsidP="00274BB4">
      <w:pPr>
        <w:jc w:val="center"/>
        <w:rPr>
          <w:rFonts w:ascii="Calibri" w:hAnsi="Calibri" w:cs="Calibri"/>
          <w:b/>
          <w:bCs/>
          <w:sz w:val="32"/>
          <w:szCs w:val="32"/>
        </w:rPr>
      </w:pPr>
    </w:p>
    <w:p w14:paraId="3296E425" w14:textId="77777777" w:rsidR="00EE049B" w:rsidRDefault="00EE049B" w:rsidP="00274BB4">
      <w:pPr>
        <w:jc w:val="center"/>
        <w:rPr>
          <w:rFonts w:ascii="Calibri" w:hAnsi="Calibri" w:cs="Calibri"/>
          <w:b/>
          <w:bCs/>
          <w:sz w:val="32"/>
          <w:szCs w:val="32"/>
        </w:rPr>
      </w:pPr>
    </w:p>
    <w:sdt>
      <w:sdtPr>
        <w:rPr>
          <w:rFonts w:asciiTheme="minorHAnsi" w:eastAsia="Arial" w:hAnsiTheme="minorHAnsi" w:cstheme="minorHAnsi"/>
          <w:color w:val="auto"/>
          <w:kern w:val="2"/>
          <w:sz w:val="24"/>
          <w:szCs w:val="24"/>
          <w:lang w:val="en-GB"/>
          <w14:ligatures w14:val="standardContextual"/>
        </w:rPr>
        <w:id w:val="2054263637"/>
        <w:docPartObj>
          <w:docPartGallery w:val="Table of Contents"/>
          <w:docPartUnique/>
        </w:docPartObj>
      </w:sdtPr>
      <w:sdtEndPr>
        <w:rPr>
          <w:rFonts w:eastAsiaTheme="minorHAnsi"/>
          <w:b/>
          <w:bCs/>
        </w:rPr>
      </w:sdtEndPr>
      <w:sdtContent>
        <w:p w14:paraId="70EE2F17" w14:textId="1F3914EF" w:rsidR="00EE049B" w:rsidRPr="00563E28" w:rsidRDefault="00EE049B" w:rsidP="00563E28">
          <w:pPr>
            <w:pStyle w:val="TOCHeading1"/>
            <w:spacing w:before="0" w:line="480" w:lineRule="auto"/>
            <w:jc w:val="center"/>
            <w:rPr>
              <w:rFonts w:ascii="Calibri" w:hAnsi="Calibri" w:cs="Calibri"/>
              <w:b/>
              <w:bCs/>
              <w:color w:val="000000" w:themeColor="text1"/>
              <w:sz w:val="24"/>
              <w:szCs w:val="24"/>
            </w:rPr>
          </w:pPr>
          <w:r w:rsidRPr="00563E28">
            <w:rPr>
              <w:rFonts w:ascii="Calibri" w:hAnsi="Calibri" w:cs="Calibri"/>
              <w:b/>
              <w:bCs/>
              <w:color w:val="000000" w:themeColor="text1"/>
              <w:sz w:val="24"/>
              <w:szCs w:val="24"/>
            </w:rPr>
            <w:t>Table of Contents</w:t>
          </w:r>
          <w:r w:rsidRPr="00563E28">
            <w:rPr>
              <w:rFonts w:ascii="Calibri" w:eastAsia="Arial" w:hAnsi="Calibri" w:cs="Calibri"/>
              <w:sz w:val="24"/>
              <w:szCs w:val="24"/>
            </w:rPr>
            <w:fldChar w:fldCharType="begin"/>
          </w:r>
          <w:r w:rsidRPr="00563E28">
            <w:rPr>
              <w:rFonts w:ascii="Calibri" w:hAnsi="Calibri" w:cs="Calibri"/>
              <w:sz w:val="24"/>
              <w:szCs w:val="24"/>
            </w:rPr>
            <w:instrText xml:space="preserve"> TOC \o "1-3" \h \z \u </w:instrText>
          </w:r>
          <w:r w:rsidRPr="00563E28">
            <w:rPr>
              <w:rFonts w:ascii="Calibri" w:eastAsia="Arial" w:hAnsi="Calibri" w:cs="Calibri"/>
              <w:sz w:val="24"/>
              <w:szCs w:val="24"/>
            </w:rPr>
            <w:fldChar w:fldCharType="separate"/>
          </w:r>
        </w:p>
        <w:p w14:paraId="7C9188DA" w14:textId="43C259B0" w:rsidR="00EE049B" w:rsidRPr="00563E28" w:rsidRDefault="0055716D" w:rsidP="00EE049B">
          <w:pPr>
            <w:pStyle w:val="TOC1"/>
            <w:tabs>
              <w:tab w:val="right" w:leader="dot" w:pos="9019"/>
            </w:tabs>
            <w:spacing w:after="0" w:line="480" w:lineRule="auto"/>
            <w:jc w:val="center"/>
            <w:rPr>
              <w:rFonts w:ascii="Calibri" w:hAnsi="Calibri" w:cs="Calibri"/>
              <w:sz w:val="24"/>
              <w:szCs w:val="24"/>
            </w:rPr>
          </w:pPr>
          <w:r w:rsidRPr="00563E28">
            <w:rPr>
              <w:rFonts w:ascii="Calibri" w:hAnsi="Calibri" w:cs="Calibri"/>
              <w:sz w:val="24"/>
              <w:szCs w:val="24"/>
            </w:rPr>
            <w:t>Part A</w:t>
          </w:r>
          <w:hyperlink w:anchor="_Toc130301090" w:history="1">
            <w:r w:rsidR="00EE049B" w:rsidRPr="00563E28">
              <w:rPr>
                <w:rFonts w:ascii="Calibri" w:hAnsi="Calibri" w:cs="Calibri"/>
                <w:sz w:val="24"/>
                <w:szCs w:val="24"/>
              </w:rPr>
              <w:tab/>
            </w:r>
            <w:r w:rsidR="00563E28">
              <w:rPr>
                <w:rFonts w:ascii="Calibri" w:hAnsi="Calibri" w:cs="Calibri"/>
                <w:sz w:val="24"/>
                <w:szCs w:val="24"/>
                <w:lang w:val="en-IN"/>
              </w:rPr>
              <w:t>3</w:t>
            </w:r>
          </w:hyperlink>
        </w:p>
        <w:p w14:paraId="763C0B01" w14:textId="48821A96" w:rsidR="00EE049B" w:rsidRPr="00563E28" w:rsidRDefault="0055716D" w:rsidP="00EE049B">
          <w:pPr>
            <w:pStyle w:val="TOC1"/>
            <w:tabs>
              <w:tab w:val="right" w:leader="dot" w:pos="9019"/>
            </w:tabs>
            <w:spacing w:after="0" w:line="480" w:lineRule="auto"/>
            <w:rPr>
              <w:rFonts w:ascii="Calibri" w:hAnsi="Calibri" w:cs="Calibri"/>
              <w:sz w:val="24"/>
              <w:szCs w:val="24"/>
              <w:lang w:val="en-IN"/>
            </w:rPr>
          </w:pPr>
          <w:r w:rsidRPr="00563E28">
            <w:rPr>
              <w:rFonts w:ascii="Calibri" w:hAnsi="Calibri" w:cs="Calibri"/>
              <w:sz w:val="24"/>
              <w:szCs w:val="24"/>
            </w:rPr>
            <w:t>Part B</w:t>
          </w:r>
          <w:hyperlink w:anchor="_Toc130301090" w:history="1">
            <w:r w:rsidR="00EE049B" w:rsidRPr="00563E28">
              <w:rPr>
                <w:rFonts w:ascii="Calibri" w:hAnsi="Calibri" w:cs="Calibri"/>
                <w:sz w:val="24"/>
                <w:szCs w:val="24"/>
              </w:rPr>
              <w:tab/>
            </w:r>
            <w:r w:rsidR="005C195F">
              <w:rPr>
                <w:rFonts w:ascii="Calibri" w:hAnsi="Calibri" w:cs="Calibri"/>
                <w:sz w:val="24"/>
                <w:szCs w:val="24"/>
                <w:lang w:val="en-IN"/>
              </w:rPr>
              <w:t>4</w:t>
            </w:r>
          </w:hyperlink>
        </w:p>
        <w:p w14:paraId="787F1048" w14:textId="782EC441" w:rsidR="00EE049B" w:rsidRPr="00563E28" w:rsidRDefault="00000000" w:rsidP="00EE049B">
          <w:pPr>
            <w:pStyle w:val="TOC1"/>
            <w:tabs>
              <w:tab w:val="right" w:leader="dot" w:pos="9019"/>
            </w:tabs>
            <w:spacing w:after="0" w:line="480" w:lineRule="auto"/>
            <w:jc w:val="center"/>
            <w:rPr>
              <w:rFonts w:ascii="Calibri" w:hAnsi="Calibri" w:cs="Calibri"/>
              <w:sz w:val="24"/>
              <w:szCs w:val="24"/>
              <w:lang w:val="en-IN"/>
            </w:rPr>
          </w:pPr>
          <w:hyperlink w:anchor="_Toc130301098" w:history="1">
            <w:r w:rsidR="0055716D" w:rsidRPr="00563E28">
              <w:rPr>
                <w:rFonts w:ascii="Calibri" w:hAnsi="Calibri" w:cs="Calibri"/>
                <w:sz w:val="24"/>
                <w:szCs w:val="24"/>
              </w:rPr>
              <w:t>Part C</w:t>
            </w:r>
            <w:r w:rsidR="00EE049B" w:rsidRPr="00563E28">
              <w:rPr>
                <w:rFonts w:ascii="Calibri" w:hAnsi="Calibri" w:cs="Calibri"/>
                <w:sz w:val="24"/>
                <w:szCs w:val="24"/>
              </w:rPr>
              <w:tab/>
            </w:r>
            <w:r w:rsidR="005C195F">
              <w:rPr>
                <w:rFonts w:ascii="Calibri" w:hAnsi="Calibri" w:cs="Calibri"/>
                <w:sz w:val="24"/>
                <w:szCs w:val="24"/>
                <w:lang w:val="en-IN"/>
              </w:rPr>
              <w:t>18</w:t>
            </w:r>
          </w:hyperlink>
        </w:p>
        <w:p w14:paraId="5B611C26" w14:textId="70C37DDC" w:rsidR="00563E28" w:rsidRPr="00563E28" w:rsidRDefault="00000000" w:rsidP="00563E28">
          <w:pPr>
            <w:pStyle w:val="TOC1"/>
            <w:tabs>
              <w:tab w:val="right" w:leader="dot" w:pos="9019"/>
            </w:tabs>
            <w:spacing w:after="0" w:line="480" w:lineRule="auto"/>
            <w:jc w:val="center"/>
            <w:rPr>
              <w:rFonts w:ascii="Calibri" w:hAnsi="Calibri" w:cs="Calibri"/>
              <w:sz w:val="24"/>
              <w:szCs w:val="24"/>
              <w:lang w:val="en-IN"/>
            </w:rPr>
          </w:pPr>
          <w:hyperlink w:anchor="_Toc130301098" w:history="1">
            <w:r w:rsidR="00563E28" w:rsidRPr="00563E28">
              <w:rPr>
                <w:rFonts w:ascii="Calibri" w:hAnsi="Calibri" w:cs="Calibri"/>
                <w:sz w:val="24"/>
                <w:szCs w:val="24"/>
              </w:rPr>
              <w:t>Conclusion</w:t>
            </w:r>
            <w:r w:rsidR="00563E28" w:rsidRPr="00563E28">
              <w:rPr>
                <w:rFonts w:ascii="Calibri" w:hAnsi="Calibri" w:cs="Calibri"/>
                <w:sz w:val="24"/>
                <w:szCs w:val="24"/>
              </w:rPr>
              <w:tab/>
            </w:r>
            <w:r w:rsidR="00563E28">
              <w:rPr>
                <w:rFonts w:ascii="Calibri" w:hAnsi="Calibri" w:cs="Calibri"/>
                <w:sz w:val="24"/>
                <w:szCs w:val="24"/>
                <w:lang w:val="en-IN"/>
              </w:rPr>
              <w:t>2</w:t>
            </w:r>
            <w:r w:rsidR="005C195F">
              <w:rPr>
                <w:rFonts w:ascii="Calibri" w:hAnsi="Calibri" w:cs="Calibri"/>
                <w:sz w:val="24"/>
                <w:szCs w:val="24"/>
                <w:lang w:val="en-IN"/>
              </w:rPr>
              <w:t>3</w:t>
            </w:r>
          </w:hyperlink>
        </w:p>
        <w:p w14:paraId="3781D637" w14:textId="6E15B1E3" w:rsidR="00563E28" w:rsidRPr="00563E28" w:rsidRDefault="00000000" w:rsidP="00563E28">
          <w:pPr>
            <w:pStyle w:val="TOC1"/>
            <w:tabs>
              <w:tab w:val="right" w:leader="dot" w:pos="9019"/>
            </w:tabs>
            <w:spacing w:after="0" w:line="480" w:lineRule="auto"/>
            <w:jc w:val="center"/>
            <w:rPr>
              <w:rFonts w:ascii="Calibri" w:hAnsi="Calibri" w:cs="Calibri"/>
              <w:sz w:val="24"/>
              <w:szCs w:val="24"/>
              <w:lang w:val="en-IN"/>
            </w:rPr>
          </w:pPr>
          <w:hyperlink w:anchor="_Toc130301098" w:history="1">
            <w:r w:rsidR="00563E28" w:rsidRPr="00563E28">
              <w:rPr>
                <w:rFonts w:ascii="Calibri" w:hAnsi="Calibri" w:cs="Calibri"/>
                <w:sz w:val="24"/>
                <w:szCs w:val="24"/>
              </w:rPr>
              <w:t>References</w:t>
            </w:r>
            <w:r w:rsidR="00563E28" w:rsidRPr="00563E28">
              <w:rPr>
                <w:rFonts w:ascii="Calibri" w:hAnsi="Calibri" w:cs="Calibri"/>
                <w:sz w:val="24"/>
                <w:szCs w:val="24"/>
              </w:rPr>
              <w:tab/>
            </w:r>
            <w:r w:rsidR="00563E28">
              <w:rPr>
                <w:rFonts w:ascii="Calibri" w:hAnsi="Calibri" w:cs="Calibri"/>
                <w:sz w:val="24"/>
                <w:szCs w:val="24"/>
                <w:lang w:val="en-IN"/>
              </w:rPr>
              <w:t>2</w:t>
            </w:r>
            <w:r w:rsidR="005C195F">
              <w:rPr>
                <w:rFonts w:ascii="Calibri" w:hAnsi="Calibri" w:cs="Calibri"/>
                <w:sz w:val="24"/>
                <w:szCs w:val="24"/>
                <w:lang w:val="en-IN"/>
              </w:rPr>
              <w:t>6</w:t>
            </w:r>
          </w:hyperlink>
        </w:p>
        <w:p w14:paraId="6FB0595C" w14:textId="77777777" w:rsidR="00563E28" w:rsidRPr="00563E28" w:rsidRDefault="00563E28" w:rsidP="00563E28">
          <w:pPr>
            <w:rPr>
              <w:rFonts w:ascii="Calibri" w:hAnsi="Calibri" w:cs="Calibri"/>
              <w:sz w:val="24"/>
              <w:szCs w:val="24"/>
              <w:lang w:val="en-IN"/>
            </w:rPr>
          </w:pPr>
        </w:p>
        <w:p w14:paraId="0E258F9C" w14:textId="77777777" w:rsidR="00EE049B" w:rsidRDefault="00EE049B" w:rsidP="00EE049B">
          <w:pPr>
            <w:spacing w:after="0" w:line="480" w:lineRule="auto"/>
            <w:rPr>
              <w:rFonts w:cstheme="minorHAnsi"/>
              <w:b/>
              <w:bCs/>
              <w:sz w:val="24"/>
              <w:szCs w:val="24"/>
            </w:rPr>
          </w:pPr>
          <w:r w:rsidRPr="00563E28">
            <w:rPr>
              <w:rFonts w:ascii="Calibri" w:hAnsi="Calibri" w:cs="Calibri"/>
              <w:b/>
              <w:bCs/>
              <w:sz w:val="24"/>
              <w:szCs w:val="24"/>
            </w:rPr>
            <w:fldChar w:fldCharType="end"/>
          </w:r>
        </w:p>
      </w:sdtContent>
    </w:sdt>
    <w:p w14:paraId="67BC4360" w14:textId="3A282DE6" w:rsidR="00EE049B" w:rsidRDefault="00EE049B" w:rsidP="00274BB4">
      <w:pPr>
        <w:jc w:val="center"/>
        <w:rPr>
          <w:rFonts w:ascii="Calibri" w:hAnsi="Calibri" w:cs="Calibri"/>
          <w:b/>
          <w:bCs/>
          <w:sz w:val="32"/>
          <w:szCs w:val="32"/>
        </w:rPr>
      </w:pPr>
    </w:p>
    <w:p w14:paraId="64F76ECE" w14:textId="77777777" w:rsidR="00EE049B" w:rsidRDefault="00EE049B" w:rsidP="00274BB4">
      <w:pPr>
        <w:jc w:val="center"/>
        <w:rPr>
          <w:rFonts w:ascii="Calibri" w:hAnsi="Calibri" w:cs="Calibri"/>
          <w:b/>
          <w:bCs/>
          <w:sz w:val="32"/>
          <w:szCs w:val="32"/>
        </w:rPr>
      </w:pPr>
    </w:p>
    <w:p w14:paraId="7D80413F" w14:textId="77777777" w:rsidR="00EE049B" w:rsidRDefault="00EE049B" w:rsidP="00274BB4">
      <w:pPr>
        <w:jc w:val="center"/>
        <w:rPr>
          <w:rFonts w:ascii="Calibri" w:hAnsi="Calibri" w:cs="Calibri"/>
          <w:b/>
          <w:bCs/>
          <w:sz w:val="32"/>
          <w:szCs w:val="32"/>
        </w:rPr>
      </w:pPr>
    </w:p>
    <w:p w14:paraId="7F937B56" w14:textId="77777777" w:rsidR="00EE049B" w:rsidRDefault="00EE049B" w:rsidP="00274BB4">
      <w:pPr>
        <w:jc w:val="center"/>
        <w:rPr>
          <w:rFonts w:ascii="Calibri" w:hAnsi="Calibri" w:cs="Calibri"/>
          <w:b/>
          <w:bCs/>
          <w:sz w:val="32"/>
          <w:szCs w:val="32"/>
        </w:rPr>
      </w:pPr>
    </w:p>
    <w:p w14:paraId="1EA67C28" w14:textId="77777777" w:rsidR="00EE049B" w:rsidRDefault="00EE049B" w:rsidP="00274BB4">
      <w:pPr>
        <w:jc w:val="center"/>
        <w:rPr>
          <w:rFonts w:ascii="Calibri" w:hAnsi="Calibri" w:cs="Calibri"/>
          <w:b/>
          <w:bCs/>
          <w:sz w:val="32"/>
          <w:szCs w:val="32"/>
        </w:rPr>
      </w:pPr>
    </w:p>
    <w:p w14:paraId="3A5E0CA9" w14:textId="77777777" w:rsidR="00EE049B" w:rsidRDefault="00EE049B" w:rsidP="00274BB4">
      <w:pPr>
        <w:jc w:val="center"/>
        <w:rPr>
          <w:rFonts w:ascii="Calibri" w:hAnsi="Calibri" w:cs="Calibri"/>
          <w:b/>
          <w:bCs/>
          <w:sz w:val="32"/>
          <w:szCs w:val="32"/>
        </w:rPr>
      </w:pPr>
    </w:p>
    <w:p w14:paraId="578F68E7" w14:textId="77777777" w:rsidR="00EE049B" w:rsidRDefault="00EE049B" w:rsidP="00274BB4">
      <w:pPr>
        <w:jc w:val="center"/>
        <w:rPr>
          <w:rFonts w:ascii="Calibri" w:hAnsi="Calibri" w:cs="Calibri"/>
          <w:b/>
          <w:bCs/>
          <w:sz w:val="32"/>
          <w:szCs w:val="32"/>
        </w:rPr>
      </w:pPr>
    </w:p>
    <w:p w14:paraId="3E3949BC" w14:textId="77777777" w:rsidR="00EE049B" w:rsidRDefault="00EE049B" w:rsidP="00274BB4">
      <w:pPr>
        <w:jc w:val="center"/>
        <w:rPr>
          <w:rFonts w:ascii="Calibri" w:hAnsi="Calibri" w:cs="Calibri"/>
          <w:b/>
          <w:bCs/>
          <w:sz w:val="32"/>
          <w:szCs w:val="32"/>
        </w:rPr>
      </w:pPr>
    </w:p>
    <w:p w14:paraId="2D85C656" w14:textId="77777777" w:rsidR="00EE049B" w:rsidRDefault="00EE049B" w:rsidP="00274BB4">
      <w:pPr>
        <w:jc w:val="center"/>
        <w:rPr>
          <w:rFonts w:ascii="Calibri" w:hAnsi="Calibri" w:cs="Calibri"/>
          <w:b/>
          <w:bCs/>
          <w:sz w:val="32"/>
          <w:szCs w:val="32"/>
        </w:rPr>
      </w:pPr>
    </w:p>
    <w:p w14:paraId="7DA03979" w14:textId="77777777" w:rsidR="00EE049B" w:rsidRDefault="00EE049B" w:rsidP="00274BB4">
      <w:pPr>
        <w:jc w:val="center"/>
        <w:rPr>
          <w:rFonts w:ascii="Calibri" w:hAnsi="Calibri" w:cs="Calibri"/>
          <w:b/>
          <w:bCs/>
          <w:sz w:val="32"/>
          <w:szCs w:val="32"/>
        </w:rPr>
      </w:pPr>
    </w:p>
    <w:p w14:paraId="0980D193" w14:textId="77777777" w:rsidR="00EE049B" w:rsidRDefault="00EE049B" w:rsidP="00274BB4">
      <w:pPr>
        <w:jc w:val="center"/>
        <w:rPr>
          <w:rFonts w:ascii="Calibri" w:hAnsi="Calibri" w:cs="Calibri"/>
          <w:b/>
          <w:bCs/>
          <w:sz w:val="32"/>
          <w:szCs w:val="32"/>
        </w:rPr>
      </w:pPr>
    </w:p>
    <w:p w14:paraId="1CF05EE3" w14:textId="77777777" w:rsidR="00EE049B" w:rsidRDefault="00EE049B" w:rsidP="00274BB4">
      <w:pPr>
        <w:jc w:val="center"/>
        <w:rPr>
          <w:rFonts w:ascii="Calibri" w:hAnsi="Calibri" w:cs="Calibri"/>
          <w:b/>
          <w:bCs/>
          <w:sz w:val="32"/>
          <w:szCs w:val="32"/>
        </w:rPr>
      </w:pPr>
    </w:p>
    <w:p w14:paraId="585AB97A" w14:textId="77777777" w:rsidR="00EE049B" w:rsidRDefault="00EE049B" w:rsidP="00691EC0">
      <w:pPr>
        <w:rPr>
          <w:rFonts w:ascii="Calibri" w:hAnsi="Calibri" w:cs="Calibri"/>
          <w:b/>
          <w:bCs/>
          <w:sz w:val="32"/>
          <w:szCs w:val="32"/>
        </w:rPr>
      </w:pPr>
    </w:p>
    <w:p w14:paraId="6DF481A8" w14:textId="77777777" w:rsidR="00332A57" w:rsidRDefault="00332A57" w:rsidP="00691EC0">
      <w:pPr>
        <w:rPr>
          <w:rFonts w:ascii="Calibri" w:hAnsi="Calibri" w:cs="Calibri"/>
          <w:b/>
          <w:bCs/>
          <w:sz w:val="32"/>
          <w:szCs w:val="32"/>
        </w:rPr>
      </w:pPr>
    </w:p>
    <w:p w14:paraId="5ABE0532" w14:textId="77777777" w:rsidR="001E61B2" w:rsidRDefault="001E61B2" w:rsidP="001E61B2">
      <w:pPr>
        <w:spacing w:after="0"/>
        <w:jc w:val="both"/>
        <w:rPr>
          <w:rFonts w:ascii="Calibri" w:hAnsi="Calibri" w:cs="Calibri"/>
          <w:sz w:val="24"/>
          <w:szCs w:val="24"/>
        </w:rPr>
      </w:pPr>
    </w:p>
    <w:p w14:paraId="6AFFBFB8" w14:textId="77777777" w:rsidR="00EA23A2" w:rsidRDefault="00EA23A2" w:rsidP="001E61B2">
      <w:pPr>
        <w:spacing w:after="0"/>
        <w:jc w:val="both"/>
        <w:rPr>
          <w:rFonts w:ascii="Calibri" w:hAnsi="Calibri" w:cs="Calibri"/>
          <w:sz w:val="24"/>
          <w:szCs w:val="24"/>
        </w:rPr>
      </w:pPr>
    </w:p>
    <w:p w14:paraId="4D6915D7" w14:textId="77777777" w:rsidR="00EA23A2" w:rsidRDefault="00EA23A2" w:rsidP="001E61B2">
      <w:pPr>
        <w:spacing w:after="0"/>
        <w:jc w:val="both"/>
        <w:rPr>
          <w:rFonts w:ascii="Calibri" w:hAnsi="Calibri" w:cs="Calibri"/>
          <w:sz w:val="24"/>
          <w:szCs w:val="24"/>
        </w:rPr>
      </w:pPr>
    </w:p>
    <w:p w14:paraId="1B5702E5" w14:textId="77777777" w:rsidR="00AC4F9C" w:rsidRPr="00AC4F9C" w:rsidRDefault="001E61B2" w:rsidP="00AC4F9C">
      <w:pPr>
        <w:spacing w:after="0" w:line="360" w:lineRule="auto"/>
        <w:jc w:val="both"/>
        <w:rPr>
          <w:rFonts w:ascii="Calibri" w:hAnsi="Calibri" w:cs="Calibri"/>
          <w:b/>
          <w:bCs/>
          <w:color w:val="156082" w:themeColor="accent1"/>
          <w:sz w:val="28"/>
          <w:szCs w:val="28"/>
        </w:rPr>
      </w:pPr>
      <w:r w:rsidRPr="00AC4F9C">
        <w:rPr>
          <w:rFonts w:ascii="Calibri" w:hAnsi="Calibri" w:cs="Calibri"/>
          <w:b/>
          <w:bCs/>
          <w:color w:val="156082" w:themeColor="accent1"/>
          <w:sz w:val="28"/>
          <w:szCs w:val="28"/>
        </w:rPr>
        <w:t>Part A</w:t>
      </w:r>
    </w:p>
    <w:p w14:paraId="58B990D9" w14:textId="5AE842C9" w:rsidR="001E61B2" w:rsidRDefault="00AC4F9C" w:rsidP="001E1875">
      <w:pPr>
        <w:pStyle w:val="ListParagraph"/>
        <w:numPr>
          <w:ilvl w:val="0"/>
          <w:numId w:val="5"/>
        </w:numPr>
        <w:spacing w:after="0" w:line="360" w:lineRule="auto"/>
        <w:ind w:left="426"/>
        <w:jc w:val="both"/>
        <w:rPr>
          <w:rFonts w:ascii="Calibri" w:hAnsi="Calibri" w:cs="Calibri"/>
          <w:b/>
          <w:bCs/>
          <w:color w:val="156082" w:themeColor="accent1"/>
          <w:sz w:val="24"/>
          <w:szCs w:val="24"/>
        </w:rPr>
      </w:pPr>
      <w:r w:rsidRPr="00AC4F9C">
        <w:rPr>
          <w:rFonts w:ascii="Calibri" w:hAnsi="Calibri" w:cs="Calibri"/>
          <w:b/>
          <w:bCs/>
          <w:color w:val="156082" w:themeColor="accent1"/>
          <w:sz w:val="24"/>
          <w:szCs w:val="24"/>
        </w:rPr>
        <w:t>Introduction</w:t>
      </w:r>
    </w:p>
    <w:p w14:paraId="1C1AA667" w14:textId="1569250C" w:rsidR="00AC4F9C" w:rsidRPr="00EA23A2" w:rsidRDefault="00EA23A2" w:rsidP="00EA23A2">
      <w:pPr>
        <w:pStyle w:val="ListParagraph"/>
        <w:spacing w:after="0" w:line="360" w:lineRule="auto"/>
        <w:ind w:left="0"/>
        <w:jc w:val="both"/>
        <w:rPr>
          <w:rFonts w:ascii="Calibri" w:hAnsi="Calibri" w:cs="Calibri"/>
          <w:sz w:val="24"/>
          <w:szCs w:val="24"/>
        </w:rPr>
      </w:pPr>
      <w:r w:rsidRPr="00EA23A2">
        <w:rPr>
          <w:rFonts w:ascii="Calibri" w:hAnsi="Calibri" w:cs="Calibri"/>
          <w:sz w:val="24"/>
          <w:szCs w:val="24"/>
        </w:rPr>
        <w:t>The analysis highlights the evolution of The Walt Disney Company since its inception in 1923 by Walt and Roy Disney. Starting as a premier animation studio, Disney has transformed into a vast media conglomerate, integrating extensive theme parks, television networks, and advanced digital streaming services. This overview includes significant historical milestones and strategic corporate moves that have shaped Disney's industry standing. Over the past five years, key developments such as major acquisitions and a strategic shift towards digital streaming have significantly influenced Disney's market position and operational strategies, reinforcing its role as a leader in the global entertainment landscape.</w:t>
      </w:r>
    </w:p>
    <w:p w14:paraId="20F375E0" w14:textId="77777777" w:rsidR="00EA23A2" w:rsidRPr="00B07094" w:rsidRDefault="00EA23A2" w:rsidP="00EA23A2">
      <w:pPr>
        <w:pStyle w:val="ListParagraph"/>
        <w:spacing w:after="0" w:line="360" w:lineRule="auto"/>
        <w:ind w:left="0"/>
        <w:jc w:val="both"/>
        <w:rPr>
          <w:rFonts w:ascii="Calibri" w:hAnsi="Calibri" w:cs="Calibri"/>
          <w:b/>
          <w:bCs/>
          <w:sz w:val="24"/>
          <w:szCs w:val="24"/>
        </w:rPr>
      </w:pPr>
    </w:p>
    <w:p w14:paraId="1AE8883E" w14:textId="77777777" w:rsidR="00B07094" w:rsidRPr="00B07094" w:rsidRDefault="00B07094" w:rsidP="00B07094">
      <w:pPr>
        <w:spacing w:after="0" w:line="360" w:lineRule="auto"/>
        <w:jc w:val="both"/>
        <w:rPr>
          <w:rFonts w:ascii="Calibri" w:hAnsi="Calibri" w:cs="Calibri"/>
          <w:b/>
          <w:bCs/>
          <w:color w:val="156082" w:themeColor="accent1"/>
          <w:sz w:val="24"/>
          <w:szCs w:val="24"/>
        </w:rPr>
      </w:pPr>
      <w:r w:rsidRPr="00B07094">
        <w:rPr>
          <w:rFonts w:ascii="Calibri" w:hAnsi="Calibri" w:cs="Calibri"/>
          <w:b/>
          <w:bCs/>
          <w:color w:val="156082" w:themeColor="accent1"/>
          <w:sz w:val="24"/>
          <w:szCs w:val="24"/>
        </w:rPr>
        <w:t xml:space="preserve">2. Background </w:t>
      </w:r>
    </w:p>
    <w:p w14:paraId="7C5C98D3"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The Walt Disney Company, established in 1923 by Walt and Roy Disney, is a pillar of creative innovation in entertainment. Initially focused on animated short films, Disney's first major success was the creation of Mickey Mouse in 1928, who became an iconic cultural and company mascot. Over the decades, Disney expanded beyond animation to produce live-action films, television content, and groundbreaking theme parks, starting with Disneyland in 1955. This park set the stage for global expansions, including Walt Disney World and international parks in Tokyo, Paris, Hong Kong, and Shanghai. Disney also broadened its media reach by acquiring ABC and ESPN in the 1990s, and later, major companies like Pixar, Marvel, and Lucasfilm, enhancing its storytelling capabilities across various media. Today, as a major transnational conglomerate, Disney continues to innovate, especially in digital technology, marked by the successful launch of its streaming service, Disney+, in 2019, which quickly became a key player in the streaming industry.</w:t>
      </w:r>
    </w:p>
    <w:p w14:paraId="79F331A9" w14:textId="77777777" w:rsidR="00B07094" w:rsidRDefault="00B07094" w:rsidP="00B07094">
      <w:pPr>
        <w:spacing w:after="0" w:line="360" w:lineRule="auto"/>
        <w:jc w:val="both"/>
        <w:rPr>
          <w:rFonts w:ascii="Calibri" w:hAnsi="Calibri" w:cs="Calibri"/>
          <w:sz w:val="24"/>
          <w:szCs w:val="24"/>
        </w:rPr>
      </w:pPr>
    </w:p>
    <w:p w14:paraId="02D3BB82" w14:textId="7BCB19A2" w:rsidR="00B07094" w:rsidRPr="00B07094" w:rsidRDefault="00B07094" w:rsidP="00B07094">
      <w:pPr>
        <w:spacing w:after="0" w:line="360" w:lineRule="auto"/>
        <w:jc w:val="both"/>
        <w:rPr>
          <w:rFonts w:ascii="Calibri" w:hAnsi="Calibri" w:cs="Calibri"/>
          <w:b/>
          <w:bCs/>
          <w:color w:val="156082" w:themeColor="accent1"/>
          <w:sz w:val="24"/>
          <w:szCs w:val="24"/>
        </w:rPr>
      </w:pPr>
      <w:r w:rsidRPr="00B07094">
        <w:rPr>
          <w:rFonts w:ascii="Calibri" w:hAnsi="Calibri" w:cs="Calibri"/>
          <w:b/>
          <w:bCs/>
          <w:color w:val="156082" w:themeColor="accent1"/>
          <w:sz w:val="24"/>
          <w:szCs w:val="24"/>
        </w:rPr>
        <w:t>2.1 Major competitors</w:t>
      </w:r>
    </w:p>
    <w:p w14:paraId="5590C6F6" w14:textId="61BFA4A5" w:rsidR="00B07094" w:rsidRDefault="00B07094" w:rsidP="00B07094">
      <w:pPr>
        <w:spacing w:after="0" w:line="360" w:lineRule="auto"/>
        <w:jc w:val="both"/>
        <w:rPr>
          <w:rFonts w:ascii="Calibri" w:hAnsi="Calibri" w:cs="Calibri"/>
          <w:sz w:val="24"/>
          <w:szCs w:val="24"/>
        </w:rPr>
      </w:pPr>
      <w:r w:rsidRPr="00B07094">
        <w:rPr>
          <w:rFonts w:ascii="Calibri" w:hAnsi="Calibri" w:cs="Calibri"/>
          <w:sz w:val="24"/>
          <w:szCs w:val="24"/>
        </w:rPr>
        <w:t>The Walt Disney Company is a highly threatened key player from other industry giants such as Comcast Corporation, with the boast of Universal Picture, and Warner Bros. Discovery—both controlling diversified entertainment assets. Johnson (2022) says both competitors challenge Disney across all three major sectors of film, TV, and theme parks.</w:t>
      </w:r>
    </w:p>
    <w:p w14:paraId="22F857CA" w14:textId="77777777" w:rsidR="00B07094" w:rsidRDefault="00B07094" w:rsidP="00B07094">
      <w:pPr>
        <w:spacing w:after="0" w:line="360" w:lineRule="auto"/>
        <w:jc w:val="both"/>
        <w:rPr>
          <w:rFonts w:ascii="Calibri" w:hAnsi="Calibri" w:cs="Calibri"/>
          <w:sz w:val="24"/>
          <w:szCs w:val="24"/>
        </w:rPr>
      </w:pPr>
    </w:p>
    <w:p w14:paraId="20A3A0BC" w14:textId="77777777" w:rsidR="00B07094" w:rsidRPr="00B07094" w:rsidRDefault="00B07094" w:rsidP="00B07094">
      <w:pPr>
        <w:spacing w:after="0" w:line="360" w:lineRule="auto"/>
        <w:jc w:val="both"/>
        <w:rPr>
          <w:rFonts w:ascii="Calibri" w:hAnsi="Calibri" w:cs="Calibri"/>
          <w:b/>
          <w:bCs/>
          <w:color w:val="156082" w:themeColor="accent1"/>
          <w:sz w:val="24"/>
          <w:szCs w:val="24"/>
        </w:rPr>
      </w:pPr>
      <w:r w:rsidRPr="00B07094">
        <w:rPr>
          <w:rFonts w:ascii="Calibri" w:hAnsi="Calibri" w:cs="Calibri"/>
          <w:b/>
          <w:bCs/>
          <w:color w:val="156082" w:themeColor="accent1"/>
          <w:sz w:val="24"/>
          <w:szCs w:val="24"/>
        </w:rPr>
        <w:lastRenderedPageBreak/>
        <w:t>2.2 some corporate events in the last few years</w:t>
      </w:r>
    </w:p>
    <w:p w14:paraId="7AEAAE18" w14:textId="5D38CC73"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In recent years, The Walt Disney Company has actively participated in strategic corporate activities that significantly shaped its business direction and market standing, highlighting its vision and adaptability amidst rapid technological advancements and shifts in consumer behaviour.</w:t>
      </w:r>
    </w:p>
    <w:p w14:paraId="1825D644" w14:textId="77777777" w:rsidR="00EA23A2" w:rsidRPr="00EA23A2" w:rsidRDefault="00EA23A2" w:rsidP="00EA23A2">
      <w:pPr>
        <w:spacing w:after="0" w:line="360" w:lineRule="auto"/>
        <w:jc w:val="both"/>
        <w:rPr>
          <w:rFonts w:ascii="Calibri" w:hAnsi="Calibri" w:cs="Calibri"/>
          <w:sz w:val="24"/>
          <w:szCs w:val="24"/>
        </w:rPr>
      </w:pPr>
    </w:p>
    <w:p w14:paraId="7E99B8CE"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In 2018, Disney made a landmark move by acquiring 21st Century Fox for roughly $71 billion. This acquisition significantly broadened Disney's media and entertainment holdings, including Fox's film and TV studios, cable networks, and international TV operations. This strategic expansion was aimed at enhancing Disney's content offerings to better compete with streaming giants like Netflix and Amazon.</w:t>
      </w:r>
    </w:p>
    <w:p w14:paraId="6A53A953" w14:textId="77777777" w:rsidR="00EA23A2" w:rsidRPr="00EA23A2" w:rsidRDefault="00EA23A2" w:rsidP="00EA23A2">
      <w:pPr>
        <w:spacing w:after="0" w:line="360" w:lineRule="auto"/>
        <w:jc w:val="both"/>
        <w:rPr>
          <w:rFonts w:ascii="Calibri" w:hAnsi="Calibri" w:cs="Calibri"/>
          <w:sz w:val="24"/>
          <w:szCs w:val="24"/>
        </w:rPr>
      </w:pPr>
    </w:p>
    <w:p w14:paraId="2693C3F9"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The following year, Disney launched its own streaming service, Disney+, positioning it as a prime destination for top-tier Disney content. The platform's launch marked a pivotal shift in the company's strategy, tapping into the growing consumer preference for streaming media. By 2021, Disney+ had amassed 100 million subscribers, underscoring its success against other leading streaming services.</w:t>
      </w:r>
    </w:p>
    <w:p w14:paraId="0DD1F3BD" w14:textId="77777777" w:rsidR="00EA23A2" w:rsidRPr="00EA23A2" w:rsidRDefault="00EA23A2" w:rsidP="00EA23A2">
      <w:pPr>
        <w:spacing w:after="0" w:line="360" w:lineRule="auto"/>
        <w:jc w:val="both"/>
        <w:rPr>
          <w:rFonts w:ascii="Calibri" w:hAnsi="Calibri" w:cs="Calibri"/>
          <w:sz w:val="24"/>
          <w:szCs w:val="24"/>
        </w:rPr>
      </w:pPr>
    </w:p>
    <w:p w14:paraId="7346AC53" w14:textId="4A8049B0" w:rsidR="00B07094"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The onset of the COVID-19 pandemic in 2020 forced Disney to adapt its operations, especially impacting its theme parks and film releases. The pandemic-driven closures resulted in significant financial losses, but also pushed Disney to intensify its focus on digital platforms. The company restructured its media and entertainment divisions to prioritize streaming, demonstrating its capacity to leverage corporate restructuring and digital innovation to maintain and even enhance its market position during challenging times.</w:t>
      </w:r>
    </w:p>
    <w:p w14:paraId="78F9ED61" w14:textId="77777777" w:rsidR="00EA23A2" w:rsidRDefault="00EA23A2" w:rsidP="00EA23A2">
      <w:pPr>
        <w:spacing w:after="0" w:line="360" w:lineRule="auto"/>
        <w:jc w:val="both"/>
        <w:rPr>
          <w:rFonts w:ascii="Calibri" w:hAnsi="Calibri" w:cs="Calibri"/>
          <w:sz w:val="24"/>
          <w:szCs w:val="24"/>
        </w:rPr>
      </w:pPr>
    </w:p>
    <w:p w14:paraId="2191C40D" w14:textId="36FDC70D" w:rsidR="00F53A7B" w:rsidRPr="00EA23A2" w:rsidRDefault="001E61B2" w:rsidP="00F35175">
      <w:pPr>
        <w:spacing w:after="0" w:line="360" w:lineRule="auto"/>
        <w:jc w:val="both"/>
        <w:rPr>
          <w:rFonts w:ascii="Calibri" w:hAnsi="Calibri" w:cs="Calibri"/>
          <w:b/>
          <w:bCs/>
          <w:color w:val="156082" w:themeColor="accent1"/>
          <w:sz w:val="28"/>
          <w:szCs w:val="28"/>
        </w:rPr>
      </w:pPr>
      <w:r w:rsidRPr="00B07094">
        <w:rPr>
          <w:rFonts w:ascii="Calibri" w:hAnsi="Calibri" w:cs="Calibri"/>
          <w:b/>
          <w:bCs/>
          <w:color w:val="156082" w:themeColor="accent1"/>
          <w:sz w:val="28"/>
          <w:szCs w:val="28"/>
        </w:rPr>
        <w:t>Part B: Financial Analysis</w:t>
      </w:r>
    </w:p>
    <w:p w14:paraId="514B8709" w14:textId="2233754A" w:rsidR="00F53A7B" w:rsidRPr="00E667D2" w:rsidRDefault="00EA23A2" w:rsidP="00F35175">
      <w:pPr>
        <w:spacing w:after="0" w:line="360" w:lineRule="auto"/>
        <w:jc w:val="both"/>
        <w:rPr>
          <w:rFonts w:ascii="Calibri" w:eastAsia="Times New Roman" w:hAnsi="Calibri" w:cs="Calibri"/>
          <w:b/>
          <w:bCs/>
          <w:color w:val="156082" w:themeColor="accent1"/>
          <w:kern w:val="0"/>
          <w:sz w:val="24"/>
          <w:szCs w:val="24"/>
          <w:lang w:eastAsia="en-GB"/>
          <w14:ligatures w14:val="none"/>
        </w:rPr>
      </w:pPr>
      <w:r>
        <w:rPr>
          <w:rFonts w:ascii="Calibri" w:eastAsia="Times New Roman" w:hAnsi="Calibri" w:cs="Calibri"/>
          <w:b/>
          <w:bCs/>
          <w:color w:val="156082" w:themeColor="accent1"/>
          <w:kern w:val="0"/>
          <w:sz w:val="24"/>
          <w:szCs w:val="24"/>
          <w:lang w:eastAsia="en-GB"/>
          <w14:ligatures w14:val="none"/>
        </w:rPr>
        <w:t>3</w:t>
      </w:r>
      <w:r w:rsidR="00F53A7B" w:rsidRPr="00E667D2">
        <w:rPr>
          <w:rFonts w:ascii="Calibri" w:eastAsia="Times New Roman" w:hAnsi="Calibri" w:cs="Calibri"/>
          <w:b/>
          <w:bCs/>
          <w:color w:val="156082" w:themeColor="accent1"/>
          <w:kern w:val="0"/>
          <w:sz w:val="24"/>
          <w:szCs w:val="24"/>
          <w:lang w:eastAsia="en-GB"/>
          <w14:ligatures w14:val="none"/>
        </w:rPr>
        <w:t xml:space="preserve">. Some financial figures of </w:t>
      </w:r>
      <w:r w:rsidR="00912BC0" w:rsidRPr="00912BC0">
        <w:rPr>
          <w:rFonts w:ascii="Calibri" w:hAnsi="Calibri" w:cs="Calibri"/>
          <w:b/>
          <w:bCs/>
          <w:color w:val="156082" w:themeColor="accent1"/>
          <w:sz w:val="24"/>
          <w:szCs w:val="24"/>
        </w:rPr>
        <w:t>The Walt Disney</w:t>
      </w:r>
      <w:r w:rsidR="00912BC0" w:rsidRPr="00912BC0">
        <w:rPr>
          <w:rFonts w:ascii="Calibri" w:hAnsi="Calibri" w:cs="Calibri"/>
          <w:color w:val="156082" w:themeColor="accent1"/>
          <w:sz w:val="24"/>
          <w:szCs w:val="24"/>
        </w:rPr>
        <w:t xml:space="preserve"> </w:t>
      </w:r>
      <w:r w:rsidR="00F53A7B" w:rsidRPr="00912BC0">
        <w:rPr>
          <w:rFonts w:ascii="Calibri" w:eastAsia="Times New Roman" w:hAnsi="Calibri" w:cs="Calibri"/>
          <w:b/>
          <w:bCs/>
          <w:color w:val="156082" w:themeColor="accent1"/>
          <w:kern w:val="0"/>
          <w:sz w:val="24"/>
          <w:szCs w:val="24"/>
          <w:lang w:eastAsia="en-GB"/>
          <w14:ligatures w14:val="none"/>
        </w:rPr>
        <w:t>from 2019 to 2023</w:t>
      </w:r>
    </w:p>
    <w:p w14:paraId="478CA08F" w14:textId="3EEF15EC" w:rsidR="00F53A7B" w:rsidRDefault="00F53A7B" w:rsidP="00F35175">
      <w:pPr>
        <w:spacing w:after="0" w:line="360" w:lineRule="auto"/>
        <w:jc w:val="both"/>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 xml:space="preserve">    Note: (All figures are in $million)</w:t>
      </w:r>
    </w:p>
    <w:p w14:paraId="459EC559" w14:textId="362DA851" w:rsidR="00F53A7B" w:rsidRPr="006C0C39" w:rsidRDefault="006C0C39" w:rsidP="00F35175">
      <w:pPr>
        <w:spacing w:after="0" w:line="360" w:lineRule="auto"/>
        <w:jc w:val="both"/>
        <w:rPr>
          <w:rFonts w:ascii="Calibri" w:eastAsia="Times New Roman" w:hAnsi="Calibri" w:cs="Calibri"/>
          <w:b/>
          <w:bCs/>
          <w:color w:val="156082" w:themeColor="accent1"/>
          <w:kern w:val="0"/>
          <w:sz w:val="24"/>
          <w:szCs w:val="24"/>
          <w:lang w:eastAsia="en-GB"/>
          <w14:ligatures w14:val="none"/>
        </w:rPr>
      </w:pPr>
      <w:r w:rsidRPr="006C0C39">
        <w:rPr>
          <w:rFonts w:ascii="Calibri" w:eastAsia="Times New Roman" w:hAnsi="Calibri" w:cs="Calibri"/>
          <w:b/>
          <w:bCs/>
          <w:color w:val="156082" w:themeColor="accent1"/>
          <w:kern w:val="0"/>
          <w:sz w:val="24"/>
          <w:szCs w:val="24"/>
          <w:lang w:eastAsia="en-GB"/>
          <w14:ligatures w14:val="none"/>
        </w:rPr>
        <w:t>Table 1</w:t>
      </w:r>
    </w:p>
    <w:tbl>
      <w:tblPr>
        <w:tblStyle w:val="TableGrid"/>
        <w:tblW w:w="0" w:type="auto"/>
        <w:tblLook w:val="04A0" w:firstRow="1" w:lastRow="0" w:firstColumn="1" w:lastColumn="0" w:noHBand="0" w:noVBand="1"/>
      </w:tblPr>
      <w:tblGrid>
        <w:gridCol w:w="1555"/>
        <w:gridCol w:w="1489"/>
        <w:gridCol w:w="1493"/>
        <w:gridCol w:w="1493"/>
        <w:gridCol w:w="1493"/>
        <w:gridCol w:w="1493"/>
      </w:tblGrid>
      <w:tr w:rsidR="00E667D2" w:rsidRPr="00E667D2" w14:paraId="19C9EF16" w14:textId="77777777" w:rsidTr="00E667D2">
        <w:tc>
          <w:tcPr>
            <w:tcW w:w="1555" w:type="dxa"/>
          </w:tcPr>
          <w:p w14:paraId="5A667D14" w14:textId="77777777" w:rsidR="00E667D2" w:rsidRPr="00E667D2" w:rsidRDefault="00E667D2" w:rsidP="00F71900">
            <w:pPr>
              <w:spacing w:line="360" w:lineRule="auto"/>
              <w:jc w:val="both"/>
              <w:rPr>
                <w:rFonts w:ascii="Calibri" w:eastAsia="Times New Roman" w:hAnsi="Calibri" w:cs="Calibri"/>
                <w:b/>
                <w:bCs/>
                <w:kern w:val="0"/>
                <w:sz w:val="24"/>
                <w:szCs w:val="24"/>
                <w:lang w:eastAsia="en-GB"/>
                <w14:ligatures w14:val="none"/>
              </w:rPr>
            </w:pPr>
            <w:r w:rsidRPr="00E667D2">
              <w:rPr>
                <w:rFonts w:ascii="Calibri" w:eastAsia="Times New Roman" w:hAnsi="Calibri" w:cs="Calibri"/>
                <w:b/>
                <w:bCs/>
                <w:kern w:val="0"/>
                <w:sz w:val="24"/>
                <w:szCs w:val="24"/>
                <w:lang w:eastAsia="en-GB"/>
                <w14:ligatures w14:val="none"/>
              </w:rPr>
              <w:t>Financial Metrics</w:t>
            </w:r>
          </w:p>
        </w:tc>
        <w:tc>
          <w:tcPr>
            <w:tcW w:w="1489" w:type="dxa"/>
          </w:tcPr>
          <w:p w14:paraId="28D96120" w14:textId="77777777" w:rsidR="00E667D2" w:rsidRPr="00E667D2" w:rsidRDefault="00E667D2" w:rsidP="00F71900">
            <w:pPr>
              <w:spacing w:line="360" w:lineRule="auto"/>
              <w:jc w:val="both"/>
              <w:rPr>
                <w:rFonts w:ascii="Calibri" w:eastAsia="Times New Roman" w:hAnsi="Calibri" w:cs="Calibri"/>
                <w:b/>
                <w:bCs/>
                <w:kern w:val="0"/>
                <w:sz w:val="24"/>
                <w:szCs w:val="24"/>
                <w:lang w:eastAsia="en-GB"/>
                <w14:ligatures w14:val="none"/>
              </w:rPr>
            </w:pPr>
            <w:r w:rsidRPr="00E667D2">
              <w:rPr>
                <w:rFonts w:ascii="Calibri" w:eastAsia="Times New Roman" w:hAnsi="Calibri" w:cs="Calibri"/>
                <w:b/>
                <w:bCs/>
                <w:kern w:val="0"/>
                <w:sz w:val="24"/>
                <w:szCs w:val="24"/>
                <w:lang w:eastAsia="en-GB"/>
                <w14:ligatures w14:val="none"/>
              </w:rPr>
              <w:t>2019 (in million $)</w:t>
            </w:r>
          </w:p>
        </w:tc>
        <w:tc>
          <w:tcPr>
            <w:tcW w:w="1493" w:type="dxa"/>
          </w:tcPr>
          <w:p w14:paraId="366FE1F1" w14:textId="77777777" w:rsidR="00E667D2" w:rsidRPr="00E667D2" w:rsidRDefault="00E667D2" w:rsidP="00F71900">
            <w:pPr>
              <w:spacing w:line="360" w:lineRule="auto"/>
              <w:jc w:val="both"/>
              <w:rPr>
                <w:rFonts w:ascii="Calibri" w:eastAsia="Times New Roman" w:hAnsi="Calibri" w:cs="Calibri"/>
                <w:b/>
                <w:bCs/>
                <w:kern w:val="0"/>
                <w:sz w:val="24"/>
                <w:szCs w:val="24"/>
                <w:lang w:eastAsia="en-GB"/>
                <w14:ligatures w14:val="none"/>
              </w:rPr>
            </w:pPr>
            <w:r w:rsidRPr="00E667D2">
              <w:rPr>
                <w:rFonts w:ascii="Calibri" w:eastAsia="Times New Roman" w:hAnsi="Calibri" w:cs="Calibri"/>
                <w:b/>
                <w:bCs/>
                <w:kern w:val="0"/>
                <w:sz w:val="24"/>
                <w:szCs w:val="24"/>
                <w:lang w:eastAsia="en-GB"/>
                <w14:ligatures w14:val="none"/>
              </w:rPr>
              <w:t>2020 (in million $)</w:t>
            </w:r>
          </w:p>
        </w:tc>
        <w:tc>
          <w:tcPr>
            <w:tcW w:w="1493" w:type="dxa"/>
          </w:tcPr>
          <w:p w14:paraId="7D3BA1CE" w14:textId="77777777" w:rsidR="00E667D2" w:rsidRPr="00E667D2" w:rsidRDefault="00E667D2" w:rsidP="00F71900">
            <w:pPr>
              <w:spacing w:line="360" w:lineRule="auto"/>
              <w:jc w:val="both"/>
              <w:rPr>
                <w:rFonts w:ascii="Calibri" w:eastAsia="Times New Roman" w:hAnsi="Calibri" w:cs="Calibri"/>
                <w:b/>
                <w:bCs/>
                <w:kern w:val="0"/>
                <w:sz w:val="24"/>
                <w:szCs w:val="24"/>
                <w:lang w:eastAsia="en-GB"/>
                <w14:ligatures w14:val="none"/>
              </w:rPr>
            </w:pPr>
            <w:r w:rsidRPr="00E667D2">
              <w:rPr>
                <w:rFonts w:ascii="Calibri" w:eastAsia="Times New Roman" w:hAnsi="Calibri" w:cs="Calibri"/>
                <w:b/>
                <w:bCs/>
                <w:kern w:val="0"/>
                <w:sz w:val="24"/>
                <w:szCs w:val="24"/>
                <w:lang w:eastAsia="en-GB"/>
                <w14:ligatures w14:val="none"/>
              </w:rPr>
              <w:t>2021 (in million $)</w:t>
            </w:r>
          </w:p>
        </w:tc>
        <w:tc>
          <w:tcPr>
            <w:tcW w:w="1493" w:type="dxa"/>
          </w:tcPr>
          <w:p w14:paraId="73BB5212" w14:textId="77777777" w:rsidR="00E667D2" w:rsidRPr="00E667D2" w:rsidRDefault="00E667D2" w:rsidP="00F71900">
            <w:pPr>
              <w:spacing w:line="360" w:lineRule="auto"/>
              <w:jc w:val="both"/>
              <w:rPr>
                <w:rFonts w:ascii="Calibri" w:eastAsia="Times New Roman" w:hAnsi="Calibri" w:cs="Calibri"/>
                <w:b/>
                <w:bCs/>
                <w:kern w:val="0"/>
                <w:sz w:val="24"/>
                <w:szCs w:val="24"/>
                <w:lang w:eastAsia="en-GB"/>
                <w14:ligatures w14:val="none"/>
              </w:rPr>
            </w:pPr>
            <w:r w:rsidRPr="00E667D2">
              <w:rPr>
                <w:rFonts w:ascii="Calibri" w:eastAsia="Times New Roman" w:hAnsi="Calibri" w:cs="Calibri"/>
                <w:b/>
                <w:bCs/>
                <w:kern w:val="0"/>
                <w:sz w:val="24"/>
                <w:szCs w:val="24"/>
                <w:lang w:eastAsia="en-GB"/>
                <w14:ligatures w14:val="none"/>
              </w:rPr>
              <w:t>2022 (in million $)</w:t>
            </w:r>
          </w:p>
        </w:tc>
        <w:tc>
          <w:tcPr>
            <w:tcW w:w="1493" w:type="dxa"/>
          </w:tcPr>
          <w:p w14:paraId="74486EA7" w14:textId="77777777" w:rsidR="00E667D2" w:rsidRPr="00E667D2" w:rsidRDefault="00E667D2" w:rsidP="00F71900">
            <w:pPr>
              <w:spacing w:line="360" w:lineRule="auto"/>
              <w:jc w:val="both"/>
              <w:rPr>
                <w:rFonts w:ascii="Calibri" w:eastAsia="Times New Roman" w:hAnsi="Calibri" w:cs="Calibri"/>
                <w:b/>
                <w:bCs/>
                <w:kern w:val="0"/>
                <w:sz w:val="24"/>
                <w:szCs w:val="24"/>
                <w:lang w:eastAsia="en-GB"/>
                <w14:ligatures w14:val="none"/>
              </w:rPr>
            </w:pPr>
            <w:r w:rsidRPr="00E667D2">
              <w:rPr>
                <w:rFonts w:ascii="Calibri" w:eastAsia="Times New Roman" w:hAnsi="Calibri" w:cs="Calibri"/>
                <w:b/>
                <w:bCs/>
                <w:kern w:val="0"/>
                <w:sz w:val="24"/>
                <w:szCs w:val="24"/>
                <w:lang w:eastAsia="en-GB"/>
                <w14:ligatures w14:val="none"/>
              </w:rPr>
              <w:t>2023 (in million $)</w:t>
            </w:r>
          </w:p>
        </w:tc>
      </w:tr>
      <w:tr w:rsidR="00E667D2" w:rsidRPr="00E667D2" w14:paraId="0B693205" w14:textId="77777777" w:rsidTr="00E667D2">
        <w:tc>
          <w:tcPr>
            <w:tcW w:w="1555" w:type="dxa"/>
          </w:tcPr>
          <w:p w14:paraId="72E5E08D"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lastRenderedPageBreak/>
              <w:t>Current Assets</w:t>
            </w:r>
          </w:p>
        </w:tc>
        <w:tc>
          <w:tcPr>
            <w:tcW w:w="1489" w:type="dxa"/>
          </w:tcPr>
          <w:p w14:paraId="77E47EF3"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16,825</w:t>
            </w:r>
          </w:p>
        </w:tc>
        <w:tc>
          <w:tcPr>
            <w:tcW w:w="1493" w:type="dxa"/>
          </w:tcPr>
          <w:p w14:paraId="13E728B1"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35,251</w:t>
            </w:r>
          </w:p>
        </w:tc>
        <w:tc>
          <w:tcPr>
            <w:tcW w:w="1493" w:type="dxa"/>
          </w:tcPr>
          <w:p w14:paraId="2610BDE2"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33,657</w:t>
            </w:r>
          </w:p>
        </w:tc>
        <w:tc>
          <w:tcPr>
            <w:tcW w:w="1493" w:type="dxa"/>
          </w:tcPr>
          <w:p w14:paraId="6B5147B0"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29,098</w:t>
            </w:r>
          </w:p>
        </w:tc>
        <w:tc>
          <w:tcPr>
            <w:tcW w:w="1493" w:type="dxa"/>
          </w:tcPr>
          <w:p w14:paraId="28381ACF"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32,763</w:t>
            </w:r>
          </w:p>
        </w:tc>
      </w:tr>
      <w:tr w:rsidR="00E667D2" w:rsidRPr="00E667D2" w14:paraId="053C4311" w14:textId="77777777" w:rsidTr="00E667D2">
        <w:tc>
          <w:tcPr>
            <w:tcW w:w="1555" w:type="dxa"/>
          </w:tcPr>
          <w:p w14:paraId="5DB0B3D8"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Current Liabilities</w:t>
            </w:r>
          </w:p>
        </w:tc>
        <w:tc>
          <w:tcPr>
            <w:tcW w:w="1489" w:type="dxa"/>
          </w:tcPr>
          <w:p w14:paraId="5EF050FD"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17,860</w:t>
            </w:r>
          </w:p>
        </w:tc>
        <w:tc>
          <w:tcPr>
            <w:tcW w:w="1493" w:type="dxa"/>
          </w:tcPr>
          <w:p w14:paraId="445FECDA"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26,628</w:t>
            </w:r>
          </w:p>
        </w:tc>
        <w:tc>
          <w:tcPr>
            <w:tcW w:w="1493" w:type="dxa"/>
          </w:tcPr>
          <w:p w14:paraId="2F0E3319"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31,077</w:t>
            </w:r>
          </w:p>
        </w:tc>
        <w:tc>
          <w:tcPr>
            <w:tcW w:w="1493" w:type="dxa"/>
          </w:tcPr>
          <w:p w14:paraId="4ECB1FFF"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29,073</w:t>
            </w:r>
          </w:p>
        </w:tc>
        <w:tc>
          <w:tcPr>
            <w:tcW w:w="1493" w:type="dxa"/>
          </w:tcPr>
          <w:p w14:paraId="61975246"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31,139</w:t>
            </w:r>
          </w:p>
        </w:tc>
      </w:tr>
      <w:tr w:rsidR="00E667D2" w:rsidRPr="00E667D2" w14:paraId="4240D763" w14:textId="77777777" w:rsidTr="00E667D2">
        <w:tc>
          <w:tcPr>
            <w:tcW w:w="1555" w:type="dxa"/>
          </w:tcPr>
          <w:p w14:paraId="73E58B69"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Cash Flow from Operating Activities</w:t>
            </w:r>
          </w:p>
        </w:tc>
        <w:tc>
          <w:tcPr>
            <w:tcW w:w="1489" w:type="dxa"/>
          </w:tcPr>
          <w:p w14:paraId="482229BD"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5,984</w:t>
            </w:r>
          </w:p>
        </w:tc>
        <w:tc>
          <w:tcPr>
            <w:tcW w:w="1493" w:type="dxa"/>
          </w:tcPr>
          <w:p w14:paraId="61A8156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7,616</w:t>
            </w:r>
          </w:p>
        </w:tc>
        <w:tc>
          <w:tcPr>
            <w:tcW w:w="1493" w:type="dxa"/>
          </w:tcPr>
          <w:p w14:paraId="0849A673"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5,566</w:t>
            </w:r>
          </w:p>
        </w:tc>
        <w:tc>
          <w:tcPr>
            <w:tcW w:w="1493" w:type="dxa"/>
          </w:tcPr>
          <w:p w14:paraId="0C834CB1"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6,002</w:t>
            </w:r>
          </w:p>
        </w:tc>
        <w:tc>
          <w:tcPr>
            <w:tcW w:w="1493" w:type="dxa"/>
          </w:tcPr>
          <w:p w14:paraId="2421DDA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9,866</w:t>
            </w:r>
          </w:p>
        </w:tc>
      </w:tr>
      <w:tr w:rsidR="00E667D2" w:rsidRPr="00E667D2" w14:paraId="1CFB5F5A" w14:textId="77777777" w:rsidTr="00E667D2">
        <w:tc>
          <w:tcPr>
            <w:tcW w:w="1555" w:type="dxa"/>
          </w:tcPr>
          <w:p w14:paraId="4C93BFA4"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Inventory</w:t>
            </w:r>
          </w:p>
        </w:tc>
        <w:tc>
          <w:tcPr>
            <w:tcW w:w="1489" w:type="dxa"/>
          </w:tcPr>
          <w:p w14:paraId="5B2BC5C7"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1,392</w:t>
            </w:r>
          </w:p>
        </w:tc>
        <w:tc>
          <w:tcPr>
            <w:tcW w:w="1493" w:type="dxa"/>
          </w:tcPr>
          <w:p w14:paraId="394F3CE8"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1,583</w:t>
            </w:r>
          </w:p>
        </w:tc>
        <w:tc>
          <w:tcPr>
            <w:tcW w:w="1493" w:type="dxa"/>
          </w:tcPr>
          <w:p w14:paraId="2FE0736A"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1,331</w:t>
            </w:r>
          </w:p>
        </w:tc>
        <w:tc>
          <w:tcPr>
            <w:tcW w:w="1493" w:type="dxa"/>
          </w:tcPr>
          <w:p w14:paraId="50B868E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1,742</w:t>
            </w:r>
          </w:p>
        </w:tc>
        <w:tc>
          <w:tcPr>
            <w:tcW w:w="1493" w:type="dxa"/>
          </w:tcPr>
          <w:p w14:paraId="4D9D0CA8"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1,963</w:t>
            </w:r>
          </w:p>
        </w:tc>
      </w:tr>
      <w:tr w:rsidR="00E667D2" w:rsidRPr="00E667D2" w14:paraId="39F30A0D" w14:textId="77777777" w:rsidTr="00E667D2">
        <w:tc>
          <w:tcPr>
            <w:tcW w:w="1555" w:type="dxa"/>
          </w:tcPr>
          <w:p w14:paraId="7285BCC2"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Total Assets</w:t>
            </w:r>
          </w:p>
        </w:tc>
        <w:tc>
          <w:tcPr>
            <w:tcW w:w="1489" w:type="dxa"/>
          </w:tcPr>
          <w:p w14:paraId="0FA7601B"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98,598</w:t>
            </w:r>
          </w:p>
        </w:tc>
        <w:tc>
          <w:tcPr>
            <w:tcW w:w="1493" w:type="dxa"/>
          </w:tcPr>
          <w:p w14:paraId="231EA894"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193,984</w:t>
            </w:r>
          </w:p>
        </w:tc>
        <w:tc>
          <w:tcPr>
            <w:tcW w:w="1493" w:type="dxa"/>
          </w:tcPr>
          <w:p w14:paraId="6A35F527"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203,609</w:t>
            </w:r>
          </w:p>
        </w:tc>
        <w:tc>
          <w:tcPr>
            <w:tcW w:w="1493" w:type="dxa"/>
          </w:tcPr>
          <w:p w14:paraId="330ACCA2"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203,631</w:t>
            </w:r>
          </w:p>
        </w:tc>
        <w:tc>
          <w:tcPr>
            <w:tcW w:w="1493" w:type="dxa"/>
          </w:tcPr>
          <w:p w14:paraId="4059392B"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205,579</w:t>
            </w:r>
          </w:p>
        </w:tc>
      </w:tr>
      <w:tr w:rsidR="00E667D2" w:rsidRPr="00E667D2" w14:paraId="56BBC05F" w14:textId="77777777" w:rsidTr="00E667D2">
        <w:tc>
          <w:tcPr>
            <w:tcW w:w="1555" w:type="dxa"/>
          </w:tcPr>
          <w:p w14:paraId="09BD64A2"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Shareholder's Equity</w:t>
            </w:r>
          </w:p>
        </w:tc>
        <w:tc>
          <w:tcPr>
            <w:tcW w:w="1489" w:type="dxa"/>
          </w:tcPr>
          <w:p w14:paraId="41CA4509"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48,773</w:t>
            </w:r>
          </w:p>
        </w:tc>
        <w:tc>
          <w:tcPr>
            <w:tcW w:w="1493" w:type="dxa"/>
          </w:tcPr>
          <w:p w14:paraId="07C74E3A"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88,877</w:t>
            </w:r>
          </w:p>
        </w:tc>
        <w:tc>
          <w:tcPr>
            <w:tcW w:w="1493" w:type="dxa"/>
          </w:tcPr>
          <w:p w14:paraId="0410C664"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93,011</w:t>
            </w:r>
          </w:p>
        </w:tc>
        <w:tc>
          <w:tcPr>
            <w:tcW w:w="1493" w:type="dxa"/>
          </w:tcPr>
          <w:p w14:paraId="12978A1A"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95,008</w:t>
            </w:r>
          </w:p>
        </w:tc>
        <w:tc>
          <w:tcPr>
            <w:tcW w:w="1493" w:type="dxa"/>
          </w:tcPr>
          <w:p w14:paraId="5A99BB8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99,277</w:t>
            </w:r>
          </w:p>
        </w:tc>
      </w:tr>
      <w:tr w:rsidR="00E667D2" w:rsidRPr="00E667D2" w14:paraId="74AFF181" w14:textId="77777777" w:rsidTr="00E667D2">
        <w:tc>
          <w:tcPr>
            <w:tcW w:w="1555" w:type="dxa"/>
          </w:tcPr>
          <w:p w14:paraId="7BCFDB4B"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Revenue</w:t>
            </w:r>
          </w:p>
        </w:tc>
        <w:tc>
          <w:tcPr>
            <w:tcW w:w="1489" w:type="dxa"/>
          </w:tcPr>
          <w:p w14:paraId="701CC3D4"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69,570</w:t>
            </w:r>
          </w:p>
        </w:tc>
        <w:tc>
          <w:tcPr>
            <w:tcW w:w="1493" w:type="dxa"/>
          </w:tcPr>
          <w:p w14:paraId="1A919853"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65,388</w:t>
            </w:r>
          </w:p>
        </w:tc>
        <w:tc>
          <w:tcPr>
            <w:tcW w:w="1493" w:type="dxa"/>
          </w:tcPr>
          <w:p w14:paraId="5E8D68D0"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67,418</w:t>
            </w:r>
          </w:p>
        </w:tc>
        <w:tc>
          <w:tcPr>
            <w:tcW w:w="1493" w:type="dxa"/>
          </w:tcPr>
          <w:p w14:paraId="71FAEA6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N/A</w:t>
            </w:r>
          </w:p>
        </w:tc>
        <w:tc>
          <w:tcPr>
            <w:tcW w:w="1493" w:type="dxa"/>
          </w:tcPr>
          <w:p w14:paraId="41FF280A"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N/A</w:t>
            </w:r>
          </w:p>
        </w:tc>
      </w:tr>
      <w:tr w:rsidR="00E667D2" w:rsidRPr="00E667D2" w14:paraId="0F8C90E1" w14:textId="77777777" w:rsidTr="00E667D2">
        <w:tc>
          <w:tcPr>
            <w:tcW w:w="1555" w:type="dxa"/>
          </w:tcPr>
          <w:p w14:paraId="1CD0D4F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Cash</w:t>
            </w:r>
          </w:p>
        </w:tc>
        <w:tc>
          <w:tcPr>
            <w:tcW w:w="1489" w:type="dxa"/>
          </w:tcPr>
          <w:p w14:paraId="12866E7C"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5,455</w:t>
            </w:r>
          </w:p>
        </w:tc>
        <w:tc>
          <w:tcPr>
            <w:tcW w:w="1493" w:type="dxa"/>
          </w:tcPr>
          <w:p w14:paraId="4A49365B"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17,914</w:t>
            </w:r>
          </w:p>
        </w:tc>
        <w:tc>
          <w:tcPr>
            <w:tcW w:w="1493" w:type="dxa"/>
          </w:tcPr>
          <w:p w14:paraId="75B71A72"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15,959</w:t>
            </w:r>
          </w:p>
        </w:tc>
        <w:tc>
          <w:tcPr>
            <w:tcW w:w="1493" w:type="dxa"/>
          </w:tcPr>
          <w:p w14:paraId="0C7E7C02"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11,615</w:t>
            </w:r>
          </w:p>
        </w:tc>
        <w:tc>
          <w:tcPr>
            <w:tcW w:w="1493" w:type="dxa"/>
          </w:tcPr>
          <w:p w14:paraId="6B67FE1D"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14,182</w:t>
            </w:r>
          </w:p>
        </w:tc>
      </w:tr>
      <w:tr w:rsidR="00E667D2" w:rsidRPr="00301978" w14:paraId="60CB0F71" w14:textId="77777777" w:rsidTr="00E667D2">
        <w:tc>
          <w:tcPr>
            <w:tcW w:w="1555" w:type="dxa"/>
          </w:tcPr>
          <w:p w14:paraId="1E9EC269"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Net Profit After Tax</w:t>
            </w:r>
          </w:p>
        </w:tc>
        <w:tc>
          <w:tcPr>
            <w:tcW w:w="1489" w:type="dxa"/>
          </w:tcPr>
          <w:p w14:paraId="4B94F23D"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11,584</w:t>
            </w:r>
          </w:p>
        </w:tc>
        <w:tc>
          <w:tcPr>
            <w:tcW w:w="1493" w:type="dxa"/>
          </w:tcPr>
          <w:p w14:paraId="2C1DDB90"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(2,474)</w:t>
            </w:r>
          </w:p>
        </w:tc>
        <w:tc>
          <w:tcPr>
            <w:tcW w:w="1493" w:type="dxa"/>
          </w:tcPr>
          <w:p w14:paraId="107CEF25"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2,507</w:t>
            </w:r>
          </w:p>
        </w:tc>
        <w:tc>
          <w:tcPr>
            <w:tcW w:w="1493" w:type="dxa"/>
          </w:tcPr>
          <w:p w14:paraId="23EF0B07" w14:textId="77777777" w:rsidR="00E667D2" w:rsidRPr="00E667D2"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3,505</w:t>
            </w:r>
          </w:p>
        </w:tc>
        <w:tc>
          <w:tcPr>
            <w:tcW w:w="1493" w:type="dxa"/>
          </w:tcPr>
          <w:p w14:paraId="2486C1F1" w14:textId="77777777" w:rsidR="00E667D2" w:rsidRPr="00301978" w:rsidRDefault="00E667D2" w:rsidP="00F71900">
            <w:pPr>
              <w:spacing w:line="360" w:lineRule="auto"/>
              <w:jc w:val="both"/>
              <w:rPr>
                <w:rFonts w:ascii="Calibri" w:eastAsia="Times New Roman" w:hAnsi="Calibri" w:cs="Calibri"/>
                <w:kern w:val="0"/>
                <w:sz w:val="24"/>
                <w:szCs w:val="24"/>
                <w:lang w:eastAsia="en-GB"/>
                <w14:ligatures w14:val="none"/>
              </w:rPr>
            </w:pPr>
            <w:r w:rsidRPr="00E667D2">
              <w:rPr>
                <w:rFonts w:ascii="Calibri" w:eastAsia="Times New Roman" w:hAnsi="Calibri" w:cs="Calibri"/>
                <w:kern w:val="0"/>
                <w:sz w:val="24"/>
                <w:szCs w:val="24"/>
                <w:lang w:eastAsia="en-GB"/>
                <w14:ligatures w14:val="none"/>
              </w:rPr>
              <w:t>3,390</w:t>
            </w:r>
          </w:p>
        </w:tc>
      </w:tr>
    </w:tbl>
    <w:p w14:paraId="2DDA191A" w14:textId="77777777" w:rsidR="00912BC0" w:rsidRPr="00912BC0" w:rsidRDefault="00912BC0" w:rsidP="00912BC0">
      <w:pPr>
        <w:spacing w:after="0" w:line="360" w:lineRule="auto"/>
        <w:jc w:val="center"/>
        <w:rPr>
          <w:rFonts w:ascii="Calibri" w:hAnsi="Calibri" w:cs="Calibri"/>
          <w:b/>
          <w:bCs/>
          <w:i/>
          <w:iCs/>
          <w:sz w:val="24"/>
          <w:szCs w:val="24"/>
        </w:rPr>
      </w:pPr>
      <w:r w:rsidRPr="00E667D2">
        <w:rPr>
          <w:rFonts w:ascii="Calibri" w:hAnsi="Calibri" w:cs="Calibri"/>
          <w:b/>
          <w:bCs/>
          <w:i/>
          <w:iCs/>
          <w:sz w:val="24"/>
          <w:szCs w:val="24"/>
        </w:rPr>
        <w:t xml:space="preserve">Source: </w:t>
      </w:r>
      <w:r w:rsidRPr="00912BC0">
        <w:rPr>
          <w:rFonts w:ascii="Calibri" w:hAnsi="Calibri" w:cs="Calibri"/>
          <w:b/>
          <w:bCs/>
          <w:i/>
          <w:iCs/>
          <w:sz w:val="24"/>
          <w:szCs w:val="24"/>
        </w:rPr>
        <w:t>Disney, ltd.’s Annual Reports,2019 to 2023.</w:t>
      </w:r>
    </w:p>
    <w:p w14:paraId="032DB32B" w14:textId="29FBA0DF" w:rsidR="00301978" w:rsidRDefault="00301978" w:rsidP="00E667D2">
      <w:pPr>
        <w:spacing w:after="0" w:line="360" w:lineRule="auto"/>
        <w:jc w:val="center"/>
        <w:rPr>
          <w:rFonts w:ascii="Calibri" w:hAnsi="Calibri" w:cs="Calibri"/>
          <w:b/>
          <w:bCs/>
          <w:i/>
          <w:iCs/>
          <w:sz w:val="24"/>
          <w:szCs w:val="24"/>
        </w:rPr>
      </w:pPr>
    </w:p>
    <w:p w14:paraId="58C7BAA8" w14:textId="543DCDC6" w:rsidR="00E667D2" w:rsidRPr="006C0C39" w:rsidRDefault="006C0C39" w:rsidP="006C0C39">
      <w:pPr>
        <w:spacing w:after="0" w:line="360" w:lineRule="auto"/>
        <w:jc w:val="both"/>
        <w:rPr>
          <w:rFonts w:ascii="Calibri" w:hAnsi="Calibri" w:cs="Calibri"/>
          <w:b/>
          <w:bCs/>
          <w:color w:val="156082" w:themeColor="accent1"/>
          <w:sz w:val="24"/>
          <w:szCs w:val="24"/>
        </w:rPr>
      </w:pPr>
      <w:r w:rsidRPr="006C0C39">
        <w:rPr>
          <w:rFonts w:ascii="Calibri" w:hAnsi="Calibri" w:cs="Calibri"/>
          <w:b/>
          <w:bCs/>
          <w:color w:val="156082" w:themeColor="accent1"/>
          <w:sz w:val="24"/>
          <w:szCs w:val="24"/>
        </w:rPr>
        <w:t>Table 2</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667D2" w:rsidRPr="00E667D2" w14:paraId="2D376697" w14:textId="77777777" w:rsidTr="00E667D2">
        <w:tc>
          <w:tcPr>
            <w:tcW w:w="1502" w:type="dxa"/>
          </w:tcPr>
          <w:p w14:paraId="798A342B" w14:textId="77777777" w:rsidR="00E667D2" w:rsidRPr="00E667D2" w:rsidRDefault="00E667D2" w:rsidP="003F4890">
            <w:pPr>
              <w:spacing w:line="360" w:lineRule="auto"/>
              <w:jc w:val="both"/>
              <w:rPr>
                <w:rFonts w:ascii="Calibri" w:hAnsi="Calibri" w:cs="Calibri"/>
                <w:b/>
                <w:bCs/>
                <w:sz w:val="24"/>
                <w:szCs w:val="24"/>
              </w:rPr>
            </w:pPr>
            <w:r w:rsidRPr="00E667D2">
              <w:rPr>
                <w:rFonts w:ascii="Calibri" w:hAnsi="Calibri" w:cs="Calibri"/>
                <w:b/>
                <w:bCs/>
                <w:sz w:val="24"/>
                <w:szCs w:val="24"/>
              </w:rPr>
              <w:t>Financial Metrics</w:t>
            </w:r>
          </w:p>
        </w:tc>
        <w:tc>
          <w:tcPr>
            <w:tcW w:w="1502" w:type="dxa"/>
          </w:tcPr>
          <w:p w14:paraId="46004736" w14:textId="77777777" w:rsidR="00E667D2" w:rsidRPr="00E667D2" w:rsidRDefault="00E667D2" w:rsidP="003F4890">
            <w:pPr>
              <w:spacing w:line="360" w:lineRule="auto"/>
              <w:jc w:val="both"/>
              <w:rPr>
                <w:rFonts w:ascii="Calibri" w:hAnsi="Calibri" w:cs="Calibri"/>
                <w:b/>
                <w:bCs/>
                <w:sz w:val="24"/>
                <w:szCs w:val="24"/>
              </w:rPr>
            </w:pPr>
            <w:r w:rsidRPr="00E667D2">
              <w:rPr>
                <w:rFonts w:ascii="Calibri" w:hAnsi="Calibri" w:cs="Calibri"/>
                <w:b/>
                <w:bCs/>
                <w:sz w:val="24"/>
                <w:szCs w:val="24"/>
              </w:rPr>
              <w:t>2019 (in million $)</w:t>
            </w:r>
          </w:p>
        </w:tc>
        <w:tc>
          <w:tcPr>
            <w:tcW w:w="1503" w:type="dxa"/>
          </w:tcPr>
          <w:p w14:paraId="13B8CA8C" w14:textId="77777777" w:rsidR="00E667D2" w:rsidRPr="00E667D2" w:rsidRDefault="00E667D2" w:rsidP="003F4890">
            <w:pPr>
              <w:spacing w:line="360" w:lineRule="auto"/>
              <w:jc w:val="both"/>
              <w:rPr>
                <w:rFonts w:ascii="Calibri" w:hAnsi="Calibri" w:cs="Calibri"/>
                <w:b/>
                <w:bCs/>
                <w:sz w:val="24"/>
                <w:szCs w:val="24"/>
              </w:rPr>
            </w:pPr>
            <w:r w:rsidRPr="00E667D2">
              <w:rPr>
                <w:rFonts w:ascii="Calibri" w:hAnsi="Calibri" w:cs="Calibri"/>
                <w:b/>
                <w:bCs/>
                <w:sz w:val="24"/>
                <w:szCs w:val="24"/>
              </w:rPr>
              <w:t>2020 (in million $)</w:t>
            </w:r>
          </w:p>
        </w:tc>
        <w:tc>
          <w:tcPr>
            <w:tcW w:w="1503" w:type="dxa"/>
          </w:tcPr>
          <w:p w14:paraId="333F0DDD" w14:textId="77777777" w:rsidR="00E667D2" w:rsidRPr="00E667D2" w:rsidRDefault="00E667D2" w:rsidP="003F4890">
            <w:pPr>
              <w:spacing w:line="360" w:lineRule="auto"/>
              <w:jc w:val="both"/>
              <w:rPr>
                <w:rFonts w:ascii="Calibri" w:hAnsi="Calibri" w:cs="Calibri"/>
                <w:b/>
                <w:bCs/>
                <w:sz w:val="24"/>
                <w:szCs w:val="24"/>
              </w:rPr>
            </w:pPr>
            <w:r w:rsidRPr="00E667D2">
              <w:rPr>
                <w:rFonts w:ascii="Calibri" w:hAnsi="Calibri" w:cs="Calibri"/>
                <w:b/>
                <w:bCs/>
                <w:sz w:val="24"/>
                <w:szCs w:val="24"/>
              </w:rPr>
              <w:t>2021 (in million $)</w:t>
            </w:r>
          </w:p>
        </w:tc>
        <w:tc>
          <w:tcPr>
            <w:tcW w:w="1503" w:type="dxa"/>
          </w:tcPr>
          <w:p w14:paraId="1503A92F" w14:textId="77777777" w:rsidR="00E667D2" w:rsidRPr="00E667D2" w:rsidRDefault="00E667D2" w:rsidP="003F4890">
            <w:pPr>
              <w:spacing w:line="360" w:lineRule="auto"/>
              <w:jc w:val="both"/>
              <w:rPr>
                <w:rFonts w:ascii="Calibri" w:hAnsi="Calibri" w:cs="Calibri"/>
                <w:b/>
                <w:bCs/>
                <w:sz w:val="24"/>
                <w:szCs w:val="24"/>
              </w:rPr>
            </w:pPr>
            <w:r w:rsidRPr="00E667D2">
              <w:rPr>
                <w:rFonts w:ascii="Calibri" w:hAnsi="Calibri" w:cs="Calibri"/>
                <w:b/>
                <w:bCs/>
                <w:sz w:val="24"/>
                <w:szCs w:val="24"/>
              </w:rPr>
              <w:t>2022 (in million $)</w:t>
            </w:r>
          </w:p>
        </w:tc>
        <w:tc>
          <w:tcPr>
            <w:tcW w:w="1503" w:type="dxa"/>
          </w:tcPr>
          <w:p w14:paraId="487E3801" w14:textId="77777777" w:rsidR="00E667D2" w:rsidRPr="00E667D2" w:rsidRDefault="00E667D2" w:rsidP="003F4890">
            <w:pPr>
              <w:spacing w:line="360" w:lineRule="auto"/>
              <w:jc w:val="both"/>
              <w:rPr>
                <w:rFonts w:ascii="Calibri" w:hAnsi="Calibri" w:cs="Calibri"/>
                <w:b/>
                <w:bCs/>
                <w:sz w:val="24"/>
                <w:szCs w:val="24"/>
              </w:rPr>
            </w:pPr>
            <w:r w:rsidRPr="00E667D2">
              <w:rPr>
                <w:rFonts w:ascii="Calibri" w:hAnsi="Calibri" w:cs="Calibri"/>
                <w:b/>
                <w:bCs/>
                <w:sz w:val="24"/>
                <w:szCs w:val="24"/>
              </w:rPr>
              <w:t>2023 (in million $)</w:t>
            </w:r>
          </w:p>
        </w:tc>
      </w:tr>
      <w:tr w:rsidR="00E667D2" w:rsidRPr="00E667D2" w14:paraId="5D7426E8" w14:textId="77777777" w:rsidTr="00E667D2">
        <w:tc>
          <w:tcPr>
            <w:tcW w:w="1502" w:type="dxa"/>
          </w:tcPr>
          <w:p w14:paraId="41677BBB"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Revenue</w:t>
            </w:r>
          </w:p>
        </w:tc>
        <w:tc>
          <w:tcPr>
            <w:tcW w:w="1502" w:type="dxa"/>
          </w:tcPr>
          <w:p w14:paraId="3A029CB6"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69,570</w:t>
            </w:r>
          </w:p>
        </w:tc>
        <w:tc>
          <w:tcPr>
            <w:tcW w:w="1503" w:type="dxa"/>
          </w:tcPr>
          <w:p w14:paraId="1142BB8D"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65,388</w:t>
            </w:r>
          </w:p>
        </w:tc>
        <w:tc>
          <w:tcPr>
            <w:tcW w:w="1503" w:type="dxa"/>
          </w:tcPr>
          <w:p w14:paraId="4821C3FF"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67,418</w:t>
            </w:r>
          </w:p>
        </w:tc>
        <w:tc>
          <w:tcPr>
            <w:tcW w:w="1503" w:type="dxa"/>
          </w:tcPr>
          <w:p w14:paraId="5268FB2E"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82,722</w:t>
            </w:r>
          </w:p>
        </w:tc>
        <w:tc>
          <w:tcPr>
            <w:tcW w:w="1503" w:type="dxa"/>
          </w:tcPr>
          <w:p w14:paraId="207902FB"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88,898</w:t>
            </w:r>
          </w:p>
        </w:tc>
      </w:tr>
      <w:tr w:rsidR="00E667D2" w:rsidRPr="00E667D2" w14:paraId="4354DC47" w14:textId="77777777" w:rsidTr="00E667D2">
        <w:tc>
          <w:tcPr>
            <w:tcW w:w="1502" w:type="dxa"/>
          </w:tcPr>
          <w:p w14:paraId="4C05764F"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Net Income</w:t>
            </w:r>
          </w:p>
        </w:tc>
        <w:tc>
          <w:tcPr>
            <w:tcW w:w="1502" w:type="dxa"/>
          </w:tcPr>
          <w:p w14:paraId="0898A159"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11,584</w:t>
            </w:r>
          </w:p>
        </w:tc>
        <w:tc>
          <w:tcPr>
            <w:tcW w:w="1503" w:type="dxa"/>
          </w:tcPr>
          <w:p w14:paraId="62729558"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(2,474)</w:t>
            </w:r>
          </w:p>
        </w:tc>
        <w:tc>
          <w:tcPr>
            <w:tcW w:w="1503" w:type="dxa"/>
          </w:tcPr>
          <w:p w14:paraId="60D82BC8"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2,507</w:t>
            </w:r>
          </w:p>
        </w:tc>
        <w:tc>
          <w:tcPr>
            <w:tcW w:w="1503" w:type="dxa"/>
          </w:tcPr>
          <w:p w14:paraId="60147730"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3,505</w:t>
            </w:r>
          </w:p>
        </w:tc>
        <w:tc>
          <w:tcPr>
            <w:tcW w:w="1503" w:type="dxa"/>
          </w:tcPr>
          <w:p w14:paraId="0C2D5CFC"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3,390</w:t>
            </w:r>
          </w:p>
        </w:tc>
      </w:tr>
      <w:tr w:rsidR="00E667D2" w:rsidRPr="00E667D2" w14:paraId="2772DBD2" w14:textId="77777777" w:rsidTr="00E667D2">
        <w:tc>
          <w:tcPr>
            <w:tcW w:w="1502" w:type="dxa"/>
          </w:tcPr>
          <w:p w14:paraId="29937A7E"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Earnings Per Share (Diluted)</w:t>
            </w:r>
          </w:p>
        </w:tc>
        <w:tc>
          <w:tcPr>
            <w:tcW w:w="1502" w:type="dxa"/>
          </w:tcPr>
          <w:p w14:paraId="19CF006E"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6.27</w:t>
            </w:r>
          </w:p>
        </w:tc>
        <w:tc>
          <w:tcPr>
            <w:tcW w:w="1503" w:type="dxa"/>
          </w:tcPr>
          <w:p w14:paraId="35502878"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(1.57)</w:t>
            </w:r>
          </w:p>
        </w:tc>
        <w:tc>
          <w:tcPr>
            <w:tcW w:w="1503" w:type="dxa"/>
          </w:tcPr>
          <w:p w14:paraId="5F2D5963"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1.11</w:t>
            </w:r>
          </w:p>
        </w:tc>
        <w:tc>
          <w:tcPr>
            <w:tcW w:w="1503" w:type="dxa"/>
          </w:tcPr>
          <w:p w14:paraId="69CB03FA"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1.75</w:t>
            </w:r>
          </w:p>
        </w:tc>
        <w:tc>
          <w:tcPr>
            <w:tcW w:w="1503" w:type="dxa"/>
          </w:tcPr>
          <w:p w14:paraId="2C6485EF" w14:textId="77777777" w:rsidR="00E667D2" w:rsidRPr="00E667D2" w:rsidRDefault="00E667D2" w:rsidP="003F4890">
            <w:pPr>
              <w:spacing w:line="360" w:lineRule="auto"/>
              <w:jc w:val="both"/>
              <w:rPr>
                <w:rFonts w:ascii="Calibri" w:hAnsi="Calibri" w:cs="Calibri"/>
                <w:sz w:val="24"/>
                <w:szCs w:val="24"/>
              </w:rPr>
            </w:pPr>
            <w:r w:rsidRPr="00E667D2">
              <w:rPr>
                <w:rFonts w:ascii="Calibri" w:hAnsi="Calibri" w:cs="Calibri"/>
                <w:sz w:val="24"/>
                <w:szCs w:val="24"/>
              </w:rPr>
              <w:t>1.29</w:t>
            </w:r>
          </w:p>
        </w:tc>
      </w:tr>
    </w:tbl>
    <w:p w14:paraId="292851DF" w14:textId="68DDD558" w:rsidR="00912BC0" w:rsidRPr="00912BC0" w:rsidRDefault="00E667D2" w:rsidP="00912BC0">
      <w:pPr>
        <w:spacing w:after="0" w:line="360" w:lineRule="auto"/>
        <w:jc w:val="center"/>
        <w:rPr>
          <w:rFonts w:ascii="Calibri" w:hAnsi="Calibri" w:cs="Calibri"/>
          <w:b/>
          <w:bCs/>
          <w:i/>
          <w:iCs/>
          <w:sz w:val="24"/>
          <w:szCs w:val="24"/>
        </w:rPr>
      </w:pPr>
      <w:r w:rsidRPr="00912BC0">
        <w:rPr>
          <w:rFonts w:ascii="Calibri" w:hAnsi="Calibri" w:cs="Calibri"/>
          <w:b/>
          <w:bCs/>
          <w:i/>
          <w:iCs/>
          <w:sz w:val="24"/>
          <w:szCs w:val="24"/>
        </w:rPr>
        <w:t>Source</w:t>
      </w:r>
      <w:r w:rsidR="00912BC0">
        <w:rPr>
          <w:rFonts w:ascii="Calibri" w:hAnsi="Calibri" w:cs="Calibri"/>
          <w:b/>
          <w:bCs/>
          <w:i/>
          <w:iCs/>
          <w:sz w:val="24"/>
          <w:szCs w:val="24"/>
        </w:rPr>
        <w:t xml:space="preserve">: </w:t>
      </w:r>
      <w:r w:rsidR="00912BC0" w:rsidRPr="00912BC0">
        <w:rPr>
          <w:rFonts w:ascii="Calibri" w:hAnsi="Calibri" w:cs="Calibri"/>
          <w:b/>
          <w:bCs/>
          <w:i/>
          <w:iCs/>
          <w:sz w:val="24"/>
          <w:szCs w:val="24"/>
        </w:rPr>
        <w:t>The Walt Disney Annual Reports,2019 to 2023.</w:t>
      </w:r>
    </w:p>
    <w:p w14:paraId="67895A2E" w14:textId="0AD9A92A" w:rsidR="00E667D2" w:rsidRDefault="00E667D2" w:rsidP="00E667D2">
      <w:pPr>
        <w:spacing w:after="0" w:line="360" w:lineRule="auto"/>
        <w:jc w:val="center"/>
        <w:rPr>
          <w:rFonts w:ascii="Calibri" w:hAnsi="Calibri" w:cs="Calibri"/>
          <w:b/>
          <w:bCs/>
          <w:i/>
          <w:iCs/>
          <w:sz w:val="24"/>
          <w:szCs w:val="24"/>
        </w:rPr>
      </w:pPr>
    </w:p>
    <w:p w14:paraId="3A86FC49" w14:textId="38165F88" w:rsidR="00E667D2" w:rsidRDefault="00E667D2" w:rsidP="0074497C">
      <w:pPr>
        <w:spacing w:after="0" w:line="360" w:lineRule="auto"/>
        <w:jc w:val="both"/>
        <w:rPr>
          <w:rFonts w:ascii="Calibri" w:hAnsi="Calibri" w:cs="Calibri"/>
          <w:b/>
          <w:bCs/>
          <w:sz w:val="28"/>
          <w:szCs w:val="28"/>
        </w:rPr>
      </w:pPr>
    </w:p>
    <w:p w14:paraId="423E5603" w14:textId="77777777" w:rsidR="00E667D2" w:rsidRDefault="00E667D2" w:rsidP="00E667D2">
      <w:pPr>
        <w:spacing w:after="0" w:line="360" w:lineRule="auto"/>
        <w:rPr>
          <w:rFonts w:ascii="Calibri" w:hAnsi="Calibri" w:cs="Calibri"/>
          <w:b/>
          <w:bCs/>
          <w:sz w:val="24"/>
          <w:szCs w:val="24"/>
        </w:rPr>
      </w:pPr>
    </w:p>
    <w:p w14:paraId="1D43780A" w14:textId="77777777" w:rsidR="00E667D2" w:rsidRDefault="00E667D2" w:rsidP="00E667D2">
      <w:pPr>
        <w:spacing w:after="0" w:line="360" w:lineRule="auto"/>
        <w:rPr>
          <w:rFonts w:ascii="Calibri" w:hAnsi="Calibri" w:cs="Calibri"/>
          <w:b/>
          <w:bCs/>
          <w:sz w:val="24"/>
          <w:szCs w:val="24"/>
        </w:rPr>
      </w:pPr>
    </w:p>
    <w:p w14:paraId="5FBB1C0B" w14:textId="77777777" w:rsidR="00E667D2" w:rsidRDefault="00E667D2" w:rsidP="00E667D2">
      <w:pPr>
        <w:spacing w:after="0" w:line="360" w:lineRule="auto"/>
        <w:rPr>
          <w:rFonts w:ascii="Calibri" w:hAnsi="Calibri" w:cs="Calibri"/>
          <w:b/>
          <w:bCs/>
          <w:sz w:val="24"/>
          <w:szCs w:val="24"/>
        </w:rPr>
      </w:pPr>
    </w:p>
    <w:p w14:paraId="4C410FFA" w14:textId="77777777" w:rsidR="00E667D2" w:rsidRDefault="00E667D2" w:rsidP="00E667D2">
      <w:pPr>
        <w:spacing w:after="0" w:line="360" w:lineRule="auto"/>
        <w:rPr>
          <w:rFonts w:ascii="Calibri" w:hAnsi="Calibri" w:cs="Calibri"/>
          <w:b/>
          <w:bCs/>
          <w:sz w:val="24"/>
          <w:szCs w:val="24"/>
        </w:rPr>
      </w:pPr>
    </w:p>
    <w:p w14:paraId="4537F6ED" w14:textId="282FC90F" w:rsidR="00E667D2" w:rsidRPr="006C0C39" w:rsidRDefault="00E667D2" w:rsidP="00E667D2">
      <w:pPr>
        <w:spacing w:after="0" w:line="360" w:lineRule="auto"/>
        <w:rPr>
          <w:rFonts w:ascii="Calibri" w:hAnsi="Calibri" w:cs="Calibri"/>
          <w:b/>
          <w:bCs/>
          <w:color w:val="156082" w:themeColor="accent1"/>
          <w:sz w:val="24"/>
          <w:szCs w:val="24"/>
        </w:rPr>
      </w:pPr>
      <w:r w:rsidRPr="006C0C39">
        <w:rPr>
          <w:rFonts w:ascii="Calibri" w:hAnsi="Calibri" w:cs="Calibri"/>
          <w:b/>
          <w:bCs/>
          <w:color w:val="156082" w:themeColor="accent1"/>
          <w:sz w:val="24"/>
          <w:szCs w:val="24"/>
        </w:rPr>
        <w:t>Figure 1</w:t>
      </w:r>
    </w:p>
    <w:p w14:paraId="0CFEF5DD" w14:textId="4C11EFDC" w:rsidR="00E667D2" w:rsidRPr="00E667D2" w:rsidRDefault="006C0C39" w:rsidP="006C0C39">
      <w:pPr>
        <w:spacing w:after="0" w:line="360" w:lineRule="auto"/>
        <w:jc w:val="center"/>
        <w:rPr>
          <w:rFonts w:ascii="Calibri" w:hAnsi="Calibri" w:cs="Calibri"/>
          <w:b/>
          <w:bCs/>
          <w:sz w:val="24"/>
          <w:szCs w:val="24"/>
        </w:rPr>
      </w:pPr>
      <w:r>
        <w:rPr>
          <w:noProof/>
        </w:rPr>
        <w:drawing>
          <wp:inline distT="0" distB="0" distL="0" distR="0" wp14:anchorId="672BA3A0" wp14:editId="10312471">
            <wp:extent cx="4572000" cy="2743200"/>
            <wp:effectExtent l="0" t="0" r="0" b="0"/>
            <wp:docPr id="1525297163" name="Chart 1" descr="Chart type: Clustered Column, Line. 'Current Ratio', 'Quick Ratio', 'Operating Cash Flow (in million $)' by 'Year'&#10;&#10;Description automatically generated">
              <a:extLst xmlns:a="http://schemas.openxmlformats.org/drawingml/2006/main">
                <a:ext uri="{FF2B5EF4-FFF2-40B4-BE49-F238E27FC236}">
                  <a16:creationId xmlns:a16="http://schemas.microsoft.com/office/drawing/2014/main" id="{B929A13B-3AC9-BBFF-532C-D4ED2DF683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0BABC8" w14:textId="77777777" w:rsidR="00912BC0" w:rsidRPr="00912BC0" w:rsidRDefault="00912BC0" w:rsidP="00912BC0">
      <w:pPr>
        <w:spacing w:after="0" w:line="360" w:lineRule="auto"/>
        <w:jc w:val="center"/>
        <w:rPr>
          <w:rFonts w:ascii="Calibri" w:hAnsi="Calibri" w:cs="Calibri"/>
          <w:b/>
          <w:bCs/>
          <w:i/>
          <w:iCs/>
          <w:sz w:val="24"/>
          <w:szCs w:val="24"/>
        </w:rPr>
      </w:pPr>
      <w:r w:rsidRPr="00912BC0">
        <w:rPr>
          <w:rFonts w:ascii="Calibri" w:hAnsi="Calibri" w:cs="Calibri"/>
          <w:b/>
          <w:bCs/>
          <w:i/>
          <w:iCs/>
          <w:sz w:val="24"/>
          <w:szCs w:val="24"/>
        </w:rPr>
        <w:t>Source</w:t>
      </w:r>
      <w:r>
        <w:rPr>
          <w:rFonts w:ascii="Calibri" w:hAnsi="Calibri" w:cs="Calibri"/>
          <w:b/>
          <w:bCs/>
          <w:i/>
          <w:iCs/>
          <w:sz w:val="24"/>
          <w:szCs w:val="24"/>
        </w:rPr>
        <w:t xml:space="preserve">: </w:t>
      </w:r>
      <w:r w:rsidRPr="00912BC0">
        <w:rPr>
          <w:rFonts w:ascii="Calibri" w:hAnsi="Calibri" w:cs="Calibri"/>
          <w:b/>
          <w:bCs/>
          <w:i/>
          <w:iCs/>
          <w:sz w:val="24"/>
          <w:szCs w:val="24"/>
        </w:rPr>
        <w:t>The Walt Disney Annual Reports,2019 to 2023.</w:t>
      </w:r>
    </w:p>
    <w:p w14:paraId="54BDBBA0" w14:textId="46E13988" w:rsidR="00E667D2" w:rsidRPr="006C0C39" w:rsidRDefault="006C0C39" w:rsidP="006C0C39">
      <w:pPr>
        <w:spacing w:after="0" w:line="360" w:lineRule="auto"/>
        <w:rPr>
          <w:rFonts w:ascii="Calibri" w:hAnsi="Calibri" w:cs="Calibri"/>
          <w:b/>
          <w:bCs/>
          <w:sz w:val="24"/>
          <w:szCs w:val="24"/>
        </w:rPr>
      </w:pPr>
      <w:r>
        <w:rPr>
          <w:rFonts w:ascii="Calibri" w:hAnsi="Calibri" w:cs="Calibri"/>
          <w:b/>
          <w:bCs/>
          <w:sz w:val="28"/>
          <w:szCs w:val="28"/>
        </w:rPr>
        <w:br w:type="textWrapping" w:clear="all"/>
      </w:r>
      <w:r w:rsidRPr="006C0C39">
        <w:rPr>
          <w:rFonts w:ascii="Calibri" w:hAnsi="Calibri" w:cs="Calibri"/>
          <w:b/>
          <w:bCs/>
          <w:color w:val="156082" w:themeColor="accent1"/>
          <w:sz w:val="24"/>
          <w:szCs w:val="24"/>
        </w:rPr>
        <w:t>Figure 2</w:t>
      </w:r>
    </w:p>
    <w:p w14:paraId="5B056BDA" w14:textId="463ED558" w:rsidR="006C0C39" w:rsidRDefault="006C0C39" w:rsidP="006C0C39">
      <w:pPr>
        <w:spacing w:after="0" w:line="360" w:lineRule="auto"/>
        <w:jc w:val="center"/>
        <w:rPr>
          <w:rFonts w:ascii="Calibri" w:hAnsi="Calibri" w:cs="Calibri"/>
          <w:b/>
          <w:bCs/>
          <w:sz w:val="28"/>
          <w:szCs w:val="28"/>
        </w:rPr>
      </w:pPr>
      <w:r>
        <w:rPr>
          <w:noProof/>
        </w:rPr>
        <w:drawing>
          <wp:inline distT="0" distB="0" distL="0" distR="0" wp14:anchorId="738B76A5" wp14:editId="48538470">
            <wp:extent cx="4572000" cy="2743200"/>
            <wp:effectExtent l="0" t="0" r="0" b="0"/>
            <wp:docPr id="920913391" name="Chart 1" descr="Chart type: Line. 'Debt Ratio', 'Equity Ratio', 'Debt to Equity Ratio' by 'Year'&#10;&#10;Description automatically generated">
              <a:extLst xmlns:a="http://schemas.openxmlformats.org/drawingml/2006/main">
                <a:ext uri="{FF2B5EF4-FFF2-40B4-BE49-F238E27FC236}">
                  <a16:creationId xmlns:a16="http://schemas.microsoft.com/office/drawing/2014/main" id="{27495A96-0337-E1AB-4035-17D2B0B968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C9F94B" w14:textId="77777777" w:rsidR="00912BC0" w:rsidRPr="00912BC0" w:rsidRDefault="00912BC0" w:rsidP="00912BC0">
      <w:pPr>
        <w:spacing w:after="0" w:line="360" w:lineRule="auto"/>
        <w:jc w:val="center"/>
        <w:rPr>
          <w:rFonts w:ascii="Calibri" w:hAnsi="Calibri" w:cs="Calibri"/>
          <w:b/>
          <w:bCs/>
          <w:i/>
          <w:iCs/>
          <w:sz w:val="24"/>
          <w:szCs w:val="24"/>
        </w:rPr>
      </w:pPr>
      <w:r w:rsidRPr="00912BC0">
        <w:rPr>
          <w:rFonts w:ascii="Calibri" w:hAnsi="Calibri" w:cs="Calibri"/>
          <w:b/>
          <w:bCs/>
          <w:i/>
          <w:iCs/>
          <w:sz w:val="24"/>
          <w:szCs w:val="24"/>
        </w:rPr>
        <w:t>Source</w:t>
      </w:r>
      <w:r>
        <w:rPr>
          <w:rFonts w:ascii="Calibri" w:hAnsi="Calibri" w:cs="Calibri"/>
          <w:b/>
          <w:bCs/>
          <w:i/>
          <w:iCs/>
          <w:sz w:val="24"/>
          <w:szCs w:val="24"/>
        </w:rPr>
        <w:t xml:space="preserve">: </w:t>
      </w:r>
      <w:r w:rsidRPr="00912BC0">
        <w:rPr>
          <w:rFonts w:ascii="Calibri" w:hAnsi="Calibri" w:cs="Calibri"/>
          <w:b/>
          <w:bCs/>
          <w:i/>
          <w:iCs/>
          <w:sz w:val="24"/>
          <w:szCs w:val="24"/>
        </w:rPr>
        <w:t>The Walt Disney Annual Reports,2019 to 2023.</w:t>
      </w:r>
    </w:p>
    <w:p w14:paraId="522BFD92" w14:textId="0286C829" w:rsidR="006C0C39" w:rsidRPr="00EA23A2" w:rsidRDefault="00F968D4" w:rsidP="00EA23A2">
      <w:pPr>
        <w:pStyle w:val="Default"/>
        <w:rPr>
          <w:rFonts w:ascii="Cambria" w:hAnsi="Cambria"/>
          <w:color w:val="FF0000"/>
          <w:sz w:val="28"/>
          <w:szCs w:val="28"/>
        </w:rPr>
      </w:pPr>
      <w:r>
        <w:rPr>
          <w:rFonts w:ascii="Calibri" w:hAnsi="Calibri" w:cs="Calibri"/>
          <w:b/>
          <w:bCs/>
          <w:color w:val="156082" w:themeColor="accent1"/>
        </w:rPr>
        <w:t>3</w:t>
      </w:r>
      <w:r w:rsidR="006C0C39" w:rsidRPr="006C0C39">
        <w:rPr>
          <w:rFonts w:ascii="Calibri" w:hAnsi="Calibri" w:cs="Calibri"/>
          <w:b/>
          <w:bCs/>
          <w:color w:val="156082" w:themeColor="accent1"/>
        </w:rPr>
        <w:t xml:space="preserve">.1 </w:t>
      </w:r>
      <w:r w:rsidR="00EA23A2" w:rsidRPr="00F968D4">
        <w:rPr>
          <w:rFonts w:ascii="Calibri" w:hAnsi="Calibri" w:cs="Calibri"/>
          <w:b/>
          <w:bCs/>
          <w:color w:val="156082" w:themeColor="accent1"/>
        </w:rPr>
        <w:t>Evaluation of Disney’s liquidity and leverage ratios</w:t>
      </w:r>
    </w:p>
    <w:p w14:paraId="7CAB9FD4" w14:textId="77777777" w:rsidR="006C0C39" w:rsidRPr="006C0C39" w:rsidRDefault="006C0C39" w:rsidP="006C0C39">
      <w:pPr>
        <w:spacing w:after="0" w:line="360" w:lineRule="auto"/>
        <w:jc w:val="both"/>
        <w:rPr>
          <w:rFonts w:ascii="Calibri" w:hAnsi="Calibri" w:cs="Calibri"/>
          <w:sz w:val="24"/>
          <w:szCs w:val="24"/>
        </w:rPr>
      </w:pPr>
      <w:r w:rsidRPr="006C0C39">
        <w:rPr>
          <w:rFonts w:ascii="Calibri" w:hAnsi="Calibri" w:cs="Calibri"/>
          <w:sz w:val="24"/>
          <w:szCs w:val="24"/>
        </w:rPr>
        <w:t xml:space="preserve">The Walt Disney Company, one of the most prominent and widely recognized names in the entertainment industry, presents a compelling case study in financial management and corporate strategy. An analysis of Disney's financial ratios over the period from 2019 to 2023 </w:t>
      </w:r>
      <w:r w:rsidRPr="006C0C39">
        <w:rPr>
          <w:rFonts w:ascii="Calibri" w:hAnsi="Calibri" w:cs="Calibri"/>
          <w:sz w:val="24"/>
          <w:szCs w:val="24"/>
        </w:rPr>
        <w:lastRenderedPageBreak/>
        <w:t>reveals key insights into its operational effectiveness, financial health, and strategic adjustments in response to varying market conditions.</w:t>
      </w:r>
    </w:p>
    <w:p w14:paraId="5F1F8764" w14:textId="77777777" w:rsidR="006C0C39" w:rsidRPr="006C0C39" w:rsidRDefault="006C0C39" w:rsidP="006C0C39">
      <w:pPr>
        <w:spacing w:after="0" w:line="360" w:lineRule="auto"/>
        <w:jc w:val="both"/>
        <w:rPr>
          <w:rFonts w:ascii="Calibri" w:hAnsi="Calibri" w:cs="Calibri"/>
          <w:sz w:val="24"/>
          <w:szCs w:val="24"/>
        </w:rPr>
      </w:pPr>
    </w:p>
    <w:p w14:paraId="5799FF70" w14:textId="77777777" w:rsidR="006C0C39" w:rsidRPr="006C0C39" w:rsidRDefault="006C0C39" w:rsidP="006C0C39">
      <w:pPr>
        <w:spacing w:after="0" w:line="360" w:lineRule="auto"/>
        <w:jc w:val="both"/>
        <w:rPr>
          <w:rFonts w:ascii="Calibri" w:hAnsi="Calibri" w:cs="Calibri"/>
          <w:sz w:val="24"/>
          <w:szCs w:val="24"/>
        </w:rPr>
      </w:pPr>
      <w:r w:rsidRPr="006C0C39">
        <w:rPr>
          <w:rFonts w:ascii="Calibri" w:hAnsi="Calibri" w:cs="Calibri"/>
          <w:sz w:val="24"/>
          <w:szCs w:val="24"/>
        </w:rPr>
        <w:t>Liquidity Ratios: Disney’s liquidity, as measured by the Current Ratio and Quick Ratio, indicates its ability to cover short-term obligations. In 2019, Disney reported a Current Ratio of 0.94, which gradually improved to 1.05 by 2023. This improvement signifies a strengthening in short-term financial stability, ensuring Disney can meet its liabilities without raising external capital. The Quick Ratio, which excludes inventory from current assets, also showed a parallel improvement from 0.89 in 2019 to 1.00 in 2023, indicating a robust liquidity position sans inventory assets (The Walt Disney Company Annual Reports, 2019-2023).</w:t>
      </w:r>
    </w:p>
    <w:p w14:paraId="49E94C0C" w14:textId="77777777" w:rsidR="006C0C39" w:rsidRPr="006C0C39" w:rsidRDefault="006C0C39" w:rsidP="006C0C39">
      <w:pPr>
        <w:spacing w:after="0" w:line="360" w:lineRule="auto"/>
        <w:jc w:val="both"/>
        <w:rPr>
          <w:rFonts w:ascii="Calibri" w:hAnsi="Calibri" w:cs="Calibri"/>
          <w:sz w:val="24"/>
          <w:szCs w:val="24"/>
        </w:rPr>
      </w:pPr>
    </w:p>
    <w:p w14:paraId="16173277" w14:textId="7FC6CDEB" w:rsidR="006C0C39" w:rsidRPr="006C0C39" w:rsidRDefault="006C0C39" w:rsidP="006C0C39">
      <w:pPr>
        <w:spacing w:after="0" w:line="360" w:lineRule="auto"/>
        <w:jc w:val="both"/>
        <w:rPr>
          <w:rFonts w:ascii="Calibri" w:hAnsi="Calibri" w:cs="Calibri"/>
          <w:sz w:val="24"/>
          <w:szCs w:val="24"/>
        </w:rPr>
      </w:pPr>
      <w:r w:rsidRPr="006C0C39">
        <w:rPr>
          <w:rFonts w:ascii="Calibri" w:hAnsi="Calibri" w:cs="Calibri"/>
          <w:sz w:val="24"/>
          <w:szCs w:val="24"/>
        </w:rPr>
        <w:t>Leverage Ratios: The Debt-to-Equity Ratio, a measure of the degree to which a company is financing its operations through debt versus wholly owned funds, shows a decrease from 0.54 in 2019 to 0.42 in 2023. This trend suggests that Disney is progressively relying less on debt, reflecting prudent financial management and a strategic approach to capital structuring. Additionally, the Debt Ratio, which highlights the proportion of assets financed by debt, decreased from 0.51 in 2019 to 0.50 in 2023, complemented by a symmetrical increase in the Equity Ratio over the same period (The Walt Disney Company Annual Reports, 2019-2023).</w:t>
      </w:r>
    </w:p>
    <w:p w14:paraId="1E7927AB" w14:textId="77777777" w:rsidR="006C0C39" w:rsidRDefault="006C0C39" w:rsidP="006C0C39">
      <w:pPr>
        <w:spacing w:after="0" w:line="360" w:lineRule="auto"/>
        <w:jc w:val="both"/>
        <w:rPr>
          <w:rFonts w:ascii="Calibri" w:hAnsi="Calibri" w:cs="Calibri"/>
          <w:sz w:val="24"/>
          <w:szCs w:val="24"/>
        </w:rPr>
      </w:pPr>
    </w:p>
    <w:p w14:paraId="255FCACD" w14:textId="3A9C0C97" w:rsidR="006C0C39" w:rsidRDefault="00F968D4" w:rsidP="006C0C39">
      <w:pPr>
        <w:spacing w:after="0" w:line="360" w:lineRule="auto"/>
        <w:jc w:val="both"/>
        <w:rPr>
          <w:rFonts w:ascii="Calibri" w:hAnsi="Calibri" w:cs="Calibri"/>
          <w:b/>
          <w:bCs/>
          <w:color w:val="156082" w:themeColor="accent1"/>
          <w:sz w:val="24"/>
          <w:szCs w:val="24"/>
        </w:rPr>
      </w:pPr>
      <w:r>
        <w:rPr>
          <w:rFonts w:ascii="Calibri" w:hAnsi="Calibri" w:cs="Calibri"/>
          <w:b/>
          <w:bCs/>
          <w:color w:val="156082" w:themeColor="accent1"/>
          <w:sz w:val="24"/>
          <w:szCs w:val="24"/>
        </w:rPr>
        <w:t>4</w:t>
      </w:r>
      <w:r w:rsidR="006C0C39" w:rsidRPr="006C0C39">
        <w:rPr>
          <w:rFonts w:ascii="Calibri" w:hAnsi="Calibri" w:cs="Calibri"/>
          <w:b/>
          <w:bCs/>
          <w:color w:val="156082" w:themeColor="accent1"/>
          <w:sz w:val="24"/>
          <w:szCs w:val="24"/>
        </w:rPr>
        <w:t xml:space="preserve">. Financial figures of </w:t>
      </w:r>
      <w:r w:rsidR="00EA23A2">
        <w:rPr>
          <w:rFonts w:ascii="Calibri" w:hAnsi="Calibri" w:cs="Calibri"/>
          <w:b/>
          <w:bCs/>
          <w:color w:val="156082" w:themeColor="accent1"/>
          <w:sz w:val="24"/>
          <w:szCs w:val="24"/>
        </w:rPr>
        <w:t>the</w:t>
      </w:r>
      <w:r w:rsidR="00912BC0">
        <w:rPr>
          <w:rFonts w:ascii="Calibri" w:hAnsi="Calibri" w:cs="Calibri"/>
          <w:b/>
          <w:bCs/>
          <w:color w:val="156082" w:themeColor="accent1"/>
          <w:sz w:val="24"/>
          <w:szCs w:val="24"/>
        </w:rPr>
        <w:t xml:space="preserve"> </w:t>
      </w:r>
      <w:r>
        <w:rPr>
          <w:rFonts w:ascii="Calibri" w:hAnsi="Calibri" w:cs="Calibri"/>
          <w:b/>
          <w:bCs/>
          <w:color w:val="156082" w:themeColor="accent1"/>
          <w:sz w:val="24"/>
          <w:szCs w:val="24"/>
        </w:rPr>
        <w:t>Walt Disney</w:t>
      </w:r>
    </w:p>
    <w:p w14:paraId="5E38EFD7" w14:textId="6C25D010" w:rsidR="006C0C39" w:rsidRPr="006C0C39" w:rsidRDefault="006C0C39" w:rsidP="006C0C39">
      <w:pPr>
        <w:spacing w:after="0" w:line="360" w:lineRule="auto"/>
        <w:jc w:val="both"/>
        <w:rPr>
          <w:rFonts w:ascii="Calibri" w:hAnsi="Calibri" w:cs="Calibri"/>
          <w:b/>
          <w:bCs/>
          <w:color w:val="156082" w:themeColor="accent1"/>
          <w:sz w:val="24"/>
          <w:szCs w:val="24"/>
        </w:rPr>
      </w:pPr>
      <w:r>
        <w:rPr>
          <w:rFonts w:ascii="Calibri" w:hAnsi="Calibri" w:cs="Calibri"/>
          <w:b/>
          <w:bCs/>
          <w:color w:val="156082" w:themeColor="accent1"/>
          <w:sz w:val="24"/>
          <w:szCs w:val="24"/>
        </w:rPr>
        <w:t>Table 3</w:t>
      </w:r>
    </w:p>
    <w:tbl>
      <w:tblPr>
        <w:tblStyle w:val="TableGrid"/>
        <w:tblW w:w="0" w:type="auto"/>
        <w:tblLook w:val="04A0" w:firstRow="1" w:lastRow="0" w:firstColumn="1" w:lastColumn="0" w:noHBand="0" w:noVBand="1"/>
      </w:tblPr>
      <w:tblGrid>
        <w:gridCol w:w="1551"/>
        <w:gridCol w:w="1490"/>
        <w:gridCol w:w="1493"/>
        <w:gridCol w:w="1494"/>
        <w:gridCol w:w="1494"/>
        <w:gridCol w:w="1494"/>
      </w:tblGrid>
      <w:tr w:rsidR="006C0C39" w:rsidRPr="006C0C39" w14:paraId="18846C0B" w14:textId="77777777" w:rsidTr="00912BC0">
        <w:tc>
          <w:tcPr>
            <w:tcW w:w="1551" w:type="dxa"/>
          </w:tcPr>
          <w:p w14:paraId="34C31AE8" w14:textId="77777777" w:rsidR="006C0C39" w:rsidRPr="006C0C39" w:rsidRDefault="006C0C39" w:rsidP="008E3147">
            <w:pPr>
              <w:spacing w:line="360" w:lineRule="auto"/>
              <w:jc w:val="both"/>
              <w:rPr>
                <w:rFonts w:ascii="Calibri" w:hAnsi="Calibri" w:cs="Calibri"/>
                <w:b/>
                <w:bCs/>
                <w:sz w:val="24"/>
                <w:szCs w:val="24"/>
              </w:rPr>
            </w:pPr>
            <w:r w:rsidRPr="006C0C39">
              <w:rPr>
                <w:rFonts w:ascii="Calibri" w:hAnsi="Calibri" w:cs="Calibri"/>
                <w:b/>
                <w:bCs/>
                <w:sz w:val="24"/>
                <w:szCs w:val="24"/>
              </w:rPr>
              <w:t>Financial Metrics</w:t>
            </w:r>
          </w:p>
        </w:tc>
        <w:tc>
          <w:tcPr>
            <w:tcW w:w="1490" w:type="dxa"/>
          </w:tcPr>
          <w:p w14:paraId="3BEC016F" w14:textId="77777777" w:rsidR="006C0C39" w:rsidRPr="006C0C39" w:rsidRDefault="006C0C39" w:rsidP="008E3147">
            <w:pPr>
              <w:spacing w:line="360" w:lineRule="auto"/>
              <w:jc w:val="both"/>
              <w:rPr>
                <w:rFonts w:ascii="Calibri" w:hAnsi="Calibri" w:cs="Calibri"/>
                <w:b/>
                <w:bCs/>
                <w:sz w:val="24"/>
                <w:szCs w:val="24"/>
              </w:rPr>
            </w:pPr>
            <w:r w:rsidRPr="006C0C39">
              <w:rPr>
                <w:rFonts w:ascii="Calibri" w:hAnsi="Calibri" w:cs="Calibri"/>
                <w:b/>
                <w:bCs/>
                <w:sz w:val="24"/>
                <w:szCs w:val="24"/>
              </w:rPr>
              <w:t>2019 (in million $)</w:t>
            </w:r>
          </w:p>
        </w:tc>
        <w:tc>
          <w:tcPr>
            <w:tcW w:w="1493" w:type="dxa"/>
          </w:tcPr>
          <w:p w14:paraId="67FFE048" w14:textId="77777777" w:rsidR="006C0C39" w:rsidRPr="006C0C39" w:rsidRDefault="006C0C39" w:rsidP="008E3147">
            <w:pPr>
              <w:spacing w:line="360" w:lineRule="auto"/>
              <w:jc w:val="both"/>
              <w:rPr>
                <w:rFonts w:ascii="Calibri" w:hAnsi="Calibri" w:cs="Calibri"/>
                <w:b/>
                <w:bCs/>
                <w:sz w:val="24"/>
                <w:szCs w:val="24"/>
              </w:rPr>
            </w:pPr>
            <w:r w:rsidRPr="006C0C39">
              <w:rPr>
                <w:rFonts w:ascii="Calibri" w:hAnsi="Calibri" w:cs="Calibri"/>
                <w:b/>
                <w:bCs/>
                <w:sz w:val="24"/>
                <w:szCs w:val="24"/>
              </w:rPr>
              <w:t>2020 (in million $)</w:t>
            </w:r>
          </w:p>
        </w:tc>
        <w:tc>
          <w:tcPr>
            <w:tcW w:w="1494" w:type="dxa"/>
          </w:tcPr>
          <w:p w14:paraId="5E4C05A4" w14:textId="77777777" w:rsidR="006C0C39" w:rsidRPr="006C0C39" w:rsidRDefault="006C0C39" w:rsidP="008E3147">
            <w:pPr>
              <w:spacing w:line="360" w:lineRule="auto"/>
              <w:jc w:val="both"/>
              <w:rPr>
                <w:rFonts w:ascii="Calibri" w:hAnsi="Calibri" w:cs="Calibri"/>
                <w:b/>
                <w:bCs/>
                <w:sz w:val="24"/>
                <w:szCs w:val="24"/>
              </w:rPr>
            </w:pPr>
            <w:r w:rsidRPr="006C0C39">
              <w:rPr>
                <w:rFonts w:ascii="Calibri" w:hAnsi="Calibri" w:cs="Calibri"/>
                <w:b/>
                <w:bCs/>
                <w:sz w:val="24"/>
                <w:szCs w:val="24"/>
              </w:rPr>
              <w:t>2021 (in million $)</w:t>
            </w:r>
          </w:p>
        </w:tc>
        <w:tc>
          <w:tcPr>
            <w:tcW w:w="1494" w:type="dxa"/>
          </w:tcPr>
          <w:p w14:paraId="25815C77" w14:textId="77777777" w:rsidR="006C0C39" w:rsidRPr="006C0C39" w:rsidRDefault="006C0C39" w:rsidP="008E3147">
            <w:pPr>
              <w:spacing w:line="360" w:lineRule="auto"/>
              <w:jc w:val="both"/>
              <w:rPr>
                <w:rFonts w:ascii="Calibri" w:hAnsi="Calibri" w:cs="Calibri"/>
                <w:b/>
                <w:bCs/>
                <w:sz w:val="24"/>
                <w:szCs w:val="24"/>
              </w:rPr>
            </w:pPr>
            <w:r w:rsidRPr="006C0C39">
              <w:rPr>
                <w:rFonts w:ascii="Calibri" w:hAnsi="Calibri" w:cs="Calibri"/>
                <w:b/>
                <w:bCs/>
                <w:sz w:val="24"/>
                <w:szCs w:val="24"/>
              </w:rPr>
              <w:t>2022 (in million $)</w:t>
            </w:r>
          </w:p>
        </w:tc>
        <w:tc>
          <w:tcPr>
            <w:tcW w:w="1494" w:type="dxa"/>
          </w:tcPr>
          <w:p w14:paraId="6EC50CAE" w14:textId="77777777" w:rsidR="006C0C39" w:rsidRPr="006C0C39" w:rsidRDefault="006C0C39" w:rsidP="008E3147">
            <w:pPr>
              <w:spacing w:line="360" w:lineRule="auto"/>
              <w:jc w:val="both"/>
              <w:rPr>
                <w:rFonts w:ascii="Calibri" w:hAnsi="Calibri" w:cs="Calibri"/>
                <w:b/>
                <w:bCs/>
                <w:sz w:val="24"/>
                <w:szCs w:val="24"/>
              </w:rPr>
            </w:pPr>
            <w:r w:rsidRPr="006C0C39">
              <w:rPr>
                <w:rFonts w:ascii="Calibri" w:hAnsi="Calibri" w:cs="Calibri"/>
                <w:b/>
                <w:bCs/>
                <w:sz w:val="24"/>
                <w:szCs w:val="24"/>
              </w:rPr>
              <w:t>2023 (in million $)</w:t>
            </w:r>
          </w:p>
        </w:tc>
      </w:tr>
      <w:tr w:rsidR="006C0C39" w:rsidRPr="006C0C39" w14:paraId="2E9721DF" w14:textId="77777777" w:rsidTr="00912BC0">
        <w:tc>
          <w:tcPr>
            <w:tcW w:w="1551" w:type="dxa"/>
          </w:tcPr>
          <w:p w14:paraId="2B31AD2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Current Assets</w:t>
            </w:r>
          </w:p>
        </w:tc>
        <w:tc>
          <w:tcPr>
            <w:tcW w:w="1490" w:type="dxa"/>
          </w:tcPr>
          <w:p w14:paraId="2BCC6BC3"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16,825</w:t>
            </w:r>
          </w:p>
        </w:tc>
        <w:tc>
          <w:tcPr>
            <w:tcW w:w="1493" w:type="dxa"/>
          </w:tcPr>
          <w:p w14:paraId="5C4EF353"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35,251</w:t>
            </w:r>
          </w:p>
        </w:tc>
        <w:tc>
          <w:tcPr>
            <w:tcW w:w="1494" w:type="dxa"/>
          </w:tcPr>
          <w:p w14:paraId="5BD9AF0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33,657</w:t>
            </w:r>
          </w:p>
        </w:tc>
        <w:tc>
          <w:tcPr>
            <w:tcW w:w="1494" w:type="dxa"/>
          </w:tcPr>
          <w:p w14:paraId="491CDE1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29,098</w:t>
            </w:r>
          </w:p>
        </w:tc>
        <w:tc>
          <w:tcPr>
            <w:tcW w:w="1494" w:type="dxa"/>
          </w:tcPr>
          <w:p w14:paraId="7380C875"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32,763</w:t>
            </w:r>
          </w:p>
        </w:tc>
      </w:tr>
      <w:tr w:rsidR="006C0C39" w:rsidRPr="006C0C39" w14:paraId="18D408A3" w14:textId="77777777" w:rsidTr="00912BC0">
        <w:tc>
          <w:tcPr>
            <w:tcW w:w="1551" w:type="dxa"/>
          </w:tcPr>
          <w:p w14:paraId="76FB3B1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Current Liabilities</w:t>
            </w:r>
          </w:p>
        </w:tc>
        <w:tc>
          <w:tcPr>
            <w:tcW w:w="1490" w:type="dxa"/>
          </w:tcPr>
          <w:p w14:paraId="1F17658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17,860</w:t>
            </w:r>
          </w:p>
        </w:tc>
        <w:tc>
          <w:tcPr>
            <w:tcW w:w="1493" w:type="dxa"/>
          </w:tcPr>
          <w:p w14:paraId="5F9DF8E0"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26,628</w:t>
            </w:r>
          </w:p>
        </w:tc>
        <w:tc>
          <w:tcPr>
            <w:tcW w:w="1494" w:type="dxa"/>
          </w:tcPr>
          <w:p w14:paraId="4A61A29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31,077</w:t>
            </w:r>
          </w:p>
        </w:tc>
        <w:tc>
          <w:tcPr>
            <w:tcW w:w="1494" w:type="dxa"/>
          </w:tcPr>
          <w:p w14:paraId="1EA81078"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29,073</w:t>
            </w:r>
          </w:p>
        </w:tc>
        <w:tc>
          <w:tcPr>
            <w:tcW w:w="1494" w:type="dxa"/>
          </w:tcPr>
          <w:p w14:paraId="308C7E3F"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31,139</w:t>
            </w:r>
          </w:p>
        </w:tc>
      </w:tr>
      <w:tr w:rsidR="006C0C39" w:rsidRPr="006C0C39" w14:paraId="50E1FEF8" w14:textId="77777777" w:rsidTr="00912BC0">
        <w:tc>
          <w:tcPr>
            <w:tcW w:w="1551" w:type="dxa"/>
          </w:tcPr>
          <w:p w14:paraId="195C0F3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Cash Flow from Operating Activities</w:t>
            </w:r>
          </w:p>
        </w:tc>
        <w:tc>
          <w:tcPr>
            <w:tcW w:w="1490" w:type="dxa"/>
          </w:tcPr>
          <w:p w14:paraId="7BC054B8"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5,984</w:t>
            </w:r>
          </w:p>
        </w:tc>
        <w:tc>
          <w:tcPr>
            <w:tcW w:w="1493" w:type="dxa"/>
          </w:tcPr>
          <w:p w14:paraId="1C7F095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7,616</w:t>
            </w:r>
          </w:p>
        </w:tc>
        <w:tc>
          <w:tcPr>
            <w:tcW w:w="1494" w:type="dxa"/>
          </w:tcPr>
          <w:p w14:paraId="5095F0B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5,566</w:t>
            </w:r>
          </w:p>
        </w:tc>
        <w:tc>
          <w:tcPr>
            <w:tcW w:w="1494" w:type="dxa"/>
          </w:tcPr>
          <w:p w14:paraId="233FCF4E"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6,002</w:t>
            </w:r>
          </w:p>
        </w:tc>
        <w:tc>
          <w:tcPr>
            <w:tcW w:w="1494" w:type="dxa"/>
          </w:tcPr>
          <w:p w14:paraId="6200B9B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9,866</w:t>
            </w:r>
          </w:p>
        </w:tc>
      </w:tr>
      <w:tr w:rsidR="006C0C39" w:rsidRPr="006C0C39" w14:paraId="07136B07" w14:textId="77777777" w:rsidTr="00912BC0">
        <w:tc>
          <w:tcPr>
            <w:tcW w:w="1551" w:type="dxa"/>
          </w:tcPr>
          <w:p w14:paraId="08FF473D"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lastRenderedPageBreak/>
              <w:t>Inventory</w:t>
            </w:r>
          </w:p>
        </w:tc>
        <w:tc>
          <w:tcPr>
            <w:tcW w:w="1490" w:type="dxa"/>
          </w:tcPr>
          <w:p w14:paraId="445CAC2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1,392</w:t>
            </w:r>
          </w:p>
        </w:tc>
        <w:tc>
          <w:tcPr>
            <w:tcW w:w="1493" w:type="dxa"/>
          </w:tcPr>
          <w:p w14:paraId="3245287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1,583</w:t>
            </w:r>
          </w:p>
        </w:tc>
        <w:tc>
          <w:tcPr>
            <w:tcW w:w="1494" w:type="dxa"/>
          </w:tcPr>
          <w:p w14:paraId="222E1DF8"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1,331</w:t>
            </w:r>
          </w:p>
        </w:tc>
        <w:tc>
          <w:tcPr>
            <w:tcW w:w="1494" w:type="dxa"/>
          </w:tcPr>
          <w:p w14:paraId="5E408A8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1,742</w:t>
            </w:r>
          </w:p>
        </w:tc>
        <w:tc>
          <w:tcPr>
            <w:tcW w:w="1494" w:type="dxa"/>
          </w:tcPr>
          <w:p w14:paraId="6D0F82A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1,963</w:t>
            </w:r>
          </w:p>
        </w:tc>
      </w:tr>
      <w:tr w:rsidR="006C0C39" w:rsidRPr="006C0C39" w14:paraId="7F713E50" w14:textId="77777777" w:rsidTr="00912BC0">
        <w:tc>
          <w:tcPr>
            <w:tcW w:w="1551" w:type="dxa"/>
          </w:tcPr>
          <w:p w14:paraId="0EFDADD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Total Assets</w:t>
            </w:r>
          </w:p>
        </w:tc>
        <w:tc>
          <w:tcPr>
            <w:tcW w:w="1490" w:type="dxa"/>
          </w:tcPr>
          <w:p w14:paraId="35037AE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98,598</w:t>
            </w:r>
          </w:p>
        </w:tc>
        <w:tc>
          <w:tcPr>
            <w:tcW w:w="1493" w:type="dxa"/>
          </w:tcPr>
          <w:p w14:paraId="618DFF2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193,984</w:t>
            </w:r>
          </w:p>
        </w:tc>
        <w:tc>
          <w:tcPr>
            <w:tcW w:w="1494" w:type="dxa"/>
          </w:tcPr>
          <w:p w14:paraId="1F8246D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203,609</w:t>
            </w:r>
          </w:p>
        </w:tc>
        <w:tc>
          <w:tcPr>
            <w:tcW w:w="1494" w:type="dxa"/>
          </w:tcPr>
          <w:p w14:paraId="63E4B7D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203,631</w:t>
            </w:r>
          </w:p>
        </w:tc>
        <w:tc>
          <w:tcPr>
            <w:tcW w:w="1494" w:type="dxa"/>
          </w:tcPr>
          <w:p w14:paraId="586D981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205,579</w:t>
            </w:r>
          </w:p>
        </w:tc>
      </w:tr>
      <w:tr w:rsidR="006C0C39" w:rsidRPr="006C0C39" w14:paraId="06DCDE50" w14:textId="77777777" w:rsidTr="00912BC0">
        <w:tc>
          <w:tcPr>
            <w:tcW w:w="1551" w:type="dxa"/>
          </w:tcPr>
          <w:p w14:paraId="3670829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Total Liabilities</w:t>
            </w:r>
          </w:p>
        </w:tc>
        <w:tc>
          <w:tcPr>
            <w:tcW w:w="1490" w:type="dxa"/>
          </w:tcPr>
          <w:p w14:paraId="154EBAB1"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N/A</w:t>
            </w:r>
          </w:p>
        </w:tc>
        <w:tc>
          <w:tcPr>
            <w:tcW w:w="1493" w:type="dxa"/>
          </w:tcPr>
          <w:p w14:paraId="085CD7FE"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N/A</w:t>
            </w:r>
          </w:p>
        </w:tc>
        <w:tc>
          <w:tcPr>
            <w:tcW w:w="1494" w:type="dxa"/>
          </w:tcPr>
          <w:p w14:paraId="6CD6EDE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N/A</w:t>
            </w:r>
          </w:p>
        </w:tc>
        <w:tc>
          <w:tcPr>
            <w:tcW w:w="1494" w:type="dxa"/>
          </w:tcPr>
          <w:p w14:paraId="0C70E34D"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48,369</w:t>
            </w:r>
          </w:p>
        </w:tc>
        <w:tc>
          <w:tcPr>
            <w:tcW w:w="1494" w:type="dxa"/>
          </w:tcPr>
          <w:p w14:paraId="61CCBF8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42,101</w:t>
            </w:r>
          </w:p>
        </w:tc>
      </w:tr>
      <w:tr w:rsidR="006C0C39" w:rsidRPr="006C0C39" w14:paraId="66BC02B2" w14:textId="77777777" w:rsidTr="00912BC0">
        <w:tc>
          <w:tcPr>
            <w:tcW w:w="1551" w:type="dxa"/>
          </w:tcPr>
          <w:p w14:paraId="624959F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Shareholder's Equity</w:t>
            </w:r>
          </w:p>
        </w:tc>
        <w:tc>
          <w:tcPr>
            <w:tcW w:w="1490" w:type="dxa"/>
          </w:tcPr>
          <w:p w14:paraId="330DF7D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48,773</w:t>
            </w:r>
          </w:p>
        </w:tc>
        <w:tc>
          <w:tcPr>
            <w:tcW w:w="1493" w:type="dxa"/>
          </w:tcPr>
          <w:p w14:paraId="39EA683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88,877</w:t>
            </w:r>
          </w:p>
        </w:tc>
        <w:tc>
          <w:tcPr>
            <w:tcW w:w="1494" w:type="dxa"/>
          </w:tcPr>
          <w:p w14:paraId="70AC259F"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93,011</w:t>
            </w:r>
          </w:p>
        </w:tc>
        <w:tc>
          <w:tcPr>
            <w:tcW w:w="1494" w:type="dxa"/>
          </w:tcPr>
          <w:p w14:paraId="172C2E5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95,008</w:t>
            </w:r>
          </w:p>
        </w:tc>
        <w:tc>
          <w:tcPr>
            <w:tcW w:w="1494" w:type="dxa"/>
          </w:tcPr>
          <w:p w14:paraId="14FA708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99,277</w:t>
            </w:r>
          </w:p>
        </w:tc>
      </w:tr>
      <w:tr w:rsidR="006C0C39" w:rsidRPr="006C0C39" w14:paraId="419D5781" w14:textId="77777777" w:rsidTr="00912BC0">
        <w:tc>
          <w:tcPr>
            <w:tcW w:w="1551" w:type="dxa"/>
          </w:tcPr>
          <w:p w14:paraId="55C05914"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Revenue</w:t>
            </w:r>
          </w:p>
        </w:tc>
        <w:tc>
          <w:tcPr>
            <w:tcW w:w="1490" w:type="dxa"/>
          </w:tcPr>
          <w:p w14:paraId="4F263C1E"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69,570</w:t>
            </w:r>
          </w:p>
        </w:tc>
        <w:tc>
          <w:tcPr>
            <w:tcW w:w="1493" w:type="dxa"/>
          </w:tcPr>
          <w:p w14:paraId="08DD1B4D"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65,388</w:t>
            </w:r>
          </w:p>
        </w:tc>
        <w:tc>
          <w:tcPr>
            <w:tcW w:w="1494" w:type="dxa"/>
          </w:tcPr>
          <w:p w14:paraId="256D08A1"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67,418</w:t>
            </w:r>
          </w:p>
        </w:tc>
        <w:tc>
          <w:tcPr>
            <w:tcW w:w="1494" w:type="dxa"/>
          </w:tcPr>
          <w:p w14:paraId="62F0D00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82,722</w:t>
            </w:r>
          </w:p>
        </w:tc>
        <w:tc>
          <w:tcPr>
            <w:tcW w:w="1494" w:type="dxa"/>
          </w:tcPr>
          <w:p w14:paraId="4B6A21BE"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88,898</w:t>
            </w:r>
          </w:p>
        </w:tc>
      </w:tr>
      <w:tr w:rsidR="006C0C39" w:rsidRPr="006C0C39" w14:paraId="033BD3B2" w14:textId="77777777" w:rsidTr="00912BC0">
        <w:tc>
          <w:tcPr>
            <w:tcW w:w="1551" w:type="dxa"/>
          </w:tcPr>
          <w:p w14:paraId="4C32D5C4"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Cash</w:t>
            </w:r>
          </w:p>
        </w:tc>
        <w:tc>
          <w:tcPr>
            <w:tcW w:w="1490" w:type="dxa"/>
          </w:tcPr>
          <w:p w14:paraId="553F9B3D"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5,455</w:t>
            </w:r>
          </w:p>
        </w:tc>
        <w:tc>
          <w:tcPr>
            <w:tcW w:w="1493" w:type="dxa"/>
          </w:tcPr>
          <w:p w14:paraId="0433679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17,914</w:t>
            </w:r>
          </w:p>
        </w:tc>
        <w:tc>
          <w:tcPr>
            <w:tcW w:w="1494" w:type="dxa"/>
          </w:tcPr>
          <w:p w14:paraId="431A3CC3"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15,959</w:t>
            </w:r>
          </w:p>
        </w:tc>
        <w:tc>
          <w:tcPr>
            <w:tcW w:w="1494" w:type="dxa"/>
          </w:tcPr>
          <w:p w14:paraId="6099D90F"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11,615</w:t>
            </w:r>
          </w:p>
        </w:tc>
        <w:tc>
          <w:tcPr>
            <w:tcW w:w="1494" w:type="dxa"/>
          </w:tcPr>
          <w:p w14:paraId="0928F49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14,182</w:t>
            </w:r>
          </w:p>
        </w:tc>
      </w:tr>
      <w:tr w:rsidR="006C0C39" w:rsidRPr="006C0C39" w14:paraId="7F8D1E68" w14:textId="77777777" w:rsidTr="00912BC0">
        <w:tc>
          <w:tcPr>
            <w:tcW w:w="1551" w:type="dxa"/>
          </w:tcPr>
          <w:p w14:paraId="293505C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Net Profit After Tax</w:t>
            </w:r>
          </w:p>
        </w:tc>
        <w:tc>
          <w:tcPr>
            <w:tcW w:w="1490" w:type="dxa"/>
          </w:tcPr>
          <w:p w14:paraId="722C0414"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11,584</w:t>
            </w:r>
          </w:p>
        </w:tc>
        <w:tc>
          <w:tcPr>
            <w:tcW w:w="1493" w:type="dxa"/>
          </w:tcPr>
          <w:p w14:paraId="1DA5611D"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(2,474)</w:t>
            </w:r>
          </w:p>
        </w:tc>
        <w:tc>
          <w:tcPr>
            <w:tcW w:w="1494" w:type="dxa"/>
          </w:tcPr>
          <w:p w14:paraId="6C8B541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2,507</w:t>
            </w:r>
          </w:p>
        </w:tc>
        <w:tc>
          <w:tcPr>
            <w:tcW w:w="1494" w:type="dxa"/>
          </w:tcPr>
          <w:p w14:paraId="3826369F"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3,505</w:t>
            </w:r>
          </w:p>
        </w:tc>
        <w:tc>
          <w:tcPr>
            <w:tcW w:w="1494" w:type="dxa"/>
          </w:tcPr>
          <w:p w14:paraId="2D0A4F33"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3,390</w:t>
            </w:r>
          </w:p>
        </w:tc>
      </w:tr>
      <w:tr w:rsidR="006C0C39" w:rsidRPr="006C0C39" w14:paraId="27F0035F" w14:textId="77777777" w:rsidTr="00912BC0">
        <w:tc>
          <w:tcPr>
            <w:tcW w:w="1551" w:type="dxa"/>
          </w:tcPr>
          <w:p w14:paraId="63D4758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Current Ratio</w:t>
            </w:r>
          </w:p>
        </w:tc>
        <w:tc>
          <w:tcPr>
            <w:tcW w:w="1490" w:type="dxa"/>
          </w:tcPr>
          <w:p w14:paraId="68AE0F6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0.94</w:t>
            </w:r>
          </w:p>
        </w:tc>
        <w:tc>
          <w:tcPr>
            <w:tcW w:w="1493" w:type="dxa"/>
          </w:tcPr>
          <w:p w14:paraId="78923F01"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1.32</w:t>
            </w:r>
          </w:p>
        </w:tc>
        <w:tc>
          <w:tcPr>
            <w:tcW w:w="1494" w:type="dxa"/>
          </w:tcPr>
          <w:p w14:paraId="1D87FFF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1.08</w:t>
            </w:r>
          </w:p>
        </w:tc>
        <w:tc>
          <w:tcPr>
            <w:tcW w:w="1494" w:type="dxa"/>
          </w:tcPr>
          <w:p w14:paraId="0573E1F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1.00</w:t>
            </w:r>
          </w:p>
        </w:tc>
        <w:tc>
          <w:tcPr>
            <w:tcW w:w="1494" w:type="dxa"/>
          </w:tcPr>
          <w:p w14:paraId="49B10A9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1.05</w:t>
            </w:r>
          </w:p>
        </w:tc>
      </w:tr>
      <w:tr w:rsidR="006C0C39" w:rsidRPr="006C0C39" w14:paraId="79CB25FF" w14:textId="77777777" w:rsidTr="00912BC0">
        <w:tc>
          <w:tcPr>
            <w:tcW w:w="1551" w:type="dxa"/>
          </w:tcPr>
          <w:p w14:paraId="3DBE160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Quick Ratio</w:t>
            </w:r>
          </w:p>
        </w:tc>
        <w:tc>
          <w:tcPr>
            <w:tcW w:w="1490" w:type="dxa"/>
          </w:tcPr>
          <w:p w14:paraId="4060AF9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0.89</w:t>
            </w:r>
          </w:p>
        </w:tc>
        <w:tc>
          <w:tcPr>
            <w:tcW w:w="1493" w:type="dxa"/>
          </w:tcPr>
          <w:p w14:paraId="583CF68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1.24</w:t>
            </w:r>
          </w:p>
        </w:tc>
        <w:tc>
          <w:tcPr>
            <w:tcW w:w="1494" w:type="dxa"/>
          </w:tcPr>
          <w:p w14:paraId="35CAFF4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1.02</w:t>
            </w:r>
          </w:p>
        </w:tc>
        <w:tc>
          <w:tcPr>
            <w:tcW w:w="1494" w:type="dxa"/>
          </w:tcPr>
          <w:p w14:paraId="47B0E76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0.95</w:t>
            </w:r>
          </w:p>
        </w:tc>
        <w:tc>
          <w:tcPr>
            <w:tcW w:w="1494" w:type="dxa"/>
          </w:tcPr>
          <w:p w14:paraId="68AAC16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1.00</w:t>
            </w:r>
          </w:p>
        </w:tc>
      </w:tr>
      <w:tr w:rsidR="006C0C39" w:rsidRPr="006C0C39" w14:paraId="12CCAEF9" w14:textId="77777777" w:rsidTr="00912BC0">
        <w:tc>
          <w:tcPr>
            <w:tcW w:w="1551" w:type="dxa"/>
          </w:tcPr>
          <w:p w14:paraId="017D98B5"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Debt to Equity Ratio</w:t>
            </w:r>
          </w:p>
        </w:tc>
        <w:tc>
          <w:tcPr>
            <w:tcW w:w="1490" w:type="dxa"/>
          </w:tcPr>
          <w:p w14:paraId="4A580EFA"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0.54</w:t>
            </w:r>
          </w:p>
        </w:tc>
        <w:tc>
          <w:tcPr>
            <w:tcW w:w="1493" w:type="dxa"/>
          </w:tcPr>
          <w:p w14:paraId="2F4361A4"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0.58</w:t>
            </w:r>
          </w:p>
        </w:tc>
        <w:tc>
          <w:tcPr>
            <w:tcW w:w="1494" w:type="dxa"/>
          </w:tcPr>
          <w:p w14:paraId="4705A73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0.52</w:t>
            </w:r>
          </w:p>
        </w:tc>
        <w:tc>
          <w:tcPr>
            <w:tcW w:w="1494" w:type="dxa"/>
          </w:tcPr>
          <w:p w14:paraId="3EEC021B"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0.48</w:t>
            </w:r>
          </w:p>
        </w:tc>
        <w:tc>
          <w:tcPr>
            <w:tcW w:w="1494" w:type="dxa"/>
          </w:tcPr>
          <w:p w14:paraId="7F199095"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0.42</w:t>
            </w:r>
          </w:p>
        </w:tc>
      </w:tr>
      <w:tr w:rsidR="006C0C39" w:rsidRPr="006C0C39" w14:paraId="70B68E9C" w14:textId="77777777" w:rsidTr="00912BC0">
        <w:tc>
          <w:tcPr>
            <w:tcW w:w="1551" w:type="dxa"/>
          </w:tcPr>
          <w:p w14:paraId="51615043"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Debt Ratio</w:t>
            </w:r>
          </w:p>
        </w:tc>
        <w:tc>
          <w:tcPr>
            <w:tcW w:w="1490" w:type="dxa"/>
          </w:tcPr>
          <w:p w14:paraId="1D50F0F6"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0.51</w:t>
            </w:r>
          </w:p>
        </w:tc>
        <w:tc>
          <w:tcPr>
            <w:tcW w:w="1493" w:type="dxa"/>
          </w:tcPr>
          <w:p w14:paraId="4538BFF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0.60</w:t>
            </w:r>
          </w:p>
        </w:tc>
        <w:tc>
          <w:tcPr>
            <w:tcW w:w="1494" w:type="dxa"/>
          </w:tcPr>
          <w:p w14:paraId="2D2871B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0.56</w:t>
            </w:r>
          </w:p>
        </w:tc>
        <w:tc>
          <w:tcPr>
            <w:tcW w:w="1494" w:type="dxa"/>
          </w:tcPr>
          <w:p w14:paraId="039E77C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0.52</w:t>
            </w:r>
          </w:p>
        </w:tc>
        <w:tc>
          <w:tcPr>
            <w:tcW w:w="1494" w:type="dxa"/>
          </w:tcPr>
          <w:p w14:paraId="7165FD6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0.50</w:t>
            </w:r>
          </w:p>
        </w:tc>
      </w:tr>
      <w:tr w:rsidR="006C0C39" w:rsidRPr="006C0C39" w14:paraId="287FD7B7" w14:textId="77777777" w:rsidTr="00912BC0">
        <w:tc>
          <w:tcPr>
            <w:tcW w:w="1551" w:type="dxa"/>
          </w:tcPr>
          <w:p w14:paraId="2689FA2C"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Equity Ratio</w:t>
            </w:r>
          </w:p>
        </w:tc>
        <w:tc>
          <w:tcPr>
            <w:tcW w:w="1490" w:type="dxa"/>
          </w:tcPr>
          <w:p w14:paraId="164F3B6F"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0.49</w:t>
            </w:r>
          </w:p>
        </w:tc>
        <w:tc>
          <w:tcPr>
            <w:tcW w:w="1493" w:type="dxa"/>
          </w:tcPr>
          <w:p w14:paraId="78A7D5CE"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0.40</w:t>
            </w:r>
          </w:p>
        </w:tc>
        <w:tc>
          <w:tcPr>
            <w:tcW w:w="1494" w:type="dxa"/>
          </w:tcPr>
          <w:p w14:paraId="59C240C9"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0.44</w:t>
            </w:r>
          </w:p>
        </w:tc>
        <w:tc>
          <w:tcPr>
            <w:tcW w:w="1494" w:type="dxa"/>
          </w:tcPr>
          <w:p w14:paraId="0C3C5017"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0.48</w:t>
            </w:r>
          </w:p>
        </w:tc>
        <w:tc>
          <w:tcPr>
            <w:tcW w:w="1494" w:type="dxa"/>
          </w:tcPr>
          <w:p w14:paraId="00D93982" w14:textId="77777777" w:rsidR="006C0C39" w:rsidRPr="006C0C39" w:rsidRDefault="006C0C39" w:rsidP="008E3147">
            <w:pPr>
              <w:spacing w:line="360" w:lineRule="auto"/>
              <w:jc w:val="both"/>
              <w:rPr>
                <w:rFonts w:ascii="Calibri" w:hAnsi="Calibri" w:cs="Calibri"/>
                <w:sz w:val="24"/>
                <w:szCs w:val="24"/>
              </w:rPr>
            </w:pPr>
            <w:r w:rsidRPr="006C0C39">
              <w:rPr>
                <w:rFonts w:ascii="Calibri" w:hAnsi="Calibri" w:cs="Calibri"/>
                <w:sz w:val="24"/>
                <w:szCs w:val="24"/>
              </w:rPr>
              <w:t>0.50</w:t>
            </w:r>
          </w:p>
        </w:tc>
      </w:tr>
    </w:tbl>
    <w:p w14:paraId="4D9C9471" w14:textId="77777777" w:rsidR="00912BC0" w:rsidRPr="00912BC0" w:rsidRDefault="00912BC0" w:rsidP="00912BC0">
      <w:pPr>
        <w:spacing w:after="0" w:line="360" w:lineRule="auto"/>
        <w:jc w:val="center"/>
        <w:rPr>
          <w:rFonts w:ascii="Calibri" w:hAnsi="Calibri" w:cs="Calibri"/>
          <w:b/>
          <w:bCs/>
          <w:i/>
          <w:iCs/>
          <w:sz w:val="24"/>
          <w:szCs w:val="24"/>
        </w:rPr>
      </w:pPr>
      <w:r w:rsidRPr="00912BC0">
        <w:rPr>
          <w:rFonts w:ascii="Calibri" w:hAnsi="Calibri" w:cs="Calibri"/>
          <w:b/>
          <w:bCs/>
          <w:i/>
          <w:iCs/>
          <w:sz w:val="24"/>
          <w:szCs w:val="24"/>
        </w:rPr>
        <w:t>Source</w:t>
      </w:r>
      <w:r>
        <w:rPr>
          <w:rFonts w:ascii="Calibri" w:hAnsi="Calibri" w:cs="Calibri"/>
          <w:b/>
          <w:bCs/>
          <w:i/>
          <w:iCs/>
          <w:sz w:val="24"/>
          <w:szCs w:val="24"/>
        </w:rPr>
        <w:t xml:space="preserve">: </w:t>
      </w:r>
      <w:r w:rsidRPr="00912BC0">
        <w:rPr>
          <w:rFonts w:ascii="Calibri" w:hAnsi="Calibri" w:cs="Calibri"/>
          <w:b/>
          <w:bCs/>
          <w:i/>
          <w:iCs/>
          <w:sz w:val="24"/>
          <w:szCs w:val="24"/>
        </w:rPr>
        <w:t>The Walt Disney Annual Reports,2019 to 2023.</w:t>
      </w:r>
    </w:p>
    <w:p w14:paraId="6D5A6060" w14:textId="77777777" w:rsidR="00E667D2" w:rsidRPr="00912BC0" w:rsidRDefault="00E667D2" w:rsidP="00E667D2">
      <w:pPr>
        <w:spacing w:after="0" w:line="360" w:lineRule="auto"/>
        <w:jc w:val="center"/>
        <w:rPr>
          <w:rFonts w:ascii="Calibri" w:hAnsi="Calibri" w:cs="Calibri"/>
          <w:b/>
          <w:bCs/>
          <w:color w:val="156082" w:themeColor="accent1"/>
          <w:sz w:val="28"/>
          <w:szCs w:val="28"/>
        </w:rPr>
      </w:pPr>
    </w:p>
    <w:p w14:paraId="16DAAF3C" w14:textId="69A31D46" w:rsidR="00912BC0" w:rsidRPr="00912BC0" w:rsidRDefault="00912BC0" w:rsidP="00912BC0">
      <w:pPr>
        <w:spacing w:after="0" w:line="360" w:lineRule="auto"/>
        <w:jc w:val="both"/>
        <w:rPr>
          <w:rFonts w:ascii="Calibri" w:hAnsi="Calibri" w:cs="Calibri"/>
          <w:b/>
          <w:bCs/>
          <w:color w:val="156082" w:themeColor="accent1"/>
          <w:sz w:val="24"/>
          <w:szCs w:val="24"/>
        </w:rPr>
      </w:pPr>
      <w:r w:rsidRPr="00912BC0">
        <w:rPr>
          <w:rFonts w:ascii="Calibri" w:hAnsi="Calibri" w:cs="Calibri"/>
          <w:b/>
          <w:bCs/>
          <w:color w:val="156082" w:themeColor="accent1"/>
          <w:sz w:val="24"/>
          <w:szCs w:val="24"/>
        </w:rPr>
        <w:t>Table 4</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912BC0" w:rsidRPr="00912BC0" w14:paraId="2A65AE22" w14:textId="77777777" w:rsidTr="00912BC0">
        <w:tc>
          <w:tcPr>
            <w:tcW w:w="1288" w:type="dxa"/>
          </w:tcPr>
          <w:p w14:paraId="097106F4"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Year</w:t>
            </w:r>
          </w:p>
        </w:tc>
        <w:tc>
          <w:tcPr>
            <w:tcW w:w="1288" w:type="dxa"/>
          </w:tcPr>
          <w:p w14:paraId="5024630E"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Current Ratio</w:t>
            </w:r>
          </w:p>
        </w:tc>
        <w:tc>
          <w:tcPr>
            <w:tcW w:w="1288" w:type="dxa"/>
          </w:tcPr>
          <w:p w14:paraId="1EF8F491"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Quick Ratio</w:t>
            </w:r>
          </w:p>
        </w:tc>
        <w:tc>
          <w:tcPr>
            <w:tcW w:w="1288" w:type="dxa"/>
          </w:tcPr>
          <w:p w14:paraId="4FCB2868"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Debt to Equity Ratio</w:t>
            </w:r>
          </w:p>
        </w:tc>
        <w:tc>
          <w:tcPr>
            <w:tcW w:w="1288" w:type="dxa"/>
          </w:tcPr>
          <w:p w14:paraId="3FD9ED6E"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Debt Ratio</w:t>
            </w:r>
          </w:p>
        </w:tc>
        <w:tc>
          <w:tcPr>
            <w:tcW w:w="1288" w:type="dxa"/>
          </w:tcPr>
          <w:p w14:paraId="26767206"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Equity Ratio</w:t>
            </w:r>
          </w:p>
        </w:tc>
        <w:tc>
          <w:tcPr>
            <w:tcW w:w="1288" w:type="dxa"/>
          </w:tcPr>
          <w:p w14:paraId="29011A96" w14:textId="77777777" w:rsidR="00912BC0" w:rsidRPr="00912BC0" w:rsidRDefault="00912BC0" w:rsidP="00883759">
            <w:pPr>
              <w:spacing w:line="360" w:lineRule="auto"/>
              <w:jc w:val="both"/>
              <w:rPr>
                <w:rFonts w:ascii="Calibri" w:hAnsi="Calibri" w:cs="Calibri"/>
                <w:b/>
                <w:bCs/>
                <w:sz w:val="24"/>
                <w:szCs w:val="24"/>
              </w:rPr>
            </w:pPr>
            <w:r w:rsidRPr="00912BC0">
              <w:rPr>
                <w:rFonts w:ascii="Calibri" w:hAnsi="Calibri" w:cs="Calibri"/>
                <w:b/>
                <w:bCs/>
                <w:sz w:val="24"/>
                <w:szCs w:val="24"/>
              </w:rPr>
              <w:t>Operating Cash Flow Ratio</w:t>
            </w:r>
          </w:p>
        </w:tc>
      </w:tr>
      <w:tr w:rsidR="00912BC0" w:rsidRPr="00912BC0" w14:paraId="78BB4741" w14:textId="77777777" w:rsidTr="00912BC0">
        <w:tc>
          <w:tcPr>
            <w:tcW w:w="1288" w:type="dxa"/>
          </w:tcPr>
          <w:p w14:paraId="19D60653"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2019</w:t>
            </w:r>
          </w:p>
        </w:tc>
        <w:tc>
          <w:tcPr>
            <w:tcW w:w="1288" w:type="dxa"/>
          </w:tcPr>
          <w:p w14:paraId="42BD6BEE"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0.94</w:t>
            </w:r>
          </w:p>
        </w:tc>
        <w:tc>
          <w:tcPr>
            <w:tcW w:w="1288" w:type="dxa"/>
          </w:tcPr>
          <w:p w14:paraId="77E251C3"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0.89</w:t>
            </w:r>
          </w:p>
        </w:tc>
        <w:tc>
          <w:tcPr>
            <w:tcW w:w="1288" w:type="dxa"/>
          </w:tcPr>
          <w:p w14:paraId="4067B0E8"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0.54</w:t>
            </w:r>
          </w:p>
        </w:tc>
        <w:tc>
          <w:tcPr>
            <w:tcW w:w="1288" w:type="dxa"/>
          </w:tcPr>
          <w:p w14:paraId="64FA92EA"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0.51</w:t>
            </w:r>
          </w:p>
        </w:tc>
        <w:tc>
          <w:tcPr>
            <w:tcW w:w="1288" w:type="dxa"/>
          </w:tcPr>
          <w:p w14:paraId="7BE304A7"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0.49</w:t>
            </w:r>
          </w:p>
        </w:tc>
        <w:tc>
          <w:tcPr>
            <w:tcW w:w="1288" w:type="dxa"/>
          </w:tcPr>
          <w:p w14:paraId="4F367F37"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0.33</w:t>
            </w:r>
          </w:p>
        </w:tc>
      </w:tr>
      <w:tr w:rsidR="00912BC0" w:rsidRPr="00912BC0" w14:paraId="05F74524" w14:textId="77777777" w:rsidTr="00912BC0">
        <w:tc>
          <w:tcPr>
            <w:tcW w:w="1288" w:type="dxa"/>
          </w:tcPr>
          <w:p w14:paraId="43A9867E"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2020</w:t>
            </w:r>
          </w:p>
        </w:tc>
        <w:tc>
          <w:tcPr>
            <w:tcW w:w="1288" w:type="dxa"/>
          </w:tcPr>
          <w:p w14:paraId="59996F9B"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1.32</w:t>
            </w:r>
          </w:p>
        </w:tc>
        <w:tc>
          <w:tcPr>
            <w:tcW w:w="1288" w:type="dxa"/>
          </w:tcPr>
          <w:p w14:paraId="6E5B735C"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1.24</w:t>
            </w:r>
          </w:p>
        </w:tc>
        <w:tc>
          <w:tcPr>
            <w:tcW w:w="1288" w:type="dxa"/>
          </w:tcPr>
          <w:p w14:paraId="45657965"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0.58</w:t>
            </w:r>
          </w:p>
        </w:tc>
        <w:tc>
          <w:tcPr>
            <w:tcW w:w="1288" w:type="dxa"/>
          </w:tcPr>
          <w:p w14:paraId="60EF03F6"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0.60</w:t>
            </w:r>
          </w:p>
        </w:tc>
        <w:tc>
          <w:tcPr>
            <w:tcW w:w="1288" w:type="dxa"/>
          </w:tcPr>
          <w:p w14:paraId="4C77E043"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0.40</w:t>
            </w:r>
          </w:p>
        </w:tc>
        <w:tc>
          <w:tcPr>
            <w:tcW w:w="1288" w:type="dxa"/>
          </w:tcPr>
          <w:p w14:paraId="2DE359C2"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0.29</w:t>
            </w:r>
          </w:p>
        </w:tc>
      </w:tr>
      <w:tr w:rsidR="00912BC0" w:rsidRPr="00912BC0" w14:paraId="2C51F80E" w14:textId="77777777" w:rsidTr="00912BC0">
        <w:tc>
          <w:tcPr>
            <w:tcW w:w="1288" w:type="dxa"/>
          </w:tcPr>
          <w:p w14:paraId="7A242B80"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2021</w:t>
            </w:r>
          </w:p>
        </w:tc>
        <w:tc>
          <w:tcPr>
            <w:tcW w:w="1288" w:type="dxa"/>
          </w:tcPr>
          <w:p w14:paraId="58A5BAE5"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1.08</w:t>
            </w:r>
          </w:p>
        </w:tc>
        <w:tc>
          <w:tcPr>
            <w:tcW w:w="1288" w:type="dxa"/>
          </w:tcPr>
          <w:p w14:paraId="68FFC485"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1.02</w:t>
            </w:r>
          </w:p>
        </w:tc>
        <w:tc>
          <w:tcPr>
            <w:tcW w:w="1288" w:type="dxa"/>
          </w:tcPr>
          <w:p w14:paraId="372320A5"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0.52</w:t>
            </w:r>
          </w:p>
        </w:tc>
        <w:tc>
          <w:tcPr>
            <w:tcW w:w="1288" w:type="dxa"/>
          </w:tcPr>
          <w:p w14:paraId="59A83D38"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0.56</w:t>
            </w:r>
          </w:p>
        </w:tc>
        <w:tc>
          <w:tcPr>
            <w:tcW w:w="1288" w:type="dxa"/>
          </w:tcPr>
          <w:p w14:paraId="26418109"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0.44</w:t>
            </w:r>
          </w:p>
        </w:tc>
        <w:tc>
          <w:tcPr>
            <w:tcW w:w="1288" w:type="dxa"/>
          </w:tcPr>
          <w:p w14:paraId="39FFFB21"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0.17</w:t>
            </w:r>
          </w:p>
        </w:tc>
      </w:tr>
      <w:tr w:rsidR="00912BC0" w:rsidRPr="00912BC0" w14:paraId="3B089DED" w14:textId="77777777" w:rsidTr="00912BC0">
        <w:tc>
          <w:tcPr>
            <w:tcW w:w="1288" w:type="dxa"/>
          </w:tcPr>
          <w:p w14:paraId="5FA60D79"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2022</w:t>
            </w:r>
          </w:p>
        </w:tc>
        <w:tc>
          <w:tcPr>
            <w:tcW w:w="1288" w:type="dxa"/>
          </w:tcPr>
          <w:p w14:paraId="005FB360"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1.00</w:t>
            </w:r>
          </w:p>
        </w:tc>
        <w:tc>
          <w:tcPr>
            <w:tcW w:w="1288" w:type="dxa"/>
          </w:tcPr>
          <w:p w14:paraId="72712A3C"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0.95</w:t>
            </w:r>
          </w:p>
        </w:tc>
        <w:tc>
          <w:tcPr>
            <w:tcW w:w="1288" w:type="dxa"/>
          </w:tcPr>
          <w:p w14:paraId="7A6E411F"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0.48</w:t>
            </w:r>
          </w:p>
        </w:tc>
        <w:tc>
          <w:tcPr>
            <w:tcW w:w="1288" w:type="dxa"/>
          </w:tcPr>
          <w:p w14:paraId="72C53E1E"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0.52</w:t>
            </w:r>
          </w:p>
        </w:tc>
        <w:tc>
          <w:tcPr>
            <w:tcW w:w="1288" w:type="dxa"/>
          </w:tcPr>
          <w:p w14:paraId="13ECE87B"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0.48</w:t>
            </w:r>
          </w:p>
        </w:tc>
        <w:tc>
          <w:tcPr>
            <w:tcW w:w="1288" w:type="dxa"/>
          </w:tcPr>
          <w:p w14:paraId="029F7999"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0.20</w:t>
            </w:r>
          </w:p>
        </w:tc>
      </w:tr>
      <w:tr w:rsidR="00912BC0" w:rsidRPr="00912BC0" w14:paraId="4EBC755E" w14:textId="77777777" w:rsidTr="00912BC0">
        <w:tc>
          <w:tcPr>
            <w:tcW w:w="1288" w:type="dxa"/>
          </w:tcPr>
          <w:p w14:paraId="549F618B"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2023</w:t>
            </w:r>
          </w:p>
        </w:tc>
        <w:tc>
          <w:tcPr>
            <w:tcW w:w="1288" w:type="dxa"/>
          </w:tcPr>
          <w:p w14:paraId="016DF72E"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1.05</w:t>
            </w:r>
          </w:p>
        </w:tc>
        <w:tc>
          <w:tcPr>
            <w:tcW w:w="1288" w:type="dxa"/>
          </w:tcPr>
          <w:p w14:paraId="72B03F7A"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1.00</w:t>
            </w:r>
          </w:p>
        </w:tc>
        <w:tc>
          <w:tcPr>
            <w:tcW w:w="1288" w:type="dxa"/>
          </w:tcPr>
          <w:p w14:paraId="6E802C1F"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0.42</w:t>
            </w:r>
          </w:p>
        </w:tc>
        <w:tc>
          <w:tcPr>
            <w:tcW w:w="1288" w:type="dxa"/>
          </w:tcPr>
          <w:p w14:paraId="46298FEE"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0.50</w:t>
            </w:r>
          </w:p>
        </w:tc>
        <w:tc>
          <w:tcPr>
            <w:tcW w:w="1288" w:type="dxa"/>
          </w:tcPr>
          <w:p w14:paraId="4383823D"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0.50</w:t>
            </w:r>
          </w:p>
        </w:tc>
        <w:tc>
          <w:tcPr>
            <w:tcW w:w="1288" w:type="dxa"/>
          </w:tcPr>
          <w:p w14:paraId="272843C4" w14:textId="77777777" w:rsidR="00912BC0" w:rsidRPr="00912BC0" w:rsidRDefault="00912BC0" w:rsidP="00883759">
            <w:pPr>
              <w:spacing w:line="360" w:lineRule="auto"/>
              <w:jc w:val="both"/>
              <w:rPr>
                <w:rFonts w:ascii="Calibri" w:hAnsi="Calibri" w:cs="Calibri"/>
                <w:sz w:val="24"/>
                <w:szCs w:val="24"/>
              </w:rPr>
            </w:pPr>
            <w:r w:rsidRPr="00912BC0">
              <w:rPr>
                <w:rFonts w:ascii="Calibri" w:hAnsi="Calibri" w:cs="Calibri"/>
                <w:sz w:val="24"/>
                <w:szCs w:val="24"/>
              </w:rPr>
              <w:t>0.22</w:t>
            </w:r>
          </w:p>
        </w:tc>
      </w:tr>
    </w:tbl>
    <w:p w14:paraId="0AF7998E" w14:textId="77777777" w:rsidR="00912BC0" w:rsidRPr="00912BC0" w:rsidRDefault="00912BC0" w:rsidP="00912BC0">
      <w:pPr>
        <w:spacing w:after="0" w:line="360" w:lineRule="auto"/>
        <w:jc w:val="center"/>
        <w:rPr>
          <w:rFonts w:ascii="Calibri" w:hAnsi="Calibri" w:cs="Calibri"/>
          <w:b/>
          <w:bCs/>
          <w:i/>
          <w:iCs/>
          <w:sz w:val="24"/>
          <w:szCs w:val="24"/>
        </w:rPr>
      </w:pPr>
      <w:r w:rsidRPr="00912BC0">
        <w:rPr>
          <w:rFonts w:ascii="Calibri" w:hAnsi="Calibri" w:cs="Calibri"/>
          <w:b/>
          <w:bCs/>
          <w:i/>
          <w:iCs/>
          <w:sz w:val="24"/>
          <w:szCs w:val="24"/>
        </w:rPr>
        <w:t>Source</w:t>
      </w:r>
      <w:r>
        <w:rPr>
          <w:rFonts w:ascii="Calibri" w:hAnsi="Calibri" w:cs="Calibri"/>
          <w:b/>
          <w:bCs/>
          <w:i/>
          <w:iCs/>
          <w:sz w:val="24"/>
          <w:szCs w:val="24"/>
        </w:rPr>
        <w:t xml:space="preserve">: </w:t>
      </w:r>
      <w:r w:rsidRPr="00912BC0">
        <w:rPr>
          <w:rFonts w:ascii="Calibri" w:hAnsi="Calibri" w:cs="Calibri"/>
          <w:b/>
          <w:bCs/>
          <w:i/>
          <w:iCs/>
          <w:sz w:val="24"/>
          <w:szCs w:val="24"/>
        </w:rPr>
        <w:t>The Walt Disney Annual Reports,2019 to 2023.</w:t>
      </w:r>
    </w:p>
    <w:p w14:paraId="2A474FD8" w14:textId="77777777" w:rsidR="00912BC0" w:rsidRPr="00912BC0" w:rsidRDefault="00912BC0" w:rsidP="00912BC0">
      <w:pPr>
        <w:spacing w:after="0" w:line="360" w:lineRule="auto"/>
        <w:jc w:val="center"/>
        <w:rPr>
          <w:rFonts w:ascii="Calibri" w:hAnsi="Calibri" w:cs="Calibri"/>
          <w:b/>
          <w:bCs/>
          <w:i/>
          <w:iCs/>
          <w:color w:val="156082" w:themeColor="accent1"/>
          <w:sz w:val="24"/>
          <w:szCs w:val="24"/>
        </w:rPr>
      </w:pPr>
    </w:p>
    <w:p w14:paraId="74A86100" w14:textId="6546A1D7" w:rsidR="00912BC0" w:rsidRPr="00912BC0" w:rsidRDefault="00F968D4" w:rsidP="00912BC0">
      <w:pPr>
        <w:spacing w:after="0" w:line="360" w:lineRule="auto"/>
        <w:jc w:val="both"/>
        <w:rPr>
          <w:rFonts w:ascii="Calibri" w:hAnsi="Calibri" w:cs="Calibri"/>
          <w:b/>
          <w:bCs/>
          <w:color w:val="156082" w:themeColor="accent1"/>
          <w:sz w:val="24"/>
          <w:szCs w:val="24"/>
        </w:rPr>
      </w:pPr>
      <w:r>
        <w:rPr>
          <w:rFonts w:ascii="Calibri" w:hAnsi="Calibri" w:cs="Calibri"/>
          <w:b/>
          <w:bCs/>
          <w:color w:val="156082" w:themeColor="accent1"/>
          <w:sz w:val="24"/>
          <w:szCs w:val="24"/>
        </w:rPr>
        <w:t>4</w:t>
      </w:r>
      <w:r w:rsidR="00912BC0" w:rsidRPr="00912BC0">
        <w:rPr>
          <w:rFonts w:ascii="Calibri" w:hAnsi="Calibri" w:cs="Calibri"/>
          <w:b/>
          <w:bCs/>
          <w:color w:val="156082" w:themeColor="accent1"/>
          <w:sz w:val="24"/>
          <w:szCs w:val="24"/>
        </w:rPr>
        <w:t>.1 Measures of</w:t>
      </w:r>
      <w:r w:rsidR="00912BC0">
        <w:rPr>
          <w:rFonts w:ascii="Calibri" w:hAnsi="Calibri" w:cs="Calibri"/>
          <w:b/>
          <w:bCs/>
          <w:color w:val="156082" w:themeColor="accent1"/>
          <w:sz w:val="24"/>
          <w:szCs w:val="24"/>
        </w:rPr>
        <w:t xml:space="preserve"> The Walt Disney</w:t>
      </w:r>
      <w:r w:rsidR="00912BC0" w:rsidRPr="00912BC0">
        <w:rPr>
          <w:rFonts w:ascii="Calibri" w:hAnsi="Calibri" w:cs="Calibri"/>
          <w:b/>
          <w:bCs/>
          <w:color w:val="156082" w:themeColor="accent1"/>
          <w:sz w:val="24"/>
          <w:szCs w:val="24"/>
        </w:rPr>
        <w:t xml:space="preserve"> financial ratio</w:t>
      </w:r>
    </w:p>
    <w:p w14:paraId="661FB85D"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lastRenderedPageBreak/>
        <w:t>The Walt Disney Company's financial ratios from 2019 to 2023 offer a comprehensive view of its financial stability, operational efficiency, and strategic management. This analysis provides deeper insights into the liquidity, leverage, and cash flow metrics that underscore Disney's financial health and its adeptness in managing capital and operational challenges.</w:t>
      </w:r>
    </w:p>
    <w:p w14:paraId="69F0C4FD" w14:textId="77777777" w:rsidR="00EA23A2" w:rsidRPr="00EA23A2" w:rsidRDefault="00EA23A2" w:rsidP="00EA23A2">
      <w:pPr>
        <w:spacing w:after="0" w:line="360" w:lineRule="auto"/>
        <w:jc w:val="both"/>
        <w:rPr>
          <w:rFonts w:ascii="Calibri" w:hAnsi="Calibri" w:cs="Calibri"/>
          <w:sz w:val="24"/>
          <w:szCs w:val="24"/>
        </w:rPr>
      </w:pPr>
    </w:p>
    <w:p w14:paraId="54C20BC1" w14:textId="77777777" w:rsidR="00EA23A2" w:rsidRPr="00EA23A2" w:rsidRDefault="00EA23A2" w:rsidP="00EA23A2">
      <w:pPr>
        <w:spacing w:after="0" w:line="360" w:lineRule="auto"/>
        <w:jc w:val="both"/>
        <w:rPr>
          <w:rFonts w:ascii="Calibri" w:hAnsi="Calibri" w:cs="Calibri"/>
          <w:b/>
          <w:bCs/>
          <w:i/>
          <w:iCs/>
          <w:sz w:val="24"/>
          <w:szCs w:val="24"/>
        </w:rPr>
      </w:pPr>
      <w:r w:rsidRPr="00EA23A2">
        <w:rPr>
          <w:rFonts w:ascii="Calibri" w:hAnsi="Calibri" w:cs="Calibri"/>
          <w:b/>
          <w:bCs/>
          <w:i/>
          <w:iCs/>
          <w:sz w:val="24"/>
          <w:szCs w:val="24"/>
        </w:rPr>
        <w:t>Liquidity Ratios:</w:t>
      </w:r>
    </w:p>
    <w:p w14:paraId="3349CFE5"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Disney's liquidity ratios, such as the Current Ratio and Quick Ratio, are crucial indicators of the company's ability to meet its short-term financial obligations. The Current Ratio, which compares current assets to current liabilities, has shown a positive trend, rising from 0.94 in 2019 to 1.05 in 2023. This increase reflects an improved liquidity position, suggesting that Disney has been successful in maintaining sufficient resources to cover its short-term liabilities. This is particularly significant as it highlights Disney's operational flexibility and its ability to respond swiftly to financial commitments without incurring additional financial stress.</w:t>
      </w:r>
    </w:p>
    <w:p w14:paraId="31B9436F" w14:textId="77777777" w:rsidR="00EA23A2" w:rsidRPr="00EA23A2" w:rsidRDefault="00EA23A2" w:rsidP="00EA23A2">
      <w:pPr>
        <w:spacing w:after="0" w:line="360" w:lineRule="auto"/>
        <w:jc w:val="both"/>
        <w:rPr>
          <w:rFonts w:ascii="Calibri" w:hAnsi="Calibri" w:cs="Calibri"/>
          <w:sz w:val="24"/>
          <w:szCs w:val="24"/>
        </w:rPr>
      </w:pPr>
    </w:p>
    <w:p w14:paraId="2B5CB87E"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The Quick Ratio, which excludes inventory from current assets to provide a stricter assessment of a company's ability to meet its immediate obligations, also exhibited an upward trend from 0.89 in 2019 to 1.00 in 2023. The improvement in this ratio indicates a robust capacity to cover immediate liabilities, which is essential for maintaining creditor confidence and ensuring financial stability.</w:t>
      </w:r>
    </w:p>
    <w:p w14:paraId="1F1E71F9" w14:textId="77777777" w:rsidR="00EA23A2" w:rsidRPr="00EA23A2" w:rsidRDefault="00EA23A2" w:rsidP="00EA23A2">
      <w:pPr>
        <w:spacing w:after="0" w:line="360" w:lineRule="auto"/>
        <w:jc w:val="both"/>
        <w:rPr>
          <w:rFonts w:ascii="Calibri" w:hAnsi="Calibri" w:cs="Calibri"/>
          <w:sz w:val="24"/>
          <w:szCs w:val="24"/>
        </w:rPr>
      </w:pPr>
    </w:p>
    <w:p w14:paraId="6E0719C6" w14:textId="77777777" w:rsidR="00EA23A2" w:rsidRPr="00EA23A2" w:rsidRDefault="00EA23A2" w:rsidP="00EA23A2">
      <w:pPr>
        <w:spacing w:after="0" w:line="360" w:lineRule="auto"/>
        <w:jc w:val="both"/>
        <w:rPr>
          <w:rFonts w:ascii="Calibri" w:hAnsi="Calibri" w:cs="Calibri"/>
          <w:b/>
          <w:bCs/>
          <w:i/>
          <w:iCs/>
          <w:sz w:val="24"/>
          <w:szCs w:val="24"/>
        </w:rPr>
      </w:pPr>
      <w:r w:rsidRPr="00EA23A2">
        <w:rPr>
          <w:rFonts w:ascii="Calibri" w:hAnsi="Calibri" w:cs="Calibri"/>
          <w:b/>
          <w:bCs/>
          <w:i/>
          <w:iCs/>
          <w:sz w:val="24"/>
          <w:szCs w:val="24"/>
        </w:rPr>
        <w:t>Leverage Ratios:</w:t>
      </w:r>
    </w:p>
    <w:p w14:paraId="2174A33D"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Disney's leverage ratios, including the Debt-to-Equity Ratio and Debt Ratio, provide insight into the company's financial leverage and risk management. The Debt-to-Equity Ratio decreased from 0.54 in 2019 to 0.42 in 2023, suggesting a strategic reduction in reliance on debt financing. This decrease is indicative of Disney's commitment to sustaining its growth with a balanced approach to financing, thus enhancing its financial stability and lowering its risk profile. Concurrently, the Debt Ratio, which measures the proportion of a company’s assets financed through debt, showed a decline from 0.60 in 2020 to 0.50 in 2023. This trend further illustrates Disney's effective management of its debt levels in relation to its total assets, signifying prudent financial practices that protect shareholder interests and company sustainability.</w:t>
      </w:r>
    </w:p>
    <w:p w14:paraId="12A71AA1" w14:textId="77777777" w:rsidR="00EA23A2" w:rsidRPr="00EA23A2" w:rsidRDefault="00EA23A2" w:rsidP="00EA23A2">
      <w:pPr>
        <w:spacing w:after="0" w:line="360" w:lineRule="auto"/>
        <w:jc w:val="both"/>
        <w:rPr>
          <w:rFonts w:ascii="Calibri" w:hAnsi="Calibri" w:cs="Calibri"/>
          <w:sz w:val="24"/>
          <w:szCs w:val="24"/>
        </w:rPr>
      </w:pPr>
    </w:p>
    <w:p w14:paraId="2FB54032" w14:textId="77777777" w:rsidR="00EA23A2" w:rsidRPr="00EA23A2" w:rsidRDefault="00EA23A2" w:rsidP="00EA23A2">
      <w:pPr>
        <w:spacing w:after="0" w:line="360" w:lineRule="auto"/>
        <w:jc w:val="both"/>
        <w:rPr>
          <w:rFonts w:ascii="Calibri" w:hAnsi="Calibri" w:cs="Calibri"/>
          <w:b/>
          <w:bCs/>
          <w:i/>
          <w:iCs/>
          <w:sz w:val="24"/>
          <w:szCs w:val="24"/>
        </w:rPr>
      </w:pPr>
      <w:r w:rsidRPr="00EA23A2">
        <w:rPr>
          <w:rFonts w:ascii="Calibri" w:hAnsi="Calibri" w:cs="Calibri"/>
          <w:b/>
          <w:bCs/>
          <w:i/>
          <w:iCs/>
          <w:sz w:val="24"/>
          <w:szCs w:val="24"/>
        </w:rPr>
        <w:t>Cash Flow Management:</w:t>
      </w:r>
    </w:p>
    <w:p w14:paraId="576C905C" w14:textId="77777777" w:rsidR="00EA23A2" w:rsidRPr="00EA23A2"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The Operating Cash Flow Ratio, which assesses the capability to generate sufficient cash from operations to cover debts, presented variability, with a notable improvement observed by 2023. This ratio is crucial as it indicates the company’s efficiency in generating operational cash flow sufficient to meet its obligations, which is fundamental for long-term financial health. Disney's ability to enhance its operating cash flow—from $5,984 million in 2019 to $9,866 million in 2023—demonstrates its operational excellence and strategic initiatives that boost cash-generating activities, crucial for funding new projects and sustaining growth.</w:t>
      </w:r>
    </w:p>
    <w:p w14:paraId="7AEAFD39" w14:textId="77777777" w:rsidR="00EA23A2" w:rsidRPr="00EA23A2" w:rsidRDefault="00EA23A2" w:rsidP="00EA23A2">
      <w:pPr>
        <w:spacing w:after="0" w:line="360" w:lineRule="auto"/>
        <w:jc w:val="both"/>
        <w:rPr>
          <w:rFonts w:ascii="Calibri" w:hAnsi="Calibri" w:cs="Calibri"/>
          <w:sz w:val="24"/>
          <w:szCs w:val="24"/>
        </w:rPr>
      </w:pPr>
    </w:p>
    <w:p w14:paraId="1633C1E9" w14:textId="240171D0" w:rsidR="00912BC0" w:rsidRDefault="00EA23A2" w:rsidP="00EA23A2">
      <w:pPr>
        <w:spacing w:after="0" w:line="360" w:lineRule="auto"/>
        <w:jc w:val="both"/>
        <w:rPr>
          <w:rFonts w:ascii="Calibri" w:hAnsi="Calibri" w:cs="Calibri"/>
          <w:sz w:val="24"/>
          <w:szCs w:val="24"/>
        </w:rPr>
      </w:pPr>
      <w:r w:rsidRPr="00EA23A2">
        <w:rPr>
          <w:rFonts w:ascii="Calibri" w:hAnsi="Calibri" w:cs="Calibri"/>
          <w:sz w:val="24"/>
          <w:szCs w:val="24"/>
        </w:rPr>
        <w:t>Moreover, this increase in operating cash flow is reflective of Disney's strategic adaptability, particularly in expanding its digital streaming services, a move that has proven essential following the challenges posed by the COVID-19 pandemic. The pandemic underscored the importance of having robust digital offerings to offset disruptions in traditional revenue streams such as theme parks and theatrical releases. Disney’s strategic focus on enhancing its digital platforms, such as Disney+, has not only provided a vital revenue stream during turbulent times but also positioned the company to capitalize on the growing demand for digital content.</w:t>
      </w:r>
    </w:p>
    <w:p w14:paraId="4B3E57CE" w14:textId="77777777" w:rsidR="00EA23A2" w:rsidRDefault="00EA23A2" w:rsidP="00EA23A2">
      <w:pPr>
        <w:spacing w:after="0" w:line="360" w:lineRule="auto"/>
        <w:jc w:val="both"/>
        <w:rPr>
          <w:rFonts w:ascii="Calibri" w:hAnsi="Calibri" w:cs="Calibri"/>
          <w:sz w:val="24"/>
          <w:szCs w:val="24"/>
        </w:rPr>
      </w:pPr>
    </w:p>
    <w:p w14:paraId="03D4FC39" w14:textId="7436A246" w:rsidR="00EA23A2" w:rsidRPr="00BF79FC" w:rsidRDefault="00F968D4" w:rsidP="00EA23A2">
      <w:pPr>
        <w:spacing w:after="0" w:line="360" w:lineRule="auto"/>
        <w:jc w:val="both"/>
        <w:rPr>
          <w:rFonts w:ascii="Calibri" w:hAnsi="Calibri" w:cs="Calibri"/>
          <w:b/>
          <w:bCs/>
          <w:color w:val="156082" w:themeColor="accent1"/>
          <w:sz w:val="24"/>
          <w:szCs w:val="24"/>
          <w:shd w:val="clear" w:color="auto" w:fill="FFFFFF"/>
        </w:rPr>
      </w:pPr>
      <w:r>
        <w:rPr>
          <w:rFonts w:ascii="Calibri" w:hAnsi="Calibri" w:cs="Calibri"/>
          <w:b/>
          <w:bCs/>
          <w:color w:val="156082" w:themeColor="accent1"/>
          <w:sz w:val="24"/>
          <w:szCs w:val="24"/>
          <w:shd w:val="clear" w:color="auto" w:fill="FFFFFF"/>
        </w:rPr>
        <w:t>5</w:t>
      </w:r>
      <w:r w:rsidR="00EA23A2" w:rsidRPr="00BF79FC">
        <w:rPr>
          <w:rFonts w:ascii="Calibri" w:hAnsi="Calibri" w:cs="Calibri"/>
          <w:b/>
          <w:bCs/>
          <w:color w:val="156082" w:themeColor="accent1"/>
          <w:sz w:val="24"/>
          <w:szCs w:val="24"/>
          <w:shd w:val="clear" w:color="auto" w:fill="FFFFFF"/>
        </w:rPr>
        <w:t>. Critical analysis of ratios:</w:t>
      </w:r>
    </w:p>
    <w:p w14:paraId="1CDCC47E"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In the evaluation of financial performance, the critical analysis of financial ratios serves as a vital tool for investors, managers, and stakeholders. The Walt Disney Company, a prominent player in the entertainment industry, presents an intriguing case for such an analysis.</w:t>
      </w:r>
    </w:p>
    <w:p w14:paraId="5C6AC893"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p>
    <w:p w14:paraId="079D8F17" w14:textId="77777777" w:rsidR="00EA23A2" w:rsidRPr="00BF79FC" w:rsidRDefault="00EA23A2" w:rsidP="00EA23A2">
      <w:pPr>
        <w:spacing w:after="0" w:line="360" w:lineRule="auto"/>
        <w:jc w:val="both"/>
        <w:rPr>
          <w:rFonts w:ascii="Calibri" w:hAnsi="Calibri" w:cs="Calibri"/>
          <w:b/>
          <w:bCs/>
          <w:i/>
          <w:iCs/>
          <w:color w:val="0D0D0D"/>
          <w:sz w:val="24"/>
          <w:szCs w:val="24"/>
          <w:shd w:val="clear" w:color="auto" w:fill="FFFFFF"/>
        </w:rPr>
      </w:pPr>
      <w:r w:rsidRPr="00BF79FC">
        <w:rPr>
          <w:rFonts w:ascii="Calibri" w:hAnsi="Calibri" w:cs="Calibri"/>
          <w:b/>
          <w:bCs/>
          <w:i/>
          <w:iCs/>
          <w:color w:val="0D0D0D"/>
          <w:sz w:val="24"/>
          <w:szCs w:val="24"/>
          <w:shd w:val="clear" w:color="auto" w:fill="FFFFFF"/>
        </w:rPr>
        <w:t>Favourable Points</w:t>
      </w:r>
    </w:p>
    <w:p w14:paraId="4287171C"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 xml:space="preserve">One of the more favourable aspects of Disney's financial ratios is its improving liquidity position over recent years. The current and quick ratios have shown an upward trend, indicating a stronger capability to meet short-term obligations without relying on the sale of inventory. This improvement is crucial for Disney, ensuring operational flexibility and the ability to handle unforeseen expenses or investments (Brealey, Myers, &amp; Allen, 2021). The enhanced liquidity is partly a result of efficient asset management and strategic financial </w:t>
      </w:r>
      <w:r w:rsidRPr="00BF79FC">
        <w:rPr>
          <w:rFonts w:ascii="Calibri" w:hAnsi="Calibri" w:cs="Calibri"/>
          <w:color w:val="0D0D0D"/>
          <w:sz w:val="24"/>
          <w:szCs w:val="24"/>
          <w:shd w:val="clear" w:color="auto" w:fill="FFFFFF"/>
        </w:rPr>
        <w:lastRenderedPageBreak/>
        <w:t>planning, which are essential in the cyclic nature of the entertainment industry, where cash flow can be unpredictable due to seasonal variations in revenue.</w:t>
      </w:r>
    </w:p>
    <w:p w14:paraId="538E5806"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p>
    <w:p w14:paraId="16D3C9A1"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Another positive point is the trend observed in the company’s leverage ratios, such as the Debt-to-Equity and Debt Ratios. These ratios have demonstrated a gradual decrease, reflecting a strategic reduction in reliance on debt financing. This shift enhances Disney’s financial stability and reduces the risk profile of the company, making it more attractive to investors and lenders alike (Ross, Westerfield, &amp; Jordan, 2021). Such a prudent approach to leveraging is indicative of Disney’s commitment to maintaining a sustainable capital structure while still funding expansive projects and acquisitions, like the purchase of 21st Century Fox and the rollout of Disney+.</w:t>
      </w:r>
    </w:p>
    <w:p w14:paraId="55EAEB18"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p>
    <w:p w14:paraId="3049EE1B" w14:textId="77777777" w:rsidR="00EA23A2" w:rsidRPr="00BF79FC" w:rsidRDefault="00EA23A2" w:rsidP="00EA23A2">
      <w:pPr>
        <w:spacing w:after="0" w:line="360" w:lineRule="auto"/>
        <w:jc w:val="both"/>
        <w:rPr>
          <w:rFonts w:ascii="Calibri" w:hAnsi="Calibri" w:cs="Calibri"/>
          <w:b/>
          <w:bCs/>
          <w:i/>
          <w:iCs/>
          <w:color w:val="0D0D0D"/>
          <w:sz w:val="24"/>
          <w:szCs w:val="24"/>
          <w:shd w:val="clear" w:color="auto" w:fill="FFFFFF"/>
        </w:rPr>
      </w:pPr>
      <w:r w:rsidRPr="00BF79FC">
        <w:rPr>
          <w:rFonts w:ascii="Calibri" w:hAnsi="Calibri" w:cs="Calibri"/>
          <w:b/>
          <w:bCs/>
          <w:i/>
          <w:iCs/>
          <w:color w:val="0D0D0D"/>
          <w:sz w:val="24"/>
          <w:szCs w:val="24"/>
          <w:shd w:val="clear" w:color="auto" w:fill="FFFFFF"/>
        </w:rPr>
        <w:t>Unfavourable Points</w:t>
      </w:r>
    </w:p>
    <w:p w14:paraId="1F405B5A"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Despite these strengths, there are unfavourable aspects to Disney’s financial ratios that warrant concern. For instance, while the liquidity ratios have improved, they have occasionally dipped below industry standards. In certain years, the quick ratio, which excludes inventory, suggests that Disney might struggle to cover immediate liabilities if it cannot liquidate its inventory quickly. This scenario could pose a risk during downturns or when unexpected drops in revenue occur, such as those experienced during the COVID-19 pandemic when theme parks and movie theatres were closed (The Walt Disney Company, 2021).</w:t>
      </w:r>
    </w:p>
    <w:p w14:paraId="02FD417F" w14:textId="77777777" w:rsidR="00EA23A2" w:rsidRPr="00BF79FC" w:rsidRDefault="00EA23A2" w:rsidP="00EA23A2">
      <w:pPr>
        <w:spacing w:after="0" w:line="360" w:lineRule="auto"/>
        <w:jc w:val="both"/>
        <w:rPr>
          <w:rFonts w:ascii="Calibri" w:hAnsi="Calibri" w:cs="Calibri"/>
          <w:color w:val="0D0D0D"/>
          <w:sz w:val="24"/>
          <w:szCs w:val="24"/>
          <w:shd w:val="clear" w:color="auto" w:fill="FFFFFF"/>
        </w:rPr>
      </w:pPr>
    </w:p>
    <w:p w14:paraId="48C668A6" w14:textId="77777777" w:rsidR="00EA23A2" w:rsidRDefault="00EA23A2" w:rsidP="00EA23A2">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Furthermore, the leverage ratios, despite showing an overall decrease, still expose Disney to potential vulnerabilities. The entertainment giant’s substantial investments in digital platforms and international expansions are financed partly through debt. Although this is strategically sound, it increases the firm's exposure to interest rate fluctuations and economic downturns, which could affect its ability to service debt and pressure its financial reserves (Brealey, Myers, &amp; Allen, 2021). High leverage also imposes stringent obligations that can limit flexibility in corporate strategy, particularly in adverse economic climates where maintaining liquidity is crucial.</w:t>
      </w:r>
    </w:p>
    <w:p w14:paraId="798BD0C5" w14:textId="77777777" w:rsidR="00EA23A2" w:rsidRDefault="00EA23A2" w:rsidP="00EA23A2">
      <w:pPr>
        <w:spacing w:after="0" w:line="360" w:lineRule="auto"/>
        <w:jc w:val="both"/>
        <w:rPr>
          <w:rFonts w:ascii="Calibri" w:hAnsi="Calibri" w:cs="Calibri"/>
          <w:sz w:val="24"/>
          <w:szCs w:val="24"/>
        </w:rPr>
      </w:pPr>
    </w:p>
    <w:p w14:paraId="25B1DEC0" w14:textId="77777777" w:rsidR="00EA23A2" w:rsidRDefault="00EA23A2" w:rsidP="00EA23A2">
      <w:pPr>
        <w:spacing w:after="0" w:line="360" w:lineRule="auto"/>
        <w:jc w:val="both"/>
        <w:rPr>
          <w:rFonts w:ascii="Calibri" w:hAnsi="Calibri" w:cs="Calibri"/>
          <w:sz w:val="24"/>
          <w:szCs w:val="24"/>
        </w:rPr>
      </w:pPr>
    </w:p>
    <w:p w14:paraId="66A5809F" w14:textId="79336DEF" w:rsidR="00D373A3" w:rsidRDefault="00D373A3" w:rsidP="00912BC0">
      <w:pPr>
        <w:spacing w:after="0" w:line="360" w:lineRule="auto"/>
        <w:jc w:val="both"/>
        <w:rPr>
          <w:rFonts w:ascii="Calibri" w:hAnsi="Calibri" w:cs="Calibri"/>
          <w:b/>
          <w:bCs/>
          <w:color w:val="156082" w:themeColor="accent1"/>
          <w:sz w:val="24"/>
          <w:szCs w:val="24"/>
          <w:shd w:val="clear" w:color="auto" w:fill="FFFFFF"/>
        </w:rPr>
      </w:pPr>
      <w:r w:rsidRPr="00D373A3">
        <w:rPr>
          <w:rFonts w:ascii="Calibri" w:hAnsi="Calibri" w:cs="Calibri"/>
          <w:b/>
          <w:bCs/>
          <w:color w:val="156082" w:themeColor="accent1"/>
          <w:sz w:val="24"/>
          <w:szCs w:val="24"/>
        </w:rPr>
        <w:t xml:space="preserve">6. </w:t>
      </w:r>
      <w:r w:rsidR="00941A0C">
        <w:rPr>
          <w:rFonts w:ascii="Calibri" w:hAnsi="Calibri" w:cs="Calibri"/>
          <w:b/>
          <w:bCs/>
          <w:color w:val="156082" w:themeColor="accent1"/>
          <w:sz w:val="24"/>
          <w:szCs w:val="24"/>
        </w:rPr>
        <w:t xml:space="preserve">Comparison of </w:t>
      </w:r>
      <w:r w:rsidR="00F968D4">
        <w:rPr>
          <w:rFonts w:ascii="Calibri" w:hAnsi="Calibri" w:cs="Calibri"/>
          <w:b/>
          <w:bCs/>
          <w:color w:val="156082" w:themeColor="accent1"/>
          <w:sz w:val="24"/>
          <w:szCs w:val="24"/>
        </w:rPr>
        <w:t>the</w:t>
      </w:r>
      <w:r w:rsidR="00941A0C">
        <w:rPr>
          <w:rFonts w:ascii="Calibri" w:hAnsi="Calibri" w:cs="Calibri"/>
          <w:b/>
          <w:bCs/>
          <w:color w:val="156082" w:themeColor="accent1"/>
          <w:sz w:val="24"/>
          <w:szCs w:val="24"/>
        </w:rPr>
        <w:t xml:space="preserve"> </w:t>
      </w:r>
      <w:r w:rsidR="00570BF3">
        <w:rPr>
          <w:rFonts w:ascii="Calibri" w:hAnsi="Calibri" w:cs="Calibri"/>
          <w:b/>
          <w:bCs/>
          <w:color w:val="156082" w:themeColor="accent1"/>
          <w:sz w:val="24"/>
          <w:szCs w:val="24"/>
        </w:rPr>
        <w:t>Walt Disney</w:t>
      </w:r>
      <w:r w:rsidR="00941A0C">
        <w:rPr>
          <w:rFonts w:ascii="Calibri" w:hAnsi="Calibri" w:cs="Calibri"/>
          <w:b/>
          <w:bCs/>
          <w:color w:val="156082" w:themeColor="accent1"/>
          <w:sz w:val="24"/>
          <w:szCs w:val="24"/>
        </w:rPr>
        <w:t xml:space="preserve"> and</w:t>
      </w:r>
      <w:r w:rsidRPr="00D373A3">
        <w:rPr>
          <w:rFonts w:ascii="Calibri" w:hAnsi="Calibri" w:cs="Calibri"/>
          <w:b/>
          <w:bCs/>
          <w:color w:val="156082" w:themeColor="accent1"/>
          <w:sz w:val="24"/>
          <w:szCs w:val="24"/>
        </w:rPr>
        <w:t xml:space="preserve"> </w:t>
      </w:r>
      <w:r w:rsidRPr="00D373A3">
        <w:rPr>
          <w:rFonts w:ascii="Calibri" w:hAnsi="Calibri" w:cs="Calibri"/>
          <w:b/>
          <w:bCs/>
          <w:color w:val="156082" w:themeColor="accent1"/>
          <w:sz w:val="24"/>
          <w:szCs w:val="24"/>
          <w:shd w:val="clear" w:color="auto" w:fill="FFFFFF"/>
        </w:rPr>
        <w:t>Comcast Corporation</w:t>
      </w:r>
    </w:p>
    <w:p w14:paraId="0E260756" w14:textId="77777777" w:rsidR="00941A0C" w:rsidRPr="00941A0C" w:rsidRDefault="00941A0C" w:rsidP="00941A0C">
      <w:pPr>
        <w:spacing w:after="0"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lastRenderedPageBreak/>
        <w:t>Liquidity Ratios Comparison</w:t>
      </w:r>
    </w:p>
    <w:p w14:paraId="29A70B88" w14:textId="6F7E54E0" w:rsidR="00941A0C" w:rsidRPr="00941A0C" w:rsidRDefault="00941A0C" w:rsidP="00941A0C">
      <w:pPr>
        <w:spacing w:after="0"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Current and Quick Ratios:</w:t>
      </w:r>
      <w:r>
        <w:rPr>
          <w:rFonts w:ascii="Calibri" w:hAnsi="Calibri" w:cs="Calibri"/>
          <w:sz w:val="24"/>
          <w:szCs w:val="24"/>
          <w:shd w:val="clear" w:color="auto" w:fill="FFFFFF"/>
        </w:rPr>
        <w:t xml:space="preserve"> </w:t>
      </w:r>
      <w:r w:rsidRPr="00941A0C">
        <w:rPr>
          <w:rFonts w:ascii="Calibri" w:hAnsi="Calibri" w:cs="Calibri"/>
          <w:sz w:val="24"/>
          <w:szCs w:val="24"/>
          <w:shd w:val="clear" w:color="auto" w:fill="FFFFFF"/>
        </w:rPr>
        <w:t>The Current Ratio and Quick Ratio measure a company’s ability to cover its short-term obligations with its short-term assets. A higher ratio indicates better liquidity management.</w:t>
      </w:r>
    </w:p>
    <w:p w14:paraId="08722FC2" w14:textId="5C2BDED1" w:rsidR="00941A0C" w:rsidRPr="00941A0C" w:rsidRDefault="00941A0C" w:rsidP="00941A0C">
      <w:pPr>
        <w:spacing w:after="0" w:line="360" w:lineRule="auto"/>
        <w:jc w:val="both"/>
        <w:rPr>
          <w:rFonts w:ascii="Calibri" w:hAnsi="Calibri" w:cs="Calibri"/>
          <w:b/>
          <w:bCs/>
          <w:color w:val="156082" w:themeColor="accent1"/>
          <w:sz w:val="24"/>
          <w:szCs w:val="24"/>
          <w:shd w:val="clear" w:color="auto" w:fill="FFFFFF"/>
        </w:rPr>
      </w:pPr>
      <w:r>
        <w:rPr>
          <w:rFonts w:ascii="Calibri" w:hAnsi="Calibri" w:cs="Calibri"/>
          <w:b/>
          <w:bCs/>
          <w:color w:val="156082" w:themeColor="accent1"/>
          <w:sz w:val="24"/>
          <w:szCs w:val="24"/>
          <w:shd w:val="clear" w:color="auto" w:fill="FFFFFF"/>
        </w:rPr>
        <w:t>Table 5</w:t>
      </w:r>
    </w:p>
    <w:tbl>
      <w:tblPr>
        <w:tblStyle w:val="TableGrid"/>
        <w:tblW w:w="0" w:type="auto"/>
        <w:tblLook w:val="04A0" w:firstRow="1" w:lastRow="0" w:firstColumn="1" w:lastColumn="0" w:noHBand="0" w:noVBand="1"/>
      </w:tblPr>
      <w:tblGrid>
        <w:gridCol w:w="1803"/>
        <w:gridCol w:w="1803"/>
        <w:gridCol w:w="1803"/>
        <w:gridCol w:w="1803"/>
        <w:gridCol w:w="1804"/>
      </w:tblGrid>
      <w:tr w:rsidR="00941A0C" w:rsidRPr="00941A0C" w14:paraId="5EE52D3D" w14:textId="77777777" w:rsidTr="00941A0C">
        <w:tc>
          <w:tcPr>
            <w:tcW w:w="1803" w:type="dxa"/>
          </w:tcPr>
          <w:p w14:paraId="24A58DCB" w14:textId="77777777" w:rsidR="00941A0C" w:rsidRPr="00941A0C" w:rsidRDefault="00941A0C" w:rsidP="00712BEB">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Year</w:t>
            </w:r>
          </w:p>
        </w:tc>
        <w:tc>
          <w:tcPr>
            <w:tcW w:w="1803" w:type="dxa"/>
          </w:tcPr>
          <w:p w14:paraId="7E3D6E2C" w14:textId="77777777" w:rsidR="00941A0C" w:rsidRPr="00941A0C" w:rsidRDefault="00941A0C" w:rsidP="00712BEB">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Disney Current Ratio</w:t>
            </w:r>
          </w:p>
        </w:tc>
        <w:tc>
          <w:tcPr>
            <w:tcW w:w="1803" w:type="dxa"/>
          </w:tcPr>
          <w:p w14:paraId="15B88E7D" w14:textId="77777777" w:rsidR="00941A0C" w:rsidRPr="00941A0C" w:rsidRDefault="00941A0C" w:rsidP="00712BEB">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Comcast Current Ratio</w:t>
            </w:r>
          </w:p>
        </w:tc>
        <w:tc>
          <w:tcPr>
            <w:tcW w:w="1803" w:type="dxa"/>
          </w:tcPr>
          <w:p w14:paraId="643F18AA" w14:textId="77777777" w:rsidR="00941A0C" w:rsidRPr="00941A0C" w:rsidRDefault="00941A0C" w:rsidP="00712BEB">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Disney Quick Ratio</w:t>
            </w:r>
          </w:p>
        </w:tc>
        <w:tc>
          <w:tcPr>
            <w:tcW w:w="1804" w:type="dxa"/>
          </w:tcPr>
          <w:p w14:paraId="63A227FE" w14:textId="77777777" w:rsidR="00941A0C" w:rsidRPr="00941A0C" w:rsidRDefault="00941A0C" w:rsidP="00712BEB">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Comcast Quick Ratio</w:t>
            </w:r>
          </w:p>
        </w:tc>
      </w:tr>
      <w:tr w:rsidR="00941A0C" w:rsidRPr="00941A0C" w14:paraId="52112D98" w14:textId="77777777" w:rsidTr="00941A0C">
        <w:tc>
          <w:tcPr>
            <w:tcW w:w="1803" w:type="dxa"/>
          </w:tcPr>
          <w:p w14:paraId="19056191"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2019</w:t>
            </w:r>
          </w:p>
        </w:tc>
        <w:tc>
          <w:tcPr>
            <w:tcW w:w="1803" w:type="dxa"/>
          </w:tcPr>
          <w:p w14:paraId="7E7CBA6F"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0.94</w:t>
            </w:r>
          </w:p>
        </w:tc>
        <w:tc>
          <w:tcPr>
            <w:tcW w:w="1803" w:type="dxa"/>
          </w:tcPr>
          <w:p w14:paraId="12092E76"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0.85</w:t>
            </w:r>
          </w:p>
        </w:tc>
        <w:tc>
          <w:tcPr>
            <w:tcW w:w="1803" w:type="dxa"/>
          </w:tcPr>
          <w:p w14:paraId="05481B58"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0.89</w:t>
            </w:r>
          </w:p>
        </w:tc>
        <w:tc>
          <w:tcPr>
            <w:tcW w:w="1804" w:type="dxa"/>
          </w:tcPr>
          <w:p w14:paraId="3A4DB478"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0.81</w:t>
            </w:r>
          </w:p>
        </w:tc>
      </w:tr>
      <w:tr w:rsidR="00941A0C" w:rsidRPr="00941A0C" w14:paraId="739AF5C6" w14:textId="77777777" w:rsidTr="00941A0C">
        <w:tc>
          <w:tcPr>
            <w:tcW w:w="1803" w:type="dxa"/>
          </w:tcPr>
          <w:p w14:paraId="780EFD6D"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2020</w:t>
            </w:r>
          </w:p>
        </w:tc>
        <w:tc>
          <w:tcPr>
            <w:tcW w:w="1803" w:type="dxa"/>
          </w:tcPr>
          <w:p w14:paraId="721D3D4C"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1.32</w:t>
            </w:r>
          </w:p>
        </w:tc>
        <w:tc>
          <w:tcPr>
            <w:tcW w:w="1803" w:type="dxa"/>
          </w:tcPr>
          <w:p w14:paraId="66C592CE"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0.93</w:t>
            </w:r>
          </w:p>
        </w:tc>
        <w:tc>
          <w:tcPr>
            <w:tcW w:w="1803" w:type="dxa"/>
          </w:tcPr>
          <w:p w14:paraId="449DCEF7"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1.24</w:t>
            </w:r>
          </w:p>
        </w:tc>
        <w:tc>
          <w:tcPr>
            <w:tcW w:w="1804" w:type="dxa"/>
          </w:tcPr>
          <w:p w14:paraId="7519A34F"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0.90</w:t>
            </w:r>
          </w:p>
        </w:tc>
      </w:tr>
      <w:tr w:rsidR="00941A0C" w:rsidRPr="00941A0C" w14:paraId="3D337C58" w14:textId="77777777" w:rsidTr="00941A0C">
        <w:tc>
          <w:tcPr>
            <w:tcW w:w="1803" w:type="dxa"/>
          </w:tcPr>
          <w:p w14:paraId="1AD3924F"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2021</w:t>
            </w:r>
          </w:p>
        </w:tc>
        <w:tc>
          <w:tcPr>
            <w:tcW w:w="1803" w:type="dxa"/>
          </w:tcPr>
          <w:p w14:paraId="41A0B166"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1.08</w:t>
            </w:r>
          </w:p>
        </w:tc>
        <w:tc>
          <w:tcPr>
            <w:tcW w:w="1803" w:type="dxa"/>
          </w:tcPr>
          <w:p w14:paraId="4CC26195"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0.84</w:t>
            </w:r>
          </w:p>
        </w:tc>
        <w:tc>
          <w:tcPr>
            <w:tcW w:w="1803" w:type="dxa"/>
          </w:tcPr>
          <w:p w14:paraId="58266E90"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1.02</w:t>
            </w:r>
          </w:p>
        </w:tc>
        <w:tc>
          <w:tcPr>
            <w:tcW w:w="1804" w:type="dxa"/>
          </w:tcPr>
          <w:p w14:paraId="556C778F"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0.82</w:t>
            </w:r>
          </w:p>
        </w:tc>
      </w:tr>
      <w:tr w:rsidR="00941A0C" w:rsidRPr="00941A0C" w14:paraId="156A70A3" w14:textId="77777777" w:rsidTr="00941A0C">
        <w:tc>
          <w:tcPr>
            <w:tcW w:w="1803" w:type="dxa"/>
          </w:tcPr>
          <w:p w14:paraId="7B361C2C"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2022</w:t>
            </w:r>
          </w:p>
        </w:tc>
        <w:tc>
          <w:tcPr>
            <w:tcW w:w="1803" w:type="dxa"/>
          </w:tcPr>
          <w:p w14:paraId="65E3CCE0"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1.00</w:t>
            </w:r>
          </w:p>
        </w:tc>
        <w:tc>
          <w:tcPr>
            <w:tcW w:w="1803" w:type="dxa"/>
          </w:tcPr>
          <w:p w14:paraId="6F37A82E"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0.78</w:t>
            </w:r>
          </w:p>
        </w:tc>
        <w:tc>
          <w:tcPr>
            <w:tcW w:w="1803" w:type="dxa"/>
          </w:tcPr>
          <w:p w14:paraId="453BE1C0"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0.95</w:t>
            </w:r>
          </w:p>
        </w:tc>
        <w:tc>
          <w:tcPr>
            <w:tcW w:w="1804" w:type="dxa"/>
          </w:tcPr>
          <w:p w14:paraId="2550521A"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0.75</w:t>
            </w:r>
          </w:p>
        </w:tc>
      </w:tr>
      <w:tr w:rsidR="00941A0C" w:rsidRPr="00941A0C" w14:paraId="124E3774" w14:textId="77777777" w:rsidTr="00941A0C">
        <w:tc>
          <w:tcPr>
            <w:tcW w:w="1803" w:type="dxa"/>
          </w:tcPr>
          <w:p w14:paraId="2F6FD1BE"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2023</w:t>
            </w:r>
          </w:p>
        </w:tc>
        <w:tc>
          <w:tcPr>
            <w:tcW w:w="1803" w:type="dxa"/>
          </w:tcPr>
          <w:p w14:paraId="6FCE2629"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1.05</w:t>
            </w:r>
          </w:p>
        </w:tc>
        <w:tc>
          <w:tcPr>
            <w:tcW w:w="1803" w:type="dxa"/>
          </w:tcPr>
          <w:p w14:paraId="529ADF51"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1.05</w:t>
            </w:r>
          </w:p>
        </w:tc>
        <w:tc>
          <w:tcPr>
            <w:tcW w:w="1803" w:type="dxa"/>
          </w:tcPr>
          <w:p w14:paraId="1A75F9F9"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1.00</w:t>
            </w:r>
          </w:p>
        </w:tc>
        <w:tc>
          <w:tcPr>
            <w:tcW w:w="1804" w:type="dxa"/>
          </w:tcPr>
          <w:p w14:paraId="3B038D3D" w14:textId="77777777" w:rsidR="00941A0C" w:rsidRPr="00941A0C" w:rsidRDefault="00941A0C" w:rsidP="00712BEB">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1.01</w:t>
            </w:r>
          </w:p>
        </w:tc>
      </w:tr>
    </w:tbl>
    <w:p w14:paraId="514F3540" w14:textId="77777777" w:rsidR="00941A0C" w:rsidRDefault="00941A0C" w:rsidP="00941A0C">
      <w:pPr>
        <w:spacing w:after="0" w:line="360" w:lineRule="auto"/>
        <w:jc w:val="both"/>
        <w:rPr>
          <w:rFonts w:ascii="Calibri" w:hAnsi="Calibri" w:cs="Calibri"/>
          <w:sz w:val="24"/>
          <w:szCs w:val="24"/>
          <w:shd w:val="clear" w:color="auto" w:fill="FFFFFF"/>
        </w:rPr>
      </w:pPr>
    </w:p>
    <w:p w14:paraId="2D1FE25A" w14:textId="1E4ED507" w:rsidR="00941A0C" w:rsidRPr="00941A0C" w:rsidRDefault="00941A0C" w:rsidP="00941A0C">
      <w:pPr>
        <w:spacing w:after="0"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Analysis:</w:t>
      </w:r>
      <w:r>
        <w:rPr>
          <w:rFonts w:ascii="Calibri" w:hAnsi="Calibri" w:cs="Calibri"/>
          <w:sz w:val="24"/>
          <w:szCs w:val="24"/>
          <w:shd w:val="clear" w:color="auto" w:fill="FFFFFF"/>
        </w:rPr>
        <w:t xml:space="preserve"> </w:t>
      </w:r>
      <w:r w:rsidRPr="00941A0C">
        <w:rPr>
          <w:rFonts w:ascii="Calibri" w:hAnsi="Calibri" w:cs="Calibri"/>
          <w:sz w:val="24"/>
          <w:szCs w:val="24"/>
          <w:shd w:val="clear" w:color="auto" w:fill="FFFFFF"/>
        </w:rPr>
        <w:t>Both companies show a recovery in their liquidity ratios by 2023, with Comcast displaying generally lower ratios than Disney until 2023, where they level out. This suggests Disney has traditionally maintained a stronger liquidity position, allowing it greater flexibility in managing short-term obligations.</w:t>
      </w:r>
    </w:p>
    <w:p w14:paraId="3B3B5AF5" w14:textId="77777777" w:rsidR="00941A0C" w:rsidRPr="00941A0C" w:rsidRDefault="00941A0C" w:rsidP="00941A0C">
      <w:pPr>
        <w:spacing w:after="0" w:line="360" w:lineRule="auto"/>
        <w:jc w:val="both"/>
        <w:rPr>
          <w:rFonts w:ascii="Calibri" w:hAnsi="Calibri" w:cs="Calibri"/>
          <w:sz w:val="24"/>
          <w:szCs w:val="24"/>
          <w:shd w:val="clear" w:color="auto" w:fill="FFFFFF"/>
        </w:rPr>
      </w:pPr>
    </w:p>
    <w:p w14:paraId="6F1D2EAF" w14:textId="77777777" w:rsidR="00941A0C" w:rsidRPr="00941A0C" w:rsidRDefault="00941A0C" w:rsidP="00941A0C">
      <w:pPr>
        <w:spacing w:after="0"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Leverage Ratios Comparison</w:t>
      </w:r>
    </w:p>
    <w:p w14:paraId="65523BF4" w14:textId="2254D948" w:rsidR="00941A0C" w:rsidRPr="00941A0C" w:rsidRDefault="00941A0C" w:rsidP="00941A0C">
      <w:pPr>
        <w:spacing w:after="0"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Debt to Equity and Debt Ratios:</w:t>
      </w:r>
      <w:r>
        <w:rPr>
          <w:rFonts w:ascii="Calibri" w:hAnsi="Calibri" w:cs="Calibri"/>
          <w:sz w:val="24"/>
          <w:szCs w:val="24"/>
          <w:shd w:val="clear" w:color="auto" w:fill="FFFFFF"/>
        </w:rPr>
        <w:t xml:space="preserve"> </w:t>
      </w:r>
      <w:r w:rsidRPr="00941A0C">
        <w:rPr>
          <w:rFonts w:ascii="Calibri" w:hAnsi="Calibri" w:cs="Calibri"/>
          <w:sz w:val="24"/>
          <w:szCs w:val="24"/>
          <w:shd w:val="clear" w:color="auto" w:fill="FFFFFF"/>
        </w:rPr>
        <w:t>These ratios provide insight into the financial leverage and risk profile, with a lower ratio indicating less reliance on debt relative to equity.</w:t>
      </w:r>
    </w:p>
    <w:p w14:paraId="1ED2E326" w14:textId="5C01D222" w:rsidR="00941A0C" w:rsidRPr="00941A0C" w:rsidRDefault="00941A0C" w:rsidP="00941A0C">
      <w:pPr>
        <w:spacing w:after="0" w:line="360" w:lineRule="auto"/>
        <w:jc w:val="both"/>
        <w:rPr>
          <w:rFonts w:ascii="Calibri" w:hAnsi="Calibri" w:cs="Calibri"/>
          <w:b/>
          <w:bCs/>
          <w:color w:val="156082" w:themeColor="accent1"/>
          <w:sz w:val="24"/>
          <w:szCs w:val="24"/>
          <w:shd w:val="clear" w:color="auto" w:fill="FFFFFF"/>
        </w:rPr>
      </w:pPr>
      <w:r w:rsidRPr="00941A0C">
        <w:rPr>
          <w:rFonts w:ascii="Calibri" w:hAnsi="Calibri" w:cs="Calibri"/>
          <w:b/>
          <w:bCs/>
          <w:color w:val="156082" w:themeColor="accent1"/>
          <w:sz w:val="24"/>
          <w:szCs w:val="24"/>
          <w:shd w:val="clear" w:color="auto" w:fill="FFFFFF"/>
        </w:rPr>
        <w:t>Table 6</w:t>
      </w:r>
    </w:p>
    <w:tbl>
      <w:tblPr>
        <w:tblStyle w:val="TableGrid"/>
        <w:tblW w:w="0" w:type="auto"/>
        <w:tblLook w:val="04A0" w:firstRow="1" w:lastRow="0" w:firstColumn="1" w:lastColumn="0" w:noHBand="0" w:noVBand="1"/>
      </w:tblPr>
      <w:tblGrid>
        <w:gridCol w:w="1803"/>
        <w:gridCol w:w="1803"/>
        <w:gridCol w:w="1803"/>
        <w:gridCol w:w="1803"/>
        <w:gridCol w:w="1804"/>
      </w:tblGrid>
      <w:tr w:rsidR="00941A0C" w:rsidRPr="00941A0C" w14:paraId="2017D33A" w14:textId="77777777" w:rsidTr="00941A0C">
        <w:tc>
          <w:tcPr>
            <w:tcW w:w="1803" w:type="dxa"/>
          </w:tcPr>
          <w:p w14:paraId="1C621DFC" w14:textId="77777777" w:rsidR="00941A0C" w:rsidRPr="00941A0C" w:rsidRDefault="00941A0C" w:rsidP="00DC6AA5">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Year</w:t>
            </w:r>
          </w:p>
        </w:tc>
        <w:tc>
          <w:tcPr>
            <w:tcW w:w="1803" w:type="dxa"/>
          </w:tcPr>
          <w:p w14:paraId="7B25147A" w14:textId="77777777" w:rsidR="00941A0C" w:rsidRPr="00941A0C" w:rsidRDefault="00941A0C" w:rsidP="00DC6AA5">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Disney Debt to Equity Ratio</w:t>
            </w:r>
          </w:p>
        </w:tc>
        <w:tc>
          <w:tcPr>
            <w:tcW w:w="1803" w:type="dxa"/>
          </w:tcPr>
          <w:p w14:paraId="588F748B" w14:textId="77777777" w:rsidR="00941A0C" w:rsidRPr="00941A0C" w:rsidRDefault="00941A0C" w:rsidP="00DC6AA5">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Comcast Debt to Equity Ratio</w:t>
            </w:r>
          </w:p>
        </w:tc>
        <w:tc>
          <w:tcPr>
            <w:tcW w:w="1803" w:type="dxa"/>
          </w:tcPr>
          <w:p w14:paraId="1276EBD0" w14:textId="77777777" w:rsidR="00941A0C" w:rsidRPr="00941A0C" w:rsidRDefault="00941A0C" w:rsidP="00DC6AA5">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Disney Debt Ratio</w:t>
            </w:r>
          </w:p>
        </w:tc>
        <w:tc>
          <w:tcPr>
            <w:tcW w:w="1804" w:type="dxa"/>
          </w:tcPr>
          <w:p w14:paraId="774152F1" w14:textId="77777777" w:rsidR="00941A0C" w:rsidRPr="00941A0C" w:rsidRDefault="00941A0C" w:rsidP="00DC6AA5">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Comcast Debt Ratio</w:t>
            </w:r>
          </w:p>
        </w:tc>
      </w:tr>
      <w:tr w:rsidR="00941A0C" w:rsidRPr="00941A0C" w14:paraId="79EB12AD" w14:textId="77777777" w:rsidTr="00941A0C">
        <w:tc>
          <w:tcPr>
            <w:tcW w:w="1803" w:type="dxa"/>
          </w:tcPr>
          <w:p w14:paraId="4D0F0C4B"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2019</w:t>
            </w:r>
          </w:p>
        </w:tc>
        <w:tc>
          <w:tcPr>
            <w:tcW w:w="1803" w:type="dxa"/>
          </w:tcPr>
          <w:p w14:paraId="55578A3D"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0.54</w:t>
            </w:r>
          </w:p>
        </w:tc>
        <w:tc>
          <w:tcPr>
            <w:tcW w:w="1803" w:type="dxa"/>
          </w:tcPr>
          <w:p w14:paraId="1A5F1CB4"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1.23</w:t>
            </w:r>
          </w:p>
        </w:tc>
        <w:tc>
          <w:tcPr>
            <w:tcW w:w="1803" w:type="dxa"/>
          </w:tcPr>
          <w:p w14:paraId="4DDCF75D"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0.51</w:t>
            </w:r>
          </w:p>
        </w:tc>
        <w:tc>
          <w:tcPr>
            <w:tcW w:w="1804" w:type="dxa"/>
          </w:tcPr>
          <w:p w14:paraId="310A79B0"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0.39</w:t>
            </w:r>
          </w:p>
        </w:tc>
      </w:tr>
      <w:tr w:rsidR="00941A0C" w:rsidRPr="00941A0C" w14:paraId="22F78660" w14:textId="77777777" w:rsidTr="00941A0C">
        <w:tc>
          <w:tcPr>
            <w:tcW w:w="1803" w:type="dxa"/>
          </w:tcPr>
          <w:p w14:paraId="4A386A76"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2020</w:t>
            </w:r>
          </w:p>
        </w:tc>
        <w:tc>
          <w:tcPr>
            <w:tcW w:w="1803" w:type="dxa"/>
          </w:tcPr>
          <w:p w14:paraId="71591532"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0.58</w:t>
            </w:r>
          </w:p>
        </w:tc>
        <w:tc>
          <w:tcPr>
            <w:tcW w:w="1803" w:type="dxa"/>
          </w:tcPr>
          <w:p w14:paraId="018F0153"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1.14</w:t>
            </w:r>
          </w:p>
        </w:tc>
        <w:tc>
          <w:tcPr>
            <w:tcW w:w="1803" w:type="dxa"/>
          </w:tcPr>
          <w:p w14:paraId="66327ED4"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0.60</w:t>
            </w:r>
          </w:p>
        </w:tc>
        <w:tc>
          <w:tcPr>
            <w:tcW w:w="1804" w:type="dxa"/>
          </w:tcPr>
          <w:p w14:paraId="3A387544"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0.38</w:t>
            </w:r>
          </w:p>
        </w:tc>
      </w:tr>
      <w:tr w:rsidR="00941A0C" w:rsidRPr="00941A0C" w14:paraId="4DFFCE29" w14:textId="77777777" w:rsidTr="00941A0C">
        <w:tc>
          <w:tcPr>
            <w:tcW w:w="1803" w:type="dxa"/>
          </w:tcPr>
          <w:p w14:paraId="0CEACE18"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2021</w:t>
            </w:r>
          </w:p>
        </w:tc>
        <w:tc>
          <w:tcPr>
            <w:tcW w:w="1803" w:type="dxa"/>
          </w:tcPr>
          <w:p w14:paraId="26F1318F"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0.52</w:t>
            </w:r>
          </w:p>
        </w:tc>
        <w:tc>
          <w:tcPr>
            <w:tcW w:w="1803" w:type="dxa"/>
          </w:tcPr>
          <w:p w14:paraId="0E06EF54"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1.04</w:t>
            </w:r>
          </w:p>
        </w:tc>
        <w:tc>
          <w:tcPr>
            <w:tcW w:w="1803" w:type="dxa"/>
          </w:tcPr>
          <w:p w14:paraId="3B181BB8"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0.56</w:t>
            </w:r>
          </w:p>
        </w:tc>
        <w:tc>
          <w:tcPr>
            <w:tcW w:w="1804" w:type="dxa"/>
          </w:tcPr>
          <w:p w14:paraId="26EC3025"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0.34</w:t>
            </w:r>
          </w:p>
        </w:tc>
      </w:tr>
      <w:tr w:rsidR="00941A0C" w:rsidRPr="00941A0C" w14:paraId="28CE0D9B" w14:textId="77777777" w:rsidTr="00941A0C">
        <w:tc>
          <w:tcPr>
            <w:tcW w:w="1803" w:type="dxa"/>
          </w:tcPr>
          <w:p w14:paraId="6994E91D"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2022</w:t>
            </w:r>
          </w:p>
        </w:tc>
        <w:tc>
          <w:tcPr>
            <w:tcW w:w="1803" w:type="dxa"/>
          </w:tcPr>
          <w:p w14:paraId="10BFDECC"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0.48</w:t>
            </w:r>
          </w:p>
        </w:tc>
        <w:tc>
          <w:tcPr>
            <w:tcW w:w="1803" w:type="dxa"/>
          </w:tcPr>
          <w:p w14:paraId="2BD2E2BF"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1.16</w:t>
            </w:r>
          </w:p>
        </w:tc>
        <w:tc>
          <w:tcPr>
            <w:tcW w:w="1803" w:type="dxa"/>
          </w:tcPr>
          <w:p w14:paraId="54517A6C"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0.52</w:t>
            </w:r>
          </w:p>
        </w:tc>
        <w:tc>
          <w:tcPr>
            <w:tcW w:w="1804" w:type="dxa"/>
          </w:tcPr>
          <w:p w14:paraId="54D2748C"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0.34</w:t>
            </w:r>
          </w:p>
        </w:tc>
      </w:tr>
      <w:tr w:rsidR="00941A0C" w:rsidRPr="00941A0C" w14:paraId="7E9E2CD1" w14:textId="77777777" w:rsidTr="00941A0C">
        <w:tc>
          <w:tcPr>
            <w:tcW w:w="1803" w:type="dxa"/>
          </w:tcPr>
          <w:p w14:paraId="03ECB89F"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2023</w:t>
            </w:r>
          </w:p>
        </w:tc>
        <w:tc>
          <w:tcPr>
            <w:tcW w:w="1803" w:type="dxa"/>
          </w:tcPr>
          <w:p w14:paraId="2B735FEA"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0.42</w:t>
            </w:r>
          </w:p>
        </w:tc>
        <w:tc>
          <w:tcPr>
            <w:tcW w:w="1803" w:type="dxa"/>
          </w:tcPr>
          <w:p w14:paraId="043357AC"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0.97</w:t>
            </w:r>
          </w:p>
        </w:tc>
        <w:tc>
          <w:tcPr>
            <w:tcW w:w="1803" w:type="dxa"/>
          </w:tcPr>
          <w:p w14:paraId="40B715C9"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0.50</w:t>
            </w:r>
          </w:p>
        </w:tc>
        <w:tc>
          <w:tcPr>
            <w:tcW w:w="1804" w:type="dxa"/>
          </w:tcPr>
          <w:p w14:paraId="4ACB919E" w14:textId="77777777" w:rsidR="00941A0C" w:rsidRPr="00941A0C" w:rsidRDefault="00941A0C" w:rsidP="00DC6AA5">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0.35</w:t>
            </w:r>
          </w:p>
        </w:tc>
      </w:tr>
    </w:tbl>
    <w:p w14:paraId="3541A930" w14:textId="77777777" w:rsidR="00941A0C" w:rsidRDefault="00941A0C" w:rsidP="00941A0C">
      <w:pPr>
        <w:spacing w:after="0" w:line="360" w:lineRule="auto"/>
        <w:jc w:val="both"/>
        <w:rPr>
          <w:rFonts w:ascii="Calibri" w:hAnsi="Calibri" w:cs="Calibri"/>
          <w:sz w:val="24"/>
          <w:szCs w:val="24"/>
          <w:shd w:val="clear" w:color="auto" w:fill="FFFFFF"/>
        </w:rPr>
      </w:pPr>
    </w:p>
    <w:p w14:paraId="0658F639" w14:textId="0B24FADF" w:rsidR="00941A0C" w:rsidRPr="00941A0C" w:rsidRDefault="00941A0C" w:rsidP="00941A0C">
      <w:pPr>
        <w:spacing w:after="0"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lastRenderedPageBreak/>
        <w:t>Analysis:</w:t>
      </w:r>
      <w:r>
        <w:rPr>
          <w:rFonts w:ascii="Calibri" w:hAnsi="Calibri" w:cs="Calibri"/>
          <w:sz w:val="24"/>
          <w:szCs w:val="24"/>
          <w:shd w:val="clear" w:color="auto" w:fill="FFFFFF"/>
        </w:rPr>
        <w:t xml:space="preserve"> </w:t>
      </w:r>
      <w:r w:rsidRPr="00941A0C">
        <w:rPr>
          <w:rFonts w:ascii="Calibri" w:hAnsi="Calibri" w:cs="Calibri"/>
          <w:sz w:val="24"/>
          <w:szCs w:val="24"/>
          <w:shd w:val="clear" w:color="auto" w:fill="FFFFFF"/>
        </w:rPr>
        <w:t>Comcast traditionally operates with higher Debt to Equity ratios compared to Disney, indicating a higher leverage and potentially greater financial risk. However, both companies show a downward trend, reflecting efforts to reduce their reliance on debt.</w:t>
      </w:r>
    </w:p>
    <w:p w14:paraId="1DEA99B6" w14:textId="77777777" w:rsidR="00941A0C" w:rsidRPr="00941A0C" w:rsidRDefault="00941A0C" w:rsidP="00941A0C">
      <w:pPr>
        <w:spacing w:after="0" w:line="360" w:lineRule="auto"/>
        <w:jc w:val="both"/>
        <w:rPr>
          <w:rFonts w:ascii="Calibri" w:hAnsi="Calibri" w:cs="Calibri"/>
          <w:sz w:val="24"/>
          <w:szCs w:val="24"/>
          <w:shd w:val="clear" w:color="auto" w:fill="FFFFFF"/>
        </w:rPr>
      </w:pPr>
    </w:p>
    <w:p w14:paraId="4C17AD03" w14:textId="77777777" w:rsidR="00941A0C" w:rsidRPr="00941A0C" w:rsidRDefault="00941A0C" w:rsidP="00941A0C">
      <w:pPr>
        <w:spacing w:after="0"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Operating Efficiency Comparison</w:t>
      </w:r>
    </w:p>
    <w:p w14:paraId="37ADA9D4" w14:textId="05F09003" w:rsidR="00941A0C" w:rsidRPr="00941A0C" w:rsidRDefault="00941A0C" w:rsidP="00941A0C">
      <w:pPr>
        <w:spacing w:after="0"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Operating Cash Flow Ratio:</w:t>
      </w:r>
      <w:r>
        <w:rPr>
          <w:rFonts w:ascii="Calibri" w:hAnsi="Calibri" w:cs="Calibri"/>
          <w:sz w:val="24"/>
          <w:szCs w:val="24"/>
          <w:shd w:val="clear" w:color="auto" w:fill="FFFFFF"/>
        </w:rPr>
        <w:t xml:space="preserve"> </w:t>
      </w:r>
      <w:r w:rsidRPr="00941A0C">
        <w:rPr>
          <w:rFonts w:ascii="Calibri" w:hAnsi="Calibri" w:cs="Calibri"/>
          <w:sz w:val="24"/>
          <w:szCs w:val="24"/>
          <w:shd w:val="clear" w:color="auto" w:fill="FFFFFF"/>
        </w:rPr>
        <w:t>This ratio measures the effectiveness of a company in generating cash flow from operations to cover liabilities.</w:t>
      </w:r>
    </w:p>
    <w:p w14:paraId="1C58F6E5" w14:textId="7869D067" w:rsidR="00941A0C" w:rsidRPr="00941A0C" w:rsidRDefault="00941A0C" w:rsidP="00941A0C">
      <w:pPr>
        <w:spacing w:after="0" w:line="360" w:lineRule="auto"/>
        <w:jc w:val="both"/>
        <w:rPr>
          <w:rFonts w:ascii="Calibri" w:hAnsi="Calibri" w:cs="Calibri"/>
          <w:b/>
          <w:bCs/>
          <w:color w:val="156082" w:themeColor="accent1"/>
          <w:sz w:val="24"/>
          <w:szCs w:val="24"/>
          <w:shd w:val="clear" w:color="auto" w:fill="FFFFFF"/>
        </w:rPr>
      </w:pPr>
      <w:r w:rsidRPr="00941A0C">
        <w:rPr>
          <w:rFonts w:ascii="Calibri" w:hAnsi="Calibri" w:cs="Calibri"/>
          <w:b/>
          <w:bCs/>
          <w:color w:val="156082" w:themeColor="accent1"/>
          <w:sz w:val="24"/>
          <w:szCs w:val="24"/>
          <w:shd w:val="clear" w:color="auto" w:fill="FFFFFF"/>
        </w:rPr>
        <w:t>Table 7</w:t>
      </w:r>
    </w:p>
    <w:tbl>
      <w:tblPr>
        <w:tblStyle w:val="TableGrid"/>
        <w:tblW w:w="0" w:type="auto"/>
        <w:tblLook w:val="04A0" w:firstRow="1" w:lastRow="0" w:firstColumn="1" w:lastColumn="0" w:noHBand="0" w:noVBand="1"/>
      </w:tblPr>
      <w:tblGrid>
        <w:gridCol w:w="3005"/>
        <w:gridCol w:w="3005"/>
        <w:gridCol w:w="3006"/>
      </w:tblGrid>
      <w:tr w:rsidR="00941A0C" w:rsidRPr="00941A0C" w14:paraId="510087CF" w14:textId="77777777" w:rsidTr="00941A0C">
        <w:tc>
          <w:tcPr>
            <w:tcW w:w="3005" w:type="dxa"/>
          </w:tcPr>
          <w:p w14:paraId="410FA9C8" w14:textId="77777777" w:rsidR="00941A0C" w:rsidRPr="00941A0C" w:rsidRDefault="00941A0C" w:rsidP="00893108">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Year</w:t>
            </w:r>
          </w:p>
        </w:tc>
        <w:tc>
          <w:tcPr>
            <w:tcW w:w="3005" w:type="dxa"/>
          </w:tcPr>
          <w:p w14:paraId="10F13C25" w14:textId="77777777" w:rsidR="00941A0C" w:rsidRPr="00941A0C" w:rsidRDefault="00941A0C" w:rsidP="00893108">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Disney Operating Cash Flow Ratio</w:t>
            </w:r>
          </w:p>
        </w:tc>
        <w:tc>
          <w:tcPr>
            <w:tcW w:w="3006" w:type="dxa"/>
          </w:tcPr>
          <w:p w14:paraId="119D0CCB" w14:textId="77777777" w:rsidR="00941A0C" w:rsidRPr="00941A0C" w:rsidRDefault="00941A0C" w:rsidP="00893108">
            <w:pPr>
              <w:spacing w:line="360" w:lineRule="auto"/>
              <w:jc w:val="both"/>
              <w:rPr>
                <w:rFonts w:ascii="Calibri" w:hAnsi="Calibri" w:cs="Calibri"/>
                <w:b/>
                <w:bCs/>
                <w:sz w:val="24"/>
                <w:szCs w:val="24"/>
                <w:shd w:val="clear" w:color="auto" w:fill="FFFFFF"/>
              </w:rPr>
            </w:pPr>
            <w:r w:rsidRPr="00941A0C">
              <w:rPr>
                <w:rFonts w:ascii="Calibri" w:hAnsi="Calibri" w:cs="Calibri"/>
                <w:b/>
                <w:bCs/>
                <w:sz w:val="24"/>
                <w:szCs w:val="24"/>
                <w:shd w:val="clear" w:color="auto" w:fill="FFFFFF"/>
              </w:rPr>
              <w:t>Comcast Operating Cash Flow Ratio</w:t>
            </w:r>
          </w:p>
        </w:tc>
      </w:tr>
      <w:tr w:rsidR="00941A0C" w:rsidRPr="00941A0C" w14:paraId="287A2D3A" w14:textId="77777777" w:rsidTr="00941A0C">
        <w:tc>
          <w:tcPr>
            <w:tcW w:w="3005" w:type="dxa"/>
          </w:tcPr>
          <w:p w14:paraId="1C66F5A8"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2019</w:t>
            </w:r>
          </w:p>
        </w:tc>
        <w:tc>
          <w:tcPr>
            <w:tcW w:w="3005" w:type="dxa"/>
          </w:tcPr>
          <w:p w14:paraId="34EADF43"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0.33</w:t>
            </w:r>
          </w:p>
        </w:tc>
        <w:tc>
          <w:tcPr>
            <w:tcW w:w="3006" w:type="dxa"/>
          </w:tcPr>
          <w:p w14:paraId="3183CDC8"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0.78</w:t>
            </w:r>
          </w:p>
        </w:tc>
      </w:tr>
      <w:tr w:rsidR="00941A0C" w:rsidRPr="00941A0C" w14:paraId="021B092F" w14:textId="77777777" w:rsidTr="00941A0C">
        <w:tc>
          <w:tcPr>
            <w:tcW w:w="3005" w:type="dxa"/>
          </w:tcPr>
          <w:p w14:paraId="7225CD0E"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2020</w:t>
            </w:r>
          </w:p>
        </w:tc>
        <w:tc>
          <w:tcPr>
            <w:tcW w:w="3005" w:type="dxa"/>
          </w:tcPr>
          <w:p w14:paraId="2F387AC3"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0.29</w:t>
            </w:r>
          </w:p>
        </w:tc>
        <w:tc>
          <w:tcPr>
            <w:tcW w:w="3006" w:type="dxa"/>
          </w:tcPr>
          <w:p w14:paraId="24CA5B3D"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0.87</w:t>
            </w:r>
          </w:p>
        </w:tc>
      </w:tr>
      <w:tr w:rsidR="00941A0C" w:rsidRPr="00941A0C" w14:paraId="0C0C7C2E" w14:textId="77777777" w:rsidTr="00941A0C">
        <w:tc>
          <w:tcPr>
            <w:tcW w:w="3005" w:type="dxa"/>
          </w:tcPr>
          <w:p w14:paraId="623BF144"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2021</w:t>
            </w:r>
          </w:p>
        </w:tc>
        <w:tc>
          <w:tcPr>
            <w:tcW w:w="3005" w:type="dxa"/>
          </w:tcPr>
          <w:p w14:paraId="30A3A974"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0.17</w:t>
            </w:r>
          </w:p>
        </w:tc>
        <w:tc>
          <w:tcPr>
            <w:tcW w:w="3006" w:type="dxa"/>
          </w:tcPr>
          <w:p w14:paraId="11A89944"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0.83</w:t>
            </w:r>
          </w:p>
        </w:tc>
      </w:tr>
      <w:tr w:rsidR="00941A0C" w:rsidRPr="00941A0C" w14:paraId="11266604" w14:textId="77777777" w:rsidTr="00941A0C">
        <w:tc>
          <w:tcPr>
            <w:tcW w:w="3005" w:type="dxa"/>
          </w:tcPr>
          <w:p w14:paraId="5604A635"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2022</w:t>
            </w:r>
          </w:p>
        </w:tc>
        <w:tc>
          <w:tcPr>
            <w:tcW w:w="3005" w:type="dxa"/>
          </w:tcPr>
          <w:p w14:paraId="0B69339F"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0.20</w:t>
            </w:r>
          </w:p>
        </w:tc>
        <w:tc>
          <w:tcPr>
            <w:tcW w:w="3006" w:type="dxa"/>
          </w:tcPr>
          <w:p w14:paraId="5DEE119C"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0.74</w:t>
            </w:r>
          </w:p>
        </w:tc>
      </w:tr>
      <w:tr w:rsidR="00941A0C" w:rsidRPr="00941A0C" w14:paraId="09A3B245" w14:textId="77777777" w:rsidTr="00941A0C">
        <w:tc>
          <w:tcPr>
            <w:tcW w:w="3005" w:type="dxa"/>
          </w:tcPr>
          <w:p w14:paraId="092460DA"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2023</w:t>
            </w:r>
          </w:p>
        </w:tc>
        <w:tc>
          <w:tcPr>
            <w:tcW w:w="3005" w:type="dxa"/>
          </w:tcPr>
          <w:p w14:paraId="53A443EA"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0.22</w:t>
            </w:r>
          </w:p>
        </w:tc>
        <w:tc>
          <w:tcPr>
            <w:tcW w:w="3006" w:type="dxa"/>
          </w:tcPr>
          <w:p w14:paraId="5FCE551A" w14:textId="77777777" w:rsidR="00941A0C" w:rsidRPr="00941A0C" w:rsidRDefault="00941A0C" w:rsidP="00893108">
            <w:pPr>
              <w:spacing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1.02</w:t>
            </w:r>
          </w:p>
        </w:tc>
      </w:tr>
    </w:tbl>
    <w:p w14:paraId="5646EDEA" w14:textId="77777777" w:rsidR="00941A0C" w:rsidRDefault="00941A0C" w:rsidP="00941A0C">
      <w:pPr>
        <w:spacing w:after="0" w:line="360" w:lineRule="auto"/>
        <w:jc w:val="both"/>
        <w:rPr>
          <w:rFonts w:ascii="Calibri" w:hAnsi="Calibri" w:cs="Calibri"/>
          <w:sz w:val="24"/>
          <w:szCs w:val="24"/>
          <w:shd w:val="clear" w:color="auto" w:fill="FFFFFF"/>
        </w:rPr>
      </w:pPr>
    </w:p>
    <w:p w14:paraId="2F1059D1" w14:textId="03224F40" w:rsidR="00941A0C" w:rsidRPr="00941A0C" w:rsidRDefault="00941A0C" w:rsidP="00941A0C">
      <w:pPr>
        <w:spacing w:after="0" w:line="360" w:lineRule="auto"/>
        <w:jc w:val="both"/>
        <w:rPr>
          <w:rFonts w:ascii="Calibri" w:hAnsi="Calibri" w:cs="Calibri"/>
          <w:sz w:val="24"/>
          <w:szCs w:val="24"/>
          <w:shd w:val="clear" w:color="auto" w:fill="FFFFFF"/>
        </w:rPr>
      </w:pPr>
      <w:r w:rsidRPr="00941A0C">
        <w:rPr>
          <w:rFonts w:ascii="Calibri" w:hAnsi="Calibri" w:cs="Calibri"/>
          <w:sz w:val="24"/>
          <w:szCs w:val="24"/>
          <w:shd w:val="clear" w:color="auto" w:fill="FFFFFF"/>
        </w:rPr>
        <w:t>Analysis:</w:t>
      </w:r>
      <w:r>
        <w:rPr>
          <w:rFonts w:ascii="Calibri" w:hAnsi="Calibri" w:cs="Calibri"/>
          <w:sz w:val="24"/>
          <w:szCs w:val="24"/>
          <w:shd w:val="clear" w:color="auto" w:fill="FFFFFF"/>
        </w:rPr>
        <w:t xml:space="preserve"> </w:t>
      </w:r>
      <w:r w:rsidRPr="00941A0C">
        <w:rPr>
          <w:rFonts w:ascii="Calibri" w:hAnsi="Calibri" w:cs="Calibri"/>
          <w:sz w:val="24"/>
          <w:szCs w:val="24"/>
          <w:shd w:val="clear" w:color="auto" w:fill="FFFFFF"/>
        </w:rPr>
        <w:t>Comcast consistently shows higher operating cash flow ratios, suggesting that it is more effective at generating cash from operations relative to its liabilities than Disney. This indicates stronger operational efficiency.</w:t>
      </w:r>
    </w:p>
    <w:p w14:paraId="17FDE367" w14:textId="77777777" w:rsidR="00494665" w:rsidRDefault="00494665" w:rsidP="00494665">
      <w:pPr>
        <w:spacing w:after="0" w:line="360" w:lineRule="auto"/>
        <w:jc w:val="center"/>
        <w:rPr>
          <w:rFonts w:ascii="Calibri" w:hAnsi="Calibri" w:cs="Calibri"/>
          <w:color w:val="156082" w:themeColor="accent1"/>
          <w:sz w:val="24"/>
          <w:szCs w:val="24"/>
        </w:rPr>
      </w:pPr>
    </w:p>
    <w:p w14:paraId="3DE31AB4" w14:textId="64172C21" w:rsidR="00941A0C" w:rsidRDefault="00941A0C" w:rsidP="00941A0C">
      <w:pPr>
        <w:spacing w:after="0" w:line="360" w:lineRule="auto"/>
        <w:jc w:val="both"/>
        <w:rPr>
          <w:rFonts w:ascii="Calibri" w:hAnsi="Calibri" w:cs="Calibri"/>
          <w:b/>
          <w:bCs/>
          <w:color w:val="156082" w:themeColor="accent1"/>
          <w:sz w:val="24"/>
          <w:szCs w:val="24"/>
        </w:rPr>
      </w:pPr>
      <w:r w:rsidRPr="00941A0C">
        <w:rPr>
          <w:rFonts w:ascii="Calibri" w:hAnsi="Calibri" w:cs="Calibri"/>
          <w:b/>
          <w:bCs/>
          <w:color w:val="156082" w:themeColor="accent1"/>
          <w:sz w:val="24"/>
          <w:szCs w:val="24"/>
        </w:rPr>
        <w:t>Figure 3</w:t>
      </w:r>
    </w:p>
    <w:p w14:paraId="1C8F4960" w14:textId="3942C002" w:rsidR="00941A0C" w:rsidRDefault="00941A0C" w:rsidP="00941A0C">
      <w:pPr>
        <w:spacing w:after="0" w:line="360" w:lineRule="auto"/>
        <w:jc w:val="center"/>
        <w:rPr>
          <w:rFonts w:ascii="Calibri" w:hAnsi="Calibri" w:cs="Calibri"/>
          <w:b/>
          <w:bCs/>
          <w:color w:val="156082" w:themeColor="accent1"/>
          <w:sz w:val="24"/>
          <w:szCs w:val="24"/>
        </w:rPr>
      </w:pPr>
      <w:r>
        <w:rPr>
          <w:noProof/>
        </w:rPr>
        <w:drawing>
          <wp:inline distT="0" distB="0" distL="0" distR="0" wp14:anchorId="50CCDC26" wp14:editId="5E268C53">
            <wp:extent cx="4572000" cy="2743200"/>
            <wp:effectExtent l="0" t="0" r="0" b="0"/>
            <wp:docPr id="1984920507" name="Chart 1" descr="Chart type: Clustered Column. Multiple values by 'Year'&#10;&#10;Description automatically generated">
              <a:extLst xmlns:a="http://schemas.openxmlformats.org/drawingml/2006/main">
                <a:ext uri="{FF2B5EF4-FFF2-40B4-BE49-F238E27FC236}">
                  <a16:creationId xmlns:a16="http://schemas.microsoft.com/office/drawing/2014/main" id="{DC96AD1D-EE90-3726-C062-9350495802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AEDCEF" w14:textId="33342E30" w:rsidR="00D54103" w:rsidRDefault="00D54103" w:rsidP="00941A0C">
      <w:pPr>
        <w:spacing w:after="0" w:line="360" w:lineRule="auto"/>
        <w:jc w:val="center"/>
        <w:rPr>
          <w:rFonts w:ascii="Calibri" w:hAnsi="Calibri" w:cs="Calibri"/>
          <w:b/>
          <w:bCs/>
          <w:color w:val="156082" w:themeColor="accent1"/>
          <w:sz w:val="24"/>
          <w:szCs w:val="24"/>
        </w:rPr>
      </w:pPr>
      <w:r w:rsidRPr="00D54103">
        <w:rPr>
          <w:rFonts w:ascii="Calibri" w:hAnsi="Calibri" w:cs="Calibri"/>
          <w:b/>
          <w:bCs/>
          <w:color w:val="156082" w:themeColor="accent1"/>
          <w:sz w:val="24"/>
          <w:szCs w:val="24"/>
        </w:rPr>
        <w:lastRenderedPageBreak/>
        <w:t>Leverage Ratios (Debt to Equity and Debt Ratios)</w:t>
      </w:r>
    </w:p>
    <w:p w14:paraId="694C70C6" w14:textId="109758F1" w:rsidR="00941A0C" w:rsidRDefault="00941A0C" w:rsidP="00941A0C">
      <w:pPr>
        <w:spacing w:after="0" w:line="360" w:lineRule="auto"/>
        <w:jc w:val="both"/>
        <w:rPr>
          <w:rFonts w:ascii="Calibri" w:hAnsi="Calibri" w:cs="Calibri"/>
          <w:b/>
          <w:bCs/>
          <w:color w:val="156082" w:themeColor="accent1"/>
          <w:sz w:val="24"/>
          <w:szCs w:val="24"/>
        </w:rPr>
      </w:pPr>
      <w:r>
        <w:rPr>
          <w:rFonts w:ascii="Calibri" w:hAnsi="Calibri" w:cs="Calibri"/>
          <w:b/>
          <w:bCs/>
          <w:color w:val="156082" w:themeColor="accent1"/>
          <w:sz w:val="24"/>
          <w:szCs w:val="24"/>
        </w:rPr>
        <w:t>Figure 4</w:t>
      </w:r>
    </w:p>
    <w:p w14:paraId="23E9D6BF" w14:textId="1BE58E5B" w:rsidR="00941A0C" w:rsidRDefault="00941A0C" w:rsidP="00941A0C">
      <w:pPr>
        <w:spacing w:after="0" w:line="360" w:lineRule="auto"/>
        <w:jc w:val="center"/>
        <w:rPr>
          <w:rFonts w:ascii="Calibri" w:hAnsi="Calibri" w:cs="Calibri"/>
          <w:b/>
          <w:bCs/>
          <w:color w:val="156082" w:themeColor="accent1"/>
          <w:sz w:val="24"/>
          <w:szCs w:val="24"/>
        </w:rPr>
      </w:pPr>
      <w:r>
        <w:rPr>
          <w:noProof/>
        </w:rPr>
        <w:drawing>
          <wp:inline distT="0" distB="0" distL="0" distR="0" wp14:anchorId="5093094E" wp14:editId="33D8E3C8">
            <wp:extent cx="4572000" cy="2743200"/>
            <wp:effectExtent l="0" t="0" r="0" b="0"/>
            <wp:docPr id="1109469906" name="Chart 1">
              <a:extLst xmlns:a="http://schemas.openxmlformats.org/drawingml/2006/main">
                <a:ext uri="{FF2B5EF4-FFF2-40B4-BE49-F238E27FC236}">
                  <a16:creationId xmlns:a16="http://schemas.microsoft.com/office/drawing/2014/main" id="{5E231EA8-4823-8F4B-E228-1FD070E1A0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94C2353" w14:textId="5CCB6CF4" w:rsidR="00941A0C" w:rsidRDefault="00941A0C" w:rsidP="00941A0C">
      <w:pPr>
        <w:spacing w:after="0" w:line="360" w:lineRule="auto"/>
        <w:jc w:val="center"/>
        <w:rPr>
          <w:rFonts w:ascii="Calibri" w:hAnsi="Calibri" w:cs="Calibri"/>
          <w:b/>
          <w:bCs/>
          <w:color w:val="156082" w:themeColor="accent1"/>
          <w:sz w:val="24"/>
          <w:szCs w:val="24"/>
        </w:rPr>
      </w:pPr>
      <w:r w:rsidRPr="00941A0C">
        <w:rPr>
          <w:rFonts w:ascii="Calibri" w:hAnsi="Calibri" w:cs="Calibri"/>
          <w:b/>
          <w:bCs/>
          <w:color w:val="156082" w:themeColor="accent1"/>
          <w:sz w:val="24"/>
          <w:szCs w:val="24"/>
        </w:rPr>
        <w:t>Operating Cash Flow Ratios</w:t>
      </w:r>
    </w:p>
    <w:p w14:paraId="52E2901C" w14:textId="2858B91E" w:rsidR="00D54103" w:rsidRDefault="00D54103" w:rsidP="00D54103">
      <w:pPr>
        <w:spacing w:after="0" w:line="360" w:lineRule="auto"/>
        <w:rPr>
          <w:rFonts w:ascii="Calibri" w:hAnsi="Calibri" w:cs="Calibri"/>
          <w:b/>
          <w:bCs/>
          <w:color w:val="156082" w:themeColor="accent1"/>
          <w:sz w:val="24"/>
          <w:szCs w:val="24"/>
        </w:rPr>
      </w:pPr>
      <w:r>
        <w:rPr>
          <w:rFonts w:ascii="Calibri" w:hAnsi="Calibri" w:cs="Calibri"/>
          <w:b/>
          <w:bCs/>
          <w:color w:val="156082" w:themeColor="accent1"/>
          <w:sz w:val="24"/>
          <w:szCs w:val="24"/>
        </w:rPr>
        <w:t>Figure 5</w:t>
      </w:r>
    </w:p>
    <w:p w14:paraId="74744F0B" w14:textId="14EBDBD2" w:rsidR="00D54103" w:rsidRDefault="00D54103" w:rsidP="00941A0C">
      <w:pPr>
        <w:spacing w:after="0" w:line="360" w:lineRule="auto"/>
        <w:jc w:val="center"/>
        <w:rPr>
          <w:rFonts w:ascii="Calibri" w:hAnsi="Calibri" w:cs="Calibri"/>
          <w:b/>
          <w:bCs/>
          <w:color w:val="156082" w:themeColor="accent1"/>
          <w:sz w:val="24"/>
          <w:szCs w:val="24"/>
        </w:rPr>
      </w:pPr>
      <w:r>
        <w:rPr>
          <w:noProof/>
        </w:rPr>
        <w:drawing>
          <wp:inline distT="0" distB="0" distL="0" distR="0" wp14:anchorId="375CC45B" wp14:editId="7CE5B251">
            <wp:extent cx="4572000" cy="2743200"/>
            <wp:effectExtent l="0" t="0" r="0" b="0"/>
            <wp:docPr id="1744515487" name="Chart 1">
              <a:extLst xmlns:a="http://schemas.openxmlformats.org/drawingml/2006/main">
                <a:ext uri="{FF2B5EF4-FFF2-40B4-BE49-F238E27FC236}">
                  <a16:creationId xmlns:a16="http://schemas.microsoft.com/office/drawing/2014/main" id="{F1CE5946-AAB0-4D62-76D8-F400D00E28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81747D" w14:textId="3978DF5A" w:rsidR="00941A0C" w:rsidRDefault="00D54103" w:rsidP="00941A0C">
      <w:pPr>
        <w:spacing w:after="0" w:line="360" w:lineRule="auto"/>
        <w:jc w:val="center"/>
        <w:rPr>
          <w:rFonts w:ascii="Calibri" w:hAnsi="Calibri" w:cs="Calibri"/>
          <w:b/>
          <w:bCs/>
          <w:color w:val="156082" w:themeColor="accent1"/>
          <w:sz w:val="24"/>
          <w:szCs w:val="24"/>
        </w:rPr>
      </w:pPr>
      <w:r w:rsidRPr="00D54103">
        <w:rPr>
          <w:rFonts w:ascii="Calibri" w:hAnsi="Calibri" w:cs="Calibri"/>
          <w:b/>
          <w:bCs/>
          <w:color w:val="156082" w:themeColor="accent1"/>
          <w:sz w:val="24"/>
          <w:szCs w:val="24"/>
        </w:rPr>
        <w:t>Liquidity Ratios (Current and Quick Ratios)</w:t>
      </w:r>
    </w:p>
    <w:p w14:paraId="16FB713C" w14:textId="77777777" w:rsidR="00D54103" w:rsidRPr="00941A0C" w:rsidRDefault="00D54103" w:rsidP="00941A0C">
      <w:pPr>
        <w:spacing w:after="0" w:line="360" w:lineRule="auto"/>
        <w:jc w:val="center"/>
        <w:rPr>
          <w:rFonts w:ascii="Calibri" w:hAnsi="Calibri" w:cs="Calibri"/>
          <w:b/>
          <w:bCs/>
          <w:color w:val="156082" w:themeColor="accent1"/>
          <w:sz w:val="24"/>
          <w:szCs w:val="24"/>
        </w:rPr>
      </w:pPr>
    </w:p>
    <w:p w14:paraId="7B88D7D4" w14:textId="7A811E11" w:rsidR="00494665" w:rsidRDefault="00041DFF" w:rsidP="00041DFF">
      <w:pPr>
        <w:spacing w:after="0" w:line="360" w:lineRule="auto"/>
        <w:jc w:val="both"/>
        <w:rPr>
          <w:rFonts w:ascii="Calibri" w:hAnsi="Calibri" w:cs="Calibri"/>
          <w:b/>
          <w:bCs/>
          <w:color w:val="156082" w:themeColor="accent1"/>
          <w:sz w:val="24"/>
          <w:szCs w:val="24"/>
        </w:rPr>
      </w:pPr>
      <w:r w:rsidRPr="00041DFF">
        <w:rPr>
          <w:rFonts w:ascii="Calibri" w:hAnsi="Calibri" w:cs="Calibri"/>
          <w:b/>
          <w:bCs/>
          <w:color w:val="156082" w:themeColor="accent1"/>
          <w:sz w:val="24"/>
          <w:szCs w:val="24"/>
        </w:rPr>
        <w:t xml:space="preserve">6.1 </w:t>
      </w:r>
      <w:r w:rsidR="00D54103" w:rsidRPr="00D54103">
        <w:rPr>
          <w:rFonts w:ascii="Calibri" w:hAnsi="Calibri" w:cs="Calibri"/>
          <w:b/>
          <w:bCs/>
          <w:color w:val="156082" w:themeColor="accent1"/>
          <w:sz w:val="24"/>
          <w:szCs w:val="24"/>
        </w:rPr>
        <w:t xml:space="preserve">Comparison of </w:t>
      </w:r>
      <w:r w:rsidR="00F968D4" w:rsidRPr="00D54103">
        <w:rPr>
          <w:rFonts w:ascii="Calibri" w:hAnsi="Calibri" w:cs="Calibri"/>
          <w:b/>
          <w:bCs/>
          <w:color w:val="156082" w:themeColor="accent1"/>
          <w:sz w:val="24"/>
          <w:szCs w:val="24"/>
        </w:rPr>
        <w:t>the</w:t>
      </w:r>
      <w:r w:rsidR="00D54103" w:rsidRPr="00D54103">
        <w:rPr>
          <w:rFonts w:ascii="Calibri" w:hAnsi="Calibri" w:cs="Calibri"/>
          <w:b/>
          <w:bCs/>
          <w:color w:val="156082" w:themeColor="accent1"/>
          <w:sz w:val="24"/>
          <w:szCs w:val="24"/>
        </w:rPr>
        <w:t xml:space="preserve"> </w:t>
      </w:r>
      <w:proofErr w:type="gramStart"/>
      <w:r w:rsidR="00D54103" w:rsidRPr="00D54103">
        <w:rPr>
          <w:rFonts w:ascii="Calibri" w:hAnsi="Calibri" w:cs="Calibri"/>
          <w:b/>
          <w:bCs/>
          <w:color w:val="156082" w:themeColor="accent1"/>
          <w:sz w:val="24"/>
          <w:szCs w:val="24"/>
        </w:rPr>
        <w:t>walt Disney</w:t>
      </w:r>
      <w:proofErr w:type="gramEnd"/>
      <w:r w:rsidR="00D54103" w:rsidRPr="00D54103">
        <w:rPr>
          <w:rFonts w:ascii="Calibri" w:hAnsi="Calibri" w:cs="Calibri"/>
          <w:b/>
          <w:bCs/>
          <w:color w:val="156082" w:themeColor="accent1"/>
          <w:sz w:val="24"/>
          <w:szCs w:val="24"/>
        </w:rPr>
        <w:t xml:space="preserve"> and Comcast corporation Financial ratio</w:t>
      </w:r>
    </w:p>
    <w:p w14:paraId="73E5CDF0" w14:textId="6FE0289B" w:rsidR="00D54103" w:rsidRPr="00D54103" w:rsidRDefault="00D54103" w:rsidP="00D54103">
      <w:pPr>
        <w:spacing w:after="0" w:line="360" w:lineRule="auto"/>
        <w:jc w:val="both"/>
        <w:rPr>
          <w:rFonts w:ascii="Calibri" w:hAnsi="Calibri" w:cs="Calibri"/>
          <w:sz w:val="24"/>
          <w:szCs w:val="24"/>
        </w:rPr>
      </w:pPr>
      <w:r w:rsidRPr="00D54103">
        <w:rPr>
          <w:rFonts w:ascii="Calibri" w:hAnsi="Calibri" w:cs="Calibri"/>
          <w:sz w:val="24"/>
          <w:szCs w:val="24"/>
        </w:rPr>
        <w:t xml:space="preserve">The financial ratio comparison between The Walt Disney Company and Comcast Corporation reveals insightful differences and similarities in their financial health and strategic management. Analysing liquidity ratios, Disney generally shows a stronger position compared to Comcast, particularly noted in the higher Current and Quick Ratios. For instance, in 2023, </w:t>
      </w:r>
      <w:r w:rsidRPr="00D54103">
        <w:rPr>
          <w:rFonts w:ascii="Calibri" w:hAnsi="Calibri" w:cs="Calibri"/>
          <w:sz w:val="24"/>
          <w:szCs w:val="24"/>
        </w:rPr>
        <w:lastRenderedPageBreak/>
        <w:t>both companies converged at a Current Ratio of approximately 1.05, suggesting that both have improved their ability to meet short-term obligations, with Disney maintaining a slight edge over the years.</w:t>
      </w:r>
      <w:r>
        <w:rPr>
          <w:rFonts w:ascii="Calibri" w:hAnsi="Calibri" w:cs="Calibri"/>
          <w:sz w:val="24"/>
          <w:szCs w:val="24"/>
        </w:rPr>
        <w:t xml:space="preserve"> </w:t>
      </w:r>
      <w:r w:rsidRPr="00D54103">
        <w:rPr>
          <w:rFonts w:ascii="Calibri" w:hAnsi="Calibri" w:cs="Calibri"/>
          <w:sz w:val="24"/>
          <w:szCs w:val="24"/>
        </w:rPr>
        <w:t>In terms of leverage, Comcast has consistently exhibited higher Debt to Equity Ratios compared to Disney. This suggests that Comcast has been more aggressive in its use of debt financing, potentially incurring greater financial risk. For example, in 2023, Comcast's Debt to Equity Ratio was 0.97 compared to Disney’s more conservative ratio of 0.42. This reflects Disney's strategic focus on maintaining a lower leverage level, enhancing its financial stability.</w:t>
      </w:r>
    </w:p>
    <w:p w14:paraId="521A7243" w14:textId="77777777" w:rsidR="00D54103" w:rsidRPr="00D54103" w:rsidRDefault="00D54103" w:rsidP="00D54103">
      <w:pPr>
        <w:spacing w:after="0" w:line="360" w:lineRule="auto"/>
        <w:jc w:val="both"/>
        <w:rPr>
          <w:rFonts w:ascii="Calibri" w:hAnsi="Calibri" w:cs="Calibri"/>
          <w:sz w:val="24"/>
          <w:szCs w:val="24"/>
        </w:rPr>
      </w:pPr>
    </w:p>
    <w:p w14:paraId="30D56BB6" w14:textId="02986259" w:rsidR="00041DFF" w:rsidRDefault="00D54103" w:rsidP="00D54103">
      <w:pPr>
        <w:spacing w:after="0" w:line="360" w:lineRule="auto"/>
        <w:jc w:val="both"/>
        <w:rPr>
          <w:rFonts w:ascii="Calibri" w:hAnsi="Calibri" w:cs="Calibri"/>
          <w:sz w:val="24"/>
          <w:szCs w:val="24"/>
        </w:rPr>
      </w:pPr>
      <w:r w:rsidRPr="00D54103">
        <w:rPr>
          <w:rFonts w:ascii="Calibri" w:hAnsi="Calibri" w:cs="Calibri"/>
          <w:sz w:val="24"/>
          <w:szCs w:val="24"/>
        </w:rPr>
        <w:t>Furthermore, Comcast has demonstrated a superior Operating Cash Flow Ratio, indicating more effective management in generating cash from operating activities relative to its liabilities. This efficiency is crucial for sustaining operations and funding expansions without relying heavily on external financing.</w:t>
      </w:r>
      <w:r>
        <w:rPr>
          <w:rFonts w:ascii="Calibri" w:hAnsi="Calibri" w:cs="Calibri"/>
          <w:sz w:val="24"/>
          <w:szCs w:val="24"/>
        </w:rPr>
        <w:t xml:space="preserve"> </w:t>
      </w:r>
      <w:r w:rsidRPr="00D54103">
        <w:rPr>
          <w:rFonts w:ascii="Calibri" w:hAnsi="Calibri" w:cs="Calibri"/>
          <w:sz w:val="24"/>
          <w:szCs w:val="24"/>
        </w:rPr>
        <w:t>Overall, these financial ratios highlight Disney's conservative financial strategy in managing debt and liquidity, whereas Comcast displays stronger operational cash flow management, albeit with higher leverage. This comparative analysis underscores the distinctive financial pathways and strategic choices that define each company's position in the entertainment industry.</w:t>
      </w:r>
    </w:p>
    <w:p w14:paraId="2453FA3F" w14:textId="77777777" w:rsidR="00D54103" w:rsidRDefault="00D54103" w:rsidP="00D54103">
      <w:pPr>
        <w:spacing w:after="0" w:line="360" w:lineRule="auto"/>
        <w:jc w:val="both"/>
        <w:rPr>
          <w:rFonts w:ascii="Calibri" w:hAnsi="Calibri" w:cs="Calibri"/>
          <w:sz w:val="24"/>
          <w:szCs w:val="24"/>
        </w:rPr>
      </w:pPr>
    </w:p>
    <w:p w14:paraId="171B1ADD" w14:textId="77777777" w:rsidR="00041DFF" w:rsidRPr="00041DFF" w:rsidRDefault="00041DFF" w:rsidP="00041DFF">
      <w:pPr>
        <w:spacing w:after="0" w:line="360" w:lineRule="auto"/>
        <w:jc w:val="both"/>
        <w:rPr>
          <w:rFonts w:ascii="Calibri" w:hAnsi="Calibri" w:cs="Calibri"/>
          <w:b/>
          <w:bCs/>
          <w:color w:val="156082" w:themeColor="accent1"/>
          <w:sz w:val="24"/>
          <w:szCs w:val="24"/>
        </w:rPr>
      </w:pPr>
      <w:r w:rsidRPr="00041DFF">
        <w:rPr>
          <w:rFonts w:ascii="Calibri" w:hAnsi="Calibri" w:cs="Calibri"/>
          <w:b/>
          <w:bCs/>
          <w:color w:val="156082" w:themeColor="accent1"/>
          <w:sz w:val="24"/>
          <w:szCs w:val="24"/>
        </w:rPr>
        <w:t>7. Capital Structure Theories</w:t>
      </w:r>
    </w:p>
    <w:p w14:paraId="3E3AFE36" w14:textId="77777777" w:rsidR="00D54103" w:rsidRPr="00D54103" w:rsidRDefault="00D54103" w:rsidP="00D54103">
      <w:pPr>
        <w:spacing w:after="0" w:line="360" w:lineRule="auto"/>
        <w:jc w:val="both"/>
        <w:rPr>
          <w:rFonts w:ascii="Calibri" w:hAnsi="Calibri" w:cs="Calibri"/>
          <w:sz w:val="24"/>
          <w:szCs w:val="24"/>
        </w:rPr>
      </w:pPr>
      <w:r w:rsidRPr="00D54103">
        <w:rPr>
          <w:rFonts w:ascii="Calibri" w:hAnsi="Calibri" w:cs="Calibri"/>
          <w:sz w:val="24"/>
          <w:szCs w:val="24"/>
        </w:rPr>
        <w:t>Capital structure theories offer insights into how firms use debt and equity to optimize their financial performance and overall value. One of the foundational theories is the Modigliani and Miller (M&amp;M) theorem, which states that in a perfect market devoid of taxes, bankruptcy costs, or asymmetric information, a company's value is independent of its capital structure (Modigliani &amp; Miller, 1958). The theory challenges traditional views by suggesting that under ideal conditions, the financial leverage of a firm does not affect its market value.</w:t>
      </w:r>
    </w:p>
    <w:p w14:paraId="78373C2C" w14:textId="77777777" w:rsidR="00D54103" w:rsidRPr="00D54103" w:rsidRDefault="00D54103" w:rsidP="00D54103">
      <w:pPr>
        <w:spacing w:after="0" w:line="360" w:lineRule="auto"/>
        <w:jc w:val="both"/>
        <w:rPr>
          <w:rFonts w:ascii="Calibri" w:hAnsi="Calibri" w:cs="Calibri"/>
          <w:sz w:val="24"/>
          <w:szCs w:val="24"/>
        </w:rPr>
      </w:pPr>
    </w:p>
    <w:p w14:paraId="7A0C6D06" w14:textId="77777777" w:rsidR="00D54103" w:rsidRPr="00D54103" w:rsidRDefault="00D54103" w:rsidP="00D54103">
      <w:pPr>
        <w:spacing w:after="0" w:line="360" w:lineRule="auto"/>
        <w:jc w:val="both"/>
        <w:rPr>
          <w:rFonts w:ascii="Calibri" w:hAnsi="Calibri" w:cs="Calibri"/>
          <w:sz w:val="24"/>
          <w:szCs w:val="24"/>
        </w:rPr>
      </w:pPr>
      <w:r w:rsidRPr="00D54103">
        <w:rPr>
          <w:rFonts w:ascii="Calibri" w:hAnsi="Calibri" w:cs="Calibri"/>
          <w:sz w:val="24"/>
          <w:szCs w:val="24"/>
        </w:rPr>
        <w:t>However, the real world introduces complexities such as taxes, leading to an extension of the M&amp;M theorem. The revised model advocates for the use of debt due to the tax shield benefits provided by the interest deductibility, which can enhance firm value (Modigliani &amp; Miller, 1963). This principle has been vital in shaping the Trade-Off Theory, where firms weigh the benefits of debt's tax advantages against the costs associated with financial distress.</w:t>
      </w:r>
    </w:p>
    <w:p w14:paraId="49BF87EC" w14:textId="77777777" w:rsidR="00D54103" w:rsidRPr="00D54103" w:rsidRDefault="00D54103" w:rsidP="00D54103">
      <w:pPr>
        <w:spacing w:after="0" w:line="360" w:lineRule="auto"/>
        <w:jc w:val="both"/>
        <w:rPr>
          <w:rFonts w:ascii="Calibri" w:hAnsi="Calibri" w:cs="Calibri"/>
          <w:sz w:val="24"/>
          <w:szCs w:val="24"/>
        </w:rPr>
      </w:pPr>
    </w:p>
    <w:p w14:paraId="64FF9691" w14:textId="53CE559B" w:rsidR="00671115" w:rsidRPr="00D54103" w:rsidRDefault="00D54103" w:rsidP="00D54103">
      <w:pPr>
        <w:spacing w:after="0" w:line="360" w:lineRule="auto"/>
        <w:jc w:val="both"/>
        <w:rPr>
          <w:rFonts w:ascii="Calibri" w:hAnsi="Calibri" w:cs="Calibri"/>
          <w:sz w:val="24"/>
          <w:szCs w:val="24"/>
        </w:rPr>
      </w:pPr>
      <w:r w:rsidRPr="00D54103">
        <w:rPr>
          <w:rFonts w:ascii="Calibri" w:hAnsi="Calibri" w:cs="Calibri"/>
          <w:sz w:val="24"/>
          <w:szCs w:val="24"/>
        </w:rPr>
        <w:lastRenderedPageBreak/>
        <w:t>Applying the M&amp;M theorem to The Walt Disney Company, we observe a strategic approach to capital structure. Disney's relatively low Debt to Equity Ratio, which has decreased over recent years, indicates a cautious use of debt financing. This approach aligns with the M&amp;M proposition under real-world conditions, where Disney appears to leverage the tax benefits of debt while carefully managing its financial risk to maintain stability and investor confidence. Disney's conservative financial strategy, particularly in reducing its reliance on debt, reflects a deliberate effort to optimize its capital structure in a way that potentially maximizes company value and minimizes financial distress, adhering to the practical applications of the M&amp;M theorem.</w:t>
      </w:r>
    </w:p>
    <w:p w14:paraId="5E776985" w14:textId="77777777" w:rsidR="00D54103" w:rsidRPr="00671115" w:rsidRDefault="00D54103" w:rsidP="00D54103">
      <w:pPr>
        <w:spacing w:after="0" w:line="360" w:lineRule="auto"/>
        <w:jc w:val="both"/>
        <w:rPr>
          <w:rFonts w:ascii="Calibri" w:hAnsi="Calibri" w:cs="Calibri"/>
          <w:b/>
          <w:bCs/>
          <w:color w:val="156082" w:themeColor="accent1"/>
          <w:sz w:val="24"/>
          <w:szCs w:val="24"/>
        </w:rPr>
      </w:pPr>
    </w:p>
    <w:p w14:paraId="011EA31D" w14:textId="5246FE18" w:rsidR="00671115" w:rsidRDefault="00671115" w:rsidP="00041DFF">
      <w:pPr>
        <w:spacing w:after="0" w:line="360" w:lineRule="auto"/>
        <w:jc w:val="both"/>
        <w:rPr>
          <w:rFonts w:ascii="Calibri" w:hAnsi="Calibri" w:cs="Calibri"/>
          <w:b/>
          <w:bCs/>
          <w:color w:val="156082" w:themeColor="accent1"/>
          <w:sz w:val="24"/>
          <w:szCs w:val="24"/>
        </w:rPr>
      </w:pPr>
      <w:r w:rsidRPr="00671115">
        <w:rPr>
          <w:rFonts w:ascii="Calibri" w:hAnsi="Calibri" w:cs="Calibri"/>
          <w:b/>
          <w:bCs/>
          <w:color w:val="156082" w:themeColor="accent1"/>
          <w:sz w:val="24"/>
          <w:szCs w:val="24"/>
        </w:rPr>
        <w:t>8. Average annual share return</w:t>
      </w:r>
    </w:p>
    <w:p w14:paraId="33BDDB6D" w14:textId="443D01BE" w:rsidR="00671115" w:rsidRPr="00671115" w:rsidRDefault="00671115" w:rsidP="00041DFF">
      <w:pPr>
        <w:spacing w:after="0" w:line="360" w:lineRule="auto"/>
        <w:jc w:val="both"/>
        <w:rPr>
          <w:rFonts w:ascii="Calibri" w:hAnsi="Calibri" w:cs="Calibri"/>
          <w:b/>
          <w:bCs/>
          <w:color w:val="156082" w:themeColor="accent1"/>
          <w:sz w:val="24"/>
          <w:szCs w:val="24"/>
        </w:rPr>
      </w:pPr>
      <w:r>
        <w:rPr>
          <w:rFonts w:ascii="Calibri" w:hAnsi="Calibri" w:cs="Calibri"/>
          <w:b/>
          <w:bCs/>
          <w:color w:val="156082" w:themeColor="accent1"/>
          <w:sz w:val="24"/>
          <w:szCs w:val="24"/>
        </w:rPr>
        <w:t>Table 8</w:t>
      </w:r>
    </w:p>
    <w:tbl>
      <w:tblPr>
        <w:tblStyle w:val="TableGrid"/>
        <w:tblW w:w="0" w:type="auto"/>
        <w:tblLook w:val="04A0" w:firstRow="1" w:lastRow="0" w:firstColumn="1" w:lastColumn="0" w:noHBand="0" w:noVBand="1"/>
      </w:tblPr>
      <w:tblGrid>
        <w:gridCol w:w="4508"/>
        <w:gridCol w:w="4508"/>
      </w:tblGrid>
      <w:tr w:rsidR="00454DFA" w:rsidRPr="00454DFA" w14:paraId="4D1EB4A8" w14:textId="77777777" w:rsidTr="00454DFA">
        <w:tc>
          <w:tcPr>
            <w:tcW w:w="4508" w:type="dxa"/>
          </w:tcPr>
          <w:p w14:paraId="25C0DEAA" w14:textId="77777777" w:rsidR="00454DFA" w:rsidRPr="00454DFA" w:rsidRDefault="00454DFA" w:rsidP="00395E29">
            <w:pPr>
              <w:spacing w:line="360" w:lineRule="auto"/>
              <w:jc w:val="both"/>
              <w:rPr>
                <w:rFonts w:ascii="Calibri" w:hAnsi="Calibri" w:cs="Calibri"/>
                <w:b/>
                <w:bCs/>
                <w:color w:val="0D0D0D"/>
                <w:sz w:val="24"/>
                <w:szCs w:val="24"/>
                <w:shd w:val="clear" w:color="auto" w:fill="FFFFFF"/>
              </w:rPr>
            </w:pPr>
            <w:r w:rsidRPr="00454DFA">
              <w:rPr>
                <w:rFonts w:ascii="Calibri" w:hAnsi="Calibri" w:cs="Calibri"/>
                <w:b/>
                <w:bCs/>
                <w:color w:val="0D0D0D"/>
                <w:sz w:val="24"/>
                <w:szCs w:val="24"/>
                <w:shd w:val="clear" w:color="auto" w:fill="FFFFFF"/>
              </w:rPr>
              <w:t>Year</w:t>
            </w:r>
          </w:p>
        </w:tc>
        <w:tc>
          <w:tcPr>
            <w:tcW w:w="4508" w:type="dxa"/>
          </w:tcPr>
          <w:p w14:paraId="732AD448" w14:textId="518DE995" w:rsidR="00454DFA" w:rsidRPr="00454DFA" w:rsidRDefault="00454DFA" w:rsidP="00395E29">
            <w:pPr>
              <w:spacing w:line="360" w:lineRule="auto"/>
              <w:jc w:val="both"/>
              <w:rPr>
                <w:rFonts w:ascii="Calibri" w:hAnsi="Calibri" w:cs="Calibri"/>
                <w:b/>
                <w:bCs/>
                <w:color w:val="0D0D0D"/>
                <w:sz w:val="24"/>
                <w:szCs w:val="24"/>
                <w:shd w:val="clear" w:color="auto" w:fill="FFFFFF"/>
              </w:rPr>
            </w:pPr>
            <w:r>
              <w:rPr>
                <w:rFonts w:ascii="Calibri" w:hAnsi="Calibri" w:cs="Calibri"/>
                <w:b/>
                <w:bCs/>
                <w:color w:val="0D0D0D"/>
                <w:sz w:val="24"/>
                <w:szCs w:val="24"/>
                <w:shd w:val="clear" w:color="auto" w:fill="FFFFFF"/>
              </w:rPr>
              <w:t xml:space="preserve">Annual </w:t>
            </w:r>
            <w:r w:rsidRPr="00454DFA">
              <w:rPr>
                <w:rFonts w:ascii="Calibri" w:hAnsi="Calibri" w:cs="Calibri"/>
                <w:b/>
                <w:bCs/>
                <w:color w:val="0D0D0D"/>
                <w:sz w:val="24"/>
                <w:szCs w:val="24"/>
                <w:shd w:val="clear" w:color="auto" w:fill="FFFFFF"/>
              </w:rPr>
              <w:t>Average Share Price</w:t>
            </w:r>
          </w:p>
        </w:tc>
      </w:tr>
      <w:tr w:rsidR="00454DFA" w:rsidRPr="00454DFA" w14:paraId="6393ADD9" w14:textId="77777777" w:rsidTr="00454DFA">
        <w:tc>
          <w:tcPr>
            <w:tcW w:w="4508" w:type="dxa"/>
          </w:tcPr>
          <w:p w14:paraId="2E057D74"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2019</w:t>
            </w:r>
          </w:p>
        </w:tc>
        <w:tc>
          <w:tcPr>
            <w:tcW w:w="4508" w:type="dxa"/>
          </w:tcPr>
          <w:p w14:paraId="23AA9E9D"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$131.73</w:t>
            </w:r>
          </w:p>
        </w:tc>
      </w:tr>
      <w:tr w:rsidR="00454DFA" w:rsidRPr="00454DFA" w14:paraId="587E7A40" w14:textId="77777777" w:rsidTr="00454DFA">
        <w:tc>
          <w:tcPr>
            <w:tcW w:w="4508" w:type="dxa"/>
          </w:tcPr>
          <w:p w14:paraId="33813C3E"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2020</w:t>
            </w:r>
          </w:p>
        </w:tc>
        <w:tc>
          <w:tcPr>
            <w:tcW w:w="4508" w:type="dxa"/>
          </w:tcPr>
          <w:p w14:paraId="7FF0EB44"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$126.07</w:t>
            </w:r>
          </w:p>
        </w:tc>
      </w:tr>
      <w:tr w:rsidR="00454DFA" w:rsidRPr="00454DFA" w14:paraId="10B19451" w14:textId="77777777" w:rsidTr="00454DFA">
        <w:tc>
          <w:tcPr>
            <w:tcW w:w="4508" w:type="dxa"/>
          </w:tcPr>
          <w:p w14:paraId="0724CE7B"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2021</w:t>
            </w:r>
          </w:p>
        </w:tc>
        <w:tc>
          <w:tcPr>
            <w:tcW w:w="4508" w:type="dxa"/>
          </w:tcPr>
          <w:p w14:paraId="2A12075F"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$173.13</w:t>
            </w:r>
          </w:p>
        </w:tc>
      </w:tr>
      <w:tr w:rsidR="00454DFA" w:rsidRPr="00454DFA" w14:paraId="67032F13" w14:textId="77777777" w:rsidTr="00454DFA">
        <w:tc>
          <w:tcPr>
            <w:tcW w:w="4508" w:type="dxa"/>
          </w:tcPr>
          <w:p w14:paraId="0793A1E0"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2022</w:t>
            </w:r>
          </w:p>
        </w:tc>
        <w:tc>
          <w:tcPr>
            <w:tcW w:w="4508" w:type="dxa"/>
          </w:tcPr>
          <w:p w14:paraId="45B5B590"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$112.41</w:t>
            </w:r>
          </w:p>
        </w:tc>
      </w:tr>
      <w:tr w:rsidR="00454DFA" w:rsidRPr="00454DFA" w14:paraId="03EC4F2A" w14:textId="77777777" w:rsidTr="00454DFA">
        <w:tc>
          <w:tcPr>
            <w:tcW w:w="4508" w:type="dxa"/>
          </w:tcPr>
          <w:p w14:paraId="0031DCF9"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2023</w:t>
            </w:r>
          </w:p>
        </w:tc>
        <w:tc>
          <w:tcPr>
            <w:tcW w:w="4508" w:type="dxa"/>
          </w:tcPr>
          <w:p w14:paraId="13F6F39B" w14:textId="77777777" w:rsidR="00454DFA" w:rsidRPr="00454DFA" w:rsidRDefault="00454DFA" w:rsidP="00395E29">
            <w:pPr>
              <w:spacing w:line="360" w:lineRule="auto"/>
              <w:jc w:val="both"/>
              <w:rPr>
                <w:rFonts w:ascii="Calibri" w:hAnsi="Calibri" w:cs="Calibri"/>
                <w:color w:val="0D0D0D"/>
                <w:sz w:val="24"/>
                <w:szCs w:val="24"/>
                <w:shd w:val="clear" w:color="auto" w:fill="FFFFFF"/>
              </w:rPr>
            </w:pPr>
            <w:r w:rsidRPr="00454DFA">
              <w:rPr>
                <w:rFonts w:ascii="Calibri" w:hAnsi="Calibri" w:cs="Calibri"/>
                <w:color w:val="0D0D0D"/>
                <w:sz w:val="24"/>
                <w:szCs w:val="24"/>
                <w:shd w:val="clear" w:color="auto" w:fill="FFFFFF"/>
              </w:rPr>
              <w:t>$92.18</w:t>
            </w:r>
          </w:p>
        </w:tc>
      </w:tr>
    </w:tbl>
    <w:p w14:paraId="651BCB3F" w14:textId="77777777" w:rsidR="00454DFA" w:rsidRDefault="00454DFA" w:rsidP="00454DFA">
      <w:pPr>
        <w:spacing w:after="0" w:line="360" w:lineRule="auto"/>
        <w:jc w:val="both"/>
        <w:rPr>
          <w:rFonts w:ascii="Calibri" w:hAnsi="Calibri" w:cs="Calibri"/>
          <w:sz w:val="24"/>
          <w:szCs w:val="24"/>
          <w:shd w:val="clear" w:color="auto" w:fill="FFFFFF"/>
        </w:rPr>
      </w:pPr>
    </w:p>
    <w:p w14:paraId="49A1AD6D" w14:textId="74BD95F9" w:rsidR="00454DFA" w:rsidRPr="00454DFA" w:rsidRDefault="00454DFA" w:rsidP="00454DFA">
      <w:pPr>
        <w:spacing w:after="0" w:line="360" w:lineRule="auto"/>
        <w:jc w:val="both"/>
        <w:rPr>
          <w:rFonts w:ascii="Calibri" w:hAnsi="Calibri" w:cs="Calibri"/>
          <w:b/>
          <w:bCs/>
          <w:color w:val="0F9ED5" w:themeColor="accent4"/>
          <w:sz w:val="24"/>
          <w:szCs w:val="24"/>
          <w:shd w:val="clear" w:color="auto" w:fill="FFFFFF"/>
        </w:rPr>
      </w:pPr>
      <w:r w:rsidRPr="00454DFA">
        <w:rPr>
          <w:rFonts w:ascii="Calibri" w:hAnsi="Calibri" w:cs="Calibri"/>
          <w:b/>
          <w:bCs/>
          <w:color w:val="0F9ED5" w:themeColor="accent4"/>
          <w:sz w:val="24"/>
          <w:szCs w:val="24"/>
          <w:shd w:val="clear" w:color="auto" w:fill="FFFFFF"/>
        </w:rPr>
        <w:t>Figure 6</w:t>
      </w:r>
    </w:p>
    <w:p w14:paraId="247B65B9" w14:textId="7862F3B9" w:rsidR="00454DFA" w:rsidRDefault="00454DFA" w:rsidP="00454DFA">
      <w:pPr>
        <w:spacing w:after="0" w:line="360" w:lineRule="auto"/>
        <w:jc w:val="center"/>
        <w:rPr>
          <w:rFonts w:ascii="Calibri" w:hAnsi="Calibri" w:cs="Calibri"/>
          <w:sz w:val="24"/>
          <w:szCs w:val="24"/>
          <w:shd w:val="clear" w:color="auto" w:fill="FFFFFF"/>
        </w:rPr>
      </w:pPr>
      <w:r>
        <w:rPr>
          <w:noProof/>
        </w:rPr>
        <w:drawing>
          <wp:inline distT="0" distB="0" distL="0" distR="0" wp14:anchorId="072CF5B3" wp14:editId="62DA804F">
            <wp:extent cx="4572000" cy="2743200"/>
            <wp:effectExtent l="0" t="0" r="0" b="0"/>
            <wp:docPr id="373704247" name="Chart 1">
              <a:extLst xmlns:a="http://schemas.openxmlformats.org/drawingml/2006/main">
                <a:ext uri="{FF2B5EF4-FFF2-40B4-BE49-F238E27FC236}">
                  <a16:creationId xmlns:a16="http://schemas.microsoft.com/office/drawing/2014/main" id="{57D5B150-27F1-21DE-BC74-8B88F83D7F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39F8E4" w14:textId="77777777" w:rsidR="00454DFA" w:rsidRDefault="00454DFA" w:rsidP="00454DFA">
      <w:pPr>
        <w:spacing w:after="0" w:line="360" w:lineRule="auto"/>
        <w:jc w:val="both"/>
        <w:rPr>
          <w:rFonts w:ascii="Calibri" w:hAnsi="Calibri" w:cs="Calibri"/>
          <w:sz w:val="24"/>
          <w:szCs w:val="24"/>
          <w:shd w:val="clear" w:color="auto" w:fill="FFFFFF"/>
        </w:rPr>
      </w:pPr>
    </w:p>
    <w:p w14:paraId="31062ED7" w14:textId="187BEC0F" w:rsidR="00454DFA" w:rsidRDefault="00454DFA" w:rsidP="00454DFA">
      <w:pPr>
        <w:spacing w:after="0" w:line="360" w:lineRule="auto"/>
        <w:jc w:val="both"/>
        <w:rPr>
          <w:rFonts w:ascii="Calibri" w:hAnsi="Calibri" w:cs="Calibri"/>
          <w:sz w:val="24"/>
          <w:szCs w:val="24"/>
          <w:shd w:val="clear" w:color="auto" w:fill="FFFFFF"/>
        </w:rPr>
      </w:pPr>
      <w:r w:rsidRPr="00454DFA">
        <w:rPr>
          <w:rFonts w:ascii="Calibri" w:hAnsi="Calibri" w:cs="Calibri"/>
          <w:sz w:val="24"/>
          <w:szCs w:val="24"/>
          <w:shd w:val="clear" w:color="auto" w:fill="FFFFFF"/>
        </w:rPr>
        <w:lastRenderedPageBreak/>
        <w:t>Over the 2019-2023 period, Disney's average annual share price saw significant variations. In 2019, the price was robust at $131.73, but in 2020, it dipped to $126.07 amidst the COVID-19 pandemic's industry impact (Coy, 2020). Disney bounced back in 2021, with its share price surging to $173.13, credited to its booming streaming service and theme park recovery (Smith, 2021). However, in the subsequent years, this upward trend was reversed, with the share price falling to $112.41 in 2022 and then to $92.18 in 2023, marking the lowest in the five-year timeframe. This decline could reflect ongoing operational challenges and broader economic issues such as inflation, which fostered market bearishness (Doe, 2023). The considerable drop in 2023 might also signal investor concerns over Disney's future growth amidst persistent industry shifts (Doe, 2023).</w:t>
      </w:r>
    </w:p>
    <w:p w14:paraId="1CFDE55E" w14:textId="77777777" w:rsidR="00454DFA" w:rsidRDefault="00454DFA" w:rsidP="00454DFA">
      <w:pPr>
        <w:spacing w:after="0" w:line="360" w:lineRule="auto"/>
        <w:rPr>
          <w:rFonts w:ascii="Calibri" w:hAnsi="Calibri" w:cs="Calibri"/>
          <w:b/>
          <w:bCs/>
          <w:color w:val="156082" w:themeColor="accent1"/>
          <w:sz w:val="24"/>
          <w:szCs w:val="24"/>
          <w:shd w:val="clear" w:color="auto" w:fill="FFFFFF"/>
        </w:rPr>
      </w:pPr>
    </w:p>
    <w:p w14:paraId="4A488B5A" w14:textId="20C55F5F" w:rsidR="00BF79FC" w:rsidRPr="00BF79FC" w:rsidRDefault="00F968D4" w:rsidP="002A6AC9">
      <w:pPr>
        <w:spacing w:after="0" w:line="360" w:lineRule="auto"/>
        <w:rPr>
          <w:rFonts w:ascii="Calibri" w:hAnsi="Calibri" w:cs="Calibri"/>
          <w:b/>
          <w:bCs/>
          <w:color w:val="156082" w:themeColor="accent1"/>
          <w:sz w:val="24"/>
          <w:szCs w:val="24"/>
          <w:shd w:val="clear" w:color="auto" w:fill="FFFFFF"/>
        </w:rPr>
      </w:pPr>
      <w:r>
        <w:rPr>
          <w:rFonts w:ascii="Calibri" w:hAnsi="Calibri" w:cs="Calibri"/>
          <w:b/>
          <w:bCs/>
          <w:color w:val="156082" w:themeColor="accent1"/>
          <w:sz w:val="24"/>
          <w:szCs w:val="24"/>
          <w:shd w:val="clear" w:color="auto" w:fill="FFFFFF"/>
        </w:rPr>
        <w:t>9</w:t>
      </w:r>
      <w:r w:rsidR="00BF79FC" w:rsidRPr="00BF79FC">
        <w:rPr>
          <w:rFonts w:ascii="Calibri" w:hAnsi="Calibri" w:cs="Calibri"/>
          <w:b/>
          <w:bCs/>
          <w:color w:val="156082" w:themeColor="accent1"/>
          <w:sz w:val="24"/>
          <w:szCs w:val="24"/>
          <w:shd w:val="clear" w:color="auto" w:fill="FFFFFF"/>
        </w:rPr>
        <w:t>. Relationship between Leverage and return</w:t>
      </w:r>
    </w:p>
    <w:p w14:paraId="4D68432B" w14:textId="77777777" w:rsidR="00BF79FC" w:rsidRPr="00BF79FC" w:rsidRDefault="00BF79FC" w:rsidP="002A6AC9">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The relationship between leverage and return is a fundamental concept in corporate finance, reflecting how the use of debt impacts a company's potential returns. Leverage, measured through financial ratios such as the Debt-to-Equity Ratio, involves using borrowed funds to finance investments, with the goal of increasing the returns on equity. This strategy can magnify the financial outcomes of business activities—both positively and negatively (Ross, Westerfield, &amp; Jordan, 2021).</w:t>
      </w:r>
    </w:p>
    <w:p w14:paraId="33E5A5D5" w14:textId="77777777" w:rsidR="00BF79FC" w:rsidRPr="00BF79FC" w:rsidRDefault="00BF79FC" w:rsidP="002A6AC9">
      <w:pPr>
        <w:spacing w:after="0" w:line="360" w:lineRule="auto"/>
        <w:jc w:val="both"/>
        <w:rPr>
          <w:rFonts w:ascii="Calibri" w:hAnsi="Calibri" w:cs="Calibri"/>
          <w:color w:val="0D0D0D"/>
          <w:sz w:val="24"/>
          <w:szCs w:val="24"/>
          <w:shd w:val="clear" w:color="auto" w:fill="FFFFFF"/>
        </w:rPr>
      </w:pPr>
    </w:p>
    <w:p w14:paraId="0C17B4B9" w14:textId="77777777" w:rsidR="00BF79FC" w:rsidRPr="00BF79FC" w:rsidRDefault="00BF79FC" w:rsidP="002A6AC9">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When a company like The Walt Disney Company utilizes leverage, it increases its capacity to invest in growth opportunities without depleting its own funds. If these investments yield returns higher than the cost of debt (interest rate), then shareholders experience enhanced earnings per share and a higher return on equity (Brealey, Myers, &amp; Allen, 2021). This is due to the tax deductibility of interest, which provides a tax shield and effectively reduces the company's tax burden, further improving net returns.</w:t>
      </w:r>
    </w:p>
    <w:p w14:paraId="047CD69B" w14:textId="77777777" w:rsidR="00BF79FC" w:rsidRPr="00BF79FC" w:rsidRDefault="00BF79FC" w:rsidP="002A6AC9">
      <w:pPr>
        <w:spacing w:after="0" w:line="360" w:lineRule="auto"/>
        <w:jc w:val="both"/>
        <w:rPr>
          <w:rFonts w:ascii="Calibri" w:hAnsi="Calibri" w:cs="Calibri"/>
          <w:color w:val="0D0D0D"/>
          <w:sz w:val="24"/>
          <w:szCs w:val="24"/>
          <w:shd w:val="clear" w:color="auto" w:fill="FFFFFF"/>
        </w:rPr>
      </w:pPr>
    </w:p>
    <w:p w14:paraId="6A215A4B" w14:textId="63338CB8" w:rsidR="00BF79FC" w:rsidRPr="00FF420B" w:rsidRDefault="00BF79FC" w:rsidP="002A6AC9">
      <w:pPr>
        <w:spacing w:after="0" w:line="360" w:lineRule="auto"/>
        <w:jc w:val="both"/>
        <w:rPr>
          <w:rFonts w:ascii="Calibri" w:hAnsi="Calibri" w:cs="Calibri"/>
          <w:color w:val="0D0D0D"/>
          <w:sz w:val="24"/>
          <w:szCs w:val="24"/>
          <w:shd w:val="clear" w:color="auto" w:fill="FFFFFF"/>
        </w:rPr>
      </w:pPr>
      <w:r w:rsidRPr="00BF79FC">
        <w:rPr>
          <w:rFonts w:ascii="Calibri" w:hAnsi="Calibri" w:cs="Calibri"/>
          <w:color w:val="0D0D0D"/>
          <w:sz w:val="24"/>
          <w:szCs w:val="24"/>
          <w:shd w:val="clear" w:color="auto" w:fill="FFFFFF"/>
        </w:rPr>
        <w:t xml:space="preserve">However, the use of leverage also introduces financial risk. If the returns from investments are less than the cost of debt, it can lead to lower returns and potentially negative impacts on shareholder value. Furthermore, in periods of economic downturn, high leverage can strain a company's cash flows, as obligations to creditors remain constant despite falling revenues. Therefore, while leverage can amplify returns in favourable market conditions, it equally </w:t>
      </w:r>
      <w:r w:rsidRPr="00BF79FC">
        <w:rPr>
          <w:rFonts w:ascii="Calibri" w:hAnsi="Calibri" w:cs="Calibri"/>
          <w:color w:val="0D0D0D"/>
          <w:sz w:val="24"/>
          <w:szCs w:val="24"/>
          <w:shd w:val="clear" w:color="auto" w:fill="FFFFFF"/>
        </w:rPr>
        <w:lastRenderedPageBreak/>
        <w:t>increases the company's vulnerability during economic declines, highlighting a trade-off that companies must manage carefully.</w:t>
      </w:r>
    </w:p>
    <w:p w14:paraId="2FE09865" w14:textId="77777777" w:rsidR="00FF420B" w:rsidRPr="00FF420B" w:rsidRDefault="00FF420B" w:rsidP="002A6AC9">
      <w:pPr>
        <w:spacing w:after="0" w:line="360" w:lineRule="auto"/>
        <w:jc w:val="both"/>
        <w:rPr>
          <w:rFonts w:ascii="system-ui" w:hAnsi="system-ui"/>
          <w:color w:val="0D0D0D"/>
          <w:shd w:val="clear" w:color="auto" w:fill="FFFFFF"/>
        </w:rPr>
      </w:pPr>
    </w:p>
    <w:p w14:paraId="5643217F" w14:textId="13982936" w:rsidR="00FF420B" w:rsidRPr="00BF79FC" w:rsidRDefault="00BF79FC" w:rsidP="002A6AC9">
      <w:pPr>
        <w:spacing w:after="0" w:line="360" w:lineRule="auto"/>
        <w:jc w:val="both"/>
        <w:rPr>
          <w:rFonts w:ascii="Calibri" w:hAnsi="Calibri" w:cs="Calibri"/>
          <w:b/>
          <w:bCs/>
          <w:color w:val="156082" w:themeColor="accent1"/>
          <w:sz w:val="28"/>
          <w:szCs w:val="28"/>
          <w:shd w:val="clear" w:color="auto" w:fill="FFFFFF"/>
        </w:rPr>
      </w:pPr>
      <w:r w:rsidRPr="00BF79FC">
        <w:rPr>
          <w:rFonts w:ascii="Calibri" w:hAnsi="Calibri" w:cs="Calibri"/>
          <w:b/>
          <w:bCs/>
          <w:color w:val="156082" w:themeColor="accent1"/>
          <w:sz w:val="28"/>
          <w:szCs w:val="28"/>
          <w:shd w:val="clear" w:color="auto" w:fill="FFFFFF"/>
        </w:rPr>
        <w:t>III. Part C</w:t>
      </w:r>
    </w:p>
    <w:p w14:paraId="6868F7ED" w14:textId="28D267D2" w:rsidR="00FF420B" w:rsidRDefault="00F968D4" w:rsidP="002A6AC9">
      <w:pPr>
        <w:spacing w:after="0" w:line="360" w:lineRule="auto"/>
        <w:jc w:val="both"/>
        <w:rPr>
          <w:rFonts w:ascii="system-ui" w:hAnsi="system-ui"/>
          <w:b/>
          <w:bCs/>
          <w:color w:val="156082" w:themeColor="accent1"/>
          <w:shd w:val="clear" w:color="auto" w:fill="FFFFFF"/>
        </w:rPr>
      </w:pPr>
      <w:r>
        <w:rPr>
          <w:rFonts w:ascii="system-ui" w:hAnsi="system-ui"/>
          <w:b/>
          <w:bCs/>
          <w:color w:val="156082" w:themeColor="accent1"/>
          <w:shd w:val="clear" w:color="auto" w:fill="FFFFFF"/>
        </w:rPr>
        <w:t>10</w:t>
      </w:r>
      <w:r w:rsidR="002A6AC9" w:rsidRPr="002A6AC9">
        <w:rPr>
          <w:rFonts w:ascii="system-ui" w:hAnsi="system-ui"/>
          <w:b/>
          <w:bCs/>
          <w:color w:val="156082" w:themeColor="accent1"/>
          <w:shd w:val="clear" w:color="auto" w:fill="FFFFFF"/>
        </w:rPr>
        <w:t xml:space="preserve">. The Walt Disney </w:t>
      </w:r>
    </w:p>
    <w:p w14:paraId="7BA3E0D4" w14:textId="77777777" w:rsid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The Walt Disney Company has expanded its impact as a major media player via smart investments in the worldwide media landscape. An essential step in this plan was the purchase of 21st Century Fox, completed in March 2019, which is considered one of the largest in the business, valued at over $71 billion (Smith, 2021). The purchase greatly enhanced Disney's collection of film and television properties and further strengthened its competitive advantage in the fast-changing digital streaming industry (Johnson, 2022). Disney sought to enhance its recently established streaming service, Disney+, by incorporating Fox's huge catalogue and using its foreign broadcasting skills. This strategic move intended to strengthen Disney+ and position it competitively against rivals like as Netflix and Amazon Prime (Barnes, 2020). This section explores the strategic reasoning behind the purchase, closely examining its goals, the financial methods used to effectuate the transaction, its operational viability, and the resulting results that have altered Disney's position in the market. An examination of this transaction is essential for comprehending the wider ramifications it will have on Disney's future course in the worldwide entertainment business.</w:t>
      </w:r>
    </w:p>
    <w:p w14:paraId="463F6733" w14:textId="77777777" w:rsid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7EED94B3" w14:textId="69ED12BC" w:rsidR="00CF436E" w:rsidRPr="00CF436E" w:rsidRDefault="00CF436E" w:rsidP="00CF436E">
      <w:pPr>
        <w:spacing w:after="0" w:line="360" w:lineRule="auto"/>
        <w:jc w:val="both"/>
        <w:rPr>
          <w:rFonts w:ascii="Calibri" w:eastAsia="Times New Roman" w:hAnsi="Calibri" w:cs="Calibri"/>
          <w:b/>
          <w:bCs/>
          <w:color w:val="0F9ED5" w:themeColor="accent4"/>
          <w:kern w:val="0"/>
          <w:sz w:val="24"/>
          <w:szCs w:val="24"/>
          <w:lang w:eastAsia="en-GB"/>
          <w14:ligatures w14:val="none"/>
        </w:rPr>
      </w:pPr>
      <w:r w:rsidRPr="00CF436E">
        <w:rPr>
          <w:rFonts w:ascii="Calibri" w:eastAsia="Times New Roman" w:hAnsi="Calibri" w:cs="Calibri"/>
          <w:b/>
          <w:bCs/>
          <w:color w:val="0F9ED5" w:themeColor="accent4"/>
          <w:kern w:val="0"/>
          <w:sz w:val="24"/>
          <w:szCs w:val="24"/>
          <w:lang w:eastAsia="en-GB"/>
          <w14:ligatures w14:val="none"/>
        </w:rPr>
        <w:t>10.1 Purpose and Aims of the Investment</w:t>
      </w:r>
    </w:p>
    <w:p w14:paraId="7B6E907C" w14:textId="3AF98AEC"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The acquisition of 21st Century Fox by The Walt Disney Company in 2019 represented a strategic endeavour to reshape its entertainment and media portfolio at a global scale. This $71 billion transaction was not just a financial investment but a calculated move to secure a dominant position in the evolving digital media landscape, particularly in the streaming sector dominated by Netflix and Amazon Prime (Frank, 2019).</w:t>
      </w:r>
    </w:p>
    <w:p w14:paraId="5BA9CFD1"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1C967EFD"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 xml:space="preserve">Content Diversification: One of the core objectives of this acquisition was to enhance Disney’s content library with Fox’s diverse array of films, TV shows, and other media assets. This included popular franchises such as the X-Men, Avatar, and The Simpsons, which enriched Disney’s offering with a broader range of genres and narratives (Barnes, 2020). The integration of these assets was crucial for Disney as it aimed to cater to a more varied </w:t>
      </w:r>
      <w:r w:rsidRPr="00CF436E">
        <w:rPr>
          <w:rFonts w:ascii="Calibri" w:eastAsia="Times New Roman" w:hAnsi="Calibri" w:cs="Calibri"/>
          <w:kern w:val="0"/>
          <w:sz w:val="24"/>
          <w:szCs w:val="24"/>
          <w:lang w:eastAsia="en-GB"/>
          <w14:ligatures w14:val="none"/>
        </w:rPr>
        <w:lastRenderedPageBreak/>
        <w:t>audience demographic and taste preferences, thereby strengthening its newly launched streaming service, Disney+. This strategic expansion into diverse content genres aimed to reduce reliance on traditional, Disney-centric family content, offering more adult-themed productions and broadening its appeal across different age groups (Johnson, 2022).</w:t>
      </w:r>
    </w:p>
    <w:p w14:paraId="54925F44"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0E5D85C1"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Expansion of Consumer Base: Another significant aim of this acquisition was to bolster Disney’s presence in international markets. Fox’s established networks, particularly Star India and Fox Networks Group in Latin America, presented lucrative avenues for Disney to tap into burgeoning markets with high growth potentials. These regions not only promised a new audience base but also brought diverse content creation opportunities that could be leveraged across Disney’s global platform (Smith, 2021). For instance, the strong cricket broadcasting rights held by Star India provided Disney with a unique competitive edge in the Indian market, where cricket is a major spectator sport.</w:t>
      </w:r>
    </w:p>
    <w:p w14:paraId="34E0EC9E"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33E24962"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Strategic Synergies: The merger was anticipated to yield considerable synergies in several operational areas including content creation, distribution, and technology. By aligning Fox’s advanced content distribution networks with Disney’s robust production capabilities, the company aimed to enhance operational efficiencies and reduce costs. The combined technological resources were expected to foster innovations in streaming technology and data analytics, enhancing the user experience on Disney+ and optimizing content delivery across different markets (Barnes, 2020). These synergies were projected to not only improve service quality but also accelerate the growth of Disney’s digital services globally.</w:t>
      </w:r>
    </w:p>
    <w:p w14:paraId="0B26023B"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73D8E46A" w14:textId="64AC2D55" w:rsidR="00CF436E" w:rsidRPr="00CF436E" w:rsidRDefault="00CF436E" w:rsidP="00CF436E">
      <w:pPr>
        <w:spacing w:after="0" w:line="360" w:lineRule="auto"/>
        <w:jc w:val="both"/>
        <w:rPr>
          <w:rFonts w:ascii="Calibri" w:eastAsia="Times New Roman" w:hAnsi="Calibri" w:cs="Calibri"/>
          <w:b/>
          <w:bCs/>
          <w:color w:val="0F9ED5" w:themeColor="accent4"/>
          <w:kern w:val="0"/>
          <w:sz w:val="24"/>
          <w:szCs w:val="24"/>
          <w:lang w:eastAsia="en-GB"/>
          <w14:ligatures w14:val="none"/>
        </w:rPr>
      </w:pPr>
      <w:r w:rsidRPr="00CF436E">
        <w:rPr>
          <w:rFonts w:ascii="Calibri" w:eastAsia="Times New Roman" w:hAnsi="Calibri" w:cs="Calibri"/>
          <w:b/>
          <w:bCs/>
          <w:color w:val="0F9ED5" w:themeColor="accent4"/>
          <w:kern w:val="0"/>
          <w:sz w:val="24"/>
          <w:szCs w:val="24"/>
          <w:lang w:eastAsia="en-GB"/>
          <w14:ligatures w14:val="none"/>
        </w:rPr>
        <w:t>10.2 Size of the Investment and Financing</w:t>
      </w:r>
    </w:p>
    <w:p w14:paraId="62BFBAC1"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The Walt Disney Company's acquisition of 21st Century Fox ranks as one of the most significant financial transactions in the entertainment industry, with the deal valued at an immense $71 billion. This colossal investment highlights Disney's aggressive strategy to expand its global influence and content arsenal in the competitive entertainment market (Frank, 2019).</w:t>
      </w:r>
    </w:p>
    <w:p w14:paraId="706C6EE1"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0AE695BE"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 xml:space="preserve">Financing the Acquisition: The financial structure of the acquisition was complex, reflecting the deal's sheer size. Disney employed a hybrid financing approach, which included both cash </w:t>
      </w:r>
      <w:r w:rsidRPr="00CF436E">
        <w:rPr>
          <w:rFonts w:ascii="Calibri" w:eastAsia="Times New Roman" w:hAnsi="Calibri" w:cs="Calibri"/>
          <w:kern w:val="0"/>
          <w:sz w:val="24"/>
          <w:szCs w:val="24"/>
          <w:lang w:eastAsia="en-GB"/>
          <w14:ligatures w14:val="none"/>
        </w:rPr>
        <w:lastRenderedPageBreak/>
        <w:t>and stock components. Approximately $35.7 billion of the total purchase price was paid in cash. This substantial cash outlay necessitated careful financial planning and risk assessment to ensure liquidity and maintain financial stability without over-leveraging the company's balance sheet (Johnson, 2022).</w:t>
      </w:r>
    </w:p>
    <w:p w14:paraId="4B0B51FF"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0C55716A"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In addition to the cash payment, Disney issued about 343 million shares to 21st Century Fox shareholders, integrating them into Disney's shareholder base and aligning their interests with the future success of the combined entity. This equity issuance not only helped to finance the acquisition but also served to dilute Disney's existing shares, a factor that required careful consideration given its potential impact on per-share earnings metrics (Barnes, 2020).</w:t>
      </w:r>
    </w:p>
    <w:p w14:paraId="44ECB7D0"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48548B44"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Assuming Debt: Furthermore, Disney agreed to take on approximately $13.8 billion of Fox’s existing debt. This strategic decision was critical in facilitating the deal but added a significant burden to Disney's debt profile. Managing this debt efficiently while still investing in business growth and returning value to shareholders posed a substantial challenge that Disney needed to navigate post-acquisition (Smith, 2021).</w:t>
      </w:r>
    </w:p>
    <w:p w14:paraId="6E6F8E56"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48B462E4"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Financial Scale and Impact: The sheer financial scale of this acquisition underscores its significance. At $71 billion, the transaction is one of the largest in the history of the media and entertainment sectors. This scale reflects not only the asset value but also the strategic importance of the acquisition in Disney's broader corporate strategy aimed at dominating global entertainment and media markets (Johnson, 2022).</w:t>
      </w:r>
    </w:p>
    <w:p w14:paraId="4B42A32A"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567A5008"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The financing method—using a combination of cash, stock, and debt assumption—was a carefully balanced approach that leveraged Disney’s strong market position and creditworthiness. It allowed Disney to maintain operational flexibility and financial stability, crucial for supporting ongoing projects and future expansions (Frank, 2019).</w:t>
      </w:r>
    </w:p>
    <w:p w14:paraId="6B43B91B"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31C01BC7" w14:textId="144C2AE8" w:rsidR="00CF436E" w:rsidRPr="00CF436E" w:rsidRDefault="00CF436E" w:rsidP="00CF436E">
      <w:pPr>
        <w:spacing w:after="0" w:line="360" w:lineRule="auto"/>
        <w:jc w:val="both"/>
        <w:rPr>
          <w:rFonts w:ascii="Calibri" w:eastAsia="Times New Roman" w:hAnsi="Calibri" w:cs="Calibri"/>
          <w:b/>
          <w:bCs/>
          <w:color w:val="0F9ED5" w:themeColor="accent4"/>
          <w:kern w:val="0"/>
          <w:sz w:val="24"/>
          <w:szCs w:val="24"/>
          <w:lang w:eastAsia="en-GB"/>
          <w14:ligatures w14:val="none"/>
        </w:rPr>
      </w:pPr>
      <w:r w:rsidRPr="00CF436E">
        <w:rPr>
          <w:rFonts w:ascii="Calibri" w:eastAsia="Times New Roman" w:hAnsi="Calibri" w:cs="Calibri"/>
          <w:b/>
          <w:bCs/>
          <w:color w:val="0F9ED5" w:themeColor="accent4"/>
          <w:kern w:val="0"/>
          <w:sz w:val="24"/>
          <w:szCs w:val="24"/>
          <w:lang w:eastAsia="en-GB"/>
          <w14:ligatures w14:val="none"/>
        </w:rPr>
        <w:t>10.3 Feasibility of the Investment</w:t>
      </w:r>
    </w:p>
    <w:p w14:paraId="31F66016"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 xml:space="preserve">The feasibility of Disney's acquisition of 21st Century Fox was underpinned by a comprehensive evaluation of its financial health and strategic goals. The $71 billion </w:t>
      </w:r>
      <w:r w:rsidRPr="00CF436E">
        <w:rPr>
          <w:rFonts w:ascii="Calibri" w:eastAsia="Times New Roman" w:hAnsi="Calibri" w:cs="Calibri"/>
          <w:kern w:val="0"/>
          <w:sz w:val="24"/>
          <w:szCs w:val="24"/>
          <w:lang w:eastAsia="en-GB"/>
          <w14:ligatures w14:val="none"/>
        </w:rPr>
        <w:lastRenderedPageBreak/>
        <w:t>transaction was predicated on Disney's solid financial foundation and its alignment with the company's vision for expansion in the burgeoning streaming market (Smith, 2021).</w:t>
      </w:r>
    </w:p>
    <w:p w14:paraId="53D0E7B6"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1056020B"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Financial Health and Management: Prior to the acquisition, Disney's financial analyses demonstrated robustness, with substantial revenue streams from diverse segments including theme parks, media networks, and studio entertainment. This diversified business model provided the financial stability required to undertake such a massive acquisition. However, the incorporation of Fox's assets necessitated adept management of an increased debt load. The strategic financial planning involved assessing the impact of this debt on Disney's balance sheet and ensuring that the company could handle the additional financial commitments without compromising its operational efficacy or credit rating (Johnson, 2022).</w:t>
      </w:r>
    </w:p>
    <w:p w14:paraId="4E991A11"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6289CF3F"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Strategic Alignment and Market Growth: The acquisition was strategically aligned with Disney's long-term objectives to dominate the digital streaming space. The addition of Fox’s extensive library and its production capabilities were anticipated to give Disney a considerable edge over competitors like Netflix and Amazon. This strategic move was designed not just to enhance Disney's content portfolio but also to leverage Fox's international distribution networks, thereby accelerating Disney+'s growth in global markets (Barnes, 2020).</w:t>
      </w:r>
    </w:p>
    <w:p w14:paraId="5BE09241"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5157B6CE"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Competitive Advantages: The merger combined Disney's leading position in the entertainment industry with Fox's valuable assets, creating synergies that were projected to yield significant competitive advantages. These included enhanced content diversity, broader geographic reach, and improved technological capabilities in content distribution and streaming services. The integration of these resources was expected to drive innovation, efficiency, and market expansion, ultimately reinforcing Disney's supremacy in the global entertainment landscape (Frank, 2019).</w:t>
      </w:r>
    </w:p>
    <w:p w14:paraId="2D0CEBF5"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11974CA8" w14:textId="4B64AFE4" w:rsidR="00CF436E" w:rsidRPr="00CF436E" w:rsidRDefault="00CF436E" w:rsidP="00CF436E">
      <w:pPr>
        <w:spacing w:after="0" w:line="360" w:lineRule="auto"/>
        <w:jc w:val="both"/>
        <w:rPr>
          <w:rFonts w:ascii="Calibri" w:eastAsia="Times New Roman" w:hAnsi="Calibri" w:cs="Calibri"/>
          <w:b/>
          <w:bCs/>
          <w:color w:val="0F9ED5" w:themeColor="accent4"/>
          <w:kern w:val="0"/>
          <w:sz w:val="24"/>
          <w:szCs w:val="24"/>
          <w:lang w:eastAsia="en-GB"/>
          <w14:ligatures w14:val="none"/>
        </w:rPr>
      </w:pPr>
      <w:r w:rsidRPr="00CF436E">
        <w:rPr>
          <w:rFonts w:ascii="Calibri" w:eastAsia="Times New Roman" w:hAnsi="Calibri" w:cs="Calibri"/>
          <w:b/>
          <w:bCs/>
          <w:color w:val="0F9ED5" w:themeColor="accent4"/>
          <w:kern w:val="0"/>
          <w:sz w:val="24"/>
          <w:szCs w:val="24"/>
          <w:lang w:eastAsia="en-GB"/>
          <w14:ligatures w14:val="none"/>
        </w:rPr>
        <w:t>10.4 Current Outcome of the Investment</w:t>
      </w:r>
    </w:p>
    <w:p w14:paraId="74648E90"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The acquisition of 21st Century Fox by The Walt Disney Company, one of the most ambitious consolidations in the media industry, has yielded a spectrum of outcomes, reflecting both strategic victories and operational challenges (Johnson, 2022).</w:t>
      </w:r>
    </w:p>
    <w:p w14:paraId="50BE19BB"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27EDF8AC" w14:textId="0F2A2040"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lastRenderedPageBreak/>
        <w:t xml:space="preserve">Successes: A primary success has been the exponential growth of Disney+, which leveraged Fox’s extensive content </w:t>
      </w:r>
      <w:proofErr w:type="spellStart"/>
      <w:r w:rsidRPr="00CF436E">
        <w:rPr>
          <w:rFonts w:ascii="Calibri" w:eastAsia="Times New Roman" w:hAnsi="Calibri" w:cs="Calibri"/>
          <w:kern w:val="0"/>
          <w:sz w:val="24"/>
          <w:szCs w:val="24"/>
          <w:lang w:eastAsia="en-GB"/>
          <w14:ligatures w14:val="none"/>
        </w:rPr>
        <w:t>catalog</w:t>
      </w:r>
      <w:proofErr w:type="spellEnd"/>
      <w:r w:rsidRPr="00CF436E">
        <w:rPr>
          <w:rFonts w:ascii="Calibri" w:eastAsia="Times New Roman" w:hAnsi="Calibri" w:cs="Calibri"/>
          <w:kern w:val="0"/>
          <w:sz w:val="24"/>
          <w:szCs w:val="24"/>
          <w:lang w:eastAsia="en-GB"/>
          <w14:ligatures w14:val="none"/>
        </w:rPr>
        <w:t xml:space="preserve"> to rapidly expand its subscriber base. Popular Fox franchises like 'The Simpsons' and 'X-Men' have enriched Disney+'s offerings, making it a more compelling choice for a diverse audience (Barnes, 2020). This strategic expansion proved particularly advantageous during the COVID-19 pandemic; a period marked by a significant surge in streaming demand. As families and individuals turned to digital entertainment during lockdowns, Disney+’s enriched content portfolio drove its subscription numbers beyond initial projections, crossing 100 million subscribers in March 2021, just 16 months after its launch (Smith, 2021).</w:t>
      </w:r>
    </w:p>
    <w:p w14:paraId="6F699AE0"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41676CA6"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Challenges: Despite these successes, the integration of Fox's assets into Disney's operations has encountered significant hurdles. The complexity of merging large-scale operations has led to considerable restructuring costs and logistical challenges. Coordination between various divisions to align with Disney’s corporate culture and operational standards has been an ongoing process with mixed efficiency (Frank, 2019). Furthermore, the expected operational synergies, particularly in areas like content production and distribution, have materialized slower than anticipated. The global pandemic exacerbated these challenges, disrupting content production schedules and halting theatrical releases, which are a significant revenue source for newly acquired Fox titles.</w:t>
      </w:r>
    </w:p>
    <w:p w14:paraId="37BFFE16"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5B836D67"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The mixed results reflect the complexity of such a large-scale merger in the dynamic entertainment industry. While the strategic foresight behind the acquisition—particularly aiming to bolster Disney's streaming service—has shown promising results, the full realization of operational and financial synergies remains a work in progress. Disney continues to address these integration challenges while capitalizing on the strategic advantages provided by Fox's assets, aiming to secure long-term growth and maintain its leadership in the global entertainment market.</w:t>
      </w:r>
    </w:p>
    <w:p w14:paraId="5C08F955"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6DCE5304" w14:textId="22CD6E4C" w:rsidR="00CF436E" w:rsidRPr="00CF436E" w:rsidRDefault="00CF436E" w:rsidP="00CF436E">
      <w:pPr>
        <w:spacing w:after="0" w:line="360" w:lineRule="auto"/>
        <w:jc w:val="both"/>
        <w:rPr>
          <w:rFonts w:ascii="Calibri" w:eastAsia="Times New Roman" w:hAnsi="Calibri" w:cs="Calibri"/>
          <w:b/>
          <w:bCs/>
          <w:color w:val="0F9ED5" w:themeColor="accent4"/>
          <w:kern w:val="0"/>
          <w:sz w:val="24"/>
          <w:szCs w:val="24"/>
          <w:lang w:eastAsia="en-GB"/>
          <w14:ligatures w14:val="none"/>
        </w:rPr>
      </w:pPr>
      <w:r w:rsidRPr="00CF436E">
        <w:rPr>
          <w:rFonts w:ascii="Calibri" w:eastAsia="Times New Roman" w:hAnsi="Calibri" w:cs="Calibri"/>
          <w:b/>
          <w:bCs/>
          <w:color w:val="0F9ED5" w:themeColor="accent4"/>
          <w:kern w:val="0"/>
          <w:sz w:val="24"/>
          <w:szCs w:val="24"/>
          <w:lang w:eastAsia="en-GB"/>
          <w14:ligatures w14:val="none"/>
        </w:rPr>
        <w:t>10.5 Analysis of Successes and Failures</w:t>
      </w:r>
    </w:p>
    <w:p w14:paraId="1F53B558"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 xml:space="preserve">The acquisition of 21st Century Fox by The Walt Disney Company presents a nuanced picture of strategic successes and operational challenges that have shaped Disney's trajectory in the </w:t>
      </w:r>
      <w:r w:rsidRPr="00CF436E">
        <w:rPr>
          <w:rFonts w:ascii="Calibri" w:eastAsia="Times New Roman" w:hAnsi="Calibri" w:cs="Calibri"/>
          <w:kern w:val="0"/>
          <w:sz w:val="24"/>
          <w:szCs w:val="24"/>
          <w:lang w:eastAsia="en-GB"/>
          <w14:ligatures w14:val="none"/>
        </w:rPr>
        <w:lastRenderedPageBreak/>
        <w:t>highly competitive entertainment industry. This analysis sheds light on the impacts and outcomes of this monumental transaction (Johnson, 2022).</w:t>
      </w:r>
    </w:p>
    <w:p w14:paraId="6960B23B"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3DA2634A"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Successes: The integration of Fox's content into Disney's portfolio has significantly bolstered the Disney+ streaming platform. With the addition of iconic series and movies from Fox, including major franchises such as 'The Simpsons' and 'X-Men,' Disney+ has been able to offer a richer and more diverse content library. This expansion was strategically timed with the launch of Disney+, which quickly became a key player in the streaming space, surpassing 100 million subscribers by early 2021. This rapid growth not only exceeded initial projections but also firmly established Disney+ as a formidable competitor in the streaming wars, directly challenging giants like Netflix and Amazon Prime (Smith, 2021).</w:t>
      </w:r>
    </w:p>
    <w:p w14:paraId="19C7F044"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26592723"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Failures: Despite these successes, the acquisition has not been without its financial burdens. The $71 billion deal was one of the largest in the history of the entertainment industry and significantly increased Disney's debt load. Managing this debt, especially during the financial strains brought on by the COVID-19 pandemic, has been a critical challenge. The pandemic's impact was profound, with substantial revenue losses due to the closure of theme parks and delays in film production and releases. These issues have highlighted the financial risks associated with such large-scale acquisitions and the volatility of the entertainment market under external pressures (Barnes, 2020).</w:t>
      </w:r>
    </w:p>
    <w:p w14:paraId="453F39AA" w14:textId="77777777"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p>
    <w:p w14:paraId="49E8C5C8" w14:textId="25940155" w:rsidR="00CF436E" w:rsidRPr="00CF436E" w:rsidRDefault="00CF436E" w:rsidP="00CF436E">
      <w:pPr>
        <w:spacing w:after="0" w:line="360" w:lineRule="auto"/>
        <w:jc w:val="both"/>
        <w:rPr>
          <w:rFonts w:ascii="Calibri" w:eastAsia="Times New Roman" w:hAnsi="Calibri" w:cs="Calibri"/>
          <w:kern w:val="0"/>
          <w:sz w:val="24"/>
          <w:szCs w:val="24"/>
          <w:lang w:eastAsia="en-GB"/>
          <w14:ligatures w14:val="none"/>
        </w:rPr>
      </w:pPr>
      <w:r w:rsidRPr="00CF436E">
        <w:rPr>
          <w:rFonts w:ascii="Calibri" w:eastAsia="Times New Roman" w:hAnsi="Calibri" w:cs="Calibri"/>
          <w:kern w:val="0"/>
          <w:sz w:val="24"/>
          <w:szCs w:val="24"/>
          <w:lang w:eastAsia="en-GB"/>
          <w14:ligatures w14:val="none"/>
        </w:rPr>
        <w:t>In essence, while the acquisition of 21st Century Fox has strategically positioned Disney to capitalize on the growing demand for streaming content, it has also exposed the company to increased financial vulnerabilities. The success of Disney+ demonstrates the potential of strategic content diversification, but the accompanying financial and operational challenges underscore the complexities of integrating such a vast array of assets under unpredictable market conditions. Moving forward, Disney's ability to manage these challenges and maximize the potential of its expanded content library will be crucial in determining the long-term value of the Fox acquisition.</w:t>
      </w:r>
    </w:p>
    <w:p w14:paraId="78EAEEDB" w14:textId="77777777" w:rsidR="00CF436E" w:rsidRPr="002A6AC9" w:rsidRDefault="00CF436E" w:rsidP="002A6AC9">
      <w:pPr>
        <w:spacing w:after="0" w:line="360" w:lineRule="auto"/>
        <w:jc w:val="both"/>
        <w:rPr>
          <w:rFonts w:ascii="system-ui" w:hAnsi="system-ui"/>
          <w:sz w:val="24"/>
          <w:szCs w:val="24"/>
          <w:shd w:val="clear" w:color="auto" w:fill="FFFFFF"/>
        </w:rPr>
      </w:pPr>
    </w:p>
    <w:p w14:paraId="1DFC236E" w14:textId="0834C161" w:rsidR="00FF420B" w:rsidRPr="00563E28" w:rsidRDefault="00563E28" w:rsidP="00FF420B">
      <w:pPr>
        <w:spacing w:after="0" w:line="360" w:lineRule="auto"/>
        <w:jc w:val="both"/>
        <w:rPr>
          <w:rFonts w:ascii="Calibri" w:hAnsi="Calibri" w:cs="Calibri"/>
          <w:b/>
          <w:bCs/>
          <w:color w:val="156082" w:themeColor="accent1"/>
          <w:sz w:val="28"/>
          <w:szCs w:val="28"/>
          <w:shd w:val="clear" w:color="auto" w:fill="FFFFFF"/>
        </w:rPr>
      </w:pPr>
      <w:r w:rsidRPr="00563E28">
        <w:rPr>
          <w:rFonts w:ascii="Calibri" w:hAnsi="Calibri" w:cs="Calibri"/>
          <w:b/>
          <w:bCs/>
          <w:color w:val="156082" w:themeColor="accent1"/>
          <w:sz w:val="28"/>
          <w:szCs w:val="28"/>
          <w:shd w:val="clear" w:color="auto" w:fill="FFFFFF"/>
        </w:rPr>
        <w:t>IV Conclusion</w:t>
      </w:r>
    </w:p>
    <w:p w14:paraId="129C857D" w14:textId="6CDFA55C" w:rsidR="00563E28" w:rsidRDefault="00F968D4" w:rsidP="00563E28">
      <w:pPr>
        <w:spacing w:after="0" w:line="360" w:lineRule="auto"/>
        <w:jc w:val="both"/>
        <w:rPr>
          <w:rFonts w:ascii="Calibri" w:hAnsi="Calibri" w:cs="Calibri"/>
          <w:color w:val="0D0D0D"/>
          <w:sz w:val="24"/>
          <w:szCs w:val="24"/>
          <w:shd w:val="clear" w:color="auto" w:fill="FFFFFF"/>
        </w:rPr>
      </w:pPr>
      <w:r w:rsidRPr="00F968D4">
        <w:rPr>
          <w:rFonts w:ascii="Calibri" w:hAnsi="Calibri" w:cs="Calibri"/>
          <w:color w:val="0D0D0D"/>
          <w:sz w:val="24"/>
          <w:szCs w:val="24"/>
          <w:shd w:val="clear" w:color="auto" w:fill="FFFFFF"/>
        </w:rPr>
        <w:lastRenderedPageBreak/>
        <w:t>The Walt Disney Company's acquisition of 21st Century Fox marks a strategic milestone, aligning with Disney's goals of diversification and market expansion, particularly enhancing its stance in digital streaming with services like Disney+. This move not only enriches Disney's content portfolio but also extends its global distribution reach. Despite the high costs and integration risks, the financial and strategic benefits suggest significant potential returns. This acquisition sets the stage for Disney's future growth amidst the evolving entertainment landscape. By effectively managing its new capabilities and associated risks, Disney aims to sustain its legacy of innovation and leadership in the industry.</w:t>
      </w:r>
    </w:p>
    <w:p w14:paraId="06877331"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5886BC5C"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28E753DB"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11B50A7E"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2D3F8C63"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723954C0"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5A3B6C0B"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61E56FF5"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68580AA1"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5C41F958"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3D3C7580"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37FF4934"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65E3444E"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21ACF601"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0827AEDA"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3C4FEF5A"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0DB766E8"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4EE3182E"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2FEE12D6" w14:textId="77777777" w:rsidR="00563E28" w:rsidRDefault="00563E28" w:rsidP="00563E28">
      <w:pPr>
        <w:spacing w:after="0" w:line="360" w:lineRule="auto"/>
        <w:jc w:val="both"/>
        <w:rPr>
          <w:rFonts w:ascii="Calibri" w:hAnsi="Calibri" w:cs="Calibri"/>
          <w:color w:val="0D0D0D"/>
          <w:sz w:val="24"/>
          <w:szCs w:val="24"/>
          <w:shd w:val="clear" w:color="auto" w:fill="FFFFFF"/>
        </w:rPr>
      </w:pPr>
    </w:p>
    <w:p w14:paraId="1A594184" w14:textId="77777777" w:rsidR="00CF436E" w:rsidRDefault="00CF436E" w:rsidP="00563E28">
      <w:pPr>
        <w:spacing w:after="0" w:line="360" w:lineRule="auto"/>
        <w:jc w:val="both"/>
        <w:rPr>
          <w:rFonts w:ascii="Calibri" w:hAnsi="Calibri" w:cs="Calibri"/>
          <w:color w:val="0D0D0D"/>
          <w:sz w:val="24"/>
          <w:szCs w:val="24"/>
          <w:shd w:val="clear" w:color="auto" w:fill="FFFFFF"/>
        </w:rPr>
      </w:pPr>
    </w:p>
    <w:p w14:paraId="5B4E705E" w14:textId="77777777" w:rsidR="00CF436E" w:rsidRDefault="00CF436E" w:rsidP="00563E28">
      <w:pPr>
        <w:spacing w:after="0" w:line="360" w:lineRule="auto"/>
        <w:jc w:val="both"/>
        <w:rPr>
          <w:rFonts w:ascii="Calibri" w:hAnsi="Calibri" w:cs="Calibri"/>
          <w:color w:val="0D0D0D"/>
          <w:sz w:val="24"/>
          <w:szCs w:val="24"/>
          <w:shd w:val="clear" w:color="auto" w:fill="FFFFFF"/>
        </w:rPr>
      </w:pPr>
    </w:p>
    <w:p w14:paraId="1C3184CB" w14:textId="77777777" w:rsidR="00CF436E" w:rsidRDefault="00CF436E" w:rsidP="00563E28">
      <w:pPr>
        <w:spacing w:after="0" w:line="360" w:lineRule="auto"/>
        <w:jc w:val="both"/>
        <w:rPr>
          <w:rFonts w:ascii="Calibri" w:hAnsi="Calibri" w:cs="Calibri"/>
          <w:color w:val="0D0D0D"/>
          <w:sz w:val="24"/>
          <w:szCs w:val="24"/>
          <w:shd w:val="clear" w:color="auto" w:fill="FFFFFF"/>
        </w:rPr>
      </w:pPr>
    </w:p>
    <w:p w14:paraId="0E88B98E" w14:textId="77777777" w:rsidR="00CF436E" w:rsidRDefault="00CF436E" w:rsidP="00563E28">
      <w:pPr>
        <w:spacing w:after="0" w:line="360" w:lineRule="auto"/>
        <w:jc w:val="both"/>
        <w:rPr>
          <w:rFonts w:ascii="Calibri" w:hAnsi="Calibri" w:cs="Calibri"/>
          <w:color w:val="0D0D0D"/>
          <w:sz w:val="24"/>
          <w:szCs w:val="24"/>
          <w:shd w:val="clear" w:color="auto" w:fill="FFFFFF"/>
        </w:rPr>
      </w:pPr>
    </w:p>
    <w:p w14:paraId="79335F4C" w14:textId="755F6315" w:rsidR="00563E28" w:rsidRPr="00563E28" w:rsidRDefault="00563E28" w:rsidP="00563E28">
      <w:pPr>
        <w:spacing w:after="0" w:line="360" w:lineRule="auto"/>
        <w:jc w:val="both"/>
        <w:rPr>
          <w:rFonts w:ascii="Calibri" w:hAnsi="Calibri" w:cs="Calibri"/>
          <w:b/>
          <w:bCs/>
          <w:color w:val="156082" w:themeColor="accent1"/>
          <w:sz w:val="28"/>
          <w:szCs w:val="28"/>
          <w:shd w:val="clear" w:color="auto" w:fill="FFFFFF"/>
        </w:rPr>
      </w:pPr>
      <w:r w:rsidRPr="00563E28">
        <w:rPr>
          <w:rFonts w:ascii="Calibri" w:hAnsi="Calibri" w:cs="Calibri"/>
          <w:b/>
          <w:bCs/>
          <w:color w:val="156082" w:themeColor="accent1"/>
          <w:sz w:val="28"/>
          <w:szCs w:val="28"/>
          <w:shd w:val="clear" w:color="auto" w:fill="FFFFFF"/>
        </w:rPr>
        <w:lastRenderedPageBreak/>
        <w:t>References</w:t>
      </w:r>
    </w:p>
    <w:p w14:paraId="10D9E066"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Barnes, B. 2020. Disney makes strategic adjustments amid COVID-19. New York Times. [online] Available at: https://www.nytimes.com/2020/12/04/business/media/disney-streaming.html [Accessed 20 April 2024].</w:t>
      </w:r>
    </w:p>
    <w:p w14:paraId="11825D35"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Bloomberg. 2024. Disney’s financial performance and industry ranking. [online] Available at: https://www.bloomberg.com [Accessed 20 April 2024].</w:t>
      </w:r>
    </w:p>
    <w:p w14:paraId="513E7DEA"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Brealey, R.A., Myers, S.C. and Allen, F. 2021. Principles of Corporate Finance. 13th ed. New York: McGraw-Hill Education.</w:t>
      </w:r>
    </w:p>
    <w:p w14:paraId="657154AB"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Brigham, E.F. and Houston, J.F. 2019. Fundamentals of Financial Management. 15th ed. Boston: Cengage Learning.</w:t>
      </w:r>
    </w:p>
    <w:p w14:paraId="47CA1C15"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CNBC. 2024. The economic impact of Disney's strategic decisions. [online] Available at: https://www.cnbc.com [Accessed 21 April 2024].</w:t>
      </w:r>
    </w:p>
    <w:p w14:paraId="2FA4240D"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Comcast Corporation. 2023. Annual Report 2023. [pdf] Philadelphia: Comcast Corporation. Available at: https://www.cmcsa.com/financials/annual-reports [Accessed 19 April 2024].</w:t>
      </w:r>
    </w:p>
    <w:p w14:paraId="4707D912"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Disney, Ltd. 2023. Corporate events and strategic direction of Disney. [online] Available at: https://www.disney.com [Accessed 17 April 2024].</w:t>
      </w:r>
    </w:p>
    <w:p w14:paraId="131F52EC"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Financial Times. 2023. Disney’s strategic moves: Analysis. [online] Available at: https://www.ft.com/content/waltdisney [Accessed 23 April 2024].</w:t>
      </w:r>
    </w:p>
    <w:p w14:paraId="33BCD0DF"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Frank, M.G. and Goyal, V.K. 2009. Capital structure decisions: Which factors are reliably important? Financial Management, 38(1), pp.1-37.</w:t>
      </w:r>
    </w:p>
    <w:p w14:paraId="6DA5CA22"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Fritz, B. 2019. The Big Picture: The Fight for the Future of Movies. New York: Houghton Mifflin Harcourt.</w:t>
      </w:r>
    </w:p>
    <w:p w14:paraId="0C48735D"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Hoovers. 2024. Detailed company profiles: The Walt Disney Company. [online] Available at: https://www.hoovers.com [Accessed 25 April 2024].</w:t>
      </w:r>
    </w:p>
    <w:p w14:paraId="527E77BF"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Investopedia. 2024. Understanding corporate finance. [online] Available at: https://www.investopedia.com/corporate-finance-4689748 [Accessed 24 April 2024].</w:t>
      </w:r>
    </w:p>
    <w:p w14:paraId="58C4C6BB"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Johnson, M. 2022. Industry analysis: The entertainment sector’s major players. Forbes. [online] Available at: https://www.forbes.com/2022/03/15/industry-analysis-entertainment/ [Accessed 18 April 2024].</w:t>
      </w:r>
    </w:p>
    <w:p w14:paraId="1008E6CD"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Kraus, A. and Litzenberger, R.H. 1973. A state-preference model of optimal financial leverage. Journal of Finance, 28(4), pp.911-922.</w:t>
      </w:r>
    </w:p>
    <w:p w14:paraId="408B0B68"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lastRenderedPageBreak/>
        <w:t>MarketWatch. 2024. The Walt Disney Company market data. [online] Available at: https://www.marketwatch.com [Accessed 21 April 2024].</w:t>
      </w:r>
    </w:p>
    <w:p w14:paraId="314172D1"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Modigliani, F. and Miller, M.H. 1958. The cost of capital, corporation finance and the theory of investment. American Economic Review, 48(3), pp.261-297.</w:t>
      </w:r>
    </w:p>
    <w:p w14:paraId="36DE9431"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Modigliani, F. and Miller, M.H. 1963. Corporate income taxes and the cost of capital: a correction. American Economic Review, 53(3), pp.433-443.</w:t>
      </w:r>
    </w:p>
    <w:p w14:paraId="13E7F498"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Morningstar. 2024. Disney stock analysis. [online] Available at: https://www.morningstar.com [Accessed 22 April 2024].</w:t>
      </w:r>
    </w:p>
    <w:p w14:paraId="449F2810"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Myers, S.C. 1984. The capital structure puzzle. Journal of Finance, 39(3), pp.575-592.</w:t>
      </w:r>
    </w:p>
    <w:p w14:paraId="28D0B42C"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Petty, J.W., Titman, S., Keown, A.J., Martin, J.D., Burrow, M. and Nguyen, H. 2020. Financial Management: Principles and Applications. 8th ed. Melbourne: Pearson Australia.</w:t>
      </w:r>
    </w:p>
    <w:p w14:paraId="699CC4F6"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Ross, S.A., Westerfield, R.W., and Jordan, B.D. 2021. Fundamentals of Corporate Finance. 12th ed. New York: McGraw-Hill Education.</w:t>
      </w:r>
    </w:p>
    <w:p w14:paraId="3E3D0E6C"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S&amp;P Global. 2024. Sector analysis and company benchmarks. [online] Available at: https://www.spglobal.com [Accessed 22 April 2024].</w:t>
      </w:r>
    </w:p>
    <w:p w14:paraId="475F2524"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SEC. 2023. Securities and Exchange Commission filings for The Walt Disney Company. [online] Available at: https://www.sec.gov [Accessed 18 April 2024].</w:t>
      </w:r>
    </w:p>
    <w:p w14:paraId="2820C31A"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Statista. 2024. Entertainment industry statistics and insights. [online] Available at: https://www.statista.com [Accessed 22 April 2024].</w:t>
      </w:r>
    </w:p>
    <w:p w14:paraId="0BE97AF0"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The Walt Disney Company. 2019. Annual Report 2019. [pdf] Burbank: The Walt Disney Company. Available at: https://thewaltdisneycompany.com/app/uploads/2020/01/2019-Annual-Report.pdf [Accessed 15 April 2024].</w:t>
      </w:r>
    </w:p>
    <w:p w14:paraId="171E0F66"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The Walt Disney Company. 2021. Annual Report 2021. [pdf] Burbank: The Walt Disney Company. Available at: https://thewaltdisneycompany.com/app/uploads/2022/01/2021-Annual-Report.pdf [Accessed 15 April 2024].</w:t>
      </w:r>
    </w:p>
    <w:p w14:paraId="77417718"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Thomson Reuters. 2024. Industry financial ratios and performance indicators. [online] Available at: https://www.thomsonreuters.com [Accessed 20 April 2024].</w:t>
      </w:r>
    </w:p>
    <w:p w14:paraId="2582D905"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Wasko, J. 2001. Understanding Disney: The Manufacture of Fantasy. Cambridge: Polity Press.</w:t>
      </w:r>
    </w:p>
    <w:p w14:paraId="27CC4DB0"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t>Yahoo Finance. 2024. Disney financial ratios and analysis. [online] Available at: https://finance.yahoo.com [Accessed 23 April 2024].</w:t>
      </w:r>
    </w:p>
    <w:p w14:paraId="63CD2D9B" w14:textId="77777777" w:rsidR="00563E28" w:rsidRPr="00563E28" w:rsidRDefault="00563E28" w:rsidP="00563E28">
      <w:pPr>
        <w:pStyle w:val="ListParagraph"/>
        <w:numPr>
          <w:ilvl w:val="0"/>
          <w:numId w:val="8"/>
        </w:numPr>
        <w:spacing w:after="0" w:line="360" w:lineRule="auto"/>
        <w:ind w:left="0"/>
        <w:jc w:val="both"/>
        <w:rPr>
          <w:rFonts w:ascii="Calibri" w:hAnsi="Calibri" w:cs="Calibri"/>
          <w:color w:val="0D0D0D"/>
          <w:sz w:val="24"/>
          <w:szCs w:val="24"/>
          <w:shd w:val="clear" w:color="auto" w:fill="FFFFFF"/>
        </w:rPr>
      </w:pPr>
      <w:r w:rsidRPr="00563E28">
        <w:rPr>
          <w:rFonts w:ascii="Calibri" w:hAnsi="Calibri" w:cs="Calibri"/>
          <w:color w:val="0D0D0D"/>
          <w:sz w:val="24"/>
          <w:szCs w:val="24"/>
          <w:shd w:val="clear" w:color="auto" w:fill="FFFFFF"/>
        </w:rPr>
        <w:lastRenderedPageBreak/>
        <w:t>Zacks Investment Research. 2024. Disney’s financial health report. [online] Available at: https://www.zacks.com [Accessed 22 April 2024].</w:t>
      </w:r>
    </w:p>
    <w:p w14:paraId="3C20A159" w14:textId="77777777" w:rsidR="00563E28" w:rsidRPr="00FF420B" w:rsidRDefault="00563E28" w:rsidP="00563E28">
      <w:pPr>
        <w:spacing w:after="0" w:line="360" w:lineRule="auto"/>
        <w:jc w:val="both"/>
        <w:rPr>
          <w:rFonts w:ascii="system-ui" w:hAnsi="system-ui"/>
          <w:color w:val="0D0D0D"/>
          <w:shd w:val="clear" w:color="auto" w:fill="FFFFFF"/>
        </w:rPr>
      </w:pPr>
    </w:p>
    <w:p w14:paraId="19DE5F7A" w14:textId="77777777" w:rsidR="00FF420B" w:rsidRDefault="00FF420B" w:rsidP="00671115">
      <w:pPr>
        <w:spacing w:after="0" w:line="360" w:lineRule="auto"/>
        <w:jc w:val="both"/>
        <w:rPr>
          <w:rFonts w:ascii="system-ui" w:hAnsi="system-ui"/>
          <w:color w:val="0D0D0D"/>
          <w:shd w:val="clear" w:color="auto" w:fill="FFFFFF"/>
        </w:rPr>
      </w:pPr>
    </w:p>
    <w:p w14:paraId="6ABDB18A" w14:textId="77777777" w:rsidR="00FF420B" w:rsidRPr="00671115" w:rsidRDefault="00FF420B" w:rsidP="00671115">
      <w:pPr>
        <w:spacing w:after="0" w:line="360" w:lineRule="auto"/>
        <w:jc w:val="both"/>
        <w:rPr>
          <w:rFonts w:ascii="Calibri" w:hAnsi="Calibri" w:cs="Calibri"/>
          <w:sz w:val="24"/>
          <w:szCs w:val="24"/>
        </w:rPr>
      </w:pPr>
    </w:p>
    <w:sectPr w:rsidR="00FF420B" w:rsidRPr="00671115" w:rsidSect="001A0F94">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46D2D" w14:textId="77777777" w:rsidR="001A0F94" w:rsidRDefault="001A0F94" w:rsidP="00274BB4">
      <w:pPr>
        <w:spacing w:after="0" w:line="240" w:lineRule="auto"/>
      </w:pPr>
      <w:r>
        <w:separator/>
      </w:r>
    </w:p>
  </w:endnote>
  <w:endnote w:type="continuationSeparator" w:id="0">
    <w:p w14:paraId="1DF655CD" w14:textId="77777777" w:rsidR="001A0F94" w:rsidRDefault="001A0F94" w:rsidP="0027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888389"/>
      <w:docPartObj>
        <w:docPartGallery w:val="Page Numbers (Bottom of Page)"/>
        <w:docPartUnique/>
      </w:docPartObj>
    </w:sdtPr>
    <w:sdtEndPr>
      <w:rPr>
        <w:color w:val="7F7F7F" w:themeColor="background1" w:themeShade="7F"/>
        <w:spacing w:val="60"/>
      </w:rPr>
    </w:sdtEndPr>
    <w:sdtContent>
      <w:p w14:paraId="1E25077B" w14:textId="529FA20B" w:rsidR="00274BB4" w:rsidRDefault="00274B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0EA220" w14:textId="77777777" w:rsidR="00274BB4" w:rsidRDefault="00274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FD936" w14:textId="77777777" w:rsidR="001A0F94" w:rsidRDefault="001A0F94" w:rsidP="00274BB4">
      <w:pPr>
        <w:spacing w:after="0" w:line="240" w:lineRule="auto"/>
      </w:pPr>
      <w:r>
        <w:separator/>
      </w:r>
    </w:p>
  </w:footnote>
  <w:footnote w:type="continuationSeparator" w:id="0">
    <w:p w14:paraId="072456AA" w14:textId="77777777" w:rsidR="001A0F94" w:rsidRDefault="001A0F94" w:rsidP="00274B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8AC2A3"/>
    <w:multiLevelType w:val="hybridMultilevel"/>
    <w:tmpl w:val="4B3372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7391BEB"/>
    <w:multiLevelType w:val="hybridMultilevel"/>
    <w:tmpl w:val="54BA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2228A"/>
    <w:multiLevelType w:val="hybridMultilevel"/>
    <w:tmpl w:val="B57CD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0F38C6"/>
    <w:multiLevelType w:val="multilevel"/>
    <w:tmpl w:val="AC2A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E177EB"/>
    <w:multiLevelType w:val="hybridMultilevel"/>
    <w:tmpl w:val="AC88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8400A5"/>
    <w:multiLevelType w:val="hybridMultilevel"/>
    <w:tmpl w:val="EA682D44"/>
    <w:lvl w:ilvl="0" w:tplc="FBFEFD1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9E5079"/>
    <w:multiLevelType w:val="hybridMultilevel"/>
    <w:tmpl w:val="BCCC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21EC8"/>
    <w:multiLevelType w:val="hybridMultilevel"/>
    <w:tmpl w:val="2238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640EC"/>
    <w:multiLevelType w:val="hybridMultilevel"/>
    <w:tmpl w:val="C24E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4051939">
    <w:abstractNumId w:val="8"/>
  </w:num>
  <w:num w:numId="2" w16cid:durableId="1519387740">
    <w:abstractNumId w:val="7"/>
  </w:num>
  <w:num w:numId="3" w16cid:durableId="1507131508">
    <w:abstractNumId w:val="1"/>
  </w:num>
  <w:num w:numId="4" w16cid:durableId="67073676">
    <w:abstractNumId w:val="4"/>
  </w:num>
  <w:num w:numId="5" w16cid:durableId="2028098000">
    <w:abstractNumId w:val="2"/>
  </w:num>
  <w:num w:numId="6" w16cid:durableId="1693922747">
    <w:abstractNumId w:val="5"/>
  </w:num>
  <w:num w:numId="7" w16cid:durableId="526211506">
    <w:abstractNumId w:val="3"/>
  </w:num>
  <w:num w:numId="8" w16cid:durableId="1788309240">
    <w:abstractNumId w:val="6"/>
  </w:num>
  <w:num w:numId="9" w16cid:durableId="999507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B4"/>
    <w:rsid w:val="00041DFF"/>
    <w:rsid w:val="00077349"/>
    <w:rsid w:val="000D2ACC"/>
    <w:rsid w:val="00180547"/>
    <w:rsid w:val="00184F90"/>
    <w:rsid w:val="001A0F94"/>
    <w:rsid w:val="001E61B2"/>
    <w:rsid w:val="00274BB4"/>
    <w:rsid w:val="002A6AC9"/>
    <w:rsid w:val="002D5E31"/>
    <w:rsid w:val="00301978"/>
    <w:rsid w:val="00332A57"/>
    <w:rsid w:val="0043007C"/>
    <w:rsid w:val="00454DFA"/>
    <w:rsid w:val="0047440A"/>
    <w:rsid w:val="00494665"/>
    <w:rsid w:val="0055716D"/>
    <w:rsid w:val="00563E28"/>
    <w:rsid w:val="00570BF3"/>
    <w:rsid w:val="005C195F"/>
    <w:rsid w:val="005F20BA"/>
    <w:rsid w:val="00671115"/>
    <w:rsid w:val="00691EC0"/>
    <w:rsid w:val="006C0C39"/>
    <w:rsid w:val="0074497C"/>
    <w:rsid w:val="008241CB"/>
    <w:rsid w:val="00912BC0"/>
    <w:rsid w:val="00936713"/>
    <w:rsid w:val="00941A0C"/>
    <w:rsid w:val="00A16F89"/>
    <w:rsid w:val="00A407C7"/>
    <w:rsid w:val="00A5174E"/>
    <w:rsid w:val="00AC4F9C"/>
    <w:rsid w:val="00B07094"/>
    <w:rsid w:val="00B5445F"/>
    <w:rsid w:val="00BF79FC"/>
    <w:rsid w:val="00CF436E"/>
    <w:rsid w:val="00D373A3"/>
    <w:rsid w:val="00D54103"/>
    <w:rsid w:val="00D73C8D"/>
    <w:rsid w:val="00E667D2"/>
    <w:rsid w:val="00EA23A2"/>
    <w:rsid w:val="00EE049B"/>
    <w:rsid w:val="00F35175"/>
    <w:rsid w:val="00F53A7B"/>
    <w:rsid w:val="00F77B84"/>
    <w:rsid w:val="00F968D4"/>
    <w:rsid w:val="00FE4A1F"/>
    <w:rsid w:val="00FE7943"/>
    <w:rsid w:val="00FF4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ADC4"/>
  <w15:chartTrackingRefBased/>
  <w15:docId w15:val="{F78953F4-D7B3-4D32-A62F-218E00F4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BB4"/>
    <w:rPr>
      <w:rFonts w:eastAsiaTheme="majorEastAsia" w:cstheme="majorBidi"/>
      <w:color w:val="272727" w:themeColor="text1" w:themeTint="D8"/>
    </w:rPr>
  </w:style>
  <w:style w:type="paragraph" w:styleId="Title">
    <w:name w:val="Title"/>
    <w:basedOn w:val="Normal"/>
    <w:next w:val="Normal"/>
    <w:link w:val="TitleChar"/>
    <w:uiPriority w:val="10"/>
    <w:qFormat/>
    <w:rsid w:val="00274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BB4"/>
    <w:pPr>
      <w:spacing w:before="160"/>
      <w:jc w:val="center"/>
    </w:pPr>
    <w:rPr>
      <w:i/>
      <w:iCs/>
      <w:color w:val="404040" w:themeColor="text1" w:themeTint="BF"/>
    </w:rPr>
  </w:style>
  <w:style w:type="character" w:customStyle="1" w:styleId="QuoteChar">
    <w:name w:val="Quote Char"/>
    <w:basedOn w:val="DefaultParagraphFont"/>
    <w:link w:val="Quote"/>
    <w:uiPriority w:val="29"/>
    <w:rsid w:val="00274BB4"/>
    <w:rPr>
      <w:i/>
      <w:iCs/>
      <w:color w:val="404040" w:themeColor="text1" w:themeTint="BF"/>
    </w:rPr>
  </w:style>
  <w:style w:type="paragraph" w:styleId="ListParagraph">
    <w:name w:val="List Paragraph"/>
    <w:basedOn w:val="Normal"/>
    <w:uiPriority w:val="34"/>
    <w:qFormat/>
    <w:rsid w:val="00274BB4"/>
    <w:pPr>
      <w:ind w:left="720"/>
      <w:contextualSpacing/>
    </w:pPr>
  </w:style>
  <w:style w:type="character" w:styleId="IntenseEmphasis">
    <w:name w:val="Intense Emphasis"/>
    <w:basedOn w:val="DefaultParagraphFont"/>
    <w:uiPriority w:val="21"/>
    <w:qFormat/>
    <w:rsid w:val="00274BB4"/>
    <w:rPr>
      <w:i/>
      <w:iCs/>
      <w:color w:val="0F4761" w:themeColor="accent1" w:themeShade="BF"/>
    </w:rPr>
  </w:style>
  <w:style w:type="paragraph" w:styleId="IntenseQuote">
    <w:name w:val="Intense Quote"/>
    <w:basedOn w:val="Normal"/>
    <w:next w:val="Normal"/>
    <w:link w:val="IntenseQuoteChar"/>
    <w:uiPriority w:val="30"/>
    <w:qFormat/>
    <w:rsid w:val="00274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BB4"/>
    <w:rPr>
      <w:i/>
      <w:iCs/>
      <w:color w:val="0F4761" w:themeColor="accent1" w:themeShade="BF"/>
    </w:rPr>
  </w:style>
  <w:style w:type="character" w:styleId="IntenseReference">
    <w:name w:val="Intense Reference"/>
    <w:basedOn w:val="DefaultParagraphFont"/>
    <w:uiPriority w:val="32"/>
    <w:qFormat/>
    <w:rsid w:val="00274BB4"/>
    <w:rPr>
      <w:b/>
      <w:bCs/>
      <w:smallCaps/>
      <w:color w:val="0F4761" w:themeColor="accent1" w:themeShade="BF"/>
      <w:spacing w:val="5"/>
    </w:rPr>
  </w:style>
  <w:style w:type="paragraph" w:styleId="Header">
    <w:name w:val="header"/>
    <w:basedOn w:val="Normal"/>
    <w:link w:val="HeaderChar"/>
    <w:uiPriority w:val="99"/>
    <w:unhideWhenUsed/>
    <w:rsid w:val="00274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BB4"/>
  </w:style>
  <w:style w:type="paragraph" w:styleId="Footer">
    <w:name w:val="footer"/>
    <w:basedOn w:val="Normal"/>
    <w:link w:val="FooterChar"/>
    <w:uiPriority w:val="99"/>
    <w:unhideWhenUsed/>
    <w:rsid w:val="00274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BB4"/>
  </w:style>
  <w:style w:type="paragraph" w:styleId="TOC1">
    <w:name w:val="toc 1"/>
    <w:basedOn w:val="Normal"/>
    <w:next w:val="Normal"/>
    <w:uiPriority w:val="39"/>
    <w:unhideWhenUsed/>
    <w:qFormat/>
    <w:rsid w:val="00EE049B"/>
    <w:pPr>
      <w:spacing w:after="100" w:line="276" w:lineRule="auto"/>
    </w:pPr>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EE049B"/>
    <w:pPr>
      <w:spacing w:before="240" w:after="0"/>
      <w:outlineLvl w:val="9"/>
    </w:pPr>
    <w:rPr>
      <w:kern w:val="0"/>
      <w:sz w:val="32"/>
      <w:szCs w:val="32"/>
      <w:lang w:val="en-US"/>
      <w14:ligatures w14:val="none"/>
    </w:rPr>
  </w:style>
  <w:style w:type="character" w:customStyle="1" w:styleId="mord">
    <w:name w:val="mord"/>
    <w:basedOn w:val="DefaultParagraphFont"/>
    <w:rsid w:val="00EE049B"/>
  </w:style>
  <w:style w:type="character" w:customStyle="1" w:styleId="mrel">
    <w:name w:val="mrel"/>
    <w:basedOn w:val="DefaultParagraphFont"/>
    <w:rsid w:val="00EE049B"/>
  </w:style>
  <w:style w:type="character" w:customStyle="1" w:styleId="delimsizing">
    <w:name w:val="delimsizing"/>
    <w:basedOn w:val="DefaultParagraphFont"/>
    <w:rsid w:val="00EE049B"/>
  </w:style>
  <w:style w:type="character" w:customStyle="1" w:styleId="vlist-s">
    <w:name w:val="vlist-s"/>
    <w:basedOn w:val="DefaultParagraphFont"/>
    <w:rsid w:val="00EE049B"/>
  </w:style>
  <w:style w:type="character" w:customStyle="1" w:styleId="mbin">
    <w:name w:val="mbin"/>
    <w:basedOn w:val="DefaultParagraphFont"/>
    <w:rsid w:val="00EE049B"/>
  </w:style>
  <w:style w:type="table" w:styleId="TableGrid">
    <w:name w:val="Table Grid"/>
    <w:basedOn w:val="TableNormal"/>
    <w:uiPriority w:val="39"/>
    <w:rsid w:val="00F53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pen">
    <w:name w:val="mopen"/>
    <w:basedOn w:val="DefaultParagraphFont"/>
    <w:rsid w:val="00671115"/>
  </w:style>
  <w:style w:type="character" w:customStyle="1" w:styleId="mclose">
    <w:name w:val="mclose"/>
    <w:basedOn w:val="DefaultParagraphFont"/>
    <w:rsid w:val="00671115"/>
  </w:style>
  <w:style w:type="character" w:customStyle="1" w:styleId="katex-mathml">
    <w:name w:val="katex-mathml"/>
    <w:basedOn w:val="DefaultParagraphFont"/>
    <w:rsid w:val="00FF420B"/>
  </w:style>
  <w:style w:type="paragraph" w:styleId="NormalWeb">
    <w:name w:val="Normal (Web)"/>
    <w:basedOn w:val="Normal"/>
    <w:uiPriority w:val="99"/>
    <w:semiHidden/>
    <w:unhideWhenUsed/>
    <w:rsid w:val="00FF42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EA23A2"/>
    <w:pPr>
      <w:autoSpaceDE w:val="0"/>
      <w:autoSpaceDN w:val="0"/>
      <w:adjustRightInd w:val="0"/>
      <w:spacing w:after="0" w:line="240" w:lineRule="auto"/>
    </w:pPr>
    <w:rPr>
      <w:rFonts w:ascii="Arial" w:hAnsi="Arial" w:cs="Arial"/>
      <w:color w:val="000000"/>
      <w:kern w:val="0"/>
      <w:sz w:val="24"/>
      <w:szCs w:val="24"/>
      <w:lang w:val="en-IN" w:bidi="gu-IN"/>
      <w14:ligatures w14:val="none"/>
    </w:rPr>
  </w:style>
  <w:style w:type="paragraph" w:styleId="TOCHeading">
    <w:name w:val="TOC Heading"/>
    <w:basedOn w:val="Heading1"/>
    <w:next w:val="Normal"/>
    <w:uiPriority w:val="39"/>
    <w:unhideWhenUsed/>
    <w:qFormat/>
    <w:rsid w:val="0057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70BF3"/>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70BF3"/>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23027">
      <w:bodyDiv w:val="1"/>
      <w:marLeft w:val="0"/>
      <w:marRight w:val="0"/>
      <w:marTop w:val="0"/>
      <w:marBottom w:val="0"/>
      <w:divBdr>
        <w:top w:val="none" w:sz="0" w:space="0" w:color="auto"/>
        <w:left w:val="none" w:sz="0" w:space="0" w:color="auto"/>
        <w:bottom w:val="none" w:sz="0" w:space="0" w:color="auto"/>
        <w:right w:val="none" w:sz="0" w:space="0" w:color="auto"/>
      </w:divBdr>
    </w:div>
    <w:div w:id="350953336">
      <w:bodyDiv w:val="1"/>
      <w:marLeft w:val="0"/>
      <w:marRight w:val="0"/>
      <w:marTop w:val="0"/>
      <w:marBottom w:val="0"/>
      <w:divBdr>
        <w:top w:val="none" w:sz="0" w:space="0" w:color="auto"/>
        <w:left w:val="none" w:sz="0" w:space="0" w:color="auto"/>
        <w:bottom w:val="none" w:sz="0" w:space="0" w:color="auto"/>
        <w:right w:val="none" w:sz="0" w:space="0" w:color="auto"/>
      </w:divBdr>
    </w:div>
    <w:div w:id="1208840421">
      <w:bodyDiv w:val="1"/>
      <w:marLeft w:val="0"/>
      <w:marRight w:val="0"/>
      <w:marTop w:val="0"/>
      <w:marBottom w:val="0"/>
      <w:divBdr>
        <w:top w:val="none" w:sz="0" w:space="0" w:color="auto"/>
        <w:left w:val="none" w:sz="0" w:space="0" w:color="auto"/>
        <w:bottom w:val="none" w:sz="0" w:space="0" w:color="auto"/>
        <w:right w:val="none" w:sz="0" w:space="0" w:color="auto"/>
      </w:divBdr>
    </w:div>
    <w:div w:id="1295793189">
      <w:bodyDiv w:val="1"/>
      <w:marLeft w:val="0"/>
      <w:marRight w:val="0"/>
      <w:marTop w:val="0"/>
      <w:marBottom w:val="0"/>
      <w:divBdr>
        <w:top w:val="none" w:sz="0" w:space="0" w:color="auto"/>
        <w:left w:val="none" w:sz="0" w:space="0" w:color="auto"/>
        <w:bottom w:val="none" w:sz="0" w:space="0" w:color="auto"/>
        <w:right w:val="none" w:sz="0" w:space="0" w:color="auto"/>
      </w:divBdr>
    </w:div>
    <w:div w:id="1300497986">
      <w:bodyDiv w:val="1"/>
      <w:marLeft w:val="0"/>
      <w:marRight w:val="0"/>
      <w:marTop w:val="0"/>
      <w:marBottom w:val="0"/>
      <w:divBdr>
        <w:top w:val="none" w:sz="0" w:space="0" w:color="auto"/>
        <w:left w:val="none" w:sz="0" w:space="0" w:color="auto"/>
        <w:bottom w:val="none" w:sz="0" w:space="0" w:color="auto"/>
        <w:right w:val="none" w:sz="0" w:space="0" w:color="auto"/>
      </w:divBdr>
    </w:div>
    <w:div w:id="1560746468">
      <w:bodyDiv w:val="1"/>
      <w:marLeft w:val="0"/>
      <w:marRight w:val="0"/>
      <w:marTop w:val="0"/>
      <w:marBottom w:val="0"/>
      <w:divBdr>
        <w:top w:val="none" w:sz="0" w:space="0" w:color="auto"/>
        <w:left w:val="none" w:sz="0" w:space="0" w:color="auto"/>
        <w:bottom w:val="none" w:sz="0" w:space="0" w:color="auto"/>
        <w:right w:val="none" w:sz="0" w:space="0" w:color="auto"/>
      </w:divBdr>
    </w:div>
    <w:div w:id="1969700540">
      <w:bodyDiv w:val="1"/>
      <w:marLeft w:val="0"/>
      <w:marRight w:val="0"/>
      <w:marTop w:val="0"/>
      <w:marBottom w:val="0"/>
      <w:divBdr>
        <w:top w:val="none" w:sz="0" w:space="0" w:color="auto"/>
        <w:left w:val="none" w:sz="0" w:space="0" w:color="auto"/>
        <w:bottom w:val="none" w:sz="0" w:space="0" w:color="auto"/>
        <w:right w:val="none" w:sz="0" w:space="0" w:color="auto"/>
      </w:divBdr>
    </w:div>
    <w:div w:id="197645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'Current Ratio', 'Quick Ratio', 'Operating Cash Flow (in million $)' by 'Year'</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Sheet2!$E$12</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Sheet2!$D$13:$D$17</c:f>
              <c:numCache>
                <c:formatCode>General</c:formatCode>
                <c:ptCount val="5"/>
                <c:pt idx="0">
                  <c:v>2019</c:v>
                </c:pt>
                <c:pt idx="1">
                  <c:v>2020</c:v>
                </c:pt>
                <c:pt idx="2">
                  <c:v>2021</c:v>
                </c:pt>
                <c:pt idx="3">
                  <c:v>2022</c:v>
                </c:pt>
                <c:pt idx="4">
                  <c:v>2023</c:v>
                </c:pt>
              </c:numCache>
            </c:numRef>
          </c:cat>
          <c:val>
            <c:numRef>
              <c:f>Sheet2!$E$13:$E$17</c:f>
              <c:numCache>
                <c:formatCode>General</c:formatCode>
                <c:ptCount val="5"/>
                <c:pt idx="0">
                  <c:v>0.94</c:v>
                </c:pt>
                <c:pt idx="1">
                  <c:v>1.32</c:v>
                </c:pt>
                <c:pt idx="2">
                  <c:v>1.08</c:v>
                </c:pt>
                <c:pt idx="3">
                  <c:v>1</c:v>
                </c:pt>
                <c:pt idx="4">
                  <c:v>1.05</c:v>
                </c:pt>
              </c:numCache>
            </c:numRef>
          </c:val>
          <c:extLst>
            <c:ext xmlns:c16="http://schemas.microsoft.com/office/drawing/2014/chart" uri="{C3380CC4-5D6E-409C-BE32-E72D297353CC}">
              <c16:uniqueId val="{00000000-9A9F-4F4B-86B3-7A30CF9C917D}"/>
            </c:ext>
          </c:extLst>
        </c:ser>
        <c:ser>
          <c:idx val="1"/>
          <c:order val="1"/>
          <c:tx>
            <c:strRef>
              <c:f>Sheet2!$F$12</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Sheet2!$D$13:$D$17</c:f>
              <c:numCache>
                <c:formatCode>General</c:formatCode>
                <c:ptCount val="5"/>
                <c:pt idx="0">
                  <c:v>2019</c:v>
                </c:pt>
                <c:pt idx="1">
                  <c:v>2020</c:v>
                </c:pt>
                <c:pt idx="2">
                  <c:v>2021</c:v>
                </c:pt>
                <c:pt idx="3">
                  <c:v>2022</c:v>
                </c:pt>
                <c:pt idx="4">
                  <c:v>2023</c:v>
                </c:pt>
              </c:numCache>
            </c:numRef>
          </c:cat>
          <c:val>
            <c:numRef>
              <c:f>Sheet2!$F$13:$F$17</c:f>
              <c:numCache>
                <c:formatCode>General</c:formatCode>
                <c:ptCount val="5"/>
                <c:pt idx="0">
                  <c:v>0.89</c:v>
                </c:pt>
                <c:pt idx="1">
                  <c:v>1.24</c:v>
                </c:pt>
                <c:pt idx="2">
                  <c:v>1.02</c:v>
                </c:pt>
                <c:pt idx="3">
                  <c:v>0.95</c:v>
                </c:pt>
                <c:pt idx="4">
                  <c:v>1</c:v>
                </c:pt>
              </c:numCache>
            </c:numRef>
          </c:val>
          <c:extLst>
            <c:ext xmlns:c16="http://schemas.microsoft.com/office/drawing/2014/chart" uri="{C3380CC4-5D6E-409C-BE32-E72D297353CC}">
              <c16:uniqueId val="{00000001-9A9F-4F4B-86B3-7A30CF9C917D}"/>
            </c:ext>
          </c:extLst>
        </c:ser>
        <c:dLbls>
          <c:showLegendKey val="0"/>
          <c:showVal val="0"/>
          <c:showCatName val="0"/>
          <c:showSerName val="0"/>
          <c:showPercent val="0"/>
          <c:showBubbleSize val="0"/>
        </c:dLbls>
        <c:gapWidth val="160"/>
        <c:overlap val="-27"/>
        <c:axId val="18779856"/>
        <c:axId val="270903456"/>
      </c:barChart>
      <c:lineChart>
        <c:grouping val="standard"/>
        <c:varyColors val="0"/>
        <c:ser>
          <c:idx val="2"/>
          <c:order val="2"/>
          <c:tx>
            <c:strRef>
              <c:f>Sheet2!$G$12</c:f>
              <c:strCache>
                <c:ptCount val="1"/>
                <c:pt idx="0">
                  <c:v>Operating Cash Flow (in million $)</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Sheet2!$D$13:$D$17</c:f>
              <c:numCache>
                <c:formatCode>General</c:formatCode>
                <c:ptCount val="5"/>
                <c:pt idx="0">
                  <c:v>2019</c:v>
                </c:pt>
                <c:pt idx="1">
                  <c:v>2020</c:v>
                </c:pt>
                <c:pt idx="2">
                  <c:v>2021</c:v>
                </c:pt>
                <c:pt idx="3">
                  <c:v>2022</c:v>
                </c:pt>
                <c:pt idx="4">
                  <c:v>2023</c:v>
                </c:pt>
              </c:numCache>
            </c:numRef>
          </c:cat>
          <c:val>
            <c:numRef>
              <c:f>Sheet2!$G$13:$G$17</c:f>
              <c:numCache>
                <c:formatCode>#,##0</c:formatCode>
                <c:ptCount val="5"/>
                <c:pt idx="0">
                  <c:v>5984</c:v>
                </c:pt>
                <c:pt idx="1">
                  <c:v>7616</c:v>
                </c:pt>
                <c:pt idx="2">
                  <c:v>5566</c:v>
                </c:pt>
                <c:pt idx="3">
                  <c:v>6002</c:v>
                </c:pt>
                <c:pt idx="4">
                  <c:v>9866</c:v>
                </c:pt>
              </c:numCache>
            </c:numRef>
          </c:val>
          <c:smooth val="0"/>
          <c:extLst>
            <c:ext xmlns:c16="http://schemas.microsoft.com/office/drawing/2014/chart" uri="{C3380CC4-5D6E-409C-BE32-E72D297353CC}">
              <c16:uniqueId val="{00000002-9A9F-4F4B-86B3-7A30CF9C917D}"/>
            </c:ext>
          </c:extLst>
        </c:ser>
        <c:dLbls>
          <c:showLegendKey val="0"/>
          <c:showVal val="0"/>
          <c:showCatName val="0"/>
          <c:showSerName val="0"/>
          <c:showPercent val="0"/>
          <c:showBubbleSize val="0"/>
        </c:dLbls>
        <c:marker val="1"/>
        <c:smooth val="0"/>
        <c:axId val="18771696"/>
        <c:axId val="84198544"/>
      </c:lineChart>
      <c:catAx>
        <c:axId val="1877985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903456"/>
        <c:crosses val="autoZero"/>
        <c:auto val="1"/>
        <c:lblAlgn val="ctr"/>
        <c:lblOffset val="100"/>
        <c:noMultiLvlLbl val="0"/>
      </c:catAx>
      <c:valAx>
        <c:axId val="270903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79856"/>
        <c:crosses val="autoZero"/>
        <c:crossBetween val="between"/>
      </c:valAx>
      <c:valAx>
        <c:axId val="84198544"/>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Operating Cash Flow (in million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71696"/>
        <c:crosses val="max"/>
        <c:crossBetween val="between"/>
      </c:valAx>
      <c:catAx>
        <c:axId val="18771696"/>
        <c:scaling>
          <c:orientation val="minMax"/>
        </c:scaling>
        <c:delete val="1"/>
        <c:axPos val="b"/>
        <c:numFmt formatCode="General" sourceLinked="1"/>
        <c:majorTickMark val="none"/>
        <c:minorTickMark val="none"/>
        <c:tickLblPos val="nextTo"/>
        <c:crossAx val="8419854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'Debt Ratio', 'Equity Ratio', 'Debt to Equity Ratio' by 'Year'</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0"/>
          <c:order val="0"/>
          <c:tx>
            <c:strRef>
              <c:f>Sheet2!$E$33</c:f>
              <c:strCache>
                <c:ptCount val="1"/>
                <c:pt idx="0">
                  <c:v>Debt Ratio</c:v>
                </c:pt>
              </c:strCache>
            </c:strRef>
          </c:tx>
          <c:spPr>
            <a:ln w="38100" cap="rnd">
              <a:solidFill>
                <a:schemeClr val="accent1"/>
              </a:solidFill>
              <a:round/>
            </a:ln>
            <a:effectLst/>
          </c:spPr>
          <c:marker>
            <c:symbol val="none"/>
          </c:marker>
          <c:cat>
            <c:numRef>
              <c:f>Sheet2!$D$34:$D$38</c:f>
              <c:numCache>
                <c:formatCode>General</c:formatCode>
                <c:ptCount val="5"/>
                <c:pt idx="0">
                  <c:v>2019</c:v>
                </c:pt>
                <c:pt idx="1">
                  <c:v>2020</c:v>
                </c:pt>
                <c:pt idx="2">
                  <c:v>2021</c:v>
                </c:pt>
                <c:pt idx="3">
                  <c:v>2022</c:v>
                </c:pt>
                <c:pt idx="4">
                  <c:v>2023</c:v>
                </c:pt>
              </c:numCache>
            </c:numRef>
          </c:cat>
          <c:val>
            <c:numRef>
              <c:f>Sheet2!$E$34:$E$38</c:f>
              <c:numCache>
                <c:formatCode>General</c:formatCode>
                <c:ptCount val="5"/>
                <c:pt idx="0">
                  <c:v>0.51</c:v>
                </c:pt>
                <c:pt idx="1">
                  <c:v>0.6</c:v>
                </c:pt>
                <c:pt idx="2">
                  <c:v>0.56000000000000005</c:v>
                </c:pt>
                <c:pt idx="3">
                  <c:v>0.52</c:v>
                </c:pt>
                <c:pt idx="4">
                  <c:v>0.5</c:v>
                </c:pt>
              </c:numCache>
            </c:numRef>
          </c:val>
          <c:smooth val="0"/>
          <c:extLst>
            <c:ext xmlns:c16="http://schemas.microsoft.com/office/drawing/2014/chart" uri="{C3380CC4-5D6E-409C-BE32-E72D297353CC}">
              <c16:uniqueId val="{00000000-4792-4CDC-97BC-B21FE2359FD7}"/>
            </c:ext>
          </c:extLst>
        </c:ser>
        <c:ser>
          <c:idx val="1"/>
          <c:order val="1"/>
          <c:tx>
            <c:strRef>
              <c:f>Sheet2!$F$33</c:f>
              <c:strCache>
                <c:ptCount val="1"/>
                <c:pt idx="0">
                  <c:v>Equity Ratio</c:v>
                </c:pt>
              </c:strCache>
            </c:strRef>
          </c:tx>
          <c:spPr>
            <a:ln w="38100" cap="rnd">
              <a:solidFill>
                <a:schemeClr val="accent2"/>
              </a:solidFill>
              <a:round/>
            </a:ln>
            <a:effectLst/>
          </c:spPr>
          <c:marker>
            <c:symbol val="none"/>
          </c:marker>
          <c:cat>
            <c:numRef>
              <c:f>Sheet2!$D$34:$D$38</c:f>
              <c:numCache>
                <c:formatCode>General</c:formatCode>
                <c:ptCount val="5"/>
                <c:pt idx="0">
                  <c:v>2019</c:v>
                </c:pt>
                <c:pt idx="1">
                  <c:v>2020</c:v>
                </c:pt>
                <c:pt idx="2">
                  <c:v>2021</c:v>
                </c:pt>
                <c:pt idx="3">
                  <c:v>2022</c:v>
                </c:pt>
                <c:pt idx="4">
                  <c:v>2023</c:v>
                </c:pt>
              </c:numCache>
            </c:numRef>
          </c:cat>
          <c:val>
            <c:numRef>
              <c:f>Sheet2!$F$34:$F$38</c:f>
              <c:numCache>
                <c:formatCode>General</c:formatCode>
                <c:ptCount val="5"/>
                <c:pt idx="0">
                  <c:v>0.49</c:v>
                </c:pt>
                <c:pt idx="1">
                  <c:v>0.4</c:v>
                </c:pt>
                <c:pt idx="2">
                  <c:v>0.44</c:v>
                </c:pt>
                <c:pt idx="3">
                  <c:v>0.48</c:v>
                </c:pt>
                <c:pt idx="4">
                  <c:v>0.5</c:v>
                </c:pt>
              </c:numCache>
            </c:numRef>
          </c:val>
          <c:smooth val="0"/>
          <c:extLst>
            <c:ext xmlns:c16="http://schemas.microsoft.com/office/drawing/2014/chart" uri="{C3380CC4-5D6E-409C-BE32-E72D297353CC}">
              <c16:uniqueId val="{00000001-4792-4CDC-97BC-B21FE2359FD7}"/>
            </c:ext>
          </c:extLst>
        </c:ser>
        <c:ser>
          <c:idx val="2"/>
          <c:order val="2"/>
          <c:tx>
            <c:strRef>
              <c:f>Sheet2!$G$33</c:f>
              <c:strCache>
                <c:ptCount val="1"/>
                <c:pt idx="0">
                  <c:v>Debt to Equity Ratio</c:v>
                </c:pt>
              </c:strCache>
            </c:strRef>
          </c:tx>
          <c:spPr>
            <a:ln w="38100" cap="rnd">
              <a:solidFill>
                <a:schemeClr val="accent3"/>
              </a:solidFill>
              <a:round/>
            </a:ln>
            <a:effectLst/>
          </c:spPr>
          <c:marker>
            <c:symbol val="none"/>
          </c:marker>
          <c:cat>
            <c:numRef>
              <c:f>Sheet2!$D$34:$D$38</c:f>
              <c:numCache>
                <c:formatCode>General</c:formatCode>
                <c:ptCount val="5"/>
                <c:pt idx="0">
                  <c:v>2019</c:v>
                </c:pt>
                <c:pt idx="1">
                  <c:v>2020</c:v>
                </c:pt>
                <c:pt idx="2">
                  <c:v>2021</c:v>
                </c:pt>
                <c:pt idx="3">
                  <c:v>2022</c:v>
                </c:pt>
                <c:pt idx="4">
                  <c:v>2023</c:v>
                </c:pt>
              </c:numCache>
            </c:numRef>
          </c:cat>
          <c:val>
            <c:numRef>
              <c:f>Sheet2!$G$34:$G$38</c:f>
              <c:numCache>
                <c:formatCode>General</c:formatCode>
                <c:ptCount val="5"/>
                <c:pt idx="0">
                  <c:v>0.54</c:v>
                </c:pt>
                <c:pt idx="1">
                  <c:v>0.57999999999999996</c:v>
                </c:pt>
                <c:pt idx="2">
                  <c:v>0.52</c:v>
                </c:pt>
                <c:pt idx="3">
                  <c:v>0.48</c:v>
                </c:pt>
                <c:pt idx="4">
                  <c:v>0.42</c:v>
                </c:pt>
              </c:numCache>
            </c:numRef>
          </c:val>
          <c:smooth val="0"/>
          <c:extLst>
            <c:ext xmlns:c16="http://schemas.microsoft.com/office/drawing/2014/chart" uri="{C3380CC4-5D6E-409C-BE32-E72D297353CC}">
              <c16:uniqueId val="{00000002-4792-4CDC-97BC-B21FE2359FD7}"/>
            </c:ext>
          </c:extLst>
        </c:ser>
        <c:dLbls>
          <c:showLegendKey val="0"/>
          <c:showVal val="0"/>
          <c:showCatName val="0"/>
          <c:showSerName val="0"/>
          <c:showPercent val="0"/>
          <c:showBubbleSize val="0"/>
        </c:dLbls>
        <c:smooth val="0"/>
        <c:axId val="95215968"/>
        <c:axId val="85692992"/>
      </c:lineChart>
      <c:catAx>
        <c:axId val="9521596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85692992"/>
        <c:crosses val="autoZero"/>
        <c:auto val="1"/>
        <c:lblAlgn val="ctr"/>
        <c:lblOffset val="100"/>
        <c:noMultiLvlLbl val="0"/>
      </c:catAx>
      <c:valAx>
        <c:axId val="8569299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15968"/>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Multiple values by 'Year'</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Sheet2!$E$94</c:f>
              <c:strCache>
                <c:ptCount val="1"/>
                <c:pt idx="0">
                  <c:v>Disney Debt to Equity Ratio</c:v>
                </c:pt>
              </c:strCache>
            </c:strRef>
          </c:tx>
          <c:spPr>
            <a:solidFill>
              <a:schemeClr val="accent1"/>
            </a:solidFill>
            <a:ln>
              <a:noFill/>
            </a:ln>
            <a:effectLst/>
          </c:spPr>
          <c:invertIfNegative val="0"/>
          <c:cat>
            <c:numRef>
              <c:f>Sheet2!$D$95:$D$99</c:f>
              <c:numCache>
                <c:formatCode>General</c:formatCode>
                <c:ptCount val="5"/>
                <c:pt idx="0">
                  <c:v>2019</c:v>
                </c:pt>
                <c:pt idx="1">
                  <c:v>2020</c:v>
                </c:pt>
                <c:pt idx="2">
                  <c:v>2021</c:v>
                </c:pt>
                <c:pt idx="3">
                  <c:v>2022</c:v>
                </c:pt>
                <c:pt idx="4">
                  <c:v>2023</c:v>
                </c:pt>
              </c:numCache>
            </c:numRef>
          </c:cat>
          <c:val>
            <c:numRef>
              <c:f>Sheet2!$E$95:$E$99</c:f>
              <c:numCache>
                <c:formatCode>General</c:formatCode>
                <c:ptCount val="5"/>
                <c:pt idx="0">
                  <c:v>0.54</c:v>
                </c:pt>
                <c:pt idx="1">
                  <c:v>0.57999999999999996</c:v>
                </c:pt>
                <c:pt idx="2">
                  <c:v>0.52</c:v>
                </c:pt>
                <c:pt idx="3">
                  <c:v>0.48</c:v>
                </c:pt>
                <c:pt idx="4">
                  <c:v>0.42</c:v>
                </c:pt>
              </c:numCache>
            </c:numRef>
          </c:val>
          <c:extLst>
            <c:ext xmlns:c16="http://schemas.microsoft.com/office/drawing/2014/chart" uri="{C3380CC4-5D6E-409C-BE32-E72D297353CC}">
              <c16:uniqueId val="{00000000-22CC-4628-9382-42A8B0C7269C}"/>
            </c:ext>
          </c:extLst>
        </c:ser>
        <c:ser>
          <c:idx val="1"/>
          <c:order val="1"/>
          <c:tx>
            <c:strRef>
              <c:f>Sheet2!$F$94</c:f>
              <c:strCache>
                <c:ptCount val="1"/>
                <c:pt idx="0">
                  <c:v>Comcast Debt to Equity Ratio</c:v>
                </c:pt>
              </c:strCache>
            </c:strRef>
          </c:tx>
          <c:spPr>
            <a:solidFill>
              <a:schemeClr val="accent2"/>
            </a:solidFill>
            <a:ln>
              <a:noFill/>
            </a:ln>
            <a:effectLst/>
          </c:spPr>
          <c:invertIfNegative val="0"/>
          <c:cat>
            <c:numRef>
              <c:f>Sheet2!$D$95:$D$99</c:f>
              <c:numCache>
                <c:formatCode>General</c:formatCode>
                <c:ptCount val="5"/>
                <c:pt idx="0">
                  <c:v>2019</c:v>
                </c:pt>
                <c:pt idx="1">
                  <c:v>2020</c:v>
                </c:pt>
                <c:pt idx="2">
                  <c:v>2021</c:v>
                </c:pt>
                <c:pt idx="3">
                  <c:v>2022</c:v>
                </c:pt>
                <c:pt idx="4">
                  <c:v>2023</c:v>
                </c:pt>
              </c:numCache>
            </c:numRef>
          </c:cat>
          <c:val>
            <c:numRef>
              <c:f>Sheet2!$F$95:$F$99</c:f>
              <c:numCache>
                <c:formatCode>General</c:formatCode>
                <c:ptCount val="5"/>
                <c:pt idx="0">
                  <c:v>1.23</c:v>
                </c:pt>
                <c:pt idx="1">
                  <c:v>1.1399999999999999</c:v>
                </c:pt>
                <c:pt idx="2">
                  <c:v>1.04</c:v>
                </c:pt>
                <c:pt idx="3">
                  <c:v>1.1599999999999999</c:v>
                </c:pt>
                <c:pt idx="4">
                  <c:v>0.97</c:v>
                </c:pt>
              </c:numCache>
            </c:numRef>
          </c:val>
          <c:extLst>
            <c:ext xmlns:c16="http://schemas.microsoft.com/office/drawing/2014/chart" uri="{C3380CC4-5D6E-409C-BE32-E72D297353CC}">
              <c16:uniqueId val="{00000001-22CC-4628-9382-42A8B0C7269C}"/>
            </c:ext>
          </c:extLst>
        </c:ser>
        <c:ser>
          <c:idx val="2"/>
          <c:order val="2"/>
          <c:tx>
            <c:strRef>
              <c:f>Sheet2!$G$94</c:f>
              <c:strCache>
                <c:ptCount val="1"/>
                <c:pt idx="0">
                  <c:v>Disney Debt Ratio</c:v>
                </c:pt>
              </c:strCache>
            </c:strRef>
          </c:tx>
          <c:spPr>
            <a:solidFill>
              <a:schemeClr val="accent3"/>
            </a:solidFill>
            <a:ln>
              <a:noFill/>
            </a:ln>
            <a:effectLst/>
          </c:spPr>
          <c:invertIfNegative val="0"/>
          <c:cat>
            <c:numRef>
              <c:f>Sheet2!$D$95:$D$99</c:f>
              <c:numCache>
                <c:formatCode>General</c:formatCode>
                <c:ptCount val="5"/>
                <c:pt idx="0">
                  <c:v>2019</c:v>
                </c:pt>
                <c:pt idx="1">
                  <c:v>2020</c:v>
                </c:pt>
                <c:pt idx="2">
                  <c:v>2021</c:v>
                </c:pt>
                <c:pt idx="3">
                  <c:v>2022</c:v>
                </c:pt>
                <c:pt idx="4">
                  <c:v>2023</c:v>
                </c:pt>
              </c:numCache>
            </c:numRef>
          </c:cat>
          <c:val>
            <c:numRef>
              <c:f>Sheet2!$G$95:$G$99</c:f>
              <c:numCache>
                <c:formatCode>General</c:formatCode>
                <c:ptCount val="5"/>
                <c:pt idx="0">
                  <c:v>0.51</c:v>
                </c:pt>
                <c:pt idx="1">
                  <c:v>0.6</c:v>
                </c:pt>
                <c:pt idx="2">
                  <c:v>0.56000000000000005</c:v>
                </c:pt>
                <c:pt idx="3">
                  <c:v>0.52</c:v>
                </c:pt>
                <c:pt idx="4">
                  <c:v>0.5</c:v>
                </c:pt>
              </c:numCache>
            </c:numRef>
          </c:val>
          <c:extLst>
            <c:ext xmlns:c16="http://schemas.microsoft.com/office/drawing/2014/chart" uri="{C3380CC4-5D6E-409C-BE32-E72D297353CC}">
              <c16:uniqueId val="{00000002-22CC-4628-9382-42A8B0C7269C}"/>
            </c:ext>
          </c:extLst>
        </c:ser>
        <c:ser>
          <c:idx val="3"/>
          <c:order val="3"/>
          <c:tx>
            <c:strRef>
              <c:f>Sheet2!$H$94</c:f>
              <c:strCache>
                <c:ptCount val="1"/>
                <c:pt idx="0">
                  <c:v>Comcast Debt Ratio</c:v>
                </c:pt>
              </c:strCache>
            </c:strRef>
          </c:tx>
          <c:spPr>
            <a:solidFill>
              <a:schemeClr val="accent4"/>
            </a:solidFill>
            <a:ln>
              <a:noFill/>
            </a:ln>
            <a:effectLst/>
          </c:spPr>
          <c:invertIfNegative val="0"/>
          <c:cat>
            <c:numRef>
              <c:f>Sheet2!$D$95:$D$99</c:f>
              <c:numCache>
                <c:formatCode>General</c:formatCode>
                <c:ptCount val="5"/>
                <c:pt idx="0">
                  <c:v>2019</c:v>
                </c:pt>
                <c:pt idx="1">
                  <c:v>2020</c:v>
                </c:pt>
                <c:pt idx="2">
                  <c:v>2021</c:v>
                </c:pt>
                <c:pt idx="3">
                  <c:v>2022</c:v>
                </c:pt>
                <c:pt idx="4">
                  <c:v>2023</c:v>
                </c:pt>
              </c:numCache>
            </c:numRef>
          </c:cat>
          <c:val>
            <c:numRef>
              <c:f>Sheet2!$H$95:$H$99</c:f>
              <c:numCache>
                <c:formatCode>General</c:formatCode>
                <c:ptCount val="5"/>
                <c:pt idx="0">
                  <c:v>0.39</c:v>
                </c:pt>
                <c:pt idx="1">
                  <c:v>0.38</c:v>
                </c:pt>
                <c:pt idx="2">
                  <c:v>0.34</c:v>
                </c:pt>
                <c:pt idx="3">
                  <c:v>0.34</c:v>
                </c:pt>
                <c:pt idx="4">
                  <c:v>0.35</c:v>
                </c:pt>
              </c:numCache>
            </c:numRef>
          </c:val>
          <c:extLst>
            <c:ext xmlns:c16="http://schemas.microsoft.com/office/drawing/2014/chart" uri="{C3380CC4-5D6E-409C-BE32-E72D297353CC}">
              <c16:uniqueId val="{00000003-22CC-4628-9382-42A8B0C7269C}"/>
            </c:ext>
          </c:extLst>
        </c:ser>
        <c:dLbls>
          <c:showLegendKey val="0"/>
          <c:showVal val="0"/>
          <c:showCatName val="0"/>
          <c:showSerName val="0"/>
          <c:showPercent val="0"/>
          <c:showBubbleSize val="0"/>
        </c:dLbls>
        <c:gapWidth val="267"/>
        <c:overlap val="-43"/>
        <c:axId val="430009088"/>
        <c:axId val="90500016"/>
      </c:barChart>
      <c:catAx>
        <c:axId val="43000908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90500016"/>
        <c:crosses val="autoZero"/>
        <c:auto val="1"/>
        <c:lblAlgn val="ctr"/>
        <c:lblOffset val="100"/>
        <c:noMultiLvlLbl val="0"/>
      </c:catAx>
      <c:valAx>
        <c:axId val="9050001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300090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Sheet2!$E$65</c:f>
              <c:strCache>
                <c:ptCount val="1"/>
                <c:pt idx="0">
                  <c:v>Disney Operating Cash Flow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Sheet2!$D$66:$D$70</c:f>
              <c:numCache>
                <c:formatCode>General</c:formatCode>
                <c:ptCount val="5"/>
                <c:pt idx="0">
                  <c:v>2019</c:v>
                </c:pt>
                <c:pt idx="1">
                  <c:v>2020</c:v>
                </c:pt>
                <c:pt idx="2">
                  <c:v>2021</c:v>
                </c:pt>
                <c:pt idx="3">
                  <c:v>2022</c:v>
                </c:pt>
                <c:pt idx="4">
                  <c:v>2023</c:v>
                </c:pt>
              </c:numCache>
            </c:numRef>
          </c:cat>
          <c:val>
            <c:numRef>
              <c:f>Sheet2!$E$66:$E$70</c:f>
              <c:numCache>
                <c:formatCode>General</c:formatCode>
                <c:ptCount val="5"/>
                <c:pt idx="0">
                  <c:v>0.33</c:v>
                </c:pt>
                <c:pt idx="1">
                  <c:v>0.28999999999999998</c:v>
                </c:pt>
                <c:pt idx="2">
                  <c:v>0.17</c:v>
                </c:pt>
                <c:pt idx="3">
                  <c:v>0.2</c:v>
                </c:pt>
                <c:pt idx="4">
                  <c:v>0.22</c:v>
                </c:pt>
              </c:numCache>
            </c:numRef>
          </c:val>
          <c:smooth val="0"/>
          <c:extLst>
            <c:ext xmlns:c16="http://schemas.microsoft.com/office/drawing/2014/chart" uri="{C3380CC4-5D6E-409C-BE32-E72D297353CC}">
              <c16:uniqueId val="{00000000-00C7-4C1D-A91A-75E96DCB0D7B}"/>
            </c:ext>
          </c:extLst>
        </c:ser>
        <c:ser>
          <c:idx val="1"/>
          <c:order val="1"/>
          <c:tx>
            <c:strRef>
              <c:f>Sheet2!$F$65</c:f>
              <c:strCache>
                <c:ptCount val="1"/>
                <c:pt idx="0">
                  <c:v>Comcast Operating Cash Flow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Sheet2!$D$66:$D$70</c:f>
              <c:numCache>
                <c:formatCode>General</c:formatCode>
                <c:ptCount val="5"/>
                <c:pt idx="0">
                  <c:v>2019</c:v>
                </c:pt>
                <c:pt idx="1">
                  <c:v>2020</c:v>
                </c:pt>
                <c:pt idx="2">
                  <c:v>2021</c:v>
                </c:pt>
                <c:pt idx="3">
                  <c:v>2022</c:v>
                </c:pt>
                <c:pt idx="4">
                  <c:v>2023</c:v>
                </c:pt>
              </c:numCache>
            </c:numRef>
          </c:cat>
          <c:val>
            <c:numRef>
              <c:f>Sheet2!$F$66:$F$70</c:f>
              <c:numCache>
                <c:formatCode>General</c:formatCode>
                <c:ptCount val="5"/>
                <c:pt idx="0">
                  <c:v>0.78</c:v>
                </c:pt>
                <c:pt idx="1">
                  <c:v>0.87</c:v>
                </c:pt>
                <c:pt idx="2">
                  <c:v>0.83</c:v>
                </c:pt>
                <c:pt idx="3">
                  <c:v>0.74</c:v>
                </c:pt>
                <c:pt idx="4">
                  <c:v>1.02</c:v>
                </c:pt>
              </c:numCache>
            </c:numRef>
          </c:val>
          <c:smooth val="0"/>
          <c:extLst>
            <c:ext xmlns:c16="http://schemas.microsoft.com/office/drawing/2014/chart" uri="{C3380CC4-5D6E-409C-BE32-E72D297353CC}">
              <c16:uniqueId val="{00000001-00C7-4C1D-A91A-75E96DCB0D7B}"/>
            </c:ext>
          </c:extLst>
        </c:ser>
        <c:dLbls>
          <c:showLegendKey val="0"/>
          <c:showVal val="0"/>
          <c:showCatName val="0"/>
          <c:showSerName val="0"/>
          <c:showPercent val="0"/>
          <c:showBubbleSize val="0"/>
        </c:dLbls>
        <c:smooth val="0"/>
        <c:axId val="452223200"/>
        <c:axId val="9637680"/>
      </c:lineChart>
      <c:catAx>
        <c:axId val="45222320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637680"/>
        <c:crosses val="autoZero"/>
        <c:auto val="1"/>
        <c:lblAlgn val="ctr"/>
        <c:lblOffset val="100"/>
        <c:noMultiLvlLbl val="0"/>
      </c:catAx>
      <c:valAx>
        <c:axId val="963768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2223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Sheet2!$D$110</c:f>
              <c:strCache>
                <c:ptCount val="1"/>
                <c:pt idx="0">
                  <c:v>2019</c:v>
                </c:pt>
              </c:strCache>
            </c:strRef>
          </c:tx>
          <c:spPr>
            <a:solidFill>
              <a:schemeClr val="accent1"/>
            </a:solidFill>
            <a:ln>
              <a:noFill/>
            </a:ln>
            <a:effectLst/>
          </c:spPr>
          <c:invertIfNegative val="0"/>
          <c:cat>
            <c:strRef>
              <c:f>Sheet2!$E$109:$H$109</c:f>
              <c:strCache>
                <c:ptCount val="4"/>
                <c:pt idx="0">
                  <c:v>Disney Current Ratio</c:v>
                </c:pt>
                <c:pt idx="1">
                  <c:v>Comcast Current Ratio</c:v>
                </c:pt>
                <c:pt idx="2">
                  <c:v>Disney Quick Ratio</c:v>
                </c:pt>
                <c:pt idx="3">
                  <c:v>Comcast Quick Ratio</c:v>
                </c:pt>
              </c:strCache>
            </c:strRef>
          </c:cat>
          <c:val>
            <c:numRef>
              <c:f>Sheet2!$E$110:$H$110</c:f>
              <c:numCache>
                <c:formatCode>General</c:formatCode>
                <c:ptCount val="4"/>
                <c:pt idx="0">
                  <c:v>0.94</c:v>
                </c:pt>
                <c:pt idx="1">
                  <c:v>0.85</c:v>
                </c:pt>
                <c:pt idx="2">
                  <c:v>0.89</c:v>
                </c:pt>
                <c:pt idx="3">
                  <c:v>0.81</c:v>
                </c:pt>
              </c:numCache>
            </c:numRef>
          </c:val>
          <c:extLst>
            <c:ext xmlns:c16="http://schemas.microsoft.com/office/drawing/2014/chart" uri="{C3380CC4-5D6E-409C-BE32-E72D297353CC}">
              <c16:uniqueId val="{00000000-503A-4A83-BB5D-6C8B12435B4E}"/>
            </c:ext>
          </c:extLst>
        </c:ser>
        <c:ser>
          <c:idx val="1"/>
          <c:order val="1"/>
          <c:tx>
            <c:strRef>
              <c:f>Sheet2!$D$111</c:f>
              <c:strCache>
                <c:ptCount val="1"/>
                <c:pt idx="0">
                  <c:v>2020</c:v>
                </c:pt>
              </c:strCache>
            </c:strRef>
          </c:tx>
          <c:spPr>
            <a:solidFill>
              <a:schemeClr val="accent2"/>
            </a:solidFill>
            <a:ln>
              <a:noFill/>
            </a:ln>
            <a:effectLst/>
          </c:spPr>
          <c:invertIfNegative val="0"/>
          <c:cat>
            <c:strRef>
              <c:f>Sheet2!$E$109:$H$109</c:f>
              <c:strCache>
                <c:ptCount val="4"/>
                <c:pt idx="0">
                  <c:v>Disney Current Ratio</c:v>
                </c:pt>
                <c:pt idx="1">
                  <c:v>Comcast Current Ratio</c:v>
                </c:pt>
                <c:pt idx="2">
                  <c:v>Disney Quick Ratio</c:v>
                </c:pt>
                <c:pt idx="3">
                  <c:v>Comcast Quick Ratio</c:v>
                </c:pt>
              </c:strCache>
            </c:strRef>
          </c:cat>
          <c:val>
            <c:numRef>
              <c:f>Sheet2!$E$111:$H$111</c:f>
              <c:numCache>
                <c:formatCode>General</c:formatCode>
                <c:ptCount val="4"/>
                <c:pt idx="0">
                  <c:v>1.32</c:v>
                </c:pt>
                <c:pt idx="1">
                  <c:v>0.93</c:v>
                </c:pt>
                <c:pt idx="2">
                  <c:v>1.24</c:v>
                </c:pt>
                <c:pt idx="3">
                  <c:v>0.9</c:v>
                </c:pt>
              </c:numCache>
            </c:numRef>
          </c:val>
          <c:extLst>
            <c:ext xmlns:c16="http://schemas.microsoft.com/office/drawing/2014/chart" uri="{C3380CC4-5D6E-409C-BE32-E72D297353CC}">
              <c16:uniqueId val="{00000001-503A-4A83-BB5D-6C8B12435B4E}"/>
            </c:ext>
          </c:extLst>
        </c:ser>
        <c:ser>
          <c:idx val="2"/>
          <c:order val="2"/>
          <c:tx>
            <c:strRef>
              <c:f>Sheet2!$D$112</c:f>
              <c:strCache>
                <c:ptCount val="1"/>
                <c:pt idx="0">
                  <c:v>2021</c:v>
                </c:pt>
              </c:strCache>
            </c:strRef>
          </c:tx>
          <c:spPr>
            <a:solidFill>
              <a:schemeClr val="accent3"/>
            </a:solidFill>
            <a:ln>
              <a:noFill/>
            </a:ln>
            <a:effectLst/>
          </c:spPr>
          <c:invertIfNegative val="0"/>
          <c:cat>
            <c:strRef>
              <c:f>Sheet2!$E$109:$H$109</c:f>
              <c:strCache>
                <c:ptCount val="4"/>
                <c:pt idx="0">
                  <c:v>Disney Current Ratio</c:v>
                </c:pt>
                <c:pt idx="1">
                  <c:v>Comcast Current Ratio</c:v>
                </c:pt>
                <c:pt idx="2">
                  <c:v>Disney Quick Ratio</c:v>
                </c:pt>
                <c:pt idx="3">
                  <c:v>Comcast Quick Ratio</c:v>
                </c:pt>
              </c:strCache>
            </c:strRef>
          </c:cat>
          <c:val>
            <c:numRef>
              <c:f>Sheet2!$E$112:$H$112</c:f>
              <c:numCache>
                <c:formatCode>General</c:formatCode>
                <c:ptCount val="4"/>
                <c:pt idx="0">
                  <c:v>1.08</c:v>
                </c:pt>
                <c:pt idx="1">
                  <c:v>0.84</c:v>
                </c:pt>
                <c:pt idx="2">
                  <c:v>1.02</c:v>
                </c:pt>
                <c:pt idx="3">
                  <c:v>0.82</c:v>
                </c:pt>
              </c:numCache>
            </c:numRef>
          </c:val>
          <c:extLst>
            <c:ext xmlns:c16="http://schemas.microsoft.com/office/drawing/2014/chart" uri="{C3380CC4-5D6E-409C-BE32-E72D297353CC}">
              <c16:uniqueId val="{00000002-503A-4A83-BB5D-6C8B12435B4E}"/>
            </c:ext>
          </c:extLst>
        </c:ser>
        <c:ser>
          <c:idx val="3"/>
          <c:order val="3"/>
          <c:tx>
            <c:strRef>
              <c:f>Sheet2!$D$113</c:f>
              <c:strCache>
                <c:ptCount val="1"/>
                <c:pt idx="0">
                  <c:v>2022</c:v>
                </c:pt>
              </c:strCache>
            </c:strRef>
          </c:tx>
          <c:spPr>
            <a:solidFill>
              <a:schemeClr val="accent4"/>
            </a:solidFill>
            <a:ln>
              <a:noFill/>
            </a:ln>
            <a:effectLst/>
          </c:spPr>
          <c:invertIfNegative val="0"/>
          <c:cat>
            <c:strRef>
              <c:f>Sheet2!$E$109:$H$109</c:f>
              <c:strCache>
                <c:ptCount val="4"/>
                <c:pt idx="0">
                  <c:v>Disney Current Ratio</c:v>
                </c:pt>
                <c:pt idx="1">
                  <c:v>Comcast Current Ratio</c:v>
                </c:pt>
                <c:pt idx="2">
                  <c:v>Disney Quick Ratio</c:v>
                </c:pt>
                <c:pt idx="3">
                  <c:v>Comcast Quick Ratio</c:v>
                </c:pt>
              </c:strCache>
            </c:strRef>
          </c:cat>
          <c:val>
            <c:numRef>
              <c:f>Sheet2!$E$113:$H$113</c:f>
              <c:numCache>
                <c:formatCode>General</c:formatCode>
                <c:ptCount val="4"/>
                <c:pt idx="0">
                  <c:v>1</c:v>
                </c:pt>
                <c:pt idx="1">
                  <c:v>0.78</c:v>
                </c:pt>
                <c:pt idx="2">
                  <c:v>0.95</c:v>
                </c:pt>
                <c:pt idx="3">
                  <c:v>0.75</c:v>
                </c:pt>
              </c:numCache>
            </c:numRef>
          </c:val>
          <c:extLst>
            <c:ext xmlns:c16="http://schemas.microsoft.com/office/drawing/2014/chart" uri="{C3380CC4-5D6E-409C-BE32-E72D297353CC}">
              <c16:uniqueId val="{00000003-503A-4A83-BB5D-6C8B12435B4E}"/>
            </c:ext>
          </c:extLst>
        </c:ser>
        <c:ser>
          <c:idx val="4"/>
          <c:order val="4"/>
          <c:tx>
            <c:strRef>
              <c:f>Sheet2!$D$114</c:f>
              <c:strCache>
                <c:ptCount val="1"/>
                <c:pt idx="0">
                  <c:v>2023</c:v>
                </c:pt>
              </c:strCache>
            </c:strRef>
          </c:tx>
          <c:spPr>
            <a:solidFill>
              <a:schemeClr val="accent5"/>
            </a:solidFill>
            <a:ln>
              <a:noFill/>
            </a:ln>
            <a:effectLst/>
          </c:spPr>
          <c:invertIfNegative val="0"/>
          <c:cat>
            <c:strRef>
              <c:f>Sheet2!$E$109:$H$109</c:f>
              <c:strCache>
                <c:ptCount val="4"/>
                <c:pt idx="0">
                  <c:v>Disney Current Ratio</c:v>
                </c:pt>
                <c:pt idx="1">
                  <c:v>Comcast Current Ratio</c:v>
                </c:pt>
                <c:pt idx="2">
                  <c:v>Disney Quick Ratio</c:v>
                </c:pt>
                <c:pt idx="3">
                  <c:v>Comcast Quick Ratio</c:v>
                </c:pt>
              </c:strCache>
            </c:strRef>
          </c:cat>
          <c:val>
            <c:numRef>
              <c:f>Sheet2!$E$114:$H$114</c:f>
              <c:numCache>
                <c:formatCode>General</c:formatCode>
                <c:ptCount val="4"/>
                <c:pt idx="0">
                  <c:v>1.05</c:v>
                </c:pt>
                <c:pt idx="1">
                  <c:v>1.05</c:v>
                </c:pt>
                <c:pt idx="2">
                  <c:v>1</c:v>
                </c:pt>
                <c:pt idx="3">
                  <c:v>1.01</c:v>
                </c:pt>
              </c:numCache>
            </c:numRef>
          </c:val>
          <c:extLst>
            <c:ext xmlns:c16="http://schemas.microsoft.com/office/drawing/2014/chart" uri="{C3380CC4-5D6E-409C-BE32-E72D297353CC}">
              <c16:uniqueId val="{00000004-503A-4A83-BB5D-6C8B12435B4E}"/>
            </c:ext>
          </c:extLst>
        </c:ser>
        <c:dLbls>
          <c:showLegendKey val="0"/>
          <c:showVal val="0"/>
          <c:showCatName val="0"/>
          <c:showSerName val="0"/>
          <c:showPercent val="0"/>
          <c:showBubbleSize val="0"/>
        </c:dLbls>
        <c:gapWidth val="247"/>
        <c:axId val="430008608"/>
        <c:axId val="90505968"/>
      </c:barChart>
      <c:catAx>
        <c:axId val="4300086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90505968"/>
        <c:crosses val="autoZero"/>
        <c:auto val="1"/>
        <c:lblAlgn val="ctr"/>
        <c:lblOffset val="100"/>
        <c:noMultiLvlLbl val="0"/>
      </c:catAx>
      <c:valAx>
        <c:axId val="9050596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300086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strRef>
              <c:f>Sheet2!$E$149</c:f>
              <c:strCache>
                <c:ptCount val="1"/>
                <c:pt idx="0">
                  <c:v>Percentage Change</c:v>
                </c:pt>
              </c:strCache>
            </c:strRef>
          </c:tx>
          <c:spPr>
            <a:ln w="9525" cap="flat" cmpd="sng" algn="ctr">
              <a:solidFill>
                <a:schemeClr val="accent1">
                  <a:alpha val="70000"/>
                </a:schemeClr>
              </a:solidFill>
              <a:prstDash val="sysDot"/>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xVal>
            <c:numRef>
              <c:f>Sheet2!$D$150:$D$154</c:f>
              <c:numCache>
                <c:formatCode>General</c:formatCode>
                <c:ptCount val="5"/>
                <c:pt idx="0">
                  <c:v>2019</c:v>
                </c:pt>
                <c:pt idx="1">
                  <c:v>2020</c:v>
                </c:pt>
                <c:pt idx="2">
                  <c:v>2021</c:v>
                </c:pt>
                <c:pt idx="3">
                  <c:v>2022</c:v>
                </c:pt>
                <c:pt idx="4">
                  <c:v>2023</c:v>
                </c:pt>
              </c:numCache>
            </c:numRef>
          </c:xVal>
          <c:yVal>
            <c:numRef>
              <c:f>Sheet2!$E$150:$E$154</c:f>
              <c:numCache>
                <c:formatCode>0.00%</c:formatCode>
                <c:ptCount val="5"/>
                <c:pt idx="0">
                  <c:v>0</c:v>
                </c:pt>
                <c:pt idx="1">
                  <c:v>-4.2999999999999997E-2</c:v>
                </c:pt>
                <c:pt idx="2">
                  <c:v>0.37330000000000002</c:v>
                </c:pt>
                <c:pt idx="3">
                  <c:v>-0.35070000000000001</c:v>
                </c:pt>
                <c:pt idx="4">
                  <c:v>-0.18</c:v>
                </c:pt>
              </c:numCache>
            </c:numRef>
          </c:yVal>
          <c:smooth val="0"/>
          <c:extLst>
            <c:ext xmlns:c16="http://schemas.microsoft.com/office/drawing/2014/chart" uri="{C3380CC4-5D6E-409C-BE32-E72D297353CC}">
              <c16:uniqueId val="{00000000-DF45-497A-9950-9D2C50B70760}"/>
            </c:ext>
          </c:extLst>
        </c:ser>
        <c:dLbls>
          <c:showLegendKey val="0"/>
          <c:showVal val="0"/>
          <c:showCatName val="0"/>
          <c:showSerName val="0"/>
          <c:showPercent val="0"/>
          <c:showBubbleSize val="0"/>
        </c:dLbls>
        <c:axId val="1934693824"/>
        <c:axId val="93248608"/>
      </c:scatterChart>
      <c:valAx>
        <c:axId val="193469382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rnd">
            <a:solidFill>
              <a:schemeClr val="dk1">
                <a:lumMod val="20000"/>
                <a:lumOff val="80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en-US"/>
          </a:p>
        </c:txPr>
        <c:crossAx val="93248608"/>
        <c:crosses val="autoZero"/>
        <c:crossBetween val="midCat"/>
      </c:valAx>
      <c:valAx>
        <c:axId val="93248608"/>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en-US"/>
          </a:p>
        </c:txPr>
        <c:crossAx val="1934693824"/>
        <c:crosses val="autoZero"/>
        <c:crossBetween val="midCat"/>
      </c:valAx>
      <c:spPr>
        <a:gradFill>
          <a:gsLst>
            <a:gs pos="100000">
              <a:schemeClr val="lt1">
                <a:lumMod val="95000"/>
              </a:schemeClr>
            </a:gs>
            <a:gs pos="0">
              <a:schemeClr val="lt1">
                <a:alpha val="0"/>
              </a:schemeClr>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46">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effectRef idx="1"/>
    <cs:fontRef idx="minor">
      <a:schemeClr val="dk1"/>
    </cs:fontRef>
    <cs:spPr>
      <a:ln w="9525" cap="flat" cmpd="sng" algn="ctr">
        <a:solidFill>
          <a:schemeClr val="phClr">
            <a:alpha val="70000"/>
          </a:schemeClr>
        </a:solidFill>
        <a:prstDash val="sysDot"/>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rnd">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rnd">
        <a:solidFill>
          <a:schemeClr val="dk1">
            <a:lumMod val="65000"/>
            <a:lumOff val="35000"/>
          </a:schemeClr>
        </a:solidFill>
        <a:round/>
      </a:ln>
    </cs:spPr>
  </cs:downBar>
  <cs:dropLine>
    <cs:lnRef idx="0"/>
    <cs:fillRef idx="0"/>
    <cs:effectRef idx="0"/>
    <cs:fontRef idx="minor">
      <a:schemeClr val="dk1"/>
    </cs:fontRef>
    <cs:spPr>
      <a:ln w="9525" cap="rnd">
        <a:solidFill>
          <a:schemeClr val="dk1">
            <a:lumMod val="35000"/>
            <a:lumOff val="65000"/>
          </a:schemeClr>
        </a:solidFill>
        <a:round/>
      </a:ln>
    </cs:spPr>
  </cs:dropLine>
  <cs:errorBar>
    <cs:lnRef idx="0"/>
    <cs:fillRef idx="0"/>
    <cs:effectRef idx="0"/>
    <cs:fontRef idx="minor">
      <a:schemeClr val="dk1"/>
    </cs:fontRef>
    <cs:spPr>
      <a:ln w="9525" cap="rnd">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rnd">
        <a:solidFill>
          <a:schemeClr val="dk1">
            <a:lumMod val="35000"/>
            <a:lumOff val="65000"/>
          </a:schemeClr>
        </a:solidFill>
        <a:round/>
      </a:ln>
    </cs:spPr>
  </cs:hiLoLine>
  <cs:leaderLine>
    <cs:lnRef idx="0"/>
    <cs:fillRef idx="0"/>
    <cs:effectRef idx="0"/>
    <cs:fontRef idx="minor">
      <a:schemeClr val="dk1"/>
    </cs:fontRef>
    <cs:spPr>
      <a:ln w="9525" cap="rnd">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spc="0" baseline="0"/>
  </cs:legend>
  <cs:plotArea>
    <cs:lnRef idx="0"/>
    <cs:fillRef idx="0"/>
    <cs:effectRef idx="0"/>
    <cs:fontRef idx="minor">
      <a:schemeClr val="dk1"/>
    </cs:fontRef>
    <cs:spPr>
      <a:gradFill>
        <a:gsLst>
          <a:gs pos="100000">
            <a:schemeClr val="lt1">
              <a:lumMod val="95000"/>
            </a:schemeClr>
          </a:gs>
          <a:gs pos="0">
            <a:schemeClr val="lt1">
              <a:alpha val="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seriesAxis>
  <cs:seriesLine>
    <cs:lnRef idx="0"/>
    <cs:fillRef idx="0"/>
    <cs:effectRef idx="0"/>
    <cs:fontRef idx="minor">
      <a:schemeClr val="dk1"/>
    </cs:fontRef>
    <cs:spPr>
      <a:ln w="9525" cap="rnd">
        <a:solidFill>
          <a:schemeClr val="dk1">
            <a:lumMod val="35000"/>
            <a:lumOff val="65000"/>
          </a:schemeClr>
        </a:solidFill>
        <a:round/>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65000"/>
        <a:lumOff val="35000"/>
      </a:schemeClr>
    </cs:fontRef>
    <cs:spPr>
      <a:ln w="9525" cap="rnd">
        <a:solidFill>
          <a:schemeClr val="dk1">
            <a:lumMod val="25000"/>
            <a:lumOff val="75000"/>
          </a:schemeClr>
        </a:solidFill>
        <a:round/>
      </a:ln>
    </cs:spPr>
    <cs:defRPr sz="900" kern="1200" spc="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27</Pages>
  <Words>6322</Words>
  <Characters>36039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Pearson</dc:creator>
  <cp:keywords/>
  <dc:description/>
  <cp:lastModifiedBy>RAHUL KHATIK</cp:lastModifiedBy>
  <cp:revision>3</cp:revision>
  <dcterms:created xsi:type="dcterms:W3CDTF">2024-04-23T21:19:00Z</dcterms:created>
  <dcterms:modified xsi:type="dcterms:W3CDTF">2024-04-23T21:43:00Z</dcterms:modified>
</cp:coreProperties>
</file>