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E6836" w14:textId="738B418E" w:rsidR="0058515B" w:rsidRPr="0058515B" w:rsidRDefault="0058515B" w:rsidP="0058515B">
      <w:pPr>
        <w:rPr>
          <w:b/>
          <w:bCs/>
        </w:rPr>
      </w:pPr>
      <w:r w:rsidRPr="0058515B">
        <w:rPr>
          <w:b/>
          <w:bCs/>
        </w:rPr>
        <w:t>Diabetes essay</w:t>
      </w:r>
    </w:p>
    <w:p w14:paraId="2540CB24" w14:textId="77777777" w:rsidR="0058515B" w:rsidRPr="0058515B" w:rsidRDefault="0058515B" w:rsidP="0058515B">
      <w:r w:rsidRPr="0058515B">
        <w:t xml:space="preserve">Diabetes is a long-term illness that changes how the body </w:t>
      </w:r>
      <w:proofErr w:type="gramStart"/>
      <w:r w:rsidRPr="0058515B">
        <w:t>handles</w:t>
      </w:r>
      <w:proofErr w:type="gramEnd"/>
      <w:r w:rsidRPr="0058515B">
        <w:t xml:space="preserve"> blood sugar (glucose). There are three main kinds of diabetes: type 1, type 2, and gestational diabetes. Type 1 diabetes is when the body attacks the cells in the pancreas that make insulin, so there's not enough insulin. Type 2 diabetes, which is the most common, happens when the body </w:t>
      </w:r>
      <w:proofErr w:type="gramStart"/>
      <w:r w:rsidRPr="0058515B">
        <w:t>doesn't</w:t>
      </w:r>
      <w:proofErr w:type="gramEnd"/>
      <w:r w:rsidRPr="0058515B">
        <w:t xml:space="preserve"> use insulin well or doesn't make enough. Gestational diabetes happens during pregnancy and usually goes away after the baby is born (American Diabetes Association, 2020; World Health Organisation, 2021).</w:t>
      </w:r>
    </w:p>
    <w:p w14:paraId="41BDF0A8" w14:textId="77777777" w:rsidR="0058515B" w:rsidRPr="0058515B" w:rsidRDefault="0058515B" w:rsidP="0058515B">
      <w:r w:rsidRPr="0058515B">
        <w:t xml:space="preserve">Managing diabetes well is </w:t>
      </w:r>
      <w:proofErr w:type="gramStart"/>
      <w:r w:rsidRPr="0058515B">
        <w:t>really important</w:t>
      </w:r>
      <w:proofErr w:type="gramEnd"/>
      <w:r w:rsidRPr="0058515B">
        <w:t xml:space="preserve"> to stop problems like heart disease, nerve damage, kidney failure, and eye problems. But </w:t>
      </w:r>
      <w:proofErr w:type="gramStart"/>
      <w:r w:rsidRPr="0058515B">
        <w:t>it's</w:t>
      </w:r>
      <w:proofErr w:type="gramEnd"/>
      <w:r w:rsidRPr="0058515B">
        <w:t xml:space="preserve"> hard to make good plans for managing diabetes. These problems include making sure people follow their treatment plans, dealing with the mental impact of having a long-term illness, and getting healthcare, especially in </w:t>
      </w:r>
      <w:proofErr w:type="gramStart"/>
      <w:r w:rsidRPr="0058515B">
        <w:t>poor areas</w:t>
      </w:r>
      <w:proofErr w:type="gramEnd"/>
      <w:r w:rsidRPr="0058515B">
        <w:t xml:space="preserve"> (Breland, Wong, &amp; McAndrew, 2020; Hale, Treharne, &amp; Kitas, 2007). Also, people with diabetes are different in age, other health problems, and money, which makes it hard to make one plan that works for everyone (Breland et al., 2020).</w:t>
      </w:r>
    </w:p>
    <w:p w14:paraId="2EC628EF" w14:textId="77777777" w:rsidR="0058515B" w:rsidRPr="0058515B" w:rsidRDefault="0058515B" w:rsidP="0058515B">
      <w:r w:rsidRPr="0058515B">
        <w:t xml:space="preserve">Understanding how people's thoughts and feelings affect their health is important for making special plans for them. Leventhal’s Common-Sense Model (CSM) of self-regulation helps understand how people see and </w:t>
      </w:r>
      <w:proofErr w:type="gramStart"/>
      <w:r w:rsidRPr="0058515B">
        <w:t>handle</w:t>
      </w:r>
      <w:proofErr w:type="gramEnd"/>
      <w:r w:rsidRPr="0058515B">
        <w:t xml:space="preserve"> their illness, which can change their health. This essay looks at how well the CSM can predict health in people with diabetes, using studies to help explain.</w:t>
      </w:r>
    </w:p>
    <w:p w14:paraId="031D32BE" w14:textId="77777777" w:rsidR="0058515B" w:rsidRPr="0058515B" w:rsidRDefault="0058515B" w:rsidP="0058515B">
      <w:r w:rsidRPr="0058515B">
        <w:t xml:space="preserve">The Common-Sense Model (CSM) of self-regulation, made by Leventhal and others, shows how people react to and handle health problems. The model says people make mental and emotional pictures of their illness, which guide how they cope and their health actions (Leventhal, Brissette, &amp; Leventhal, 2003). These pictures include ideas about what the illness is, what causes it, how long it will last, what it does, and how </w:t>
      </w:r>
      <w:proofErr w:type="gramStart"/>
      <w:r w:rsidRPr="0058515B">
        <w:t>much</w:t>
      </w:r>
      <w:proofErr w:type="gramEnd"/>
      <w:r w:rsidRPr="0058515B">
        <w:t xml:space="preserve"> control they have over it.</w:t>
      </w:r>
    </w:p>
    <w:p w14:paraId="1230554E" w14:textId="77777777" w:rsidR="0058515B" w:rsidRPr="0058515B" w:rsidRDefault="0058515B" w:rsidP="0058515B">
      <w:r w:rsidRPr="0058515B">
        <w:t xml:space="preserve">The CSM has three parts: the perceptual stage, the response stage, and the appraisal stage (Leventhal et al., 2003). In the perceptual stage, people </w:t>
      </w:r>
      <w:proofErr w:type="gramStart"/>
      <w:r w:rsidRPr="0058515B">
        <w:t>make</w:t>
      </w:r>
      <w:proofErr w:type="gramEnd"/>
      <w:r w:rsidRPr="0058515B">
        <w:t xml:space="preserve"> a common-sense picture of the health problem. This picture has both mental and emotional parts. In the response stage, people choose and do things to </w:t>
      </w:r>
      <w:proofErr w:type="gramStart"/>
      <w:r w:rsidRPr="0058515B">
        <w:t>handle</w:t>
      </w:r>
      <w:proofErr w:type="gramEnd"/>
      <w:r w:rsidRPr="0058515B">
        <w:t xml:space="preserve"> the health problem based on their picture of it. These things can include getting medical help, taking medicine, or changing their lifestyle. In the appraisal stage, people check how well their actions worked and change their picture of the illness and their coping ways if needed (Leventhal et al., 2003; Hale et al., 2007).</w:t>
      </w:r>
    </w:p>
    <w:p w14:paraId="388C5F93" w14:textId="77777777" w:rsidR="0058515B" w:rsidRPr="0058515B" w:rsidRDefault="0058515B" w:rsidP="0058515B">
      <w:r w:rsidRPr="0058515B">
        <w:t xml:space="preserve">In diabetes, the CSM helps explain how what patients think about their illness affects how they take care of themselves and their health. For example, if a patient thinks their diabetes is </w:t>
      </w:r>
      <w:proofErr w:type="gramStart"/>
      <w:r w:rsidRPr="0058515B">
        <w:t>really bad</w:t>
      </w:r>
      <w:proofErr w:type="gramEnd"/>
      <w:r w:rsidRPr="0058515B">
        <w:t xml:space="preserve"> and can't be controlled, they might not follow their treatment and </w:t>
      </w:r>
      <w:r w:rsidRPr="0058515B">
        <w:lastRenderedPageBreak/>
        <w:t>have worse health (Hagger &amp; Orbell, 2003). This can make them feel hopeless and less likely to do things like check their blood sugar, eat healthy, and exercise (Patel et al., 2015). But if patients think they can manage their diabetes, they are more likely to take care of themselves and have better health (von Arx, Gydesen, &amp; Skovlund, 2016).</w:t>
      </w:r>
    </w:p>
    <w:p w14:paraId="7C3B5E8B" w14:textId="77777777" w:rsidR="0058515B" w:rsidRPr="0058515B" w:rsidRDefault="0058515B" w:rsidP="0058515B">
      <w:r w:rsidRPr="0058515B">
        <w:t xml:space="preserve">Studies show that what people think about their illness affects how they manage diabetes. For example, Patel et al. (2015) found that patients who thought their diabetes was </w:t>
      </w:r>
      <w:proofErr w:type="gramStart"/>
      <w:r w:rsidRPr="0058515B">
        <w:t>very bad</w:t>
      </w:r>
      <w:proofErr w:type="gramEnd"/>
      <w:r w:rsidRPr="0058515B">
        <w:t xml:space="preserve"> were less likely to follow their treatment and diet. These patients often used other treatments suggested by friends and family, which </w:t>
      </w:r>
      <w:proofErr w:type="gramStart"/>
      <w:r w:rsidRPr="0058515B">
        <w:t>didn't</w:t>
      </w:r>
      <w:proofErr w:type="gramEnd"/>
      <w:r w:rsidRPr="0058515B">
        <w:t xml:space="preserve"> always help. Similarly, von Arx et al. (2016) showed that patients who believed in their treatment and checked their blood sugar regularly had better control of their diabetes and lower heart risk.</w:t>
      </w:r>
    </w:p>
    <w:p w14:paraId="0CA6FA07" w14:textId="77777777" w:rsidR="0058515B" w:rsidRPr="0058515B" w:rsidRDefault="0058515B" w:rsidP="0058515B">
      <w:proofErr w:type="gramStart"/>
      <w:r w:rsidRPr="0058515B">
        <w:t>Many</w:t>
      </w:r>
      <w:proofErr w:type="gramEnd"/>
      <w:r w:rsidRPr="0058515B">
        <w:t xml:space="preserve"> studies looked at how illness beliefs affect diabetes management. Hagger and Orbell (2003) studied </w:t>
      </w:r>
      <w:proofErr w:type="gramStart"/>
      <w:r w:rsidRPr="0058515B">
        <w:t>45</w:t>
      </w:r>
      <w:proofErr w:type="gramEnd"/>
      <w:r w:rsidRPr="0058515B">
        <w:t xml:space="preserve"> other studies and found that beliefs about what the illness is, what it does, and how much control they have over it were linked to how people cope and their health. Patients who thought their diabetes was </w:t>
      </w:r>
      <w:proofErr w:type="gramStart"/>
      <w:r w:rsidRPr="0058515B">
        <w:t>very bad</w:t>
      </w:r>
      <w:proofErr w:type="gramEnd"/>
      <w:r w:rsidRPr="0058515B">
        <w:t xml:space="preserve"> and couldn't be controlled were more likely to avoid dealing with it, leading to worse health.</w:t>
      </w:r>
    </w:p>
    <w:p w14:paraId="7CD29802" w14:textId="77777777" w:rsidR="0058515B" w:rsidRPr="0058515B" w:rsidRDefault="0058515B" w:rsidP="0058515B">
      <w:r w:rsidRPr="0058515B">
        <w:t xml:space="preserve">A review by Breland, Wong, and McAndrew (2020) also supports the CSM by showing that illness beliefs </w:t>
      </w:r>
      <w:proofErr w:type="gramStart"/>
      <w:r w:rsidRPr="0058515B">
        <w:t>are linked</w:t>
      </w:r>
      <w:proofErr w:type="gramEnd"/>
      <w:r w:rsidRPr="0058515B">
        <w:t xml:space="preserve"> to health in many long-term illnesses, including diabetes. The review looked at 29 studies and found that beliefs about the </w:t>
      </w:r>
      <w:proofErr w:type="gramStart"/>
      <w:r w:rsidRPr="0058515B">
        <w:t>bad effects</w:t>
      </w:r>
      <w:proofErr w:type="gramEnd"/>
      <w:r w:rsidRPr="0058515B">
        <w:t xml:space="preserve"> of the illness and personal control were linked to health. Patients who thought their illness had </w:t>
      </w:r>
      <w:proofErr w:type="gramStart"/>
      <w:r w:rsidRPr="0058515B">
        <w:t>bad effects</w:t>
      </w:r>
      <w:proofErr w:type="gramEnd"/>
      <w:r w:rsidRPr="0058515B">
        <w:t xml:space="preserve"> were more likely to have worse health, while those who felt they had control were more likely to take care of themselves and have better health (Breland, Wong, &amp; McAndrew, 2020).</w:t>
      </w:r>
    </w:p>
    <w:p w14:paraId="361E9125" w14:textId="77777777" w:rsidR="0058515B" w:rsidRPr="0058515B" w:rsidRDefault="0058515B" w:rsidP="0058515B">
      <w:r w:rsidRPr="0058515B">
        <w:t>The review also looked at self-efficacy, finding that it was more linked to self-care, while CSM beliefs were more linked to health. This shows the importance of both self-efficacy and illness beliefs in managing long-term illnesses (Breland et al., 2020). For example, a patient with high self-efficacy and strong belief in controlling their diabetes is more likely to follow treatment and have better health.</w:t>
      </w:r>
    </w:p>
    <w:p w14:paraId="4DB2FB34" w14:textId="47693920" w:rsidR="0058515B" w:rsidRPr="0058515B" w:rsidRDefault="0058515B" w:rsidP="0058515B">
      <w:r w:rsidRPr="0058515B">
        <w:t xml:space="preserve">Overall, the review suggests that patients' beliefs about their illness can directly affect their health and </w:t>
      </w:r>
      <w:r w:rsidRPr="0058515B">
        <w:t>behaviours</w:t>
      </w:r>
      <w:r w:rsidRPr="0058515B">
        <w:t>. By addressing these beliefs with special plans, healthcare providers can help patients take better care of themselves and improve their health (Breland et al., 2020).</w:t>
      </w:r>
    </w:p>
    <w:p w14:paraId="7D524718" w14:textId="7B803432" w:rsidR="0058515B" w:rsidRPr="0058515B" w:rsidRDefault="0058515B" w:rsidP="0058515B">
      <w:r w:rsidRPr="0058515B">
        <w:t xml:space="preserve">Also, a study by Zhang et al. (2023) looked at how the CSM can predict healthy eating, exercise, and health in people at risk of metabolic syndrome. The study used a cross-sectional design with data collected at </w:t>
      </w:r>
      <w:proofErr w:type="gramStart"/>
      <w:r w:rsidRPr="0058515B">
        <w:t>different times</w:t>
      </w:r>
      <w:proofErr w:type="gramEnd"/>
      <w:r w:rsidRPr="0058515B">
        <w:t xml:space="preserve">, involving 275 people at risk of metabolic syndrome based on a clinical model. Path </w:t>
      </w:r>
      <w:proofErr w:type="spellStart"/>
      <w:r w:rsidRPr="0058515B">
        <w:t>analisis</w:t>
      </w:r>
      <w:proofErr w:type="spellEnd"/>
      <w:r w:rsidRPr="0058515B">
        <w:t xml:space="preserve"> </w:t>
      </w:r>
      <w:proofErr w:type="gramStart"/>
      <w:r w:rsidRPr="0058515B">
        <w:t>was used</w:t>
      </w:r>
      <w:proofErr w:type="gramEnd"/>
      <w:r w:rsidRPr="0058515B">
        <w:t xml:space="preserve"> to look at the relationships between key things like personal control, treatment control, </w:t>
      </w:r>
      <w:r w:rsidRPr="0058515B">
        <w:lastRenderedPageBreak/>
        <w:t xml:space="preserve">understanding (coherence), self-efficacy, intentions, and health </w:t>
      </w:r>
      <w:r w:rsidRPr="0058515B">
        <w:t>behaviours</w:t>
      </w:r>
      <w:r w:rsidRPr="0058515B">
        <w:t xml:space="preserve"> (Zhang et al., 2023).</w:t>
      </w:r>
    </w:p>
    <w:p w14:paraId="587E5FA6" w14:textId="5BA7797A" w:rsidR="0058515B" w:rsidRPr="0058515B" w:rsidRDefault="0058515B" w:rsidP="0058515B">
      <w:r w:rsidRPr="0058515B">
        <w:t xml:space="preserve">The findings showed that personal and treatment control, and understanding, positively affected self-reported health through their influence on intentions and health </w:t>
      </w:r>
      <w:r w:rsidRPr="0058515B">
        <w:t>behaviours</w:t>
      </w:r>
      <w:r w:rsidRPr="0058515B">
        <w:t xml:space="preserve"> like exercise and healthy eating. People who believed they had control over their health and understood their condition were more likely to do healthy things, which improved their self-reported health. The study also showed that intentions and health </w:t>
      </w:r>
      <w:r w:rsidRPr="0058515B">
        <w:t>behaviours</w:t>
      </w:r>
      <w:r w:rsidRPr="0058515B">
        <w:t xml:space="preserve"> played a role in the relationship between self-efficacy and health outcomes, suggesting that boosting patients' confidence in managing their health can lead to better health </w:t>
      </w:r>
      <w:r w:rsidRPr="0058515B">
        <w:t>behaviours</w:t>
      </w:r>
      <w:r w:rsidRPr="0058515B">
        <w:t xml:space="preserve"> and outcomes (Zhang et al., 2023).</w:t>
      </w:r>
    </w:p>
    <w:p w14:paraId="03284DEF" w14:textId="24BCF8F1" w:rsidR="0058515B" w:rsidRPr="0058515B" w:rsidRDefault="0058515B" w:rsidP="0058515B">
      <w:r w:rsidRPr="0058515B">
        <w:t xml:space="preserve">These results show that the CSM can </w:t>
      </w:r>
      <w:proofErr w:type="gramStart"/>
      <w:r w:rsidRPr="0058515B">
        <w:t>be used</w:t>
      </w:r>
      <w:proofErr w:type="gramEnd"/>
      <w:r w:rsidRPr="0058515B">
        <w:t xml:space="preserve"> to understand and improve health </w:t>
      </w:r>
      <w:r w:rsidRPr="0058515B">
        <w:t>behaviours</w:t>
      </w:r>
      <w:r w:rsidRPr="0058515B">
        <w:t xml:space="preserve"> in people with long-term conditions, including diabetes. By focusing on key things like personal control, treatment control, and understanding, healthcare providers can create plans that promote healthy eating and exercise, leading to better health for people at risk of metabolic syndrome and other long-term conditions (Zhang et al., 2023).</w:t>
      </w:r>
    </w:p>
    <w:p w14:paraId="3C426925" w14:textId="77777777" w:rsidR="0058515B" w:rsidRPr="0058515B" w:rsidRDefault="0058515B" w:rsidP="0058515B">
      <w:r w:rsidRPr="0058515B">
        <w:t>This study highlights the importance of addressing patients' illness beliefs and self-efficacy in managing long-term illnesses. By fostering a sense of control and understanding, and supporting patients' intentions to do healthy things, plans based on the CSM can improve self-management and overall health (Zhang et al., 2023).</w:t>
      </w:r>
    </w:p>
    <w:p w14:paraId="5AC8876F" w14:textId="77777777" w:rsidR="0058515B" w:rsidRPr="0058515B" w:rsidRDefault="0058515B" w:rsidP="0058515B">
      <w:r w:rsidRPr="0058515B">
        <w:t xml:space="preserve">Another study by McAndrew et al. (2019) looked at patients with medically unexplained symptoms and found that negative illness beliefs </w:t>
      </w:r>
      <w:proofErr w:type="gramStart"/>
      <w:r w:rsidRPr="0058515B">
        <w:t>were linked</w:t>
      </w:r>
      <w:proofErr w:type="gramEnd"/>
      <w:r w:rsidRPr="0058515B">
        <w:t xml:space="preserve"> to worse health and more negative coping strategies. Even though this study </w:t>
      </w:r>
      <w:proofErr w:type="gramStart"/>
      <w:r w:rsidRPr="0058515B">
        <w:t>wasn't</w:t>
      </w:r>
      <w:proofErr w:type="gramEnd"/>
      <w:r w:rsidRPr="0058515B">
        <w:t xml:space="preserve"> just about diabetes, the findings are important because they show how illness beliefs matter in managing long-term illnesses.</w:t>
      </w:r>
    </w:p>
    <w:p w14:paraId="5A0099BF" w14:textId="69CE651D" w:rsidR="0058515B" w:rsidRPr="0058515B" w:rsidRDefault="0058515B" w:rsidP="0058515B">
      <w:r w:rsidRPr="0058515B">
        <w:t xml:space="preserve">A study by von Arx, Gydesen, and Skovlund (2016) looked at the relationship between treatment beliefs, health </w:t>
      </w:r>
      <w:r w:rsidRPr="0058515B">
        <w:t>behaviours</w:t>
      </w:r>
      <w:r w:rsidRPr="0058515B">
        <w:t xml:space="preserve">, and health outcomes in insulin-treated patients with type 2 diabetes. The study used a large cross-sectional design, combining registry data with a 27-item survey to measure key ideas about diabetes management, treatment beliefs, and health </w:t>
      </w:r>
      <w:r w:rsidRPr="0058515B">
        <w:t>behaviours</w:t>
      </w:r>
      <w:r w:rsidRPr="0058515B">
        <w:t xml:space="preserve">. The findings showed that health </w:t>
      </w:r>
      <w:r w:rsidRPr="0058515B">
        <w:t>behaviours</w:t>
      </w:r>
      <w:r w:rsidRPr="0058515B">
        <w:t xml:space="preserve">, like following treatment plans and checking blood sugar, were strong predictors of blood sugar control and heart risk factors. Patients who often checked their blood sugar and followed medical advice had better blood sugar control and improved lipid profiles. On the other hand, low belief in treatment and not following medical advice </w:t>
      </w:r>
      <w:proofErr w:type="gramStart"/>
      <w:r w:rsidRPr="0058515B">
        <w:t>were linked</w:t>
      </w:r>
      <w:proofErr w:type="gramEnd"/>
      <w:r w:rsidRPr="0058515B">
        <w:t xml:space="preserve"> to worse health. This study shows the importance of addressing both treatment beliefs and health </w:t>
      </w:r>
      <w:r w:rsidRPr="0058515B">
        <w:t>behaviours</w:t>
      </w:r>
      <w:r w:rsidRPr="0058515B">
        <w:t xml:space="preserve"> in diabetes management, highlighting the relevance of the CSM in understanding and improving health outcomes in this group (von Arx, Gydesen, &amp; Skovlund, 2016).</w:t>
      </w:r>
    </w:p>
    <w:p w14:paraId="0077BD8B" w14:textId="77777777" w:rsidR="0058515B" w:rsidRPr="0058515B" w:rsidRDefault="0058515B" w:rsidP="0058515B">
      <w:r w:rsidRPr="0058515B">
        <w:lastRenderedPageBreak/>
        <w:t xml:space="preserve">While the evidence supports the CSM, </w:t>
      </w:r>
      <w:proofErr w:type="gramStart"/>
      <w:r w:rsidRPr="0058515B">
        <w:t>it's</w:t>
      </w:r>
      <w:proofErr w:type="gramEnd"/>
      <w:r w:rsidRPr="0058515B">
        <w:t xml:space="preserve"> important to think about the limits of these studies. </w:t>
      </w:r>
      <w:proofErr w:type="gramStart"/>
      <w:r w:rsidRPr="0058515B">
        <w:t>Many</w:t>
      </w:r>
      <w:proofErr w:type="gramEnd"/>
      <w:r w:rsidRPr="0058515B">
        <w:t xml:space="preserve"> studies use self-reported measures of illness beliefs and health, which can be biased. For example, Hagger and Orbell's (2003) meta-analysis included studies that mostly used self-report questionnaires, which can have response biases and affect the findings. Also, the cross-sectional design of </w:t>
      </w:r>
      <w:proofErr w:type="gramStart"/>
      <w:r w:rsidRPr="0058515B">
        <w:t>many</w:t>
      </w:r>
      <w:proofErr w:type="gramEnd"/>
      <w:r w:rsidRPr="0058515B">
        <w:t xml:space="preserve"> studies, like those reviewed by Breland, Wong, and McAndrew (2020), makes it hard to say for sure if illness beliefs cause health outcomes.</w:t>
      </w:r>
    </w:p>
    <w:p w14:paraId="0CAF1AF2" w14:textId="77777777" w:rsidR="0058515B" w:rsidRPr="0058515B" w:rsidRDefault="0058515B" w:rsidP="0058515B">
      <w:r w:rsidRPr="0058515B">
        <w:t>The study by Patel et al. (2015) used a mixed-methods approach, combining surveys with interviews. While this gives a better understanding of the social context of diabetes self-management, the reliance on self-reported data is still a limit. Also, the sample size was small, which may limit how well the findings apply to the larger group of British South Asians with diabetes.</w:t>
      </w:r>
    </w:p>
    <w:p w14:paraId="34A97827" w14:textId="6B62DAD0" w:rsidR="0058515B" w:rsidRPr="0058515B" w:rsidRDefault="0058515B" w:rsidP="0058515B">
      <w:r w:rsidRPr="0058515B">
        <w:t xml:space="preserve">Von Arx et al. (2016) did a study with a well-defined group of insulin users, using registry-based health data to look at diabetes health outcomes. Even though this study uses objective health measures, it still relies on self-reported treatment beliefs and health </w:t>
      </w:r>
      <w:r w:rsidRPr="0058515B">
        <w:t>behaviours</w:t>
      </w:r>
      <w:r w:rsidRPr="0058515B">
        <w:t xml:space="preserve">, which can </w:t>
      </w:r>
      <w:proofErr w:type="gramStart"/>
      <w:r w:rsidRPr="0058515B">
        <w:t>be biased</w:t>
      </w:r>
      <w:proofErr w:type="gramEnd"/>
      <w:r w:rsidRPr="0058515B">
        <w:t>. Also, the study's cross-sectional design makes it hard to say if illness beliefs cause health outcomes.</w:t>
      </w:r>
    </w:p>
    <w:p w14:paraId="64734506" w14:textId="77777777" w:rsidR="0058515B" w:rsidRPr="0058515B" w:rsidRDefault="0058515B" w:rsidP="0058515B">
      <w:r w:rsidRPr="0058515B">
        <w:t>McAndrew et al. (2019) did a meta-analysis focusing on patients with medically unexplained symptoms. While the findings help understand the role of illness beliefs in long-term illness management, the inclusion of different patient groups with different conditions may limit how specific the conclusions are for diabetes patients.</w:t>
      </w:r>
    </w:p>
    <w:p w14:paraId="352BD900" w14:textId="6D42204A" w:rsidR="0058515B" w:rsidRPr="0058515B" w:rsidRDefault="0058515B" w:rsidP="0058515B">
      <w:r w:rsidRPr="0058515B">
        <w:t xml:space="preserve">Zhang et al. (2023) used a longitudinal design to look at the CSM in predicting health </w:t>
      </w:r>
      <w:r w:rsidRPr="0058515B">
        <w:t>behaviours</w:t>
      </w:r>
      <w:r w:rsidRPr="0058515B">
        <w:t xml:space="preserve"> and outcomes. This design helps understand the time relationships between illness beliefs and health outcomes. However, the study's reliance on self-reported health </w:t>
      </w:r>
      <w:r w:rsidRPr="0058515B">
        <w:t>behaviours</w:t>
      </w:r>
      <w:r w:rsidRPr="0058515B">
        <w:t xml:space="preserve"> and outcomes can still </w:t>
      </w:r>
      <w:proofErr w:type="gramStart"/>
      <w:r w:rsidRPr="0058515B">
        <w:t>be biased</w:t>
      </w:r>
      <w:proofErr w:type="gramEnd"/>
      <w:r w:rsidRPr="0058515B">
        <w:t>, and the findings may not apply to all groups with long-term conditions.</w:t>
      </w:r>
    </w:p>
    <w:p w14:paraId="6E30A0AD" w14:textId="0D4A5FB7" w:rsidR="0058515B" w:rsidRPr="0058515B" w:rsidRDefault="0058515B" w:rsidP="0058515B">
      <w:r w:rsidRPr="0058515B">
        <w:t xml:space="preserve">Future research should use longitudinal designs and objective health measures to make the evidence stronger. Also, studies should include larger and more diverse samples to make the findings more general. Using </w:t>
      </w:r>
      <w:proofErr w:type="gramStart"/>
      <w:r w:rsidRPr="0058515B">
        <w:t>mixed-methods</w:t>
      </w:r>
      <w:proofErr w:type="gramEnd"/>
      <w:r w:rsidRPr="0058515B">
        <w:t xml:space="preserve"> approaches that combine surveys and interviews can give a better understanding of the complex relationships between illness beliefs, self-management </w:t>
      </w:r>
      <w:r w:rsidRPr="0058515B">
        <w:t>behaviours</w:t>
      </w:r>
      <w:r w:rsidRPr="0058515B">
        <w:t>, and health outcomes.</w:t>
      </w:r>
    </w:p>
    <w:p w14:paraId="0F97AD14" w14:textId="7139EBDB" w:rsidR="0058515B" w:rsidRPr="0058515B" w:rsidRDefault="0058515B" w:rsidP="0058515B">
      <w:r w:rsidRPr="0058515B">
        <w:t xml:space="preserve">The Common-Sense Model (CSM) of self-regulation gives a big framework for understanding how what people think about their illness affects their health in diabetes. The model's focus on mental and emotional pictures of illness gives valuable insights into the psychological stuff behind self-management </w:t>
      </w:r>
      <w:r w:rsidRPr="0058515B">
        <w:t>behaviours</w:t>
      </w:r>
      <w:r w:rsidRPr="0058515B">
        <w:t xml:space="preserve">. Studies show that what people think about their illness has </w:t>
      </w:r>
      <w:proofErr w:type="gramStart"/>
      <w:r w:rsidRPr="0058515B">
        <w:t>a big impact</w:t>
      </w:r>
      <w:proofErr w:type="gramEnd"/>
      <w:r w:rsidRPr="0058515B">
        <w:t xml:space="preserve"> on their health </w:t>
      </w:r>
      <w:r w:rsidRPr="0058515B">
        <w:t>behaviours</w:t>
      </w:r>
      <w:r w:rsidRPr="0058515B">
        <w:t xml:space="preserve"> and outcomes, showing how important the CSM is in diabetes management.</w:t>
      </w:r>
    </w:p>
    <w:p w14:paraId="48D78B97" w14:textId="70E1F198" w:rsidR="0058515B" w:rsidRPr="0058515B" w:rsidRDefault="0058515B" w:rsidP="0058515B">
      <w:r w:rsidRPr="0058515B">
        <w:lastRenderedPageBreak/>
        <w:t xml:space="preserve">Even though there's </w:t>
      </w:r>
      <w:proofErr w:type="gramStart"/>
      <w:r w:rsidRPr="0058515B">
        <w:t>strong support</w:t>
      </w:r>
      <w:proofErr w:type="gramEnd"/>
      <w:r w:rsidRPr="0058515B">
        <w:t xml:space="preserve"> for the CSM, there are some limits in the studies. </w:t>
      </w:r>
      <w:proofErr w:type="gramStart"/>
      <w:r w:rsidRPr="0058515B">
        <w:t>Many</w:t>
      </w:r>
      <w:proofErr w:type="gramEnd"/>
      <w:r w:rsidRPr="0058515B">
        <w:t xml:space="preserve"> studies use self-reported measures and cross-sectional designs, which makes it hard to say for sure if illness beliefs cause health outcomes and can be biased. To make the evidence stronger, future studies should use longitudinal designs, objective health measures, and bigger, more diverse samples. Using mixed-methods approaches can also help us understand the complex relationships between illness beliefs, self-management </w:t>
      </w:r>
      <w:r w:rsidRPr="0058515B">
        <w:t>behaviours</w:t>
      </w:r>
      <w:r w:rsidRPr="0058515B">
        <w:t>, and health outcomes better.</w:t>
      </w:r>
    </w:p>
    <w:p w14:paraId="101309F5" w14:textId="13FC4424" w:rsidR="0058515B" w:rsidRPr="0058515B" w:rsidRDefault="0058515B" w:rsidP="0058515B">
      <w:r w:rsidRPr="0058515B">
        <w:t xml:space="preserve">Overall, the CSM gives </w:t>
      </w:r>
      <w:proofErr w:type="gramStart"/>
      <w:r w:rsidRPr="0058515B">
        <w:t>a strong base</w:t>
      </w:r>
      <w:proofErr w:type="gramEnd"/>
      <w:r w:rsidRPr="0058515B">
        <w:t xml:space="preserve"> for making special plans to improve diabetes management. By addressing patients' illness beliefs, healthcare providers can make better strategies to improve self-management </w:t>
      </w:r>
      <w:r w:rsidRPr="0058515B">
        <w:t>behaviours</w:t>
      </w:r>
      <w:r w:rsidRPr="0058515B">
        <w:t xml:space="preserve"> and health outcomes for people with diabetes.</w:t>
      </w:r>
    </w:p>
    <w:p w14:paraId="688008AA" w14:textId="77777777" w:rsidR="00735053" w:rsidRDefault="00735053"/>
    <w:p w14:paraId="45E72955" w14:textId="77777777" w:rsidR="0058515B" w:rsidRPr="00D03B5F" w:rsidRDefault="0058515B" w:rsidP="0058515B">
      <w:pPr>
        <w:rPr>
          <w:b/>
          <w:bCs/>
        </w:rPr>
      </w:pPr>
      <w:r w:rsidRPr="00D03B5F">
        <w:rPr>
          <w:b/>
          <w:bCs/>
        </w:rPr>
        <w:t>References</w:t>
      </w:r>
    </w:p>
    <w:p w14:paraId="50296923" w14:textId="77777777" w:rsidR="0058515B" w:rsidRPr="00D03B5F" w:rsidRDefault="0058515B" w:rsidP="0058515B">
      <w:pPr>
        <w:numPr>
          <w:ilvl w:val="0"/>
          <w:numId w:val="1"/>
        </w:numPr>
      </w:pPr>
      <w:r w:rsidRPr="00D03B5F">
        <w:t xml:space="preserve">Breland, J. Y., Wong, J. J., &amp; McAndrew, L. M. (2020). Are Common Sense Model constructs and self-efficacy simultaneously correlated with self-management </w:t>
      </w:r>
      <w:proofErr w:type="spellStart"/>
      <w:r w:rsidRPr="00D03B5F">
        <w:t>behaviors</w:t>
      </w:r>
      <w:proofErr w:type="spellEnd"/>
      <w:r w:rsidRPr="00D03B5F">
        <w:t xml:space="preserve"> and health outcomes: A systematic review. </w:t>
      </w:r>
      <w:r w:rsidRPr="00D03B5F">
        <w:rPr>
          <w:i/>
          <w:iCs/>
        </w:rPr>
        <w:t>Health Psychology Open, 7</w:t>
      </w:r>
      <w:r w:rsidRPr="00D03B5F">
        <w:t>(1), Article 2055102919898846.</w:t>
      </w:r>
    </w:p>
    <w:p w14:paraId="5FB33396" w14:textId="77777777" w:rsidR="0058515B" w:rsidRPr="00D03B5F" w:rsidRDefault="0058515B" w:rsidP="0058515B">
      <w:pPr>
        <w:numPr>
          <w:ilvl w:val="0"/>
          <w:numId w:val="1"/>
        </w:numPr>
      </w:pPr>
      <w:r w:rsidRPr="00D03B5F">
        <w:t xml:space="preserve">Hagger, M. S., &amp; Orbell, S. (2003). A meta-analytic review of the common-sense model of illness representations. </w:t>
      </w:r>
      <w:r w:rsidRPr="00D03B5F">
        <w:rPr>
          <w:i/>
          <w:iCs/>
        </w:rPr>
        <w:t>Psychology &amp; Health, 18</w:t>
      </w:r>
      <w:r w:rsidRPr="00D03B5F">
        <w:t>(2), 141–184.</w:t>
      </w:r>
    </w:p>
    <w:p w14:paraId="78CEF374" w14:textId="77777777" w:rsidR="0058515B" w:rsidRPr="00D03B5F" w:rsidRDefault="0058515B" w:rsidP="0058515B">
      <w:pPr>
        <w:numPr>
          <w:ilvl w:val="0"/>
          <w:numId w:val="1"/>
        </w:numPr>
      </w:pPr>
      <w:r w:rsidRPr="00D03B5F">
        <w:t xml:space="preserve">Hale, E. D., Treharne, G. J., &amp; Kitas, G. D. (2007). The Common-Sense Model of self-regulation of health and illness: how can we use it to understand and respond to our patients’ needs? </w:t>
      </w:r>
      <w:r w:rsidRPr="00D03B5F">
        <w:rPr>
          <w:i/>
          <w:iCs/>
        </w:rPr>
        <w:t>Rheumatology, 46</w:t>
      </w:r>
      <w:r w:rsidRPr="00D03B5F">
        <w:t>(6), 904–906.</w:t>
      </w:r>
    </w:p>
    <w:p w14:paraId="365EB3E9" w14:textId="77777777" w:rsidR="0058515B" w:rsidRPr="00D03B5F" w:rsidRDefault="0058515B" w:rsidP="0058515B">
      <w:pPr>
        <w:numPr>
          <w:ilvl w:val="0"/>
          <w:numId w:val="1"/>
        </w:numPr>
      </w:pPr>
      <w:r w:rsidRPr="00D03B5F">
        <w:t xml:space="preserve">Leventhal, H., Brissette, I., &amp; Leventhal, E. A. (2003). The common-sense model of self-regulation of health and illness. In L. D. Cameron &amp; H. Leventhal (Eds.), </w:t>
      </w:r>
      <w:r w:rsidRPr="00D03B5F">
        <w:rPr>
          <w:i/>
          <w:iCs/>
        </w:rPr>
        <w:t>The self-regulation of health and illness behaviour</w:t>
      </w:r>
      <w:r w:rsidRPr="00D03B5F">
        <w:t xml:space="preserve"> (pp. 42-65). Routledge.</w:t>
      </w:r>
    </w:p>
    <w:p w14:paraId="6A28B467" w14:textId="77777777" w:rsidR="0058515B" w:rsidRDefault="0058515B" w:rsidP="0058515B">
      <w:pPr>
        <w:numPr>
          <w:ilvl w:val="0"/>
          <w:numId w:val="1"/>
        </w:numPr>
      </w:pPr>
      <w:r w:rsidRPr="00D03B5F">
        <w:t xml:space="preserve">McAndrew, L. M., Crede, M., Maestro, K., Slotkin, S., Kimber, J., &amp; Phillips, L. A. (2019). Using the common-sense model to understand health outcomes for medically unexplained symptoms: a meta-analysis. </w:t>
      </w:r>
      <w:r w:rsidRPr="00D03B5F">
        <w:rPr>
          <w:i/>
          <w:iCs/>
        </w:rPr>
        <w:t>Health Psychology Review, 13</w:t>
      </w:r>
      <w:r w:rsidRPr="00D03B5F">
        <w:t>(4), 427-446.</w:t>
      </w:r>
    </w:p>
    <w:p w14:paraId="369DCD8D" w14:textId="77777777" w:rsidR="0058515B" w:rsidRPr="00D45F8B" w:rsidRDefault="0058515B" w:rsidP="0058515B">
      <w:pPr>
        <w:numPr>
          <w:ilvl w:val="0"/>
          <w:numId w:val="1"/>
        </w:numPr>
      </w:pPr>
      <w:r w:rsidRPr="00D45F8B">
        <w:t xml:space="preserve">Patel, N. R., Chew-Graham, C., Bundy, C., Kennedy, A., Blickem, C., &amp; Reeves, D. (2015). Illness beliefs and the sociocultural context of diabetes self-management in British South Asians: A mixed methods study. </w:t>
      </w:r>
      <w:r w:rsidRPr="00D45F8B">
        <w:rPr>
          <w:i/>
          <w:iCs/>
        </w:rPr>
        <w:t>BMC Family Practice, 16</w:t>
      </w:r>
      <w:r w:rsidRPr="00D45F8B">
        <w:t>, Article 58. https://doi.org/10.1186/s12875-015-0278-6</w:t>
      </w:r>
    </w:p>
    <w:p w14:paraId="5EE376E8" w14:textId="77777777" w:rsidR="0058515B" w:rsidRPr="00D45F8B" w:rsidRDefault="0058515B" w:rsidP="0058515B">
      <w:pPr>
        <w:numPr>
          <w:ilvl w:val="0"/>
          <w:numId w:val="1"/>
        </w:numPr>
      </w:pPr>
      <w:r w:rsidRPr="00D45F8B">
        <w:t xml:space="preserve">von Arx, L. B. W., Gydesen, H., &amp; Skovlund, S. (2016). Treatment beliefs, health </w:t>
      </w:r>
      <w:proofErr w:type="spellStart"/>
      <w:r w:rsidRPr="00D45F8B">
        <w:t>behaviors</w:t>
      </w:r>
      <w:proofErr w:type="spellEnd"/>
      <w:r w:rsidRPr="00D45F8B">
        <w:t xml:space="preserve"> and their association with treatment outcome in type 2 diabetes. </w:t>
      </w:r>
      <w:r w:rsidRPr="00D45F8B">
        <w:rPr>
          <w:i/>
          <w:iCs/>
        </w:rPr>
        <w:t xml:space="preserve">BMJ </w:t>
      </w:r>
      <w:r w:rsidRPr="00D45F8B">
        <w:rPr>
          <w:i/>
          <w:iCs/>
        </w:rPr>
        <w:lastRenderedPageBreak/>
        <w:t>Open Diabetes Research &amp; Care, 4</w:t>
      </w:r>
      <w:r w:rsidRPr="00D45F8B">
        <w:t>(1), e000166. https://doi.org/10.1136/bmjdrc-2015-000166</w:t>
      </w:r>
    </w:p>
    <w:p w14:paraId="57559692" w14:textId="77777777" w:rsidR="0058515B" w:rsidRPr="00D45F8B" w:rsidRDefault="0058515B" w:rsidP="0058515B">
      <w:pPr>
        <w:numPr>
          <w:ilvl w:val="0"/>
          <w:numId w:val="1"/>
        </w:numPr>
      </w:pPr>
      <w:r w:rsidRPr="00D45F8B">
        <w:t xml:space="preserve">Zhang, H., Chen, D., Zou, P., Shao, J., Wu, J., Cui, N., Lin, S., Tang, L., Zheng, Q., Wang, X., &amp; Ye, Z. (2023). The integrated common-sense model of illness self-regulation: Predicting healthy eating, exercise </w:t>
      </w:r>
      <w:proofErr w:type="spellStart"/>
      <w:r w:rsidRPr="00D45F8B">
        <w:t>behaviors</w:t>
      </w:r>
      <w:proofErr w:type="spellEnd"/>
      <w:r w:rsidRPr="00D45F8B">
        <w:t xml:space="preserve">, and health among individuals at risk of metabolic syndrome. </w:t>
      </w:r>
      <w:r w:rsidRPr="00D45F8B">
        <w:rPr>
          <w:i/>
          <w:iCs/>
        </w:rPr>
        <w:t>BMC Public Health, 23</w:t>
      </w:r>
      <w:r w:rsidRPr="00D45F8B">
        <w:t>, Article 1486. https://doi.org/10.1186/s12889-023-1486-7</w:t>
      </w:r>
    </w:p>
    <w:p w14:paraId="097E3549" w14:textId="77777777" w:rsidR="0058515B" w:rsidRPr="00D03B5F" w:rsidRDefault="0058515B" w:rsidP="0058515B">
      <w:pPr>
        <w:numPr>
          <w:ilvl w:val="0"/>
          <w:numId w:val="1"/>
        </w:numPr>
      </w:pPr>
    </w:p>
    <w:p w14:paraId="49CEE79E" w14:textId="77777777" w:rsidR="0058515B" w:rsidRDefault="0058515B" w:rsidP="0058515B"/>
    <w:p w14:paraId="1CBB3190" w14:textId="77777777" w:rsidR="0058515B" w:rsidRDefault="0058515B"/>
    <w:sectPr w:rsidR="005851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FA6D34"/>
    <w:multiLevelType w:val="multilevel"/>
    <w:tmpl w:val="6FA8F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7079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15B"/>
    <w:rsid w:val="00175269"/>
    <w:rsid w:val="0058515B"/>
    <w:rsid w:val="00735053"/>
    <w:rsid w:val="008579FB"/>
    <w:rsid w:val="00AE00D1"/>
    <w:rsid w:val="00E70F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56560"/>
  <w15:chartTrackingRefBased/>
  <w15:docId w15:val="{D6761C5C-B3E6-4BBF-998A-534A5456C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51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51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51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51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51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51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51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51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51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51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51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51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51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51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51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51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51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515B"/>
    <w:rPr>
      <w:rFonts w:eastAsiaTheme="majorEastAsia" w:cstheme="majorBidi"/>
      <w:color w:val="272727" w:themeColor="text1" w:themeTint="D8"/>
    </w:rPr>
  </w:style>
  <w:style w:type="paragraph" w:styleId="Title">
    <w:name w:val="Title"/>
    <w:basedOn w:val="Normal"/>
    <w:next w:val="Normal"/>
    <w:link w:val="TitleChar"/>
    <w:uiPriority w:val="10"/>
    <w:qFormat/>
    <w:rsid w:val="005851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51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51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51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515B"/>
    <w:pPr>
      <w:spacing w:before="160"/>
      <w:jc w:val="center"/>
    </w:pPr>
    <w:rPr>
      <w:i/>
      <w:iCs/>
      <w:color w:val="404040" w:themeColor="text1" w:themeTint="BF"/>
    </w:rPr>
  </w:style>
  <w:style w:type="character" w:customStyle="1" w:styleId="QuoteChar">
    <w:name w:val="Quote Char"/>
    <w:basedOn w:val="DefaultParagraphFont"/>
    <w:link w:val="Quote"/>
    <w:uiPriority w:val="29"/>
    <w:rsid w:val="0058515B"/>
    <w:rPr>
      <w:i/>
      <w:iCs/>
      <w:color w:val="404040" w:themeColor="text1" w:themeTint="BF"/>
    </w:rPr>
  </w:style>
  <w:style w:type="paragraph" w:styleId="ListParagraph">
    <w:name w:val="List Paragraph"/>
    <w:basedOn w:val="Normal"/>
    <w:uiPriority w:val="34"/>
    <w:qFormat/>
    <w:rsid w:val="0058515B"/>
    <w:pPr>
      <w:ind w:left="720"/>
      <w:contextualSpacing/>
    </w:pPr>
  </w:style>
  <w:style w:type="character" w:styleId="IntenseEmphasis">
    <w:name w:val="Intense Emphasis"/>
    <w:basedOn w:val="DefaultParagraphFont"/>
    <w:uiPriority w:val="21"/>
    <w:qFormat/>
    <w:rsid w:val="0058515B"/>
    <w:rPr>
      <w:i/>
      <w:iCs/>
      <w:color w:val="0F4761" w:themeColor="accent1" w:themeShade="BF"/>
    </w:rPr>
  </w:style>
  <w:style w:type="paragraph" w:styleId="IntenseQuote">
    <w:name w:val="Intense Quote"/>
    <w:basedOn w:val="Normal"/>
    <w:next w:val="Normal"/>
    <w:link w:val="IntenseQuoteChar"/>
    <w:uiPriority w:val="30"/>
    <w:qFormat/>
    <w:rsid w:val="005851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515B"/>
    <w:rPr>
      <w:i/>
      <w:iCs/>
      <w:color w:val="0F4761" w:themeColor="accent1" w:themeShade="BF"/>
    </w:rPr>
  </w:style>
  <w:style w:type="character" w:styleId="IntenseReference">
    <w:name w:val="Intense Reference"/>
    <w:basedOn w:val="DefaultParagraphFont"/>
    <w:uiPriority w:val="32"/>
    <w:qFormat/>
    <w:rsid w:val="005851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398718">
      <w:bodyDiv w:val="1"/>
      <w:marLeft w:val="0"/>
      <w:marRight w:val="0"/>
      <w:marTop w:val="0"/>
      <w:marBottom w:val="0"/>
      <w:divBdr>
        <w:top w:val="none" w:sz="0" w:space="0" w:color="auto"/>
        <w:left w:val="none" w:sz="0" w:space="0" w:color="auto"/>
        <w:bottom w:val="none" w:sz="0" w:space="0" w:color="auto"/>
        <w:right w:val="none" w:sz="0" w:space="0" w:color="auto"/>
      </w:divBdr>
      <w:divsChild>
        <w:div w:id="808473396">
          <w:marLeft w:val="0"/>
          <w:marRight w:val="0"/>
          <w:marTop w:val="0"/>
          <w:marBottom w:val="0"/>
          <w:divBdr>
            <w:top w:val="none" w:sz="0" w:space="0" w:color="auto"/>
            <w:left w:val="none" w:sz="0" w:space="0" w:color="auto"/>
            <w:bottom w:val="none" w:sz="0" w:space="0" w:color="auto"/>
            <w:right w:val="none" w:sz="0" w:space="0" w:color="auto"/>
          </w:divBdr>
        </w:div>
      </w:divsChild>
    </w:div>
    <w:div w:id="386300394">
      <w:bodyDiv w:val="1"/>
      <w:marLeft w:val="0"/>
      <w:marRight w:val="0"/>
      <w:marTop w:val="0"/>
      <w:marBottom w:val="0"/>
      <w:divBdr>
        <w:top w:val="none" w:sz="0" w:space="0" w:color="auto"/>
        <w:left w:val="none" w:sz="0" w:space="0" w:color="auto"/>
        <w:bottom w:val="none" w:sz="0" w:space="0" w:color="auto"/>
        <w:right w:val="none" w:sz="0" w:space="0" w:color="auto"/>
      </w:divBdr>
      <w:divsChild>
        <w:div w:id="239825658">
          <w:marLeft w:val="0"/>
          <w:marRight w:val="0"/>
          <w:marTop w:val="0"/>
          <w:marBottom w:val="0"/>
          <w:divBdr>
            <w:top w:val="none" w:sz="0" w:space="0" w:color="auto"/>
            <w:left w:val="none" w:sz="0" w:space="0" w:color="auto"/>
            <w:bottom w:val="none" w:sz="0" w:space="0" w:color="auto"/>
            <w:right w:val="none" w:sz="0" w:space="0" w:color="auto"/>
          </w:divBdr>
        </w:div>
      </w:divsChild>
    </w:div>
    <w:div w:id="704984060">
      <w:bodyDiv w:val="1"/>
      <w:marLeft w:val="0"/>
      <w:marRight w:val="0"/>
      <w:marTop w:val="0"/>
      <w:marBottom w:val="0"/>
      <w:divBdr>
        <w:top w:val="none" w:sz="0" w:space="0" w:color="auto"/>
        <w:left w:val="none" w:sz="0" w:space="0" w:color="auto"/>
        <w:bottom w:val="none" w:sz="0" w:space="0" w:color="auto"/>
        <w:right w:val="none" w:sz="0" w:space="0" w:color="auto"/>
      </w:divBdr>
      <w:divsChild>
        <w:div w:id="857505218">
          <w:marLeft w:val="0"/>
          <w:marRight w:val="0"/>
          <w:marTop w:val="0"/>
          <w:marBottom w:val="0"/>
          <w:divBdr>
            <w:top w:val="none" w:sz="0" w:space="0" w:color="auto"/>
            <w:left w:val="none" w:sz="0" w:space="0" w:color="auto"/>
            <w:bottom w:val="none" w:sz="0" w:space="0" w:color="auto"/>
            <w:right w:val="none" w:sz="0" w:space="0" w:color="auto"/>
          </w:divBdr>
        </w:div>
      </w:divsChild>
    </w:div>
    <w:div w:id="842865787">
      <w:bodyDiv w:val="1"/>
      <w:marLeft w:val="0"/>
      <w:marRight w:val="0"/>
      <w:marTop w:val="0"/>
      <w:marBottom w:val="0"/>
      <w:divBdr>
        <w:top w:val="none" w:sz="0" w:space="0" w:color="auto"/>
        <w:left w:val="none" w:sz="0" w:space="0" w:color="auto"/>
        <w:bottom w:val="none" w:sz="0" w:space="0" w:color="auto"/>
        <w:right w:val="none" w:sz="0" w:space="0" w:color="auto"/>
      </w:divBdr>
      <w:divsChild>
        <w:div w:id="1467625707">
          <w:marLeft w:val="0"/>
          <w:marRight w:val="0"/>
          <w:marTop w:val="0"/>
          <w:marBottom w:val="0"/>
          <w:divBdr>
            <w:top w:val="none" w:sz="0" w:space="0" w:color="auto"/>
            <w:left w:val="none" w:sz="0" w:space="0" w:color="auto"/>
            <w:bottom w:val="none" w:sz="0" w:space="0" w:color="auto"/>
            <w:right w:val="none" w:sz="0" w:space="0" w:color="auto"/>
          </w:divBdr>
        </w:div>
      </w:divsChild>
    </w:div>
    <w:div w:id="1309935578">
      <w:bodyDiv w:val="1"/>
      <w:marLeft w:val="0"/>
      <w:marRight w:val="0"/>
      <w:marTop w:val="0"/>
      <w:marBottom w:val="0"/>
      <w:divBdr>
        <w:top w:val="none" w:sz="0" w:space="0" w:color="auto"/>
        <w:left w:val="none" w:sz="0" w:space="0" w:color="auto"/>
        <w:bottom w:val="none" w:sz="0" w:space="0" w:color="auto"/>
        <w:right w:val="none" w:sz="0" w:space="0" w:color="auto"/>
      </w:divBdr>
      <w:divsChild>
        <w:div w:id="594483964">
          <w:marLeft w:val="0"/>
          <w:marRight w:val="0"/>
          <w:marTop w:val="0"/>
          <w:marBottom w:val="0"/>
          <w:divBdr>
            <w:top w:val="none" w:sz="0" w:space="0" w:color="auto"/>
            <w:left w:val="none" w:sz="0" w:space="0" w:color="auto"/>
            <w:bottom w:val="none" w:sz="0" w:space="0" w:color="auto"/>
            <w:right w:val="none" w:sz="0" w:space="0" w:color="auto"/>
          </w:divBdr>
        </w:div>
      </w:divsChild>
    </w:div>
    <w:div w:id="1360936861">
      <w:bodyDiv w:val="1"/>
      <w:marLeft w:val="0"/>
      <w:marRight w:val="0"/>
      <w:marTop w:val="0"/>
      <w:marBottom w:val="0"/>
      <w:divBdr>
        <w:top w:val="none" w:sz="0" w:space="0" w:color="auto"/>
        <w:left w:val="none" w:sz="0" w:space="0" w:color="auto"/>
        <w:bottom w:val="none" w:sz="0" w:space="0" w:color="auto"/>
        <w:right w:val="none" w:sz="0" w:space="0" w:color="auto"/>
      </w:divBdr>
      <w:divsChild>
        <w:div w:id="1537081826">
          <w:marLeft w:val="0"/>
          <w:marRight w:val="0"/>
          <w:marTop w:val="0"/>
          <w:marBottom w:val="0"/>
          <w:divBdr>
            <w:top w:val="none" w:sz="0" w:space="0" w:color="auto"/>
            <w:left w:val="none" w:sz="0" w:space="0" w:color="auto"/>
            <w:bottom w:val="none" w:sz="0" w:space="0" w:color="auto"/>
            <w:right w:val="none" w:sz="0" w:space="0" w:color="auto"/>
          </w:divBdr>
        </w:div>
      </w:divsChild>
    </w:div>
    <w:div w:id="1468546254">
      <w:bodyDiv w:val="1"/>
      <w:marLeft w:val="0"/>
      <w:marRight w:val="0"/>
      <w:marTop w:val="0"/>
      <w:marBottom w:val="0"/>
      <w:divBdr>
        <w:top w:val="none" w:sz="0" w:space="0" w:color="auto"/>
        <w:left w:val="none" w:sz="0" w:space="0" w:color="auto"/>
        <w:bottom w:val="none" w:sz="0" w:space="0" w:color="auto"/>
        <w:right w:val="none" w:sz="0" w:space="0" w:color="auto"/>
      </w:divBdr>
      <w:divsChild>
        <w:div w:id="2032292682">
          <w:marLeft w:val="0"/>
          <w:marRight w:val="0"/>
          <w:marTop w:val="0"/>
          <w:marBottom w:val="0"/>
          <w:divBdr>
            <w:top w:val="none" w:sz="0" w:space="0" w:color="auto"/>
            <w:left w:val="none" w:sz="0" w:space="0" w:color="auto"/>
            <w:bottom w:val="none" w:sz="0" w:space="0" w:color="auto"/>
            <w:right w:val="none" w:sz="0" w:space="0" w:color="auto"/>
          </w:divBdr>
        </w:div>
      </w:divsChild>
    </w:div>
    <w:div w:id="1596135156">
      <w:bodyDiv w:val="1"/>
      <w:marLeft w:val="0"/>
      <w:marRight w:val="0"/>
      <w:marTop w:val="0"/>
      <w:marBottom w:val="0"/>
      <w:divBdr>
        <w:top w:val="none" w:sz="0" w:space="0" w:color="auto"/>
        <w:left w:val="none" w:sz="0" w:space="0" w:color="auto"/>
        <w:bottom w:val="none" w:sz="0" w:space="0" w:color="auto"/>
        <w:right w:val="none" w:sz="0" w:space="0" w:color="auto"/>
      </w:divBdr>
      <w:divsChild>
        <w:div w:id="1243947740">
          <w:marLeft w:val="0"/>
          <w:marRight w:val="0"/>
          <w:marTop w:val="0"/>
          <w:marBottom w:val="0"/>
          <w:divBdr>
            <w:top w:val="none" w:sz="0" w:space="0" w:color="auto"/>
            <w:left w:val="none" w:sz="0" w:space="0" w:color="auto"/>
            <w:bottom w:val="none" w:sz="0" w:space="0" w:color="auto"/>
            <w:right w:val="none" w:sz="0" w:space="0" w:color="auto"/>
          </w:divBdr>
        </w:div>
      </w:divsChild>
    </w:div>
    <w:div w:id="1834836767">
      <w:bodyDiv w:val="1"/>
      <w:marLeft w:val="0"/>
      <w:marRight w:val="0"/>
      <w:marTop w:val="0"/>
      <w:marBottom w:val="0"/>
      <w:divBdr>
        <w:top w:val="none" w:sz="0" w:space="0" w:color="auto"/>
        <w:left w:val="none" w:sz="0" w:space="0" w:color="auto"/>
        <w:bottom w:val="none" w:sz="0" w:space="0" w:color="auto"/>
        <w:right w:val="none" w:sz="0" w:space="0" w:color="auto"/>
      </w:divBdr>
      <w:divsChild>
        <w:div w:id="46998637">
          <w:marLeft w:val="0"/>
          <w:marRight w:val="0"/>
          <w:marTop w:val="0"/>
          <w:marBottom w:val="0"/>
          <w:divBdr>
            <w:top w:val="none" w:sz="0" w:space="0" w:color="auto"/>
            <w:left w:val="none" w:sz="0" w:space="0" w:color="auto"/>
            <w:bottom w:val="none" w:sz="0" w:space="0" w:color="auto"/>
            <w:right w:val="none" w:sz="0" w:space="0" w:color="auto"/>
          </w:divBdr>
        </w:div>
      </w:divsChild>
    </w:div>
    <w:div w:id="2125803844">
      <w:bodyDiv w:val="1"/>
      <w:marLeft w:val="0"/>
      <w:marRight w:val="0"/>
      <w:marTop w:val="0"/>
      <w:marBottom w:val="0"/>
      <w:divBdr>
        <w:top w:val="none" w:sz="0" w:space="0" w:color="auto"/>
        <w:left w:val="none" w:sz="0" w:space="0" w:color="auto"/>
        <w:bottom w:val="none" w:sz="0" w:space="0" w:color="auto"/>
        <w:right w:val="none" w:sz="0" w:space="0" w:color="auto"/>
      </w:divBdr>
      <w:divsChild>
        <w:div w:id="16193363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82BC6CFA-B49E-4C56-91D9-8A042816E1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97CADA-E094-44B2-A3D5-2DC40559554C}">
  <ds:schemaRefs>
    <ds:schemaRef ds:uri="http://schemas.microsoft.com/sharepoint/v3/contenttype/forms"/>
  </ds:schemaRefs>
</ds:datastoreItem>
</file>

<file path=customXml/itemProps3.xml><?xml version="1.0" encoding="utf-8"?>
<ds:datastoreItem xmlns:ds="http://schemas.openxmlformats.org/officeDocument/2006/customXml" ds:itemID="{C1EDC36A-5E55-4627-9D6F-162BE82EA72D}">
  <ds:schemaRefs>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purl.org/dc/terms/"/>
    <ds:schemaRef ds:uri="1084fe36-8241-4751-a893-1fa9f44ff207"/>
    <ds:schemaRef ds:uri="http://www.w3.org/XML/1998/namespace"/>
    <ds:schemaRef ds:uri="http://schemas.openxmlformats.org/package/2006/metadata/core-properties"/>
    <ds:schemaRef ds:uri="58fca413-3b36-4298-af2b-d24aa1f4750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2169</Words>
  <Characters>12369</Characters>
  <Application>Microsoft Office Word</Application>
  <DocSecurity>0</DocSecurity>
  <Lines>103</Lines>
  <Paragraphs>29</Paragraphs>
  <ScaleCrop>false</ScaleCrop>
  <Company>University of Wales Trinity Saint David</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1</cp:revision>
  <dcterms:created xsi:type="dcterms:W3CDTF">2025-02-25T12:12:00Z</dcterms:created>
  <dcterms:modified xsi:type="dcterms:W3CDTF">2025-02-25T12:21:00Z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