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752936"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Introduction</w:t>
      </w:r>
    </w:p>
    <w:p w14:paraId="2ABAE19F"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This business proposal outlines the development of an inclusive early years initiative designed to challenge gender stereotyping in toys and play while supporting children’s holistic development. The concept centres on delivering structured online and in-person educational sessions to early years settings, schools, and parents, alongside accessible guidance materials. The initiative is grounded in the principle that children should be able to explore play freely, without limitation based on gender expectations, and that such freedom supports their cognitive, emotional, and social development.</w:t>
      </w:r>
    </w:p>
    <w:p w14:paraId="5E6E64E8"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The service will target children from birth onwards by working primarily with the adults responsible for shaping their environments, including practitioners, parents, and carers. Through professional training, seminars, and workshops, the initiative aims to encourage inclusive practice, raise awareness of the developmental implications of stereotyping, and promote environments that enable all children to access diverse learning experiences.</w:t>
      </w:r>
    </w:p>
    <w:p w14:paraId="4C21F172"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Explanation of the Business Idea</w:t>
      </w:r>
    </w:p>
    <w:p w14:paraId="4D388219"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The proposed initiative focuses on reducing gender stereotyping in early childhood play by educating those who influence children’s learning environments. It will operate as an educational and developmental service rather than a commercial retail enterprise, providing evidence-informed seminars, practitioner training, and parental guidance. Delivery will take place through a blended model, including in-person workshops within early years settings and schools, as well as online sessions and digital resources to ensure accessibility and scalability.</w:t>
      </w:r>
    </w:p>
    <w:p w14:paraId="0BE3D134"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The core purpose of the initiative is to support adults in recognising how gender expectations can shape children’s play opportunities and to provide practical strategies to create inclusive environments. This includes guidance on toy selection, classroom organisation, language use, and adult interaction. By focusing on the environments children experience daily, the initiative seeks to create long-term change in early childhood practice.</w:t>
      </w:r>
    </w:p>
    <w:p w14:paraId="3DDD5C62"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Links to Early Years Development</w:t>
      </w:r>
    </w:p>
    <w:p w14:paraId="702DE0AF"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Early childhood represents a critical period for development, during which children begin forming their sense of identity, social understanding, and attitudes toward themselves and others. Play is central to this process, as it supports language acquisition, emotional expression, creativity, and problem-solving skills. Research demonstrates that when children are provided with diverse play opportunities, they are more likely to develop a wider range of competencies and social skills (Department for Education, 2023; UNICEF, 2022).</w:t>
      </w:r>
    </w:p>
    <w:p w14:paraId="2B11858C"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 xml:space="preserve">Gender stereotyping in toys and activities can restrict these opportunities by encouraging children to engage only in activities perceived as appropriate for their gender. For example, construction play supports spatial reasoning and critical thinking, while role play supports empathy and communication. Limiting access to </w:t>
      </w:r>
      <w:r w:rsidRPr="000F29C7">
        <w:rPr>
          <w:rFonts w:ascii="Arial" w:hAnsi="Arial" w:cs="Arial"/>
          <w:color w:val="222222"/>
        </w:rPr>
        <w:lastRenderedPageBreak/>
        <w:t>such experiences may influence developmental outcomes and reinforce inequalities (OECD, 2021).</w:t>
      </w:r>
    </w:p>
    <w:p w14:paraId="5A3D1BF5"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Inclusive play environments enable children to explore interests without restriction, which supports confidence, self-expression, and emotional wellbeing. These outcomes align with early years frameworks that emphasise child-centred learning, inclusive practice, and the importance of enabling environments (Department for Education, 2023). By promoting inclusive play, the initiative directly supports early childhood development across cognitive, social, emotional, and physical domains.</w:t>
      </w:r>
    </w:p>
    <w:p w14:paraId="75666682"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Benefits and Their Connection to Development</w:t>
      </w:r>
    </w:p>
    <w:p w14:paraId="747787A1"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The benefits of this initiative extend across multiple aspects of early childhood development. Children who are exposed to diverse play experiences are more likely to develop broader skill sets, including communication, collaboration, and resilience. They are also more likely to demonstrate confidence in exploring new activities and expressing their identities. Inclusive environments foster a sense of belonging and acceptance, which contributes positively to wellbeing and engagement in learning (UNICEF, 2022).</w:t>
      </w:r>
    </w:p>
    <w:p w14:paraId="289B15D0"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For families, the initiative provides guidance on supporting children’s development through play, helping parents recognise the importance of offering varied experiences and avoiding restrictive expectations. For practitioners, the service supports professional development by providing practical strategies that align with inclusion policies and early years frameworks.</w:t>
      </w:r>
    </w:p>
    <w:p w14:paraId="60A09CCF"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Collectively, these benefits contribute to improved developmental outcomes by ensuring that children are not constrained by societal expectations and can access experiences that support holistic growth.</w:t>
      </w:r>
    </w:p>
    <w:p w14:paraId="0CAC9FA6"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Target Audience and Stakeholders</w:t>
      </w:r>
    </w:p>
    <w:p w14:paraId="55754CBD"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The primary audience for this initiative includes early years practitioners, nursery and preschool staff, and primary school educators who shape children’s daily learning environments. Parents and carers also form a central audience, as their attitudes and behaviours significantly influence children’s play experiences and identity development. Children themselves are indirect beneficiaries, as the initiative focuses on improving the environments and practices that affect their development.</w:t>
      </w:r>
    </w:p>
    <w:p w14:paraId="100DD9A9"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Key stakeholders include early years settings, schools, local authorities, community organisations, and child development professionals. These groups play a role in supporting implementation, providing access to participants, and influencing the sustainability of the initiative. Collaboration with stakeholders will also enhance credibility and ensure that the initiative aligns with current policy priorities around inclusion and equality.</w:t>
      </w:r>
    </w:p>
    <w:p w14:paraId="7E63EA8D"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Barriers and Challenges</w:t>
      </w:r>
    </w:p>
    <w:p w14:paraId="5A2A3256"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 xml:space="preserve">Despite the potential benefits, several barriers may affect the implementation of this initiative. Societal attitudes towards gender remain deeply embedded, and some </w:t>
      </w:r>
      <w:r w:rsidRPr="000F29C7">
        <w:rPr>
          <w:rFonts w:ascii="Arial" w:hAnsi="Arial" w:cs="Arial"/>
          <w:color w:val="222222"/>
        </w:rPr>
        <w:lastRenderedPageBreak/>
        <w:t>families or practitioners may resist changes to traditional expectations. This highlights the need for sensitive, evidence-based communication and an emphasis on child development rather than ideology.</w:t>
      </w:r>
    </w:p>
    <w:p w14:paraId="1FD9E489"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Financial sustainability also presents a challenge, particularly in the early stages of the business. As a student-led initiative, securing funding and establishing a client base may require time and strategic partnerships. Additionally, early years settings often face budget constraints, which may limit access to training services.</w:t>
      </w:r>
    </w:p>
    <w:p w14:paraId="052126B4"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Another challenge relates to awareness. Some adults may not recognise the impact of gender stereotyping on development and may therefore view the initiative as unnecessary. Addressing this requires clear communication of developmental benefits and alignment with early years policy frameworks.</w:t>
      </w:r>
    </w:p>
    <w:p w14:paraId="63D66D14"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Personal Suitability and Motivation</w:t>
      </w:r>
    </w:p>
    <w:p w14:paraId="3423801E"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I believe I am well placed to develop and deliver this initiative due to my commitment to inclusive early childhood practice and my belief that children should not be limited by gender expectations. I strongly value the idea that toys and play experiences should be accessible to all children, allowing them to express themselves freely and develop according to their interests rather than societal assumptions.</w:t>
      </w:r>
    </w:p>
    <w:p w14:paraId="50F6CF4C"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My academic studies in early childhood education have provided me with an understanding of developmental theory, inclusive practice, and the importance of enabling environments. This knowledge, combined with personal motivation, supports my ability to design and deliver sessions that are both evidence-based and practical. My perspective aligns with child-centred approaches that prioritise wellbeing, identity development, and equality of opportunity.</w:t>
      </w:r>
    </w:p>
    <w:p w14:paraId="277B6CA1"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Conclusion</w:t>
      </w:r>
    </w:p>
    <w:p w14:paraId="4503240B"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This business proposal presents an initiative designed to support inclusive play and reduce gender stereotyping in early childhood environments. By educating practitioners and parents through workshops, seminars, and resources, the initiative aims to create environments that support holistic development and enable children to explore freely. The concept aligns closely with early years frameworks, developmental research, and inclusion policies, demonstrating both relevance and value.</w:t>
      </w:r>
    </w:p>
    <w:p w14:paraId="248AA5BF"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Although challenges such as funding, awareness, and societal attitudes exist, the potential benefits for children’s development and wellbeing provide strong justification for the initiative. Supporting inclusive play from an early age contributes to confidence, resilience, and social understanding, reinforcing the importance of addressing gender stereotyping within early childhood practice.</w:t>
      </w:r>
    </w:p>
    <w:p w14:paraId="76054B81" w14:textId="77777777" w:rsidR="000F29C7" w:rsidRPr="000F29C7" w:rsidRDefault="000F29C7" w:rsidP="000F29C7">
      <w:pPr>
        <w:spacing w:before="100" w:beforeAutospacing="1" w:after="100" w:afterAutospacing="1"/>
        <w:rPr>
          <w:rFonts w:ascii="Arial" w:hAnsi="Arial" w:cs="Arial"/>
          <w:color w:val="222222"/>
        </w:rPr>
      </w:pPr>
    </w:p>
    <w:p w14:paraId="442E79C4"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Reference List (Harvard Style)</w:t>
      </w:r>
    </w:p>
    <w:p w14:paraId="46022F3E"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lastRenderedPageBreak/>
        <w:t>Blakemore, J.E.O. and Centers, R.E. (2021) ‘Characteristics of boys’ and girls’ toys and gender role development’, Journal of Applied Developmental Psychology, 42, pp. 1–10.</w:t>
      </w:r>
    </w:p>
    <w:p w14:paraId="5CDB2B99"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Department for Education (2023) Statutory framework for the early years foundation stage. London: DfE.</w:t>
      </w:r>
    </w:p>
    <w:p w14:paraId="5F2470C2"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OECD (2021) Starting Strong VI: Supporting meaningful interactions in early childhood education and care. Paris: OECD Publishing.</w:t>
      </w:r>
    </w:p>
    <w:p w14:paraId="1406BD10"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UNICEF (2022) Learning through play: Strengthening learning through play in early childhood education programmes. New York: UNICEF.</w:t>
      </w:r>
    </w:p>
    <w:p w14:paraId="618FC895" w14:textId="77777777" w:rsidR="000F29C7" w:rsidRPr="000F29C7" w:rsidRDefault="000F29C7" w:rsidP="000F29C7">
      <w:pPr>
        <w:spacing w:before="100" w:beforeAutospacing="1" w:after="100" w:afterAutospacing="1"/>
        <w:rPr>
          <w:rFonts w:ascii="Arial" w:hAnsi="Arial" w:cs="Arial"/>
          <w:color w:val="222222"/>
        </w:rPr>
      </w:pPr>
    </w:p>
    <w:p w14:paraId="640ED7B0"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Part 2: Critical and Reflective Analysis of the Business Idea in Relation to Early Years Development, Policy, and Practice</w:t>
      </w:r>
    </w:p>
    <w:p w14:paraId="287579CB"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This section critically evaluates the proposed business concept—delivering inclusive, non-stereotypical play and toy guidance through online resources and in-person workshops—within the context of early years development, Welsh educational practice, and the wider socio-cultural landscape. It explores how the idea aligns with current policy and legal frameworks, examines cultural barriers, and presents a detailed PESTLE analysis linked to the Curriculum for Wales.</w:t>
      </w:r>
    </w:p>
    <w:p w14:paraId="3DCE2814" w14:textId="77777777" w:rsidR="000F29C7" w:rsidRPr="000F29C7" w:rsidRDefault="000F29C7" w:rsidP="000F29C7">
      <w:pPr>
        <w:spacing w:before="100" w:beforeAutospacing="1" w:after="100" w:afterAutospacing="1"/>
        <w:rPr>
          <w:rFonts w:ascii="Arial" w:hAnsi="Arial" w:cs="Arial"/>
          <w:color w:val="222222"/>
        </w:rPr>
      </w:pPr>
    </w:p>
    <w:p w14:paraId="28E45E1C"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Critical Links Between the Business Idea and Early Years Development</w:t>
      </w:r>
    </w:p>
    <w:p w14:paraId="5BFB1FA7"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The business concept is grounded in the understanding that early childhood experiences significantly shape identity formation, social relationships, and cognitive development. Within early years pedagogy, play is widely recognised as a primary vehicle for learning and self-expression. The proposed approach seeks to challenge gender stereotyping in toys and play, thereby encouraging children to explore a broader range of roles, skills, and identities.</w:t>
      </w:r>
    </w:p>
    <w:p w14:paraId="4BFA2E72"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From a developmental perspective, non-stereotypical play opportunities can support children’s personal and social development by allowing them to form identities based on interests rather than societal expectations. This aligns with the Curriculum for Wales’ emphasis on developing confident individuals and ethical, informed citizens through inclusive and meaningful learning experiences. High-quality early education is recognised as essential to children’s long-term development and lifelong learning, particularly when it aligns with child development principles and real-world experiences (Welsh Government, 2022). </w:t>
      </w:r>
    </w:p>
    <w:p w14:paraId="57D4B104"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 xml:space="preserve">The business model promotes environments where children can participate freely in play regardless of gender norms, supporting emotional wellbeing and self-esteem. By encouraging inclusive play, the initiative also supports communication and collaboration skills, as children engage with peers across diverse play contexts. These experiences reflect rights-based approaches in education, where equality, </w:t>
      </w:r>
      <w:r w:rsidRPr="000F29C7">
        <w:rPr>
          <w:rFonts w:ascii="Arial" w:hAnsi="Arial" w:cs="Arial"/>
          <w:color w:val="222222"/>
        </w:rPr>
        <w:lastRenderedPageBreak/>
        <w:t>participation and empowerment are central to practice. A children’s rights approach emphasises non-discrimination, participation, and empowerment within educational settings, positioning children as active agents in their learning (Children’s Commissioner for Wales, 2023). </w:t>
      </w:r>
    </w:p>
    <w:p w14:paraId="1597CBFC"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Importantly, this approach moves beyond simple inclusion to challenge structural biases in early years environments, contributing to a more equitable learning culture.</w:t>
      </w:r>
    </w:p>
    <w:p w14:paraId="7B793ABD" w14:textId="77777777" w:rsidR="000F29C7" w:rsidRPr="000F29C7" w:rsidRDefault="000F29C7" w:rsidP="000F29C7">
      <w:pPr>
        <w:spacing w:before="100" w:beforeAutospacing="1" w:after="100" w:afterAutospacing="1"/>
        <w:rPr>
          <w:rFonts w:ascii="Arial" w:hAnsi="Arial" w:cs="Arial"/>
          <w:color w:val="222222"/>
        </w:rPr>
      </w:pPr>
    </w:p>
    <w:p w14:paraId="74CF6DB3"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Reflection on Barriers and Cultural Challenges</w:t>
      </w:r>
    </w:p>
    <w:p w14:paraId="54B074C5"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Despite its potential benefits, the implementation of this business idea may encounter significant barriers, particularly those linked to cultural expectations and societal norms. Gendered perceptions of toys remain deeply embedded within families, communities, and commercial markets. Some parents or practitioners may perceive non-stereotypical play as conflicting with personal beliefs, traditions, or religious values.</w:t>
      </w:r>
    </w:p>
    <w:p w14:paraId="107C9671"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Cultural resistance may also emerge from broader societal messaging reinforced through media and marketing, where toys are frequently categorised by gender. This may create reluctance among stakeholders to engage with the initiative, particularly if it is viewed as challenging established norms rather than supporting children’s development.</w:t>
      </w:r>
    </w:p>
    <w:p w14:paraId="16A41D9B"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To overcome these barriers, the business must adopt a culturally sensitive approach that emphasises child wellbeing, development, and choice rather than ideological change. Engagement strategies could include:</w:t>
      </w:r>
    </w:p>
    <w:p w14:paraId="311091C2" w14:textId="77777777" w:rsidR="000F29C7" w:rsidRPr="000F29C7" w:rsidRDefault="000F29C7" w:rsidP="000F29C7">
      <w:pPr>
        <w:numPr>
          <w:ilvl w:val="0"/>
          <w:numId w:val="1"/>
        </w:numPr>
        <w:spacing w:before="100" w:beforeAutospacing="1" w:after="100" w:afterAutospacing="1"/>
        <w:ind w:left="945"/>
        <w:rPr>
          <w:rFonts w:ascii="Arial" w:hAnsi="Arial" w:cs="Arial"/>
          <w:color w:val="222222"/>
        </w:rPr>
      </w:pPr>
      <w:r w:rsidRPr="000F29C7">
        <w:rPr>
          <w:rFonts w:ascii="Arial" w:hAnsi="Arial" w:cs="Arial"/>
          <w:color w:val="222222"/>
        </w:rPr>
        <w:t>Providing evidence-based guidance for practitioners and parents.</w:t>
      </w:r>
    </w:p>
    <w:p w14:paraId="63B4A022" w14:textId="77777777" w:rsidR="000F29C7" w:rsidRPr="000F29C7" w:rsidRDefault="000F29C7" w:rsidP="000F29C7">
      <w:pPr>
        <w:numPr>
          <w:ilvl w:val="0"/>
          <w:numId w:val="1"/>
        </w:numPr>
        <w:spacing w:before="100" w:beforeAutospacing="1" w:after="100" w:afterAutospacing="1"/>
        <w:ind w:left="945"/>
        <w:rPr>
          <w:rFonts w:ascii="Arial" w:hAnsi="Arial" w:cs="Arial"/>
          <w:color w:val="222222"/>
        </w:rPr>
      </w:pPr>
      <w:r w:rsidRPr="000F29C7">
        <w:rPr>
          <w:rFonts w:ascii="Arial" w:hAnsi="Arial" w:cs="Arial"/>
          <w:color w:val="222222"/>
        </w:rPr>
        <w:t>Framing discussions around children’s rights and developmental benefits.</w:t>
      </w:r>
    </w:p>
    <w:p w14:paraId="23701E55" w14:textId="77777777" w:rsidR="000F29C7" w:rsidRPr="000F29C7" w:rsidRDefault="000F29C7" w:rsidP="000F29C7">
      <w:pPr>
        <w:numPr>
          <w:ilvl w:val="0"/>
          <w:numId w:val="1"/>
        </w:numPr>
        <w:spacing w:before="100" w:beforeAutospacing="1" w:after="100" w:afterAutospacing="1"/>
        <w:ind w:left="945"/>
        <w:rPr>
          <w:rFonts w:ascii="Arial" w:hAnsi="Arial" w:cs="Arial"/>
          <w:color w:val="222222"/>
        </w:rPr>
      </w:pPr>
      <w:r w:rsidRPr="000F29C7">
        <w:rPr>
          <w:rFonts w:ascii="Arial" w:hAnsi="Arial" w:cs="Arial"/>
          <w:color w:val="222222"/>
        </w:rPr>
        <w:t>Collaborating with early years professionals to embed inclusive practice gradually.</w:t>
      </w:r>
    </w:p>
    <w:p w14:paraId="1F485E86"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Policies promoting equality and non-discrimination within Welsh education support this direction. Educational organisations are required to prevent discrimination and ensure fair treatment across protected characteristics such as gender and identity (Estyn, 2024). </w:t>
      </w:r>
    </w:p>
    <w:p w14:paraId="365F04A3"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By aligning with established equality frameworks, the initiative can position itself as supportive rather than disruptive, increasing acceptance among stakeholders.</w:t>
      </w:r>
    </w:p>
    <w:p w14:paraId="76419F67" w14:textId="77777777" w:rsidR="000F29C7" w:rsidRPr="000F29C7" w:rsidRDefault="000F29C7" w:rsidP="000F29C7">
      <w:pPr>
        <w:spacing w:before="100" w:beforeAutospacing="1" w:after="100" w:afterAutospacing="1"/>
        <w:rPr>
          <w:rFonts w:ascii="Arial" w:hAnsi="Arial" w:cs="Arial"/>
          <w:color w:val="222222"/>
        </w:rPr>
      </w:pPr>
    </w:p>
    <w:p w14:paraId="4E8D297A"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Links to Current Practice, Policy and Legal Frameworks</w:t>
      </w:r>
    </w:p>
    <w:p w14:paraId="187D1F4A"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The business aligns with several key policy developments shaping early years provision in Wales. The Curriculum and Assessment (Wales) Act 2021 emphasises inclusive learning, equality, and the development of ethical citizens. A rights-based approach to education encourages participation, empowerment, and non-</w:t>
      </w:r>
      <w:r w:rsidRPr="000F29C7">
        <w:rPr>
          <w:rFonts w:ascii="Arial" w:hAnsi="Arial" w:cs="Arial"/>
          <w:color w:val="222222"/>
        </w:rPr>
        <w:lastRenderedPageBreak/>
        <w:t>discrimination across learning environments (Children’s Commissioner for Wales, 2023). </w:t>
      </w:r>
    </w:p>
    <w:p w14:paraId="132617ED"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Additionally, equality legislation and public sector duties require education providers to actively promote fairness and inclusion. These frameworks support the business’s emphasis on removing stereotypical barriers in play.</w:t>
      </w:r>
    </w:p>
    <w:p w14:paraId="3770A1DC"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Current practice within early years settings increasingly values child-centred learning, where play is shaped by children’s interests rather than predetermined expectations. The proposed initiative complements this practice by providing training and resources that support practitioners to reflect on unconscious bias and improve inclusive provision.</w:t>
      </w:r>
    </w:p>
    <w:p w14:paraId="76FE48B0" w14:textId="77777777" w:rsidR="000F29C7" w:rsidRPr="000F29C7" w:rsidRDefault="000F29C7" w:rsidP="000F29C7">
      <w:pPr>
        <w:spacing w:before="100" w:beforeAutospacing="1" w:after="100" w:afterAutospacing="1"/>
        <w:rPr>
          <w:rFonts w:ascii="Arial" w:hAnsi="Arial" w:cs="Arial"/>
          <w:color w:val="222222"/>
        </w:rPr>
      </w:pPr>
    </w:p>
    <w:p w14:paraId="14378AFD"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Links to the Curriculum for Wales</w:t>
      </w:r>
    </w:p>
    <w:p w14:paraId="31DBD9E9"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The Curriculum for Wales is designed as a holistic framework supporting children aged 3–16 through continuous development. It prioritises experiences that support wellbeing, identity, and lifelong learning. Early education is viewed as foundational to developing skills, knowledge, and attitudes necessary for active citizenship and future learning (Welsh Government, 2022). </w:t>
      </w:r>
    </w:p>
    <w:p w14:paraId="5A439CDB"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The business aligns with the curriculum’s four purposes, particularly:</w:t>
      </w:r>
    </w:p>
    <w:p w14:paraId="6EE555E6" w14:textId="77777777" w:rsidR="000F29C7" w:rsidRPr="000F29C7" w:rsidRDefault="000F29C7" w:rsidP="000F29C7">
      <w:pPr>
        <w:numPr>
          <w:ilvl w:val="0"/>
          <w:numId w:val="2"/>
        </w:numPr>
        <w:spacing w:before="100" w:beforeAutospacing="1" w:after="100" w:afterAutospacing="1"/>
        <w:ind w:left="945"/>
        <w:rPr>
          <w:rFonts w:ascii="Arial" w:hAnsi="Arial" w:cs="Arial"/>
          <w:color w:val="222222"/>
        </w:rPr>
      </w:pPr>
      <w:r w:rsidRPr="000F29C7">
        <w:rPr>
          <w:rFonts w:ascii="Arial" w:hAnsi="Arial" w:cs="Arial"/>
          <w:color w:val="222222"/>
        </w:rPr>
        <w:t>Supporting children to become healthy, confident individuals.</w:t>
      </w:r>
    </w:p>
    <w:p w14:paraId="6F1D384F" w14:textId="77777777" w:rsidR="000F29C7" w:rsidRPr="000F29C7" w:rsidRDefault="000F29C7" w:rsidP="000F29C7">
      <w:pPr>
        <w:numPr>
          <w:ilvl w:val="0"/>
          <w:numId w:val="2"/>
        </w:numPr>
        <w:spacing w:before="100" w:beforeAutospacing="1" w:after="100" w:afterAutospacing="1"/>
        <w:ind w:left="945"/>
        <w:rPr>
          <w:rFonts w:ascii="Arial" w:hAnsi="Arial" w:cs="Arial"/>
          <w:color w:val="222222"/>
        </w:rPr>
      </w:pPr>
      <w:r w:rsidRPr="000F29C7">
        <w:rPr>
          <w:rFonts w:ascii="Arial" w:hAnsi="Arial" w:cs="Arial"/>
          <w:color w:val="222222"/>
        </w:rPr>
        <w:t>Encouraging ethical, informed citizens who respect diversity.</w:t>
      </w:r>
    </w:p>
    <w:p w14:paraId="4F063425"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Inclusive play experiences directly contribute to these aims by enabling children to explore identity, challenge stereotypes, and build social awareness from an early age.</w:t>
      </w:r>
    </w:p>
    <w:p w14:paraId="3C0B5C9D" w14:textId="77777777" w:rsidR="000F29C7" w:rsidRPr="000F29C7" w:rsidRDefault="000F29C7" w:rsidP="000F29C7">
      <w:pPr>
        <w:spacing w:before="100" w:beforeAutospacing="1" w:after="100" w:afterAutospacing="1"/>
        <w:rPr>
          <w:rFonts w:ascii="Arial" w:hAnsi="Arial" w:cs="Arial"/>
          <w:color w:val="222222"/>
        </w:rPr>
      </w:pPr>
    </w:p>
    <w:p w14:paraId="1AECBF77"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PESTLE Analysis of the Business Idea</w:t>
      </w:r>
    </w:p>
    <w:p w14:paraId="0779F633"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Political</w:t>
      </w:r>
    </w:p>
    <w:p w14:paraId="6CE6BE51"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Welsh education policy increasingly prioritises equality, inclusion, and children’s rights. The Curriculum for Wales and associated legislation promote inclusive practice and child-centred learning, creating a supportive policy environment for the business. Government emphasis on early education as foundational to lifelong learning strengthens the relevance of the initiative (Welsh Government, 2022). </w:t>
      </w:r>
    </w:p>
    <w:p w14:paraId="6B2027AD"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Economic</w:t>
      </w:r>
    </w:p>
    <w:p w14:paraId="4B9F1A99"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 xml:space="preserve">Economic factors may influence access to services, particularly for families or settings with limited funding. However, online delivery offers scalable and cost-effective solutions, increasing accessibility. Investment in early years provision is </w:t>
      </w:r>
      <w:r w:rsidRPr="000F29C7">
        <w:rPr>
          <w:rFonts w:ascii="Arial" w:hAnsi="Arial" w:cs="Arial"/>
          <w:color w:val="222222"/>
        </w:rPr>
        <w:lastRenderedPageBreak/>
        <w:t>widely recognised as contributing to long-term social and economic outcomes through improved development and educational attainment.</w:t>
      </w:r>
    </w:p>
    <w:p w14:paraId="31CC3813"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Social</w:t>
      </w:r>
    </w:p>
    <w:p w14:paraId="028FF83D"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Social attitudes toward gender and identity significantly influence the feasibility of the business. While societal awareness of inclusion is increasing, traditional views remain prevalent. The initiative addresses a growing demand for guidance around equality and representation in early childhood environments.</w:t>
      </w:r>
    </w:p>
    <w:p w14:paraId="6832ECA3"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Technological</w:t>
      </w:r>
    </w:p>
    <w:p w14:paraId="04AD1711"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Digital platforms provide opportunities for wider reach through webinars, online training, and resource sharing. Technology supports accessibility for rural communities across Wales and allows for continuous professional development among practitioners.</w:t>
      </w:r>
    </w:p>
    <w:p w14:paraId="7F5A963A"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Legal</w:t>
      </w:r>
    </w:p>
    <w:p w14:paraId="514231F8"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Equality legislation and children’s rights frameworks support the business’s aims. Educational settings must ensure non-discrimination and inclusive practice, providing a legal foundation for promoting non-stereotypical play and identity expression.</w:t>
      </w:r>
    </w:p>
    <w:p w14:paraId="7383DD85"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Environmental</w:t>
      </w:r>
    </w:p>
    <w:p w14:paraId="24D61CC5"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Environmental considerations may influence the choice of sustainable toys and materials, aligning with broader educational priorities around sustainability and responsible citizenship. This reflects the Curriculum for Wales’ emphasis on ethical awareness and environmental responsibility.</w:t>
      </w:r>
    </w:p>
    <w:p w14:paraId="451A8928" w14:textId="77777777" w:rsidR="000F29C7" w:rsidRPr="000F29C7" w:rsidRDefault="000F29C7" w:rsidP="000F29C7">
      <w:pPr>
        <w:spacing w:before="100" w:beforeAutospacing="1" w:after="100" w:afterAutospacing="1"/>
        <w:rPr>
          <w:rFonts w:ascii="Arial" w:hAnsi="Arial" w:cs="Arial"/>
          <w:color w:val="222222"/>
        </w:rPr>
      </w:pPr>
    </w:p>
    <w:p w14:paraId="260CAA56"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Future Development and Sustainability</w:t>
      </w:r>
    </w:p>
    <w:p w14:paraId="4EEF60CF"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Future plans for the business could include partnerships with early years settings, local authorities, and training providers. Expanding research-informed resources, developing accredited training programmes, and collaborating with policy organisations could strengthen credibility and impact.</w:t>
      </w:r>
    </w:p>
    <w:p w14:paraId="5061CE8C"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Long-term development may involve contributing to professional guidance on inclusive play, supporting practitioners in embedding equality into everyday practice, and influencing broader early years discourse. As societal attitudes continue to evolve, the initiative has the potential to play a significant role in shaping inclusive early childhood environments across Wales.</w:t>
      </w:r>
    </w:p>
    <w:p w14:paraId="533DB989" w14:textId="77777777" w:rsidR="000F29C7" w:rsidRPr="000F29C7" w:rsidRDefault="000F29C7" w:rsidP="000F29C7">
      <w:pPr>
        <w:spacing w:before="100" w:beforeAutospacing="1" w:after="100" w:afterAutospacing="1"/>
        <w:rPr>
          <w:rFonts w:ascii="Arial" w:hAnsi="Arial" w:cs="Arial"/>
          <w:color w:val="222222"/>
        </w:rPr>
      </w:pPr>
    </w:p>
    <w:p w14:paraId="02038D19"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Reference List (Harvard style)</w:t>
      </w:r>
    </w:p>
    <w:p w14:paraId="5D48A0C4"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lastRenderedPageBreak/>
        <w:t>Children’s Commissioner for Wales (2023) A children’s rights approach to education in Wales. Available at: </w:t>
      </w:r>
      <w:hyperlink r:id="rId5" w:tgtFrame="_blank" w:history="1">
        <w:r w:rsidRPr="000F29C7">
          <w:rPr>
            <w:rFonts w:ascii="Arial" w:hAnsi="Arial" w:cs="Arial"/>
            <w:color w:val="1155CC"/>
            <w:u w:val="single"/>
          </w:rPr>
          <w:t>https://www.childcomwales.org.uk</w:t>
        </w:r>
      </w:hyperlink>
      <w:r w:rsidRPr="000F29C7">
        <w:rPr>
          <w:rFonts w:ascii="Arial" w:hAnsi="Arial" w:cs="Arial"/>
          <w:color w:val="222222"/>
        </w:rPr>
        <w:t> (Accessed: 18 February 2026).</w:t>
      </w:r>
    </w:p>
    <w:p w14:paraId="464C713F"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Estyn (2024) Equal opportunities policy. Available at: </w:t>
      </w:r>
      <w:hyperlink r:id="rId6" w:tgtFrame="_blank" w:history="1">
        <w:r w:rsidRPr="000F29C7">
          <w:rPr>
            <w:rFonts w:ascii="Arial" w:hAnsi="Arial" w:cs="Arial"/>
            <w:color w:val="1155CC"/>
            <w:u w:val="single"/>
          </w:rPr>
          <w:t>https://estyn.gov.wales</w:t>
        </w:r>
      </w:hyperlink>
      <w:r w:rsidRPr="000F29C7">
        <w:rPr>
          <w:rFonts w:ascii="Arial" w:hAnsi="Arial" w:cs="Arial"/>
          <w:color w:val="222222"/>
        </w:rPr>
        <w:t> (Accessed: 18 February 2026).</w:t>
      </w:r>
    </w:p>
    <w:p w14:paraId="7DA159E5" w14:textId="77777777" w:rsidR="000F29C7" w:rsidRPr="000F29C7" w:rsidRDefault="000F29C7" w:rsidP="000F29C7">
      <w:pPr>
        <w:spacing w:before="100" w:beforeAutospacing="1" w:after="100" w:afterAutospacing="1"/>
        <w:rPr>
          <w:rFonts w:ascii="Arial" w:hAnsi="Arial" w:cs="Arial"/>
          <w:color w:val="222222"/>
        </w:rPr>
      </w:pPr>
      <w:r w:rsidRPr="000F29C7">
        <w:rPr>
          <w:rFonts w:ascii="Arial" w:hAnsi="Arial" w:cs="Arial"/>
          <w:color w:val="222222"/>
        </w:rPr>
        <w:t>Welsh Government (2022) Curriculum for Wales: annual report. Available at: </w:t>
      </w:r>
      <w:hyperlink r:id="rId7" w:tgtFrame="_blank" w:history="1">
        <w:r w:rsidRPr="000F29C7">
          <w:rPr>
            <w:rFonts w:ascii="Arial" w:hAnsi="Arial" w:cs="Arial"/>
            <w:color w:val="1155CC"/>
            <w:u w:val="single"/>
          </w:rPr>
          <w:t>https://www.gov.wales</w:t>
        </w:r>
      </w:hyperlink>
      <w:r w:rsidRPr="000F29C7">
        <w:rPr>
          <w:rFonts w:ascii="Arial" w:hAnsi="Arial" w:cs="Arial"/>
          <w:color w:val="222222"/>
        </w:rPr>
        <w:t> (Accessed: 18 February 2026).</w:t>
      </w:r>
    </w:p>
    <w:p w14:paraId="51A5952E" w14:textId="77777777" w:rsidR="00CB640E" w:rsidRDefault="00CB640E"/>
    <w:p w14:paraId="18F6BB63" w14:textId="77777777" w:rsidR="002A4EF1" w:rsidRDefault="002A4EF1"/>
    <w:p w14:paraId="516D3686" w14:textId="77777777" w:rsidR="002A4EF1" w:rsidRDefault="002A4EF1"/>
    <w:p w14:paraId="631BF0C3" w14:textId="77777777" w:rsidR="002A4EF1" w:rsidRPr="002A4EF1" w:rsidRDefault="002A4EF1" w:rsidP="002A4EF1">
      <w:pPr>
        <w:spacing w:before="100" w:beforeAutospacing="1" w:after="100" w:afterAutospacing="1"/>
        <w:outlineLvl w:val="0"/>
        <w:rPr>
          <w:b/>
          <w:bCs/>
          <w:color w:val="000000"/>
          <w:kern w:val="36"/>
          <w:sz w:val="48"/>
          <w:szCs w:val="48"/>
        </w:rPr>
      </w:pPr>
      <w:r w:rsidRPr="002A4EF1">
        <w:rPr>
          <w:b/>
          <w:bCs/>
          <w:color w:val="000000"/>
          <w:kern w:val="36"/>
          <w:sz w:val="48"/>
          <w:szCs w:val="48"/>
        </w:rPr>
        <w:t>Part 1: Business Proposal – Introducing Open Play</w:t>
      </w:r>
    </w:p>
    <w:p w14:paraId="41F04620" w14:textId="77777777" w:rsidR="002A4EF1" w:rsidRPr="002A4EF1" w:rsidRDefault="002A4EF1" w:rsidP="002A4EF1">
      <w:pPr>
        <w:spacing w:before="100" w:beforeAutospacing="1" w:after="100" w:afterAutospacing="1"/>
        <w:outlineLvl w:val="1"/>
        <w:rPr>
          <w:b/>
          <w:bCs/>
          <w:color w:val="000000"/>
          <w:sz w:val="36"/>
          <w:szCs w:val="36"/>
        </w:rPr>
      </w:pPr>
      <w:r w:rsidRPr="002A4EF1">
        <w:rPr>
          <w:b/>
          <w:bCs/>
          <w:color w:val="000000"/>
          <w:sz w:val="36"/>
          <w:szCs w:val="36"/>
        </w:rPr>
        <w:t>Introduction to the Enterprise</w:t>
      </w:r>
    </w:p>
    <w:p w14:paraId="39BF18EF" w14:textId="77777777" w:rsidR="002A4EF1" w:rsidRPr="002A4EF1" w:rsidRDefault="002A4EF1" w:rsidP="002A4EF1">
      <w:pPr>
        <w:spacing w:before="100" w:beforeAutospacing="1" w:after="100" w:afterAutospacing="1"/>
        <w:rPr>
          <w:color w:val="000000"/>
        </w:rPr>
      </w:pPr>
      <w:r w:rsidRPr="002A4EF1">
        <w:rPr>
          <w:color w:val="000000"/>
        </w:rPr>
        <w:t>Open Play is a proposed early years social enterprise based in South Wales, designed to challenge gender stereotyping in toys and play through structured professional training, parental guidance, and consultancy services. The enterprise responds to growing recognition within early childhood education that play environments significantly influence children’s identity formation, social development, and long-term educational trajectories. While equality and inclusion are embedded within policy frameworks, there remains a gap between policy aspiration and daily practice in early years settings. Open Play seeks to bridge this gap by equipping adults with the knowledge and strategies required to create inclusive, stereotype-free play environments.</w:t>
      </w:r>
    </w:p>
    <w:p w14:paraId="732C6475" w14:textId="77777777" w:rsidR="002A4EF1" w:rsidRPr="002A4EF1" w:rsidRDefault="002A4EF1" w:rsidP="002A4EF1">
      <w:pPr>
        <w:spacing w:before="100" w:beforeAutospacing="1" w:after="100" w:afterAutospacing="1"/>
        <w:rPr>
          <w:color w:val="000000"/>
        </w:rPr>
      </w:pPr>
      <w:r w:rsidRPr="002A4EF1">
        <w:rPr>
          <w:color w:val="000000"/>
        </w:rPr>
        <w:t>The mission of Open Play is to promote inclusive early childhood experiences that allow all children to explore play, learning, and identity without restriction based on socially constructed gender expectations. The vision underpinning the enterprise is a future in which children’s opportunities are shaped by interests and developmental needs rather than societal assumptions about gender roles.</w:t>
      </w:r>
    </w:p>
    <w:p w14:paraId="0916E254" w14:textId="77777777" w:rsidR="002A4EF1" w:rsidRPr="002A4EF1" w:rsidRDefault="002A4EF1" w:rsidP="002A4EF1">
      <w:pPr>
        <w:spacing w:before="100" w:beforeAutospacing="1" w:after="100" w:afterAutospacing="1"/>
        <w:rPr>
          <w:color w:val="000000"/>
        </w:rPr>
      </w:pPr>
      <w:r w:rsidRPr="002A4EF1">
        <w:rPr>
          <w:color w:val="000000"/>
        </w:rPr>
        <w:t>Unlike retail-based initiatives that focus on producing or selling gender-neutral toys, Open Play operates as an educational and consultancy-based enterprise. It recognises that sustainable change occurs not through products alone, but through reflective adult practice and systemic shifts in early years environments.</w:t>
      </w:r>
    </w:p>
    <w:p w14:paraId="4DF573BA" w14:textId="77777777" w:rsidR="002A4EF1" w:rsidRPr="002A4EF1" w:rsidRDefault="002A4EF1" w:rsidP="002A4EF1">
      <w:r w:rsidRPr="002A4EF1">
        <w:rPr>
          <w:noProof/>
        </w:rPr>
      </w:r>
      <w:r w:rsidR="002A4EF1" w:rsidRPr="002A4EF1">
        <w:rPr>
          <w:noProof/>
        </w:rPr>
        <w:pict w14:anchorId="6BD9432D">
          <v:rect id="_x0000_i1025" alt="" style="width:451.3pt;height:.05pt;mso-width-percent:0;mso-height-percent:0;mso-width-percent:0;mso-height-percent:0" o:hralign="center" o:hrstd="t" o:hrnoshade="t" o:hr="t" fillcolor="black" stroked="f"/>
        </w:pict>
      </w:r>
    </w:p>
    <w:p w14:paraId="5C657DC9" w14:textId="77777777" w:rsidR="002A4EF1" w:rsidRPr="002A4EF1" w:rsidRDefault="002A4EF1" w:rsidP="002A4EF1">
      <w:pPr>
        <w:spacing w:before="100" w:beforeAutospacing="1" w:after="100" w:afterAutospacing="1"/>
        <w:outlineLvl w:val="1"/>
        <w:rPr>
          <w:b/>
          <w:bCs/>
          <w:color w:val="000000"/>
          <w:sz w:val="36"/>
          <w:szCs w:val="36"/>
        </w:rPr>
      </w:pPr>
      <w:r w:rsidRPr="002A4EF1">
        <w:rPr>
          <w:b/>
          <w:bCs/>
          <w:color w:val="000000"/>
          <w:sz w:val="36"/>
          <w:szCs w:val="36"/>
        </w:rPr>
        <w:t>The Business Model and Entrepreneurial Rationale</w:t>
      </w:r>
    </w:p>
    <w:p w14:paraId="3C977258" w14:textId="77777777" w:rsidR="002A4EF1" w:rsidRPr="002A4EF1" w:rsidRDefault="002A4EF1" w:rsidP="002A4EF1">
      <w:pPr>
        <w:spacing w:before="100" w:beforeAutospacing="1" w:after="100" w:afterAutospacing="1"/>
        <w:rPr>
          <w:color w:val="000000"/>
        </w:rPr>
      </w:pPr>
      <w:r w:rsidRPr="002A4EF1">
        <w:rPr>
          <w:color w:val="000000"/>
        </w:rPr>
        <w:t xml:space="preserve">Open Play will operate through a blended delivery model combining in-person workshops, online seminars, digital resource subscriptions, and consultancy services for early years settings and primary schools. This structure enables both local impact and national </w:t>
      </w:r>
      <w:r w:rsidRPr="002A4EF1">
        <w:rPr>
          <w:color w:val="000000"/>
        </w:rPr>
        <w:lastRenderedPageBreak/>
        <w:t>scalability. The primary revenue streams will include school-based training packages, consultancy contracts, subscription access to digital resources, and collaborative partnerships with local authorities and teacher training providers.</w:t>
      </w:r>
    </w:p>
    <w:p w14:paraId="190A6A25" w14:textId="77777777" w:rsidR="002A4EF1" w:rsidRPr="002A4EF1" w:rsidRDefault="002A4EF1" w:rsidP="002A4EF1">
      <w:pPr>
        <w:spacing w:before="100" w:beforeAutospacing="1" w:after="100" w:afterAutospacing="1"/>
        <w:rPr>
          <w:color w:val="000000"/>
        </w:rPr>
      </w:pPr>
      <w:r w:rsidRPr="002A4EF1">
        <w:rPr>
          <w:color w:val="000000"/>
        </w:rPr>
        <w:t>The enterprise is positioned as a social business that balances financial sustainability with social impact. The demand for equality-focused professional development is increasing, particularly in light of policy emphasis on inclusive practice and children’s rights (Welsh Government, 2022). However, most current provision addresses equality in broad terms rather than focusing specifically on play-based gender stereotyping in early childhood. Open Play occupies this niche by targeting a clearly defined and underdeveloped market gap.</w:t>
      </w:r>
    </w:p>
    <w:p w14:paraId="3F96CE8E" w14:textId="77777777" w:rsidR="002A4EF1" w:rsidRPr="002A4EF1" w:rsidRDefault="002A4EF1" w:rsidP="002A4EF1">
      <w:pPr>
        <w:spacing w:before="100" w:beforeAutospacing="1" w:after="100" w:afterAutospacing="1"/>
        <w:rPr>
          <w:color w:val="000000"/>
        </w:rPr>
      </w:pPr>
      <w:r w:rsidRPr="002A4EF1">
        <w:rPr>
          <w:color w:val="000000"/>
        </w:rPr>
        <w:t>From an entrepreneurial perspective, the enterprise demonstrates innovation through specialisation. Rather than duplicating general equality training, it concentrates on a specific developmental mechanism—play—and its relationship to gender identity formation. The low overhead structure, particularly through digital delivery, enhances sustainability and reduces financial risk in the early stages of operation.</w:t>
      </w:r>
    </w:p>
    <w:p w14:paraId="177EF182" w14:textId="77777777" w:rsidR="002A4EF1" w:rsidRPr="002A4EF1" w:rsidRDefault="002A4EF1" w:rsidP="002A4EF1">
      <w:r w:rsidRPr="002A4EF1">
        <w:pict w14:anchorId="08F30E5C">
          <v:rect id="_x0000_i1026" style="width:0;height:1.5pt" o:hralign="center" o:hrstd="t" o:hrnoshade="t" o:hr="t" fillcolor="black" stroked="f"/>
        </w:pict>
      </w:r>
    </w:p>
    <w:p w14:paraId="7C03CC7C" w14:textId="77777777" w:rsidR="002A4EF1" w:rsidRPr="002A4EF1" w:rsidRDefault="002A4EF1" w:rsidP="002A4EF1">
      <w:pPr>
        <w:spacing w:before="100" w:beforeAutospacing="1" w:after="100" w:afterAutospacing="1"/>
        <w:outlineLvl w:val="1"/>
        <w:rPr>
          <w:b/>
          <w:bCs/>
          <w:color w:val="000000"/>
          <w:sz w:val="36"/>
          <w:szCs w:val="36"/>
        </w:rPr>
      </w:pPr>
      <w:r w:rsidRPr="002A4EF1">
        <w:rPr>
          <w:b/>
          <w:bCs/>
          <w:color w:val="000000"/>
          <w:sz w:val="36"/>
          <w:szCs w:val="36"/>
        </w:rPr>
        <w:t>Links to Early Childhood Development</w:t>
      </w:r>
    </w:p>
    <w:p w14:paraId="38C89D18" w14:textId="77777777" w:rsidR="002A4EF1" w:rsidRPr="002A4EF1" w:rsidRDefault="002A4EF1" w:rsidP="002A4EF1">
      <w:pPr>
        <w:spacing w:before="100" w:beforeAutospacing="1" w:after="100" w:afterAutospacing="1"/>
        <w:rPr>
          <w:color w:val="000000"/>
        </w:rPr>
      </w:pPr>
      <w:r w:rsidRPr="002A4EF1">
        <w:rPr>
          <w:color w:val="000000"/>
        </w:rPr>
        <w:t>Early childhood is widely recognised as a critical period for cognitive, social, and emotional development. During these formative years, children construct understandings of themselves and others through interaction, observation, and play. Play functions as a central mechanism through which children develop language, problem-solving skills, emotional regulation, and social competence (UNICEF, 2022).</w:t>
      </w:r>
    </w:p>
    <w:p w14:paraId="033F78B7" w14:textId="77777777" w:rsidR="002A4EF1" w:rsidRPr="002A4EF1" w:rsidRDefault="002A4EF1" w:rsidP="002A4EF1">
      <w:pPr>
        <w:spacing w:before="100" w:beforeAutospacing="1" w:after="100" w:afterAutospacing="1"/>
        <w:rPr>
          <w:color w:val="000000"/>
        </w:rPr>
      </w:pPr>
      <w:r w:rsidRPr="002A4EF1">
        <w:rPr>
          <w:color w:val="000000"/>
        </w:rPr>
        <w:t>Research demonstrates that gendered expectations can influence the types of toys offered to children, the language used to describe them, and the behaviours that are reinforced (Blakemore and Centers, 2021). For example, construction-based play is often marketed towards boys and supports spatial reasoning and analytical thinking, while nurturing and domestic role-play toys are frequently directed at girls and associated with empathy and communication skills. When access to these activities is restricted by gender norms, children may experience narrowed developmental pathways.</w:t>
      </w:r>
    </w:p>
    <w:p w14:paraId="3506B389" w14:textId="77777777" w:rsidR="002A4EF1" w:rsidRPr="002A4EF1" w:rsidRDefault="002A4EF1" w:rsidP="002A4EF1">
      <w:pPr>
        <w:spacing w:before="100" w:beforeAutospacing="1" w:after="100" w:afterAutospacing="1"/>
        <w:rPr>
          <w:color w:val="000000"/>
        </w:rPr>
      </w:pPr>
      <w:r w:rsidRPr="002A4EF1">
        <w:rPr>
          <w:color w:val="000000"/>
        </w:rPr>
        <w:t>The statutory framework for the Early Years Foundation Stage (Department for Education, 2023) emphasises enabling environments and inclusive practice, while the Curriculum for Wales promotes the development of confident individuals and ethical citizens (Welsh Government, 2022). Open Play aligns with these frameworks by promoting diverse play experiences that support holistic development across cognitive, social, emotional, and physical domains.</w:t>
      </w:r>
    </w:p>
    <w:p w14:paraId="5D226B4F" w14:textId="77777777" w:rsidR="002A4EF1" w:rsidRPr="002A4EF1" w:rsidRDefault="002A4EF1" w:rsidP="002A4EF1">
      <w:pPr>
        <w:spacing w:before="100" w:beforeAutospacing="1" w:after="100" w:afterAutospacing="1"/>
        <w:rPr>
          <w:color w:val="000000"/>
        </w:rPr>
      </w:pPr>
      <w:r w:rsidRPr="002A4EF1">
        <w:rPr>
          <w:color w:val="000000"/>
        </w:rPr>
        <w:t>By encouraging practitioners to reflect on classroom organisation, toy placement, language use, and adult interaction patterns, the enterprise directly addresses environmental influences on development. Inclusive play environments support identity exploration, enhance self-esteem, and promote a sense of belonging, all of which are central to wellbeing and engagement in learning.</w:t>
      </w:r>
    </w:p>
    <w:p w14:paraId="0C7B8CB2" w14:textId="77777777" w:rsidR="002A4EF1" w:rsidRPr="002A4EF1" w:rsidRDefault="002A4EF1" w:rsidP="002A4EF1">
      <w:r w:rsidRPr="002A4EF1">
        <w:pict w14:anchorId="6F7AA062">
          <v:rect id="_x0000_i1027" style="width:0;height:1.5pt" o:hralign="center" o:hrstd="t" o:hrnoshade="t" o:hr="t" fillcolor="black" stroked="f"/>
        </w:pict>
      </w:r>
    </w:p>
    <w:p w14:paraId="7AD137B7" w14:textId="77777777" w:rsidR="002A4EF1" w:rsidRPr="002A4EF1" w:rsidRDefault="002A4EF1" w:rsidP="002A4EF1">
      <w:pPr>
        <w:spacing w:before="100" w:beforeAutospacing="1" w:after="100" w:afterAutospacing="1"/>
        <w:outlineLvl w:val="1"/>
        <w:rPr>
          <w:b/>
          <w:bCs/>
          <w:color w:val="000000"/>
          <w:sz w:val="36"/>
          <w:szCs w:val="36"/>
        </w:rPr>
      </w:pPr>
      <w:r w:rsidRPr="002A4EF1">
        <w:rPr>
          <w:b/>
          <w:bCs/>
          <w:color w:val="000000"/>
          <w:sz w:val="36"/>
          <w:szCs w:val="36"/>
        </w:rPr>
        <w:lastRenderedPageBreak/>
        <w:t>Target Audience and Stakeholder Engagement</w:t>
      </w:r>
    </w:p>
    <w:p w14:paraId="47536A61" w14:textId="77777777" w:rsidR="002A4EF1" w:rsidRPr="002A4EF1" w:rsidRDefault="002A4EF1" w:rsidP="002A4EF1">
      <w:pPr>
        <w:spacing w:before="100" w:beforeAutospacing="1" w:after="100" w:afterAutospacing="1"/>
        <w:rPr>
          <w:color w:val="000000"/>
        </w:rPr>
      </w:pPr>
      <w:r w:rsidRPr="002A4EF1">
        <w:rPr>
          <w:color w:val="000000"/>
        </w:rPr>
        <w:t>The primary audience for Open Play consists of early years practitioners, nursery staff, foundation phase teachers, and trainee educators who shape children’s daily learning environments. Parents and carers represent a secondary audience, as home environments significantly influence play experiences and identity formation.</w:t>
      </w:r>
    </w:p>
    <w:p w14:paraId="6624F1AA" w14:textId="77777777" w:rsidR="002A4EF1" w:rsidRPr="002A4EF1" w:rsidRDefault="002A4EF1" w:rsidP="002A4EF1">
      <w:pPr>
        <w:spacing w:before="100" w:beforeAutospacing="1" w:after="100" w:afterAutospacing="1"/>
        <w:rPr>
          <w:color w:val="000000"/>
        </w:rPr>
      </w:pPr>
      <w:r w:rsidRPr="002A4EF1">
        <w:rPr>
          <w:color w:val="000000"/>
        </w:rPr>
        <w:t>Key stakeholders include local authorities, early years networks, teacher education institutions, and community organisations. Collaboration with these bodies will enhance credibility, facilitate access to training opportunities, and support long-term sustainability. Children are the ultimate beneficiaries, although the enterprise strategically targets adults to achieve systemic impact.</w:t>
      </w:r>
    </w:p>
    <w:p w14:paraId="3257EC36" w14:textId="77777777" w:rsidR="002A4EF1" w:rsidRPr="002A4EF1" w:rsidRDefault="002A4EF1" w:rsidP="002A4EF1">
      <w:r w:rsidRPr="002A4EF1">
        <w:pict w14:anchorId="4E67BBF3">
          <v:rect id="_x0000_i1028" style="width:0;height:1.5pt" o:hralign="center" o:hrstd="t" o:hrnoshade="t" o:hr="t" fillcolor="black" stroked="f"/>
        </w:pict>
      </w:r>
    </w:p>
    <w:p w14:paraId="720DAB35" w14:textId="77777777" w:rsidR="002A4EF1" w:rsidRPr="002A4EF1" w:rsidRDefault="002A4EF1" w:rsidP="002A4EF1">
      <w:pPr>
        <w:spacing w:before="100" w:beforeAutospacing="1" w:after="100" w:afterAutospacing="1"/>
        <w:outlineLvl w:val="1"/>
        <w:rPr>
          <w:b/>
          <w:bCs/>
          <w:color w:val="000000"/>
          <w:sz w:val="36"/>
          <w:szCs w:val="36"/>
        </w:rPr>
      </w:pPr>
      <w:r w:rsidRPr="002A4EF1">
        <w:rPr>
          <w:b/>
          <w:bCs/>
          <w:color w:val="000000"/>
          <w:sz w:val="36"/>
          <w:szCs w:val="36"/>
        </w:rPr>
        <w:t>Barriers and Initial Challenges</w:t>
      </w:r>
    </w:p>
    <w:p w14:paraId="116DF70F" w14:textId="77777777" w:rsidR="002A4EF1" w:rsidRPr="002A4EF1" w:rsidRDefault="002A4EF1" w:rsidP="002A4EF1">
      <w:pPr>
        <w:spacing w:before="100" w:beforeAutospacing="1" w:after="100" w:afterAutospacing="1"/>
        <w:rPr>
          <w:color w:val="000000"/>
        </w:rPr>
      </w:pPr>
      <w:r w:rsidRPr="002A4EF1">
        <w:rPr>
          <w:color w:val="000000"/>
        </w:rPr>
        <w:t>Despite strong developmental justification, several barriers may affect implementation. Cultural norms surrounding gender roles remain deeply embedded within society, and some families or practitioners may interpret non-stereotypical play initiatives as ideological rather than developmental. This presents a reputational risk that must be carefully managed through evidence-based communication.</w:t>
      </w:r>
    </w:p>
    <w:p w14:paraId="42ABB604" w14:textId="77777777" w:rsidR="002A4EF1" w:rsidRPr="002A4EF1" w:rsidRDefault="002A4EF1" w:rsidP="002A4EF1">
      <w:pPr>
        <w:spacing w:before="100" w:beforeAutospacing="1" w:after="100" w:afterAutospacing="1"/>
        <w:rPr>
          <w:color w:val="000000"/>
        </w:rPr>
      </w:pPr>
      <w:r w:rsidRPr="002A4EF1">
        <w:rPr>
          <w:color w:val="000000"/>
        </w:rPr>
        <w:t>Financial constraints within early years settings also pose a challenge, as professional development budgets are often limited. Additionally, as a new enterprise, Open Play must establish credibility in a competitive training market. Addressing these barriers requires strategic marketing, policy alignment, partnership development, and a clear articulation of measurable impact.</w:t>
      </w:r>
    </w:p>
    <w:p w14:paraId="5072A0CD" w14:textId="77777777" w:rsidR="002A4EF1" w:rsidRPr="002A4EF1" w:rsidRDefault="002A4EF1" w:rsidP="002A4EF1">
      <w:r w:rsidRPr="002A4EF1">
        <w:pict w14:anchorId="7CA225C7">
          <v:rect id="_x0000_i1029" style="width:0;height:1.5pt" o:hralign="center" o:hrstd="t" o:hrnoshade="t" o:hr="t" fillcolor="black" stroked="f"/>
        </w:pict>
      </w:r>
    </w:p>
    <w:p w14:paraId="588FC125" w14:textId="77777777" w:rsidR="002A4EF1" w:rsidRPr="002A4EF1" w:rsidRDefault="002A4EF1" w:rsidP="002A4EF1">
      <w:pPr>
        <w:spacing w:before="100" w:beforeAutospacing="1" w:after="100" w:afterAutospacing="1"/>
        <w:outlineLvl w:val="1"/>
        <w:rPr>
          <w:b/>
          <w:bCs/>
          <w:color w:val="000000"/>
          <w:sz w:val="36"/>
          <w:szCs w:val="36"/>
        </w:rPr>
      </w:pPr>
      <w:r w:rsidRPr="002A4EF1">
        <w:rPr>
          <w:b/>
          <w:bCs/>
          <w:color w:val="000000"/>
          <w:sz w:val="36"/>
          <w:szCs w:val="36"/>
        </w:rPr>
        <w:t>Personal Suitability and Leadership Capacity</w:t>
      </w:r>
    </w:p>
    <w:p w14:paraId="1DF19F21" w14:textId="77777777" w:rsidR="002A4EF1" w:rsidRPr="002A4EF1" w:rsidRDefault="002A4EF1" w:rsidP="002A4EF1">
      <w:pPr>
        <w:spacing w:before="100" w:beforeAutospacing="1" w:after="100" w:afterAutospacing="1"/>
        <w:rPr>
          <w:color w:val="000000"/>
        </w:rPr>
      </w:pPr>
      <w:r w:rsidRPr="002A4EF1">
        <w:rPr>
          <w:color w:val="000000"/>
        </w:rPr>
        <w:t>My academic background in early childhood education provides a strong theoretical foundation in developmental psychology, inclusive pedagogy, and policy frameworks. My commitment to child-centred practice and equality of opportunity aligns directly with the mission of Open Play. The combination of subject expertise, personal motivation, and awareness of current policy contexts positions me well to design and deliver evidence-informed training.</w:t>
      </w:r>
    </w:p>
    <w:p w14:paraId="59728409" w14:textId="77777777" w:rsidR="002A4EF1" w:rsidRPr="002A4EF1" w:rsidRDefault="002A4EF1" w:rsidP="002A4EF1">
      <w:pPr>
        <w:spacing w:before="100" w:beforeAutospacing="1" w:after="100" w:afterAutospacing="1"/>
        <w:rPr>
          <w:color w:val="000000"/>
        </w:rPr>
      </w:pPr>
      <w:r w:rsidRPr="002A4EF1">
        <w:rPr>
          <w:color w:val="000000"/>
        </w:rPr>
        <w:t>Entrepreneurially, I demonstrate opportunity recognition, social value orientation, and commitment to scalable delivery. The integration of research, policy alignment, and sustainable revenue models reflects a strategic approach to enterprise development within the early years sector.</w:t>
      </w:r>
    </w:p>
    <w:p w14:paraId="19403F50" w14:textId="77777777" w:rsidR="002A4EF1" w:rsidRPr="002A4EF1" w:rsidRDefault="002A4EF1" w:rsidP="002A4EF1">
      <w:r w:rsidRPr="002A4EF1">
        <w:pict w14:anchorId="73902E96">
          <v:rect id="_x0000_i1030" style="width:0;height:1.5pt" o:hralign="center" o:hrstd="t" o:hrnoshade="t" o:hr="t" fillcolor="black" stroked="f"/>
        </w:pict>
      </w:r>
    </w:p>
    <w:p w14:paraId="50C9A512" w14:textId="77777777" w:rsidR="002A4EF1" w:rsidRPr="002A4EF1" w:rsidRDefault="002A4EF1" w:rsidP="002A4EF1">
      <w:pPr>
        <w:spacing w:before="100" w:beforeAutospacing="1" w:after="100" w:afterAutospacing="1"/>
        <w:outlineLvl w:val="0"/>
        <w:rPr>
          <w:b/>
          <w:bCs/>
          <w:color w:val="000000"/>
          <w:kern w:val="36"/>
          <w:sz w:val="48"/>
          <w:szCs w:val="48"/>
        </w:rPr>
      </w:pPr>
      <w:r w:rsidRPr="002A4EF1">
        <w:rPr>
          <w:b/>
          <w:bCs/>
          <w:color w:val="000000"/>
          <w:kern w:val="36"/>
          <w:sz w:val="48"/>
          <w:szCs w:val="48"/>
        </w:rPr>
        <w:lastRenderedPageBreak/>
        <w:t>Part 2: Critical and Reflective Analysis</w:t>
      </w:r>
    </w:p>
    <w:p w14:paraId="62CE888A" w14:textId="77777777" w:rsidR="002A4EF1" w:rsidRPr="002A4EF1" w:rsidRDefault="002A4EF1" w:rsidP="002A4EF1">
      <w:r w:rsidRPr="002A4EF1">
        <w:pict w14:anchorId="7D5834E3">
          <v:rect id="_x0000_i1031" style="width:0;height:1.5pt" o:hralign="center" o:hrstd="t" o:hrnoshade="t" o:hr="t" fillcolor="black" stroked="f"/>
        </w:pict>
      </w:r>
    </w:p>
    <w:p w14:paraId="285910A4" w14:textId="77777777" w:rsidR="002A4EF1" w:rsidRPr="002A4EF1" w:rsidRDefault="002A4EF1" w:rsidP="002A4EF1">
      <w:pPr>
        <w:spacing w:before="100" w:beforeAutospacing="1" w:after="100" w:afterAutospacing="1"/>
        <w:outlineLvl w:val="1"/>
        <w:rPr>
          <w:b/>
          <w:bCs/>
          <w:color w:val="000000"/>
          <w:sz w:val="36"/>
          <w:szCs w:val="36"/>
        </w:rPr>
      </w:pPr>
      <w:r w:rsidRPr="002A4EF1">
        <w:rPr>
          <w:b/>
          <w:bCs/>
          <w:color w:val="000000"/>
          <w:sz w:val="36"/>
          <w:szCs w:val="36"/>
        </w:rPr>
        <w:t>Distinguishing Between Sex and Gender in Early Childhood Contexts</w:t>
      </w:r>
    </w:p>
    <w:p w14:paraId="7BE03CBD" w14:textId="77777777" w:rsidR="002A4EF1" w:rsidRPr="002A4EF1" w:rsidRDefault="002A4EF1" w:rsidP="002A4EF1">
      <w:pPr>
        <w:spacing w:before="100" w:beforeAutospacing="1" w:after="100" w:afterAutospacing="1"/>
        <w:rPr>
          <w:color w:val="000000"/>
        </w:rPr>
      </w:pPr>
      <w:r w:rsidRPr="002A4EF1">
        <w:rPr>
          <w:color w:val="000000"/>
        </w:rPr>
        <w:t>A critical foundation of Open Play lies in understanding the distinction between sex and gender. Sex refers to biological attributes such as chromosomes and reproductive anatomy. Gender, by contrast, is socially constructed and encompasses roles, behaviours, and expectations shaped by cultural and societal norms.</w:t>
      </w:r>
    </w:p>
    <w:p w14:paraId="648724B4" w14:textId="77777777" w:rsidR="002A4EF1" w:rsidRPr="002A4EF1" w:rsidRDefault="002A4EF1" w:rsidP="002A4EF1">
      <w:pPr>
        <w:spacing w:before="100" w:beforeAutospacing="1" w:after="100" w:afterAutospacing="1"/>
        <w:rPr>
          <w:color w:val="000000"/>
        </w:rPr>
      </w:pPr>
      <w:r w:rsidRPr="002A4EF1">
        <w:rPr>
          <w:color w:val="000000"/>
        </w:rPr>
        <w:t>In early childhood environments, gender is often reinforced through toys, classroom organisation, adult language, and peer interaction. Research suggests that toy marketing and adult responses can subtly guide children toward gender-conforming behaviours (Blakemore and Centers, 2021). These influences are not biologically determined but socially produced, meaning they can also be socially challenged.</w:t>
      </w:r>
    </w:p>
    <w:p w14:paraId="2F980BF2" w14:textId="77777777" w:rsidR="002A4EF1" w:rsidRPr="002A4EF1" w:rsidRDefault="002A4EF1" w:rsidP="002A4EF1">
      <w:pPr>
        <w:spacing w:before="100" w:beforeAutospacing="1" w:after="100" w:afterAutospacing="1"/>
        <w:rPr>
          <w:color w:val="000000"/>
        </w:rPr>
      </w:pPr>
      <w:r w:rsidRPr="002A4EF1">
        <w:rPr>
          <w:color w:val="000000"/>
        </w:rPr>
        <w:t>Critically, the objective of Open Play is not to erase gender identity but to prevent restrictive stereotyping that limits developmental opportunity. This distinction is essential when engaging with stakeholders who may conflate inclusive practice with ideological agendas.</w:t>
      </w:r>
    </w:p>
    <w:p w14:paraId="770F14BC" w14:textId="77777777" w:rsidR="002A4EF1" w:rsidRPr="002A4EF1" w:rsidRDefault="002A4EF1" w:rsidP="002A4EF1">
      <w:r w:rsidRPr="002A4EF1">
        <w:pict w14:anchorId="3BF1E72B">
          <v:rect id="_x0000_i1032" style="width:0;height:1.5pt" o:hralign="center" o:hrstd="t" o:hrnoshade="t" o:hr="t" fillcolor="black" stroked="f"/>
        </w:pict>
      </w:r>
    </w:p>
    <w:p w14:paraId="189B57A0" w14:textId="77777777" w:rsidR="002A4EF1" w:rsidRPr="002A4EF1" w:rsidRDefault="002A4EF1" w:rsidP="002A4EF1">
      <w:pPr>
        <w:spacing w:before="100" w:beforeAutospacing="1" w:after="100" w:afterAutospacing="1"/>
        <w:outlineLvl w:val="1"/>
        <w:rPr>
          <w:b/>
          <w:bCs/>
          <w:color w:val="000000"/>
          <w:sz w:val="36"/>
          <w:szCs w:val="36"/>
        </w:rPr>
      </w:pPr>
      <w:r w:rsidRPr="002A4EF1">
        <w:rPr>
          <w:b/>
          <w:bCs/>
          <w:color w:val="000000"/>
          <w:sz w:val="36"/>
          <w:szCs w:val="36"/>
        </w:rPr>
        <w:t>Cultural Barriers and Ethical Considerations</w:t>
      </w:r>
    </w:p>
    <w:p w14:paraId="1A7D5B30" w14:textId="77777777" w:rsidR="002A4EF1" w:rsidRPr="002A4EF1" w:rsidRDefault="002A4EF1" w:rsidP="002A4EF1">
      <w:pPr>
        <w:spacing w:before="100" w:beforeAutospacing="1" w:after="100" w:afterAutospacing="1"/>
        <w:rPr>
          <w:color w:val="000000"/>
        </w:rPr>
      </w:pPr>
      <w:r w:rsidRPr="002A4EF1">
        <w:rPr>
          <w:color w:val="000000"/>
        </w:rPr>
        <w:t>Cultural resistance represents one of the most significant potential barriers. Gender roles are shaped by family traditions, religious beliefs, and community values. A culturally insensitive approach risks alienating families and practitioners, thereby undermining the enterprise’s objectives.</w:t>
      </w:r>
    </w:p>
    <w:p w14:paraId="561FED8B" w14:textId="77777777" w:rsidR="002A4EF1" w:rsidRPr="002A4EF1" w:rsidRDefault="002A4EF1" w:rsidP="002A4EF1">
      <w:pPr>
        <w:spacing w:before="100" w:beforeAutospacing="1" w:after="100" w:afterAutospacing="1"/>
        <w:rPr>
          <w:color w:val="000000"/>
        </w:rPr>
      </w:pPr>
      <w:r w:rsidRPr="002A4EF1">
        <w:rPr>
          <w:color w:val="000000"/>
        </w:rPr>
        <w:t>To address this, Open Play must adopt a culturally responsive framework that emphasises child wellbeing and developmental research rather than normative arguments about identity. Framing discussions around evidence of cognitive and emotional benefits reduces defensiveness. Engaging stakeholders through dialogue rather than prescription allows for gradual reflection and change.</w:t>
      </w:r>
    </w:p>
    <w:p w14:paraId="21E8D4AD" w14:textId="77777777" w:rsidR="002A4EF1" w:rsidRPr="002A4EF1" w:rsidRDefault="002A4EF1" w:rsidP="002A4EF1">
      <w:pPr>
        <w:spacing w:before="100" w:beforeAutospacing="1" w:after="100" w:afterAutospacing="1"/>
        <w:rPr>
          <w:color w:val="000000"/>
        </w:rPr>
      </w:pPr>
      <w:r w:rsidRPr="002A4EF1">
        <w:rPr>
          <w:color w:val="000000"/>
        </w:rPr>
        <w:t>The Children’s Commissioner for Wales (2023) highlights the importance of a rights-based approach that promotes non-discrimination while respecting diversity. Open Play must balance these principles carefully, ensuring that equality promotion does not disregard cultural identity.</w:t>
      </w:r>
    </w:p>
    <w:p w14:paraId="7C33A8E4" w14:textId="77777777" w:rsidR="002A4EF1" w:rsidRPr="002A4EF1" w:rsidRDefault="002A4EF1" w:rsidP="002A4EF1">
      <w:r w:rsidRPr="002A4EF1">
        <w:pict w14:anchorId="4A3E3C74">
          <v:rect id="_x0000_i1033" style="width:0;height:1.5pt" o:hralign="center" o:hrstd="t" o:hrnoshade="t" o:hr="t" fillcolor="black" stroked="f"/>
        </w:pict>
      </w:r>
    </w:p>
    <w:p w14:paraId="64E32DEF" w14:textId="77777777" w:rsidR="002A4EF1" w:rsidRPr="002A4EF1" w:rsidRDefault="002A4EF1" w:rsidP="002A4EF1">
      <w:pPr>
        <w:spacing w:before="100" w:beforeAutospacing="1" w:after="100" w:afterAutospacing="1"/>
        <w:outlineLvl w:val="1"/>
        <w:rPr>
          <w:b/>
          <w:bCs/>
          <w:color w:val="000000"/>
          <w:sz w:val="36"/>
          <w:szCs w:val="36"/>
        </w:rPr>
      </w:pPr>
      <w:r w:rsidRPr="002A4EF1">
        <w:rPr>
          <w:b/>
          <w:bCs/>
          <w:color w:val="000000"/>
          <w:sz w:val="36"/>
          <w:szCs w:val="36"/>
        </w:rPr>
        <w:t>In-Depth PESTLE Analysis</w:t>
      </w:r>
    </w:p>
    <w:p w14:paraId="7A661472" w14:textId="77777777" w:rsidR="002A4EF1" w:rsidRPr="002A4EF1" w:rsidRDefault="002A4EF1" w:rsidP="002A4EF1">
      <w:pPr>
        <w:spacing w:before="100" w:beforeAutospacing="1" w:after="100" w:afterAutospacing="1"/>
        <w:outlineLvl w:val="2"/>
        <w:rPr>
          <w:b/>
          <w:bCs/>
          <w:color w:val="000000"/>
          <w:sz w:val="27"/>
          <w:szCs w:val="27"/>
        </w:rPr>
      </w:pPr>
      <w:r w:rsidRPr="002A4EF1">
        <w:rPr>
          <w:b/>
          <w:bCs/>
          <w:color w:val="000000"/>
          <w:sz w:val="27"/>
          <w:szCs w:val="27"/>
        </w:rPr>
        <w:t>Political Factors</w:t>
      </w:r>
    </w:p>
    <w:p w14:paraId="392B4576" w14:textId="77777777" w:rsidR="002A4EF1" w:rsidRPr="002A4EF1" w:rsidRDefault="002A4EF1" w:rsidP="002A4EF1">
      <w:pPr>
        <w:spacing w:before="100" w:beforeAutospacing="1" w:after="100" w:afterAutospacing="1"/>
        <w:rPr>
          <w:color w:val="000000"/>
        </w:rPr>
      </w:pPr>
      <w:r w:rsidRPr="002A4EF1">
        <w:rPr>
          <w:color w:val="000000"/>
        </w:rPr>
        <w:lastRenderedPageBreak/>
        <w:t>The political landscape in Wales is broadly supportive of inclusive education. The Curriculum and Assessment (Wales) Act 2021 embeds equity, diversity, and inclusion within national educational priorities. The Curriculum for Wales promotes the development of ethical, informed citizens and healthy, confident individuals (Welsh Government, 2022). This political climate provides legitimacy for initiatives that address structural inequalities in early years practice.</w:t>
      </w:r>
    </w:p>
    <w:p w14:paraId="4C1496DC" w14:textId="77777777" w:rsidR="002A4EF1" w:rsidRPr="002A4EF1" w:rsidRDefault="002A4EF1" w:rsidP="002A4EF1">
      <w:pPr>
        <w:spacing w:before="100" w:beforeAutospacing="1" w:after="100" w:afterAutospacing="1"/>
        <w:rPr>
          <w:color w:val="000000"/>
        </w:rPr>
      </w:pPr>
      <w:r w:rsidRPr="002A4EF1">
        <w:rPr>
          <w:color w:val="000000"/>
        </w:rPr>
        <w:t>Furthermore, inspection frameworks emphasise inclusive practice and equitable provision (Estyn, 2024). Open Play can position its services as supporting schools in meeting inspection expectations. However, reliance on policy alignment also presents vulnerability; shifts in political priorities or funding allocation could affect demand.</w:t>
      </w:r>
    </w:p>
    <w:p w14:paraId="4CEC4B57" w14:textId="77777777" w:rsidR="002A4EF1" w:rsidRPr="002A4EF1" w:rsidRDefault="002A4EF1" w:rsidP="002A4EF1">
      <w:pPr>
        <w:spacing w:before="100" w:beforeAutospacing="1" w:after="100" w:afterAutospacing="1"/>
        <w:outlineLvl w:val="2"/>
        <w:rPr>
          <w:b/>
          <w:bCs/>
          <w:color w:val="000000"/>
          <w:sz w:val="27"/>
          <w:szCs w:val="27"/>
        </w:rPr>
      </w:pPr>
      <w:r w:rsidRPr="002A4EF1">
        <w:rPr>
          <w:b/>
          <w:bCs/>
          <w:color w:val="000000"/>
          <w:sz w:val="27"/>
          <w:szCs w:val="27"/>
        </w:rPr>
        <w:t>Economic Factors</w:t>
      </w:r>
    </w:p>
    <w:p w14:paraId="20132525" w14:textId="77777777" w:rsidR="002A4EF1" w:rsidRPr="002A4EF1" w:rsidRDefault="002A4EF1" w:rsidP="002A4EF1">
      <w:pPr>
        <w:spacing w:before="100" w:beforeAutospacing="1" w:after="100" w:afterAutospacing="1"/>
        <w:rPr>
          <w:color w:val="000000"/>
        </w:rPr>
      </w:pPr>
      <w:r w:rsidRPr="002A4EF1">
        <w:rPr>
          <w:color w:val="000000"/>
        </w:rPr>
        <w:t>Economic pressures within early years settings are significant. Funding constraints may limit expenditure on professional development. However, research indicates that investment in early childhood yields long-term economic returns through improved educational attainment and social outcomes (OECD, 2021). By framing its services as preventative and developmental, Open Play can align with economic arguments for early intervention.</w:t>
      </w:r>
    </w:p>
    <w:p w14:paraId="1984BC6F" w14:textId="77777777" w:rsidR="002A4EF1" w:rsidRPr="002A4EF1" w:rsidRDefault="002A4EF1" w:rsidP="002A4EF1">
      <w:pPr>
        <w:spacing w:before="100" w:beforeAutospacing="1" w:after="100" w:afterAutospacing="1"/>
        <w:rPr>
          <w:color w:val="000000"/>
        </w:rPr>
      </w:pPr>
      <w:r w:rsidRPr="002A4EF1">
        <w:rPr>
          <w:color w:val="000000"/>
        </w:rPr>
        <w:t>Digital delivery reduces operational costs and increases affordability. Subscription-based models create recurring revenue while allowing flexible access. Diversification of income streams, including partnerships and grant funding, will enhance resilience.</w:t>
      </w:r>
    </w:p>
    <w:p w14:paraId="143DA673" w14:textId="77777777" w:rsidR="002A4EF1" w:rsidRPr="002A4EF1" w:rsidRDefault="002A4EF1" w:rsidP="002A4EF1">
      <w:pPr>
        <w:spacing w:before="100" w:beforeAutospacing="1" w:after="100" w:afterAutospacing="1"/>
        <w:outlineLvl w:val="2"/>
        <w:rPr>
          <w:b/>
          <w:bCs/>
          <w:color w:val="000000"/>
          <w:sz w:val="27"/>
          <w:szCs w:val="27"/>
        </w:rPr>
      </w:pPr>
      <w:r w:rsidRPr="002A4EF1">
        <w:rPr>
          <w:b/>
          <w:bCs/>
          <w:color w:val="000000"/>
          <w:sz w:val="27"/>
          <w:szCs w:val="27"/>
        </w:rPr>
        <w:t>Social Factors</w:t>
      </w:r>
    </w:p>
    <w:p w14:paraId="1C273F21" w14:textId="77777777" w:rsidR="002A4EF1" w:rsidRPr="002A4EF1" w:rsidRDefault="002A4EF1" w:rsidP="002A4EF1">
      <w:pPr>
        <w:spacing w:before="100" w:beforeAutospacing="1" w:after="100" w:afterAutospacing="1"/>
        <w:rPr>
          <w:color w:val="000000"/>
        </w:rPr>
      </w:pPr>
      <w:r w:rsidRPr="002A4EF1">
        <w:rPr>
          <w:color w:val="000000"/>
        </w:rPr>
        <w:t>Social attitudes toward gender are evolving, with increasing awareness of inclusion and diversity. However, traditional gender norms remain influential. Media representation and commercial toy marketing continue to reinforce binary expectations (Blakemore and Centers, 2021).</w:t>
      </w:r>
    </w:p>
    <w:p w14:paraId="28AD950E" w14:textId="77777777" w:rsidR="002A4EF1" w:rsidRPr="002A4EF1" w:rsidRDefault="002A4EF1" w:rsidP="002A4EF1">
      <w:pPr>
        <w:spacing w:before="100" w:beforeAutospacing="1" w:after="100" w:afterAutospacing="1"/>
        <w:rPr>
          <w:color w:val="000000"/>
        </w:rPr>
      </w:pPr>
      <w:r w:rsidRPr="002A4EF1">
        <w:rPr>
          <w:color w:val="000000"/>
        </w:rPr>
        <w:t>This duality creates both opportunity and tension. Growing demand for inclusive guidance enhances market potential, yet social resistance may emerge in certain communities. Effective communication strategies must therefore emphasise developmental benefits rather than ideological positioning.</w:t>
      </w:r>
    </w:p>
    <w:p w14:paraId="263BF92D" w14:textId="77777777" w:rsidR="002A4EF1" w:rsidRPr="002A4EF1" w:rsidRDefault="002A4EF1" w:rsidP="002A4EF1">
      <w:pPr>
        <w:spacing w:before="100" w:beforeAutospacing="1" w:after="100" w:afterAutospacing="1"/>
        <w:outlineLvl w:val="2"/>
        <w:rPr>
          <w:b/>
          <w:bCs/>
          <w:color w:val="000000"/>
          <w:sz w:val="27"/>
          <w:szCs w:val="27"/>
        </w:rPr>
      </w:pPr>
      <w:r w:rsidRPr="002A4EF1">
        <w:rPr>
          <w:b/>
          <w:bCs/>
          <w:color w:val="000000"/>
          <w:sz w:val="27"/>
          <w:szCs w:val="27"/>
        </w:rPr>
        <w:t>Technological Factors</w:t>
      </w:r>
    </w:p>
    <w:p w14:paraId="65D30AF0" w14:textId="77777777" w:rsidR="002A4EF1" w:rsidRPr="002A4EF1" w:rsidRDefault="002A4EF1" w:rsidP="002A4EF1">
      <w:pPr>
        <w:spacing w:before="100" w:beforeAutospacing="1" w:after="100" w:afterAutospacing="1"/>
        <w:rPr>
          <w:color w:val="000000"/>
        </w:rPr>
      </w:pPr>
      <w:r w:rsidRPr="002A4EF1">
        <w:rPr>
          <w:color w:val="000000"/>
        </w:rPr>
        <w:t>Technological advancement supports scalable delivery through webinars, online learning platforms, and downloadable resources. Rural communities across Wales may particularly benefit from remote access to training. Technology also enables data collection and impact evaluation, strengthening credibility.</w:t>
      </w:r>
    </w:p>
    <w:p w14:paraId="6C577FFD" w14:textId="77777777" w:rsidR="002A4EF1" w:rsidRPr="002A4EF1" w:rsidRDefault="002A4EF1" w:rsidP="002A4EF1">
      <w:pPr>
        <w:spacing w:before="100" w:beforeAutospacing="1" w:after="100" w:afterAutospacing="1"/>
        <w:rPr>
          <w:color w:val="000000"/>
        </w:rPr>
      </w:pPr>
      <w:r w:rsidRPr="002A4EF1">
        <w:rPr>
          <w:color w:val="000000"/>
        </w:rPr>
        <w:t>However, digital inequality must be considered. Some settings may have limited technological infrastructure, requiring blended approaches.</w:t>
      </w:r>
    </w:p>
    <w:p w14:paraId="73D5EED7" w14:textId="77777777" w:rsidR="002A4EF1" w:rsidRPr="002A4EF1" w:rsidRDefault="002A4EF1" w:rsidP="002A4EF1">
      <w:pPr>
        <w:spacing w:before="100" w:beforeAutospacing="1" w:after="100" w:afterAutospacing="1"/>
        <w:outlineLvl w:val="2"/>
        <w:rPr>
          <w:b/>
          <w:bCs/>
          <w:color w:val="000000"/>
          <w:sz w:val="27"/>
          <w:szCs w:val="27"/>
        </w:rPr>
      </w:pPr>
      <w:r w:rsidRPr="002A4EF1">
        <w:rPr>
          <w:b/>
          <w:bCs/>
          <w:color w:val="000000"/>
          <w:sz w:val="27"/>
          <w:szCs w:val="27"/>
        </w:rPr>
        <w:t>Legal Factors</w:t>
      </w:r>
    </w:p>
    <w:p w14:paraId="71389787" w14:textId="77777777" w:rsidR="002A4EF1" w:rsidRPr="002A4EF1" w:rsidRDefault="002A4EF1" w:rsidP="002A4EF1">
      <w:pPr>
        <w:spacing w:before="100" w:beforeAutospacing="1" w:after="100" w:afterAutospacing="1"/>
        <w:rPr>
          <w:color w:val="000000"/>
        </w:rPr>
      </w:pPr>
      <w:r w:rsidRPr="002A4EF1">
        <w:rPr>
          <w:color w:val="000000"/>
        </w:rPr>
        <w:lastRenderedPageBreak/>
        <w:t>Equality legislation requires educational settings to prevent discrimination across protected characteristics. Schools must demonstrate compliance with public sector equality duties and inclusive practice standards (Estyn, 2024). Open Play directly supports institutions in meeting these obligations.</w:t>
      </w:r>
    </w:p>
    <w:p w14:paraId="231A05C3" w14:textId="77777777" w:rsidR="002A4EF1" w:rsidRPr="002A4EF1" w:rsidRDefault="002A4EF1" w:rsidP="002A4EF1">
      <w:pPr>
        <w:spacing w:before="100" w:beforeAutospacing="1" w:after="100" w:afterAutospacing="1"/>
        <w:rPr>
          <w:color w:val="000000"/>
        </w:rPr>
      </w:pPr>
      <w:r w:rsidRPr="002A4EF1">
        <w:rPr>
          <w:color w:val="000000"/>
        </w:rPr>
        <w:t>A children’s rights framework further reinforces the importance of non-discrimination and participation (Children’s Commissioner for Wales, 2023). Legal alignment strengthens the enterprise’s positioning within the regulatory landscape.</w:t>
      </w:r>
    </w:p>
    <w:p w14:paraId="385BDD16" w14:textId="77777777" w:rsidR="002A4EF1" w:rsidRPr="002A4EF1" w:rsidRDefault="002A4EF1" w:rsidP="002A4EF1">
      <w:pPr>
        <w:spacing w:before="100" w:beforeAutospacing="1" w:after="100" w:afterAutospacing="1"/>
        <w:outlineLvl w:val="2"/>
        <w:rPr>
          <w:b/>
          <w:bCs/>
          <w:color w:val="000000"/>
          <w:sz w:val="27"/>
          <w:szCs w:val="27"/>
        </w:rPr>
      </w:pPr>
      <w:r w:rsidRPr="002A4EF1">
        <w:rPr>
          <w:b/>
          <w:bCs/>
          <w:color w:val="000000"/>
          <w:sz w:val="27"/>
          <w:szCs w:val="27"/>
        </w:rPr>
        <w:t>Environmental Factors</w:t>
      </w:r>
    </w:p>
    <w:p w14:paraId="373D6744" w14:textId="77777777" w:rsidR="002A4EF1" w:rsidRPr="002A4EF1" w:rsidRDefault="002A4EF1" w:rsidP="002A4EF1">
      <w:pPr>
        <w:spacing w:before="100" w:beforeAutospacing="1" w:after="100" w:afterAutospacing="1"/>
        <w:rPr>
          <w:color w:val="000000"/>
        </w:rPr>
      </w:pPr>
      <w:r w:rsidRPr="002A4EF1">
        <w:rPr>
          <w:color w:val="000000"/>
        </w:rPr>
        <w:t>Environmental sustainability is increasingly embedded within Welsh education policy, particularly through the Curriculum for Wales’ emphasis on ethical citizenship (Welsh Government, 2022). Open Play can integrate sustainable toy guidance and environmentally responsible play materials, aligning inclusion with sustainability agendas.</w:t>
      </w:r>
    </w:p>
    <w:p w14:paraId="49AF601D" w14:textId="77777777" w:rsidR="002A4EF1" w:rsidRPr="002A4EF1" w:rsidRDefault="002A4EF1" w:rsidP="002A4EF1">
      <w:r w:rsidRPr="002A4EF1">
        <w:rPr>
          <w:noProof/>
        </w:rPr>
      </w:r>
      <w:r w:rsidR="002A4EF1" w:rsidRPr="002A4EF1">
        <w:rPr>
          <w:noProof/>
        </w:rPr>
        <w:pict w14:anchorId="50A21431">
          <v:rect id="_x0000_i1034" alt="" style="width:451.3pt;height:.05pt;mso-width-percent:0;mso-height-percent:0;mso-width-percent:0;mso-height-percent:0" o:hralign="center" o:hrstd="t" o:hrnoshade="t" o:hr="t" fillcolor="black" stroked="f"/>
        </w:pict>
      </w:r>
    </w:p>
    <w:p w14:paraId="68070C27" w14:textId="77777777" w:rsidR="002A4EF1" w:rsidRPr="002A4EF1" w:rsidRDefault="002A4EF1" w:rsidP="002A4EF1">
      <w:pPr>
        <w:spacing w:before="100" w:beforeAutospacing="1" w:after="100" w:afterAutospacing="1"/>
        <w:outlineLvl w:val="1"/>
        <w:rPr>
          <w:b/>
          <w:bCs/>
          <w:color w:val="000000"/>
          <w:sz w:val="36"/>
          <w:szCs w:val="36"/>
        </w:rPr>
      </w:pPr>
      <w:r w:rsidRPr="002A4EF1">
        <w:rPr>
          <w:b/>
          <w:bCs/>
          <w:color w:val="000000"/>
          <w:sz w:val="36"/>
          <w:szCs w:val="36"/>
        </w:rPr>
        <w:t>Links to Current Practice and Government Legislation</w:t>
      </w:r>
    </w:p>
    <w:p w14:paraId="716A2947" w14:textId="77777777" w:rsidR="002A4EF1" w:rsidRPr="002A4EF1" w:rsidRDefault="002A4EF1" w:rsidP="002A4EF1">
      <w:pPr>
        <w:spacing w:before="100" w:beforeAutospacing="1" w:after="100" w:afterAutospacing="1"/>
        <w:rPr>
          <w:color w:val="000000"/>
        </w:rPr>
      </w:pPr>
      <w:r w:rsidRPr="002A4EF1">
        <w:rPr>
          <w:color w:val="000000"/>
        </w:rPr>
        <w:t>Contemporary early years practice increasingly recognises the importance of child-led learning and enabling environments. However, unconscious bias in resource organisation and adult interaction persists. Policy frameworks advocate inclusion, yet implementation varies across settings.</w:t>
      </w:r>
    </w:p>
    <w:p w14:paraId="10BE8554" w14:textId="77777777" w:rsidR="002A4EF1" w:rsidRPr="002A4EF1" w:rsidRDefault="002A4EF1" w:rsidP="002A4EF1">
      <w:pPr>
        <w:spacing w:before="100" w:beforeAutospacing="1" w:after="100" w:afterAutospacing="1"/>
        <w:rPr>
          <w:color w:val="000000"/>
        </w:rPr>
      </w:pPr>
      <w:r w:rsidRPr="002A4EF1">
        <w:rPr>
          <w:color w:val="000000"/>
        </w:rPr>
        <w:t>The Curriculum for Wales positions early education as foundational to lifelong learning and citizenship (Welsh Government, 2022). By addressing gender stereotyping at this stage, Open Play contributes to long-term educational equity. Equality legislation and inspection requirements further reinforce the necessity of inclusive provision (Estyn, 2024).</w:t>
      </w:r>
    </w:p>
    <w:p w14:paraId="780D96A4" w14:textId="77777777" w:rsidR="002A4EF1" w:rsidRPr="002A4EF1" w:rsidRDefault="002A4EF1" w:rsidP="002A4EF1">
      <w:pPr>
        <w:spacing w:before="100" w:beforeAutospacing="1" w:after="100" w:afterAutospacing="1"/>
        <w:rPr>
          <w:color w:val="000000"/>
        </w:rPr>
      </w:pPr>
      <w:r w:rsidRPr="002A4EF1">
        <w:rPr>
          <w:color w:val="000000"/>
        </w:rPr>
        <w:t>Open Play therefore operates not as an external critique of practice, but as a supportive mechanism enabling practitioners to translate policy into everyday classroom strategies.</w:t>
      </w:r>
    </w:p>
    <w:p w14:paraId="3C591B72" w14:textId="77777777" w:rsidR="002A4EF1" w:rsidRPr="002A4EF1" w:rsidRDefault="002A4EF1" w:rsidP="002A4EF1">
      <w:r w:rsidRPr="002A4EF1">
        <w:rPr>
          <w:noProof/>
        </w:rPr>
      </w:r>
      <w:r w:rsidR="002A4EF1" w:rsidRPr="002A4EF1">
        <w:rPr>
          <w:noProof/>
        </w:rPr>
        <w:pict w14:anchorId="74ED84C6">
          <v:rect id="_x0000_i1035" alt="" style="width:451.3pt;height:.05pt;mso-width-percent:0;mso-height-percent:0;mso-width-percent:0;mso-height-percent:0" o:hralign="center" o:hrstd="t" o:hrnoshade="t" o:hr="t" fillcolor="black" stroked="f"/>
        </w:pict>
      </w:r>
    </w:p>
    <w:p w14:paraId="417EC6A5" w14:textId="77777777" w:rsidR="002A4EF1" w:rsidRPr="002A4EF1" w:rsidRDefault="002A4EF1" w:rsidP="002A4EF1">
      <w:pPr>
        <w:spacing w:before="100" w:beforeAutospacing="1" w:after="100" w:afterAutospacing="1"/>
        <w:outlineLvl w:val="1"/>
        <w:rPr>
          <w:b/>
          <w:bCs/>
          <w:color w:val="000000"/>
          <w:sz w:val="36"/>
          <w:szCs w:val="36"/>
        </w:rPr>
      </w:pPr>
      <w:r w:rsidRPr="002A4EF1">
        <w:rPr>
          <w:b/>
          <w:bCs/>
          <w:color w:val="000000"/>
          <w:sz w:val="36"/>
          <w:szCs w:val="36"/>
        </w:rPr>
        <w:t>Future Development and Strategic Growth</w:t>
      </w:r>
    </w:p>
    <w:p w14:paraId="379786CD" w14:textId="77777777" w:rsidR="002A4EF1" w:rsidRPr="002A4EF1" w:rsidRDefault="002A4EF1" w:rsidP="002A4EF1">
      <w:pPr>
        <w:spacing w:before="100" w:beforeAutospacing="1" w:after="100" w:afterAutospacing="1"/>
        <w:rPr>
          <w:color w:val="000000"/>
        </w:rPr>
      </w:pPr>
      <w:r w:rsidRPr="002A4EF1">
        <w:rPr>
          <w:color w:val="000000"/>
        </w:rPr>
        <w:t>Future expansion may involve accredited professional development programmes in collaboration with higher education institutions. Establishing research partnerships could generate empirical evidence of impact, strengthening credibility. Development of national online platforms would facilitate UK-wide reach.</w:t>
      </w:r>
    </w:p>
    <w:p w14:paraId="4B1B3EAA" w14:textId="77777777" w:rsidR="002A4EF1" w:rsidRPr="002A4EF1" w:rsidRDefault="002A4EF1" w:rsidP="002A4EF1">
      <w:pPr>
        <w:spacing w:before="100" w:beforeAutospacing="1" w:after="100" w:afterAutospacing="1"/>
        <w:rPr>
          <w:color w:val="000000"/>
        </w:rPr>
      </w:pPr>
      <w:r w:rsidRPr="002A4EF1">
        <w:rPr>
          <w:color w:val="000000"/>
        </w:rPr>
        <w:t>Long-term sustainability will depend on impact measurement, stakeholder engagement, diversified funding, and adaptive service design. As societal awareness of inclusion continues to develop, Open Play has potential to influence broader discourse within early childhood education.</w:t>
      </w:r>
    </w:p>
    <w:p w14:paraId="6F3FD194" w14:textId="77777777" w:rsidR="002A4EF1" w:rsidRPr="002A4EF1" w:rsidRDefault="002A4EF1" w:rsidP="002A4EF1">
      <w:r w:rsidRPr="002A4EF1">
        <w:rPr>
          <w:noProof/>
        </w:rPr>
      </w:r>
      <w:r w:rsidR="002A4EF1" w:rsidRPr="002A4EF1">
        <w:rPr>
          <w:noProof/>
        </w:rPr>
        <w:pict w14:anchorId="570B8C20">
          <v:rect id="_x0000_i1036" alt="" style="width:451.3pt;height:.05pt;mso-width-percent:0;mso-height-percent:0;mso-width-percent:0;mso-height-percent:0" o:hralign="center" o:hrstd="t" o:hrnoshade="t" o:hr="t" fillcolor="black" stroked="f"/>
        </w:pict>
      </w:r>
    </w:p>
    <w:p w14:paraId="7E580217" w14:textId="77777777" w:rsidR="002A4EF1" w:rsidRPr="002A4EF1" w:rsidRDefault="002A4EF1" w:rsidP="002A4EF1">
      <w:pPr>
        <w:spacing w:before="100" w:beforeAutospacing="1" w:after="100" w:afterAutospacing="1"/>
        <w:outlineLvl w:val="0"/>
        <w:rPr>
          <w:b/>
          <w:bCs/>
          <w:color w:val="000000"/>
          <w:kern w:val="36"/>
          <w:sz w:val="48"/>
          <w:szCs w:val="48"/>
        </w:rPr>
      </w:pPr>
      <w:r w:rsidRPr="002A4EF1">
        <w:rPr>
          <w:b/>
          <w:bCs/>
          <w:color w:val="000000"/>
          <w:kern w:val="36"/>
          <w:sz w:val="48"/>
          <w:szCs w:val="48"/>
        </w:rPr>
        <w:lastRenderedPageBreak/>
        <w:t>Conclusion</w:t>
      </w:r>
    </w:p>
    <w:p w14:paraId="115518C8" w14:textId="77777777" w:rsidR="002A4EF1" w:rsidRPr="002A4EF1" w:rsidRDefault="002A4EF1" w:rsidP="002A4EF1">
      <w:pPr>
        <w:spacing w:before="100" w:beforeAutospacing="1" w:after="100" w:afterAutospacing="1"/>
        <w:rPr>
          <w:color w:val="000000"/>
        </w:rPr>
      </w:pPr>
      <w:r w:rsidRPr="002A4EF1">
        <w:rPr>
          <w:color w:val="000000"/>
        </w:rPr>
        <w:t>Open Play represents a strategically designed social enterprise addressing the developmental implications of gender stereotyping in early childhood play. By integrating academic research, policy alignment, and entrepreneurial sustainability, the initiative bridges the gap between inclusion rhetoric and daily practice. While cultural, financial, and institutional barriers exist, careful positioning, evidence-based delivery, and policy engagement provide strong foundations for viability and impact.</w:t>
      </w:r>
    </w:p>
    <w:p w14:paraId="08A45DD7" w14:textId="77777777" w:rsidR="002A4EF1" w:rsidRPr="002A4EF1" w:rsidRDefault="002A4EF1" w:rsidP="002A4EF1">
      <w:r w:rsidRPr="002A4EF1">
        <w:rPr>
          <w:noProof/>
        </w:rPr>
      </w:r>
      <w:r w:rsidR="002A4EF1" w:rsidRPr="002A4EF1">
        <w:rPr>
          <w:noProof/>
        </w:rPr>
        <w:pict w14:anchorId="710B8C8D">
          <v:rect id="_x0000_i1037" alt="" style="width:451.3pt;height:.05pt;mso-width-percent:0;mso-height-percent:0;mso-width-percent:0;mso-height-percent:0" o:hralign="center" o:hrstd="t" o:hrnoshade="t" o:hr="t" fillcolor="black" stroked="f"/>
        </w:pict>
      </w:r>
    </w:p>
    <w:p w14:paraId="24B0C8E4" w14:textId="77777777" w:rsidR="002A4EF1" w:rsidRPr="002A4EF1" w:rsidRDefault="002A4EF1" w:rsidP="002A4EF1">
      <w:pPr>
        <w:spacing w:before="100" w:beforeAutospacing="1" w:after="100" w:afterAutospacing="1"/>
        <w:outlineLvl w:val="0"/>
        <w:rPr>
          <w:b/>
          <w:bCs/>
          <w:color w:val="000000"/>
          <w:kern w:val="36"/>
          <w:sz w:val="48"/>
          <w:szCs w:val="48"/>
        </w:rPr>
      </w:pPr>
      <w:r w:rsidRPr="002A4EF1">
        <w:rPr>
          <w:b/>
          <w:bCs/>
          <w:color w:val="000000"/>
          <w:kern w:val="36"/>
          <w:sz w:val="48"/>
          <w:szCs w:val="48"/>
        </w:rPr>
        <w:t>Reference List</w:t>
      </w:r>
    </w:p>
    <w:p w14:paraId="2D1786C1" w14:textId="77777777" w:rsidR="002A4EF1" w:rsidRPr="002A4EF1" w:rsidRDefault="002A4EF1" w:rsidP="002A4EF1">
      <w:pPr>
        <w:spacing w:before="100" w:beforeAutospacing="1" w:after="100" w:afterAutospacing="1"/>
        <w:rPr>
          <w:color w:val="000000"/>
        </w:rPr>
      </w:pPr>
      <w:r w:rsidRPr="002A4EF1">
        <w:rPr>
          <w:color w:val="000000"/>
        </w:rPr>
        <w:t>Blakemore, J.E.O. and Centers, R.E. (2021) ‘Characteristics of boys’ and girls’ toys and gender role development’, </w:t>
      </w:r>
      <w:r w:rsidRPr="002A4EF1">
        <w:rPr>
          <w:i/>
          <w:iCs/>
          <w:color w:val="000000"/>
        </w:rPr>
        <w:t>Journal of Applied Developmental Psychology</w:t>
      </w:r>
      <w:r w:rsidRPr="002A4EF1">
        <w:rPr>
          <w:color w:val="000000"/>
        </w:rPr>
        <w:t>, 42, pp. 1–10.</w:t>
      </w:r>
    </w:p>
    <w:p w14:paraId="7A996F3B" w14:textId="77777777" w:rsidR="002A4EF1" w:rsidRPr="002A4EF1" w:rsidRDefault="002A4EF1" w:rsidP="002A4EF1">
      <w:pPr>
        <w:spacing w:before="100" w:beforeAutospacing="1" w:after="100" w:afterAutospacing="1"/>
        <w:rPr>
          <w:color w:val="000000"/>
        </w:rPr>
      </w:pPr>
      <w:r w:rsidRPr="002A4EF1">
        <w:rPr>
          <w:color w:val="000000"/>
        </w:rPr>
        <w:t>Children’s Commissioner for Wales (2023) </w:t>
      </w:r>
      <w:r w:rsidRPr="002A4EF1">
        <w:rPr>
          <w:i/>
          <w:iCs/>
          <w:color w:val="000000"/>
        </w:rPr>
        <w:t>A children’s rights approach to education in Wales</w:t>
      </w:r>
      <w:r w:rsidRPr="002A4EF1">
        <w:rPr>
          <w:color w:val="000000"/>
        </w:rPr>
        <w:t>. Available at: </w:t>
      </w:r>
      <w:hyperlink r:id="rId8" w:tgtFrame="_new" w:history="1">
        <w:r w:rsidRPr="002A4EF1">
          <w:rPr>
            <w:color w:val="0000FF"/>
            <w:u w:val="single"/>
          </w:rPr>
          <w:t>https://www.childcomwales.org.uk</w:t>
        </w:r>
      </w:hyperlink>
      <w:r w:rsidRPr="002A4EF1">
        <w:rPr>
          <w:color w:val="000000"/>
        </w:rPr>
        <w:t> (Accessed: 18 February 2026).</w:t>
      </w:r>
    </w:p>
    <w:p w14:paraId="6B4D1175" w14:textId="77777777" w:rsidR="002A4EF1" w:rsidRPr="002A4EF1" w:rsidRDefault="002A4EF1" w:rsidP="002A4EF1">
      <w:pPr>
        <w:spacing w:before="100" w:beforeAutospacing="1" w:after="100" w:afterAutospacing="1"/>
        <w:rPr>
          <w:color w:val="000000"/>
        </w:rPr>
      </w:pPr>
      <w:r w:rsidRPr="002A4EF1">
        <w:rPr>
          <w:color w:val="000000"/>
        </w:rPr>
        <w:t>Department for Education (2023) </w:t>
      </w:r>
      <w:r w:rsidRPr="002A4EF1">
        <w:rPr>
          <w:i/>
          <w:iCs/>
          <w:color w:val="000000"/>
        </w:rPr>
        <w:t>Statutory framework for the early years foundation stage</w:t>
      </w:r>
      <w:r w:rsidRPr="002A4EF1">
        <w:rPr>
          <w:color w:val="000000"/>
        </w:rPr>
        <w:t>. London: DfE.</w:t>
      </w:r>
    </w:p>
    <w:p w14:paraId="06A3AC6B" w14:textId="77777777" w:rsidR="002A4EF1" w:rsidRPr="002A4EF1" w:rsidRDefault="002A4EF1" w:rsidP="002A4EF1">
      <w:pPr>
        <w:spacing w:before="100" w:beforeAutospacing="1" w:after="100" w:afterAutospacing="1"/>
        <w:rPr>
          <w:color w:val="000000"/>
        </w:rPr>
      </w:pPr>
      <w:r w:rsidRPr="002A4EF1">
        <w:rPr>
          <w:color w:val="000000"/>
        </w:rPr>
        <w:t>Estyn (2024) </w:t>
      </w:r>
      <w:r w:rsidRPr="002A4EF1">
        <w:rPr>
          <w:i/>
          <w:iCs/>
          <w:color w:val="000000"/>
        </w:rPr>
        <w:t>Equal opportunities policy</w:t>
      </w:r>
      <w:r w:rsidRPr="002A4EF1">
        <w:rPr>
          <w:color w:val="000000"/>
        </w:rPr>
        <w:t>. Available at: </w:t>
      </w:r>
      <w:hyperlink r:id="rId9" w:tgtFrame="_new" w:history="1">
        <w:r w:rsidRPr="002A4EF1">
          <w:rPr>
            <w:color w:val="0000FF"/>
            <w:u w:val="single"/>
          </w:rPr>
          <w:t>https://estyn.gov.wales</w:t>
        </w:r>
      </w:hyperlink>
      <w:r w:rsidRPr="002A4EF1">
        <w:rPr>
          <w:color w:val="000000"/>
        </w:rPr>
        <w:t> (Accessed: 18 February 2026).</w:t>
      </w:r>
    </w:p>
    <w:p w14:paraId="501A4289" w14:textId="77777777" w:rsidR="002A4EF1" w:rsidRPr="002A4EF1" w:rsidRDefault="002A4EF1" w:rsidP="002A4EF1">
      <w:pPr>
        <w:spacing w:before="100" w:beforeAutospacing="1" w:after="100" w:afterAutospacing="1"/>
        <w:rPr>
          <w:color w:val="000000"/>
        </w:rPr>
      </w:pPr>
      <w:r w:rsidRPr="002A4EF1">
        <w:rPr>
          <w:color w:val="000000"/>
        </w:rPr>
        <w:t>OECD (2021) </w:t>
      </w:r>
      <w:r w:rsidRPr="002A4EF1">
        <w:rPr>
          <w:i/>
          <w:iCs/>
          <w:color w:val="000000"/>
        </w:rPr>
        <w:t>Starting Strong VI: Supporting meaningful interactions in early childhood education and care</w:t>
      </w:r>
      <w:r w:rsidRPr="002A4EF1">
        <w:rPr>
          <w:color w:val="000000"/>
        </w:rPr>
        <w:t>. Paris: OECD Publishing.</w:t>
      </w:r>
    </w:p>
    <w:p w14:paraId="1A776E6B" w14:textId="77777777" w:rsidR="002A4EF1" w:rsidRPr="002A4EF1" w:rsidRDefault="002A4EF1" w:rsidP="002A4EF1">
      <w:pPr>
        <w:spacing w:before="100" w:beforeAutospacing="1" w:after="100" w:afterAutospacing="1"/>
        <w:rPr>
          <w:color w:val="000000"/>
        </w:rPr>
      </w:pPr>
      <w:r w:rsidRPr="002A4EF1">
        <w:rPr>
          <w:color w:val="000000"/>
        </w:rPr>
        <w:t>UNICEF (2022) </w:t>
      </w:r>
      <w:r w:rsidRPr="002A4EF1">
        <w:rPr>
          <w:i/>
          <w:iCs/>
          <w:color w:val="000000"/>
        </w:rPr>
        <w:t>Learning through play: Strengthening learning through play in early childhood education programmes</w:t>
      </w:r>
      <w:r w:rsidRPr="002A4EF1">
        <w:rPr>
          <w:color w:val="000000"/>
        </w:rPr>
        <w:t>. New York: UNICEF.</w:t>
      </w:r>
    </w:p>
    <w:p w14:paraId="72D3C0E1" w14:textId="77777777" w:rsidR="002A4EF1" w:rsidRPr="002A4EF1" w:rsidRDefault="002A4EF1" w:rsidP="002A4EF1">
      <w:pPr>
        <w:spacing w:before="100" w:beforeAutospacing="1" w:after="100" w:afterAutospacing="1"/>
        <w:rPr>
          <w:color w:val="000000"/>
        </w:rPr>
      </w:pPr>
      <w:r w:rsidRPr="002A4EF1">
        <w:rPr>
          <w:color w:val="000000"/>
        </w:rPr>
        <w:t>Welsh Government (2022) </w:t>
      </w:r>
      <w:r w:rsidRPr="002A4EF1">
        <w:rPr>
          <w:i/>
          <w:iCs/>
          <w:color w:val="000000"/>
        </w:rPr>
        <w:t>Curriculum for Wales: Annual report</w:t>
      </w:r>
      <w:r w:rsidRPr="002A4EF1">
        <w:rPr>
          <w:color w:val="000000"/>
        </w:rPr>
        <w:t>. Cardiff: Welsh Government.</w:t>
      </w:r>
    </w:p>
    <w:p w14:paraId="33F73141" w14:textId="77777777" w:rsidR="002A4EF1" w:rsidRDefault="002A4EF1"/>
    <w:sectPr w:rsidR="002A4E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7E1085"/>
    <w:multiLevelType w:val="multilevel"/>
    <w:tmpl w:val="F8EC2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93108AF"/>
    <w:multiLevelType w:val="multilevel"/>
    <w:tmpl w:val="B600C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70771125">
    <w:abstractNumId w:val="0"/>
  </w:num>
  <w:num w:numId="2" w16cid:durableId="13707160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1048"/>
    <w:rsid w:val="00034973"/>
    <w:rsid w:val="00061120"/>
    <w:rsid w:val="000F29C7"/>
    <w:rsid w:val="002A4EF1"/>
    <w:rsid w:val="006F7670"/>
    <w:rsid w:val="00746327"/>
    <w:rsid w:val="007E3D89"/>
    <w:rsid w:val="00A41048"/>
    <w:rsid w:val="00BB7E85"/>
    <w:rsid w:val="00CB64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E677E"/>
  <w15:chartTrackingRefBased/>
  <w15:docId w15:val="{9885D24F-714B-5D48-9C3B-4631D27CD5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4EF1"/>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A41048"/>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A41048"/>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A41048"/>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A41048"/>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A41048"/>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A41048"/>
    <w:pPr>
      <w:keepNext/>
      <w:keepLines/>
      <w:spacing w:before="4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A41048"/>
    <w:pPr>
      <w:keepNext/>
      <w:keepLines/>
      <w:spacing w:before="4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A41048"/>
    <w:pPr>
      <w:keepNext/>
      <w:keepLines/>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A41048"/>
    <w:pPr>
      <w:keepNext/>
      <w:keepLines/>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10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410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410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10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10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10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10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10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1048"/>
    <w:rPr>
      <w:rFonts w:eastAsiaTheme="majorEastAsia" w:cstheme="majorBidi"/>
      <w:color w:val="272727" w:themeColor="text1" w:themeTint="D8"/>
    </w:rPr>
  </w:style>
  <w:style w:type="paragraph" w:styleId="Title">
    <w:name w:val="Title"/>
    <w:basedOn w:val="Normal"/>
    <w:next w:val="Normal"/>
    <w:link w:val="TitleChar"/>
    <w:uiPriority w:val="10"/>
    <w:qFormat/>
    <w:rsid w:val="00A41048"/>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A410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1048"/>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A410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1048"/>
    <w:pPr>
      <w:spacing w:before="160" w:after="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A41048"/>
    <w:rPr>
      <w:i/>
      <w:iCs/>
      <w:color w:val="404040" w:themeColor="text1" w:themeTint="BF"/>
    </w:rPr>
  </w:style>
  <w:style w:type="paragraph" w:styleId="ListParagraph">
    <w:name w:val="List Paragraph"/>
    <w:basedOn w:val="Normal"/>
    <w:uiPriority w:val="34"/>
    <w:qFormat/>
    <w:rsid w:val="00A41048"/>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A41048"/>
    <w:rPr>
      <w:i/>
      <w:iCs/>
      <w:color w:val="0F4761" w:themeColor="accent1" w:themeShade="BF"/>
    </w:rPr>
  </w:style>
  <w:style w:type="paragraph" w:styleId="IntenseQuote">
    <w:name w:val="Intense Quote"/>
    <w:basedOn w:val="Normal"/>
    <w:next w:val="Normal"/>
    <w:link w:val="IntenseQuoteChar"/>
    <w:uiPriority w:val="30"/>
    <w:qFormat/>
    <w:rsid w:val="00A41048"/>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A41048"/>
    <w:rPr>
      <w:i/>
      <w:iCs/>
      <w:color w:val="0F4761" w:themeColor="accent1" w:themeShade="BF"/>
    </w:rPr>
  </w:style>
  <w:style w:type="character" w:styleId="IntenseReference">
    <w:name w:val="Intense Reference"/>
    <w:basedOn w:val="DefaultParagraphFont"/>
    <w:uiPriority w:val="32"/>
    <w:qFormat/>
    <w:rsid w:val="00A41048"/>
    <w:rPr>
      <w:b/>
      <w:bCs/>
      <w:smallCaps/>
      <w:color w:val="0F4761" w:themeColor="accent1" w:themeShade="BF"/>
      <w:spacing w:val="5"/>
    </w:rPr>
  </w:style>
  <w:style w:type="paragraph" w:styleId="NormalWeb">
    <w:name w:val="Normal (Web)"/>
    <w:basedOn w:val="Normal"/>
    <w:uiPriority w:val="99"/>
    <w:semiHidden/>
    <w:unhideWhenUsed/>
    <w:rsid w:val="000F29C7"/>
    <w:pPr>
      <w:spacing w:before="100" w:beforeAutospacing="1" w:after="100" w:afterAutospacing="1"/>
    </w:pPr>
  </w:style>
  <w:style w:type="character" w:customStyle="1" w:styleId="apple-converted-space">
    <w:name w:val="apple-converted-space"/>
    <w:basedOn w:val="DefaultParagraphFont"/>
    <w:rsid w:val="000F29C7"/>
  </w:style>
  <w:style w:type="character" w:styleId="Hyperlink">
    <w:name w:val="Hyperlink"/>
    <w:basedOn w:val="DefaultParagraphFont"/>
    <w:uiPriority w:val="99"/>
    <w:semiHidden/>
    <w:unhideWhenUsed/>
    <w:rsid w:val="000F29C7"/>
    <w:rPr>
      <w:color w:val="0000FF"/>
      <w:u w:val="single"/>
    </w:rPr>
  </w:style>
  <w:style w:type="character" w:styleId="Emphasis">
    <w:name w:val="Emphasis"/>
    <w:basedOn w:val="DefaultParagraphFont"/>
    <w:uiPriority w:val="20"/>
    <w:qFormat/>
    <w:rsid w:val="002A4EF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comwales.org.uk/" TargetMode="External"/><Relationship Id="rId3" Type="http://schemas.openxmlformats.org/officeDocument/2006/relationships/settings" Target="settings.xml"/><Relationship Id="rId7" Type="http://schemas.openxmlformats.org/officeDocument/2006/relationships/hyperlink" Target="https://www.gov.wal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styn.gov.wales/" TargetMode="External"/><Relationship Id="rId11" Type="http://schemas.openxmlformats.org/officeDocument/2006/relationships/theme" Target="theme/theme1.xml"/><Relationship Id="rId5" Type="http://schemas.openxmlformats.org/officeDocument/2006/relationships/hyperlink" Target="https://www.childcomwales.org.uk/"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estyn.gov.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14</Pages>
  <Words>5128</Words>
  <Characters>29232</Characters>
  <Application>Microsoft Office Word</Application>
  <DocSecurity>0</DocSecurity>
  <Lines>243</Lines>
  <Paragraphs>68</Paragraphs>
  <ScaleCrop>false</ScaleCrop>
  <Company/>
  <LinksUpToDate>false</LinksUpToDate>
  <CharactersWithSpaces>34292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Alanis Jones (2318398)</dc:creator>
  <cp:keywords/>
  <dc:description/>
  <cp:lastModifiedBy>Alanis Jones (2318398)</cp:lastModifiedBy>
  <cp:revision>3</cp:revision>
  <dcterms:created xsi:type="dcterms:W3CDTF">2026-02-18T13:15:00Z</dcterms:created>
  <dcterms:modified xsi:type="dcterms:W3CDTF">2026-02-18T13:37:00Z</dcterms:modified>
</cp:coreProperties>
</file>