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footnotes.xml" ContentType="application/vnd.openxmlformats-officedocument.wordprocessingml.footnot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4ADC9B5" w14:paraId="2C078E63" wp14:textId="2BE9953F">
      <w:pPr>
        <w:jc w:val="center"/>
        <w:rPr>
          <w:u w:val="single"/>
        </w:rPr>
      </w:pPr>
      <w:bookmarkStart w:name="_GoBack" w:id="0"/>
      <w:bookmarkEnd w:id="0"/>
      <w:r w:rsidRPr="54ADC9B5" w:rsidR="2BFBA1D6">
        <w:rPr>
          <w:u w:val="single"/>
        </w:rPr>
        <w:t>A reply to From Horsemen to Hoplites</w:t>
      </w:r>
      <w:r w:rsidRPr="54ADC9B5" w:rsidR="5B84C4EF">
        <w:rPr>
          <w:u w:val="single"/>
        </w:rPr>
        <w:t>, Some remarks on Archaic Greek Warfare by J.J Brouwers.</w:t>
      </w:r>
      <w:r w:rsidR="5B84C4EF">
        <w:rPr/>
        <w:t xml:space="preserve"> </w:t>
      </w:r>
    </w:p>
    <w:p w:rsidR="54ADC9B5" w:rsidP="54ADC9B5" w:rsidRDefault="54ADC9B5" w14:paraId="0FDB19D7" w14:textId="0D0B97CC">
      <w:pPr>
        <w:pStyle w:val="Normal"/>
        <w:jc w:val="center"/>
      </w:pPr>
    </w:p>
    <w:p w:rsidR="5B84C4EF" w:rsidP="54ADC9B5" w:rsidRDefault="5B84C4EF" w14:paraId="56C67EAE" w14:textId="46C41344">
      <w:pPr>
        <w:pStyle w:val="Normal"/>
        <w:jc w:val="left"/>
      </w:pPr>
      <w:r w:rsidR="5B84C4EF">
        <w:rPr/>
        <w:t>This article, written by Dr J.J Brouwers, is an analysis of the traditional view of Greek warfare, and the role in which horses played</w:t>
      </w:r>
      <w:r w:rsidR="4C4AC345">
        <w:rPr/>
        <w:t xml:space="preserve"> on the battlefield in the Archaic area. Brouwers article consistently challenges they deem to be the traditional view of Greek warfare in the </w:t>
      </w:r>
      <w:r w:rsidR="7606E393">
        <w:rPr/>
        <w:t xml:space="preserve">period, and attempts to argue that in the archaic age, </w:t>
      </w:r>
      <w:r w:rsidR="033FAABF">
        <w:rPr/>
        <w:t xml:space="preserve">much of what we associate with hoplite warfare, such as the shield, has its design being specifically tailored for </w:t>
      </w:r>
      <w:r w:rsidR="3944C5B3">
        <w:rPr/>
        <w:t xml:space="preserve">warriors whose primary outfit, included the horse. </w:t>
      </w:r>
    </w:p>
    <w:p w:rsidR="3944C5B3" w:rsidP="54ADC9B5" w:rsidRDefault="3944C5B3" w14:paraId="247F5CDF" w14:textId="5025960E">
      <w:pPr>
        <w:pStyle w:val="Normal"/>
        <w:jc w:val="left"/>
      </w:pPr>
      <w:r w:rsidR="3944C5B3">
        <w:rPr/>
        <w:t xml:space="preserve">Brouwers states that much of what we know about hoplite warfare and its </w:t>
      </w:r>
      <w:r w:rsidR="06F00B86">
        <w:rPr/>
        <w:t>origins</w:t>
      </w:r>
      <w:r w:rsidR="3944C5B3">
        <w:rPr/>
        <w:t xml:space="preserve"> was discussed in an article written by Lorimer</w:t>
      </w:r>
      <w:r w:rsidR="4EB1BCB8">
        <w:rPr/>
        <w:t xml:space="preserve"> in 1947</w:t>
      </w:r>
      <w:r w:rsidRPr="54ADC9B5">
        <w:rPr>
          <w:rStyle w:val="FootnoteReference"/>
        </w:rPr>
        <w:footnoteReference w:id="26615"/>
      </w:r>
      <w:r w:rsidR="30AC2BD4">
        <w:rPr/>
        <w:t>. Brouwers refers to this article as having created an orthodox view of Greek hoplite warfare</w:t>
      </w:r>
      <w:r w:rsidRPr="54ADC9B5">
        <w:rPr>
          <w:rStyle w:val="FootnoteReference"/>
        </w:rPr>
        <w:footnoteReference w:id="18971"/>
      </w:r>
      <w:r w:rsidR="0439D5E9">
        <w:rPr/>
        <w:t xml:space="preserve">, one which Brouwers intends to challenge and as such, this article could be viewed as a reply to Lorimer and an </w:t>
      </w:r>
      <w:r w:rsidR="7B1D09E7">
        <w:rPr/>
        <w:t>extension</w:t>
      </w:r>
      <w:r w:rsidR="0439D5E9">
        <w:rPr/>
        <w:t xml:space="preserve"> of another work mentioned extensively in the work, a book by an author </w:t>
      </w:r>
      <w:r w:rsidR="1BCA974F">
        <w:rPr/>
        <w:t xml:space="preserve">called Greenhalgh </w:t>
      </w:r>
      <w:r w:rsidR="0659D6F3">
        <w:rPr/>
        <w:t>whose</w:t>
      </w:r>
      <w:r w:rsidR="1BCA974F">
        <w:rPr/>
        <w:t xml:space="preserve"> book on horses and chariots in the archaic period is used extensively as evidence for Brouwers own hypothesis</w:t>
      </w:r>
      <w:r w:rsidRPr="54ADC9B5">
        <w:rPr>
          <w:rStyle w:val="FootnoteReference"/>
        </w:rPr>
        <w:footnoteReference w:id="7599"/>
      </w:r>
      <w:r w:rsidR="1BCA974F">
        <w:rPr/>
        <w:t xml:space="preserve">. </w:t>
      </w:r>
    </w:p>
    <w:p w:rsidR="0DCC9AF2" w:rsidP="54ADC9B5" w:rsidRDefault="0DCC9AF2" w14:paraId="2FDEBBC4" w14:textId="3F6D26C5">
      <w:pPr>
        <w:pStyle w:val="Normal"/>
        <w:jc w:val="left"/>
      </w:pPr>
      <w:r w:rsidR="0DCC9AF2">
        <w:rPr/>
        <w:t xml:space="preserve">As we reply to this article, we will do so in the same manner as in which it is written, in sections. </w:t>
      </w:r>
      <w:r w:rsidR="2F6D2325">
        <w:rPr/>
        <w:t>In the</w:t>
      </w:r>
      <w:r w:rsidR="0DCC9AF2">
        <w:rPr/>
        <w:t xml:space="preserve"> first section, Brouwers looks at the developments described as having </w:t>
      </w:r>
      <w:r w:rsidR="3788BB40">
        <w:rPr/>
        <w:t xml:space="preserve">occurred from the Geometric period to the Archaic </w:t>
      </w:r>
      <w:r w:rsidR="11557466">
        <w:rPr/>
        <w:t>period and</w:t>
      </w:r>
      <w:r w:rsidR="3788BB40">
        <w:rPr/>
        <w:t xml:space="preserve"> challenges the traditional interpretation of Greek warfare</w:t>
      </w:r>
      <w:r w:rsidRPr="54ADC9B5">
        <w:rPr>
          <w:rStyle w:val="FootnoteReference"/>
        </w:rPr>
        <w:footnoteReference w:id="21371"/>
      </w:r>
      <w:r w:rsidR="70975F94">
        <w:rPr/>
        <w:t xml:space="preserve">. In the second section we see Brouwers dive into </w:t>
      </w:r>
      <w:r w:rsidR="0B166555">
        <w:rPr/>
        <w:t>Greenhalgh's</w:t>
      </w:r>
      <w:r w:rsidR="70975F94">
        <w:rPr/>
        <w:t xml:space="preserve"> wor</w:t>
      </w:r>
      <w:r w:rsidR="10F6CF84">
        <w:rPr/>
        <w:t>k</w:t>
      </w:r>
      <w:r w:rsidR="022C0C13">
        <w:rPr/>
        <w:t>, where he gives us an overview of Greenhalgh's views on Greek warfare</w:t>
      </w:r>
      <w:r w:rsidRPr="54ADC9B5">
        <w:rPr>
          <w:rStyle w:val="FootnoteReference"/>
        </w:rPr>
        <w:footnoteReference w:id="31709"/>
      </w:r>
      <w:r w:rsidR="022C0C13">
        <w:rPr/>
        <w:t xml:space="preserve">. </w:t>
      </w:r>
      <w:r w:rsidR="165E2C15">
        <w:rPr/>
        <w:t xml:space="preserve">In the third section, Brouwers </w:t>
      </w:r>
      <w:r w:rsidR="0E4293FA">
        <w:rPr/>
        <w:t>begins</w:t>
      </w:r>
      <w:r w:rsidR="165E2C15">
        <w:rPr/>
        <w:t xml:space="preserve"> to </w:t>
      </w:r>
      <w:r w:rsidR="459C0E1C">
        <w:rPr/>
        <w:t>investigate</w:t>
      </w:r>
      <w:r w:rsidR="165E2C15">
        <w:rPr/>
        <w:t xml:space="preserve"> the iconographic </w:t>
      </w:r>
      <w:r w:rsidR="19A894E7">
        <w:rPr/>
        <w:t>evidence for their hypothesis</w:t>
      </w:r>
      <w:r w:rsidR="14A92A5E">
        <w:rPr/>
        <w:t>, looking at the equipment used, the way in which horses were depicted and the way in which those mounted or standing by the horses were outfitted</w:t>
      </w:r>
      <w:r w:rsidRPr="54ADC9B5">
        <w:rPr>
          <w:rStyle w:val="FootnoteReference"/>
        </w:rPr>
        <w:footnoteReference w:id="1119"/>
      </w:r>
      <w:r w:rsidR="14A92A5E">
        <w:rPr/>
        <w:t xml:space="preserve">. The fourth section </w:t>
      </w:r>
      <w:r w:rsidR="6ADED0F5">
        <w:rPr/>
        <w:t>attempts</w:t>
      </w:r>
      <w:r w:rsidR="0525C7F9">
        <w:rPr/>
        <w:t xml:space="preserve"> to use literary sources to examine the hippobatai and the </w:t>
      </w:r>
      <w:r w:rsidR="122A72F2">
        <w:rPr/>
        <w:t>closing section</w:t>
      </w:r>
      <w:r w:rsidR="0525C7F9">
        <w:rPr/>
        <w:t xml:space="preserve"> i</w:t>
      </w:r>
      <w:r w:rsidR="26578782">
        <w:rPr/>
        <w:t>s the conclusion</w:t>
      </w:r>
      <w:r w:rsidRPr="54ADC9B5">
        <w:rPr>
          <w:rStyle w:val="FootnoteReference"/>
        </w:rPr>
        <w:footnoteReference w:id="14529"/>
      </w:r>
      <w:r w:rsidR="26578782">
        <w:rPr/>
        <w:t xml:space="preserve">. </w:t>
      </w:r>
    </w:p>
    <w:p w:rsidR="64AE7767" w:rsidP="54ADC9B5" w:rsidRDefault="64AE7767" w14:paraId="075C619A" w14:textId="2FA16BFB">
      <w:pPr>
        <w:pStyle w:val="Normal"/>
        <w:jc w:val="left"/>
      </w:pPr>
      <w:r w:rsidR="64AE7767">
        <w:rPr/>
        <w:t xml:space="preserve">Personally, I found the first part of the article to be unconvincing, as little was done to support Brouwers quite strong claims. However, in the third and fourth sections, Brouwers can </w:t>
      </w:r>
      <w:r w:rsidR="64AE7767">
        <w:rPr/>
        <w:t>provide</w:t>
      </w:r>
      <w:r w:rsidR="64AE7767">
        <w:rPr/>
        <w:t xml:space="preserve"> some convincing support for their claims and thus was able to win me over. </w:t>
      </w:r>
    </w:p>
    <w:p w:rsidR="5F0BCF57" w:rsidP="54ADC9B5" w:rsidRDefault="5F0BCF57" w14:paraId="2CA85E16" w14:textId="75F4CEB9">
      <w:pPr>
        <w:pStyle w:val="Normal"/>
        <w:jc w:val="left"/>
        <w:rPr>
          <w:rFonts w:ascii="Calibri" w:hAnsi="Calibri" w:eastAsia="Calibri" w:cs="Calibri"/>
          <w:noProof w:val="0"/>
          <w:sz w:val="22"/>
          <w:szCs w:val="22"/>
          <w:lang w:val="en-US"/>
        </w:rPr>
      </w:pPr>
      <w:r w:rsidR="5F0BCF57">
        <w:rPr/>
        <w:t>The first section</w:t>
      </w:r>
      <w:r w:rsidR="5BDFA0B2">
        <w:rPr/>
        <w:t xml:space="preserve"> is where we hear Brouwers primary arguments. Here they also descri</w:t>
      </w:r>
      <w:r w:rsidR="33167B30">
        <w:rPr/>
        <w:t xml:space="preserve">be for us the orthodox view of Greek warfare, and directly challenges it. </w:t>
      </w:r>
      <w:r w:rsidR="3666386C">
        <w:rPr/>
        <w:t xml:space="preserve">An important distinction that Brouwers makes in this section going forward is the meaning of hoplite. </w:t>
      </w:r>
      <w:r w:rsidR="59D12BCE">
        <w:rPr/>
        <w:t>They challenge the view put forward by Lorimer, that the shield was referred to as ‘</w:t>
      </w:r>
      <w:proofErr w:type="spellStart"/>
      <w:r w:rsidR="59D12BCE">
        <w:rPr/>
        <w:t>hoplon</w:t>
      </w:r>
      <w:proofErr w:type="spellEnd"/>
      <w:r w:rsidR="59D12BCE">
        <w:rPr/>
        <w:t>’</w:t>
      </w:r>
      <w:r w:rsidRPr="54ADC9B5">
        <w:rPr>
          <w:rStyle w:val="EndnoteReference"/>
        </w:rPr>
        <w:endnoteReference w:id="31322"/>
      </w:r>
      <w:r w:rsidR="26F83F7F">
        <w:rPr/>
        <w:t xml:space="preserve"> and instead </w:t>
      </w:r>
      <w:r w:rsidR="26F83F7F">
        <w:rPr/>
        <w:t>states</w:t>
      </w:r>
      <w:r w:rsidR="26F83F7F">
        <w:rPr/>
        <w:t xml:space="preserve"> that ‘hoplon’ is the singu</w:t>
      </w:r>
      <w:r w:rsidR="71E61F56">
        <w:rPr/>
        <w:t xml:space="preserve">lar of ‘hopla’ which refers to pieces of armor from Homer onwards. Brouwers then </w:t>
      </w:r>
      <w:r w:rsidR="244209E2">
        <w:rPr/>
        <w:t>simplifies</w:t>
      </w:r>
      <w:r w:rsidR="71E61F56">
        <w:rPr/>
        <w:t xml:space="preserve"> the meani</w:t>
      </w:r>
      <w:r w:rsidR="784CB5BA">
        <w:rPr/>
        <w:t>ng of hoplite as being a heavily armed warrior</w:t>
      </w:r>
      <w:r w:rsidR="1483B4EC">
        <w:rPr/>
        <w:t xml:space="preserve"> and interestingly that Greeks would refer to foreign heavily armed warriors as hoplites as well. </w:t>
      </w:r>
      <w:r w:rsidR="17C82883">
        <w:rPr/>
        <w:t xml:space="preserve">This argument surrounding the name of the hoplite is a widespread one, </w:t>
      </w:r>
      <w:r w:rsidR="391E5E6E">
        <w:rPr/>
        <w:t xml:space="preserve">the justification for Lorimers argument comes from Diodorus, who claims that </w:t>
      </w:r>
      <w:r w:rsidR="0C27D661">
        <w:rPr/>
        <w:t>‘</w:t>
      </w:r>
      <w:r w:rsidR="391E5E6E">
        <w:rPr/>
        <w:t>Hoplites were called originally for their shields</w:t>
      </w:r>
      <w:r w:rsidR="44D5147E">
        <w:rPr/>
        <w:t>’</w:t>
      </w:r>
      <w:r w:rsidRPr="54ADC9B5">
        <w:rPr>
          <w:rStyle w:val="FootnoteReference"/>
        </w:rPr>
        <w:footnoteReference w:id="9798"/>
      </w:r>
      <w:r w:rsidR="0F540506">
        <w:rPr/>
        <w:t xml:space="preserve"> as described by E</w:t>
      </w:r>
      <w:r w:rsidRPr="54ADC9B5" w:rsidR="0F540506">
        <w:rPr>
          <w:rFonts w:ascii="Calibri" w:hAnsi="Calibri" w:eastAsia="Calibri" w:cs="Calibri"/>
          <w:noProof w:val="0"/>
          <w:sz w:val="22"/>
          <w:szCs w:val="22"/>
          <w:lang w:val="en-US"/>
        </w:rPr>
        <w:t>cheverría in his article on the topic of the Hoplite and the Phalanx in Archaic Greece. He describes, as Brouwers describes, that the word for shield is in</w:t>
      </w:r>
      <w:r w:rsidRPr="54ADC9B5" w:rsidR="6D603E91">
        <w:rPr>
          <w:rFonts w:ascii="Calibri" w:hAnsi="Calibri" w:eastAsia="Calibri" w:cs="Calibri"/>
          <w:noProof w:val="0"/>
          <w:sz w:val="22"/>
          <w:szCs w:val="22"/>
          <w:lang w:val="en-US"/>
        </w:rPr>
        <w:t xml:space="preserve"> </w:t>
      </w:r>
      <w:r w:rsidRPr="54ADC9B5" w:rsidR="0F540506">
        <w:rPr>
          <w:rFonts w:ascii="Calibri" w:hAnsi="Calibri" w:eastAsia="Calibri" w:cs="Calibri"/>
          <w:noProof w:val="0"/>
          <w:sz w:val="22"/>
          <w:szCs w:val="22"/>
          <w:lang w:val="en-US"/>
        </w:rPr>
        <w:t>fac</w:t>
      </w:r>
      <w:r w:rsidRPr="54ADC9B5" w:rsidR="24AB9293">
        <w:rPr>
          <w:rFonts w:ascii="Calibri" w:hAnsi="Calibri" w:eastAsia="Calibri" w:cs="Calibri"/>
          <w:noProof w:val="0"/>
          <w:sz w:val="22"/>
          <w:szCs w:val="22"/>
          <w:lang w:val="en-US"/>
        </w:rPr>
        <w:t>t ‘aspis’ and not ‘hoplon’ and thus describes Diodorus as being ‘confusing and unreliable’</w:t>
      </w:r>
      <w:r w:rsidRPr="54ADC9B5">
        <w:rPr>
          <w:rStyle w:val="FootnoteReference"/>
          <w:rFonts w:ascii="Calibri" w:hAnsi="Calibri" w:eastAsia="Calibri" w:cs="Calibri"/>
          <w:noProof w:val="0"/>
          <w:sz w:val="22"/>
          <w:szCs w:val="22"/>
          <w:lang w:val="en-US"/>
        </w:rPr>
        <w:footnoteReference w:id="24174"/>
      </w:r>
      <w:r w:rsidRPr="54ADC9B5" w:rsidR="481685F5">
        <w:rPr>
          <w:rFonts w:ascii="Calibri" w:hAnsi="Calibri" w:eastAsia="Calibri" w:cs="Calibri"/>
          <w:noProof w:val="0"/>
          <w:sz w:val="22"/>
          <w:szCs w:val="22"/>
          <w:lang w:val="en-US"/>
        </w:rPr>
        <w:t xml:space="preserve">. </w:t>
      </w:r>
      <w:r w:rsidRPr="54ADC9B5" w:rsidR="213208E5">
        <w:rPr>
          <w:rFonts w:ascii="Calibri" w:hAnsi="Calibri" w:eastAsia="Calibri" w:cs="Calibri"/>
          <w:noProof w:val="0"/>
          <w:sz w:val="22"/>
          <w:szCs w:val="22"/>
          <w:lang w:val="en-US"/>
        </w:rPr>
        <w:t>The point is reinforced by Whitehead and Lazenby</w:t>
      </w:r>
      <w:r w:rsidRPr="54ADC9B5">
        <w:rPr>
          <w:rStyle w:val="FootnoteReference"/>
          <w:rFonts w:ascii="Calibri" w:hAnsi="Calibri" w:eastAsia="Calibri" w:cs="Calibri"/>
          <w:noProof w:val="0"/>
          <w:sz w:val="22"/>
          <w:szCs w:val="22"/>
          <w:lang w:val="en-US"/>
        </w:rPr>
        <w:footnoteReference w:id="18058"/>
      </w:r>
      <w:r w:rsidRPr="54ADC9B5" w:rsidR="213208E5">
        <w:rPr>
          <w:rFonts w:ascii="Calibri" w:hAnsi="Calibri" w:eastAsia="Calibri" w:cs="Calibri"/>
          <w:noProof w:val="0"/>
          <w:sz w:val="22"/>
          <w:szCs w:val="22"/>
          <w:lang w:val="en-US"/>
        </w:rPr>
        <w:t xml:space="preserve">, further showing that </w:t>
      </w:r>
      <w:r w:rsidRPr="54ADC9B5" w:rsidR="43271C7F">
        <w:rPr>
          <w:rFonts w:ascii="Calibri" w:hAnsi="Calibri" w:eastAsia="Calibri" w:cs="Calibri"/>
          <w:noProof w:val="0"/>
          <w:sz w:val="22"/>
          <w:szCs w:val="22"/>
          <w:lang w:val="en-US"/>
        </w:rPr>
        <w:t xml:space="preserve">there is some misunderstanding of the terminology from the orthodox view. </w:t>
      </w:r>
    </w:p>
    <w:p w:rsidR="7C01403A" w:rsidP="54ADC9B5" w:rsidRDefault="7C01403A" w14:paraId="6B090692" w14:textId="1C34CAA0">
      <w:pPr>
        <w:pStyle w:val="Normal"/>
        <w:jc w:val="left"/>
        <w:rPr>
          <w:rFonts w:ascii="Calibri" w:hAnsi="Calibri" w:eastAsia="Calibri" w:cs="Calibri"/>
          <w:noProof w:val="0"/>
          <w:sz w:val="22"/>
          <w:szCs w:val="22"/>
          <w:lang w:val="en-US"/>
        </w:rPr>
      </w:pPr>
      <w:r w:rsidRPr="54ADC9B5" w:rsidR="7C01403A">
        <w:rPr>
          <w:rFonts w:ascii="Calibri" w:hAnsi="Calibri" w:eastAsia="Calibri" w:cs="Calibri"/>
          <w:noProof w:val="0"/>
          <w:sz w:val="22"/>
          <w:szCs w:val="22"/>
          <w:lang w:val="en-US"/>
        </w:rPr>
        <w:t xml:space="preserve">As previously mentioned, this section also challenges the traditional view of archaic Greek warfare directly and we do see again a wide discussion </w:t>
      </w:r>
      <w:r w:rsidRPr="54ADC9B5" w:rsidR="0267D69F">
        <w:rPr>
          <w:rFonts w:ascii="Calibri" w:hAnsi="Calibri" w:eastAsia="Calibri" w:cs="Calibri"/>
          <w:noProof w:val="0"/>
          <w:sz w:val="22"/>
          <w:szCs w:val="22"/>
          <w:lang w:val="en-US"/>
        </w:rPr>
        <w:t xml:space="preserve">surrounding the accuracy of using the terms ‘hoplite’ and ‘Phalanx’ for the archaic period. Brouwers describes the </w:t>
      </w:r>
      <w:r w:rsidRPr="54ADC9B5" w:rsidR="4FAACACF">
        <w:rPr>
          <w:rFonts w:ascii="Calibri" w:hAnsi="Calibri" w:eastAsia="Calibri" w:cs="Calibri"/>
          <w:noProof w:val="0"/>
          <w:sz w:val="22"/>
          <w:szCs w:val="22"/>
          <w:lang w:val="en-US"/>
        </w:rPr>
        <w:t>orthodox view as being dominated by the phalanx, which is a word used by homer</w:t>
      </w:r>
      <w:r w:rsidRPr="54ADC9B5">
        <w:rPr>
          <w:rStyle w:val="FootnoteReference"/>
          <w:rFonts w:ascii="Calibri" w:hAnsi="Calibri" w:eastAsia="Calibri" w:cs="Calibri"/>
          <w:noProof w:val="0"/>
          <w:sz w:val="22"/>
          <w:szCs w:val="22"/>
          <w:lang w:val="en-US"/>
        </w:rPr>
        <w:footnoteReference w:id="19714"/>
      </w:r>
      <w:r w:rsidRPr="54ADC9B5" w:rsidR="43E6024B">
        <w:rPr>
          <w:rFonts w:ascii="Calibri" w:hAnsi="Calibri" w:eastAsia="Calibri" w:cs="Calibri"/>
          <w:noProof w:val="0"/>
          <w:sz w:val="22"/>
          <w:szCs w:val="22"/>
          <w:lang w:val="en-US"/>
        </w:rPr>
        <w:t xml:space="preserve">, but enforces the position that </w:t>
      </w:r>
      <w:r w:rsidRPr="54ADC9B5" w:rsidR="4F2DC90B">
        <w:rPr>
          <w:rFonts w:ascii="Calibri" w:hAnsi="Calibri" w:eastAsia="Calibri" w:cs="Calibri"/>
          <w:noProof w:val="0"/>
          <w:sz w:val="22"/>
          <w:szCs w:val="22"/>
          <w:lang w:val="en-US"/>
        </w:rPr>
        <w:t xml:space="preserve">’the </w:t>
      </w:r>
      <w:r w:rsidRPr="54ADC9B5" w:rsidR="43E6024B">
        <w:rPr>
          <w:rFonts w:ascii="Calibri" w:hAnsi="Calibri" w:eastAsia="Calibri" w:cs="Calibri"/>
          <w:noProof w:val="0"/>
          <w:sz w:val="22"/>
          <w:szCs w:val="22"/>
          <w:lang w:val="en-US"/>
        </w:rPr>
        <w:t>phalanx</w:t>
      </w:r>
      <w:r w:rsidRPr="54ADC9B5" w:rsidR="43E6024B">
        <w:rPr>
          <w:rFonts w:ascii="Calibri" w:hAnsi="Calibri" w:eastAsia="Calibri" w:cs="Calibri"/>
          <w:noProof w:val="0"/>
          <w:sz w:val="22"/>
          <w:szCs w:val="22"/>
          <w:lang w:val="en-US"/>
        </w:rPr>
        <w:t xml:space="preserve"> did not </w:t>
      </w:r>
      <w:r w:rsidRPr="54ADC9B5" w:rsidR="1D40A72A">
        <w:rPr>
          <w:rFonts w:ascii="Calibri" w:hAnsi="Calibri" w:eastAsia="Calibri" w:cs="Calibri"/>
          <w:noProof w:val="0"/>
          <w:sz w:val="22"/>
          <w:szCs w:val="22"/>
          <w:lang w:val="en-US"/>
        </w:rPr>
        <w:t>refer to a specific formation until the time of Phillip the second of Macedonia</w:t>
      </w:r>
      <w:r w:rsidRPr="54ADC9B5">
        <w:rPr>
          <w:rStyle w:val="FootnoteReference"/>
          <w:rFonts w:ascii="Calibri" w:hAnsi="Calibri" w:eastAsia="Calibri" w:cs="Calibri"/>
          <w:noProof w:val="0"/>
          <w:sz w:val="22"/>
          <w:szCs w:val="22"/>
          <w:lang w:val="en-US"/>
        </w:rPr>
        <w:footnoteReference w:id="12067"/>
      </w:r>
      <w:r w:rsidRPr="54ADC9B5" w:rsidR="61DD5A15">
        <w:rPr>
          <w:rFonts w:ascii="Calibri" w:hAnsi="Calibri" w:eastAsia="Calibri" w:cs="Calibri"/>
          <w:noProof w:val="0"/>
          <w:sz w:val="22"/>
          <w:szCs w:val="22"/>
          <w:lang w:val="en-US"/>
        </w:rPr>
        <w:t xml:space="preserve">‘. They then describe that Phalanx warfare consisted of two rival </w:t>
      </w:r>
      <w:r w:rsidRPr="54ADC9B5" w:rsidR="6D2520D5">
        <w:rPr>
          <w:rFonts w:ascii="Calibri" w:hAnsi="Calibri" w:eastAsia="Calibri" w:cs="Calibri"/>
          <w:noProof w:val="0"/>
          <w:sz w:val="22"/>
          <w:szCs w:val="22"/>
          <w:lang w:val="en-US"/>
        </w:rPr>
        <w:t>phalanxes</w:t>
      </w:r>
      <w:r w:rsidRPr="54ADC9B5" w:rsidR="61DD5A15">
        <w:rPr>
          <w:rFonts w:ascii="Calibri" w:hAnsi="Calibri" w:eastAsia="Calibri" w:cs="Calibri"/>
          <w:noProof w:val="0"/>
          <w:sz w:val="22"/>
          <w:szCs w:val="22"/>
          <w:lang w:val="en-US"/>
        </w:rPr>
        <w:t>’ shoving at the other until one capitulated, after which</w:t>
      </w:r>
      <w:r w:rsidRPr="54ADC9B5" w:rsidR="624C22BF">
        <w:rPr>
          <w:rFonts w:ascii="Calibri" w:hAnsi="Calibri" w:eastAsia="Calibri" w:cs="Calibri"/>
          <w:noProof w:val="0"/>
          <w:sz w:val="22"/>
          <w:szCs w:val="22"/>
          <w:lang w:val="en-US"/>
        </w:rPr>
        <w:t xml:space="preserve"> the side which </w:t>
      </w:r>
      <w:r w:rsidRPr="54ADC9B5" w:rsidR="624C22BF">
        <w:rPr>
          <w:rFonts w:ascii="Calibri" w:hAnsi="Calibri" w:eastAsia="Calibri" w:cs="Calibri"/>
          <w:noProof w:val="0"/>
          <w:sz w:val="22"/>
          <w:szCs w:val="22"/>
          <w:lang w:val="en-US"/>
        </w:rPr>
        <w:t>maintained</w:t>
      </w:r>
      <w:r w:rsidRPr="54ADC9B5" w:rsidR="624C22BF">
        <w:rPr>
          <w:rFonts w:ascii="Calibri" w:hAnsi="Calibri" w:eastAsia="Calibri" w:cs="Calibri"/>
          <w:noProof w:val="0"/>
          <w:sz w:val="22"/>
          <w:szCs w:val="22"/>
          <w:lang w:val="en-US"/>
        </w:rPr>
        <w:t xml:space="preserve"> formation was the victor</w:t>
      </w:r>
      <w:r w:rsidRPr="54ADC9B5">
        <w:rPr>
          <w:rStyle w:val="FootnoteReference"/>
          <w:rFonts w:ascii="Calibri" w:hAnsi="Calibri" w:eastAsia="Calibri" w:cs="Calibri"/>
          <w:noProof w:val="0"/>
          <w:sz w:val="22"/>
          <w:szCs w:val="22"/>
          <w:lang w:val="en-US"/>
        </w:rPr>
        <w:footnoteReference w:id="2228"/>
      </w:r>
      <w:r w:rsidRPr="54ADC9B5" w:rsidR="624C22BF">
        <w:rPr>
          <w:rFonts w:ascii="Calibri" w:hAnsi="Calibri" w:eastAsia="Calibri" w:cs="Calibri"/>
          <w:noProof w:val="0"/>
          <w:sz w:val="22"/>
          <w:szCs w:val="22"/>
          <w:lang w:val="en-US"/>
        </w:rPr>
        <w:t xml:space="preserve">. </w:t>
      </w:r>
      <w:r w:rsidRPr="54ADC9B5" w:rsidR="3B036A9B">
        <w:rPr>
          <w:rFonts w:ascii="Calibri" w:hAnsi="Calibri" w:eastAsia="Calibri" w:cs="Calibri"/>
          <w:noProof w:val="0"/>
          <w:sz w:val="22"/>
          <w:szCs w:val="22"/>
          <w:lang w:val="en-US"/>
        </w:rPr>
        <w:t xml:space="preserve"> We see </w:t>
      </w:r>
      <w:r w:rsidRPr="54ADC9B5" w:rsidR="163A6163">
        <w:rPr>
          <w:rFonts w:ascii="Calibri" w:hAnsi="Calibri" w:eastAsia="Calibri" w:cs="Calibri"/>
          <w:noProof w:val="0"/>
          <w:sz w:val="22"/>
          <w:szCs w:val="22"/>
          <w:lang w:val="en-US"/>
        </w:rPr>
        <w:t xml:space="preserve">opposition to the use of the term </w:t>
      </w:r>
      <w:r w:rsidRPr="54ADC9B5" w:rsidR="163A6163">
        <w:rPr>
          <w:rFonts w:ascii="Calibri" w:hAnsi="Calibri" w:eastAsia="Calibri" w:cs="Calibri"/>
          <w:noProof w:val="0"/>
          <w:sz w:val="22"/>
          <w:szCs w:val="22"/>
          <w:lang w:val="en-US"/>
        </w:rPr>
        <w:t>phalanx</w:t>
      </w:r>
      <w:r w:rsidRPr="54ADC9B5" w:rsidR="163A6163">
        <w:rPr>
          <w:rFonts w:ascii="Calibri" w:hAnsi="Calibri" w:eastAsia="Calibri" w:cs="Calibri"/>
          <w:noProof w:val="0"/>
          <w:sz w:val="22"/>
          <w:szCs w:val="22"/>
          <w:lang w:val="en-US"/>
        </w:rPr>
        <w:t xml:space="preserve"> and hoplite echoed by Echeverría, who makes an important statement</w:t>
      </w:r>
      <w:r w:rsidRPr="54ADC9B5" w:rsidR="01D5CEA2">
        <w:rPr>
          <w:rFonts w:ascii="Calibri" w:hAnsi="Calibri" w:eastAsia="Calibri" w:cs="Calibri"/>
          <w:noProof w:val="0"/>
          <w:sz w:val="22"/>
          <w:szCs w:val="22"/>
          <w:lang w:val="en-US"/>
        </w:rPr>
        <w:t xml:space="preserve"> that, ’research on the archaic Greek warfare has at times, been carried out with the Greek Hoplite and the </w:t>
      </w:r>
      <w:r w:rsidRPr="54ADC9B5" w:rsidR="01D5CEA2">
        <w:rPr>
          <w:rFonts w:ascii="Calibri" w:hAnsi="Calibri" w:eastAsia="Calibri" w:cs="Calibri"/>
          <w:noProof w:val="0"/>
          <w:sz w:val="22"/>
          <w:szCs w:val="22"/>
          <w:lang w:val="en-US"/>
        </w:rPr>
        <w:t>phalanx</w:t>
      </w:r>
      <w:r w:rsidRPr="54ADC9B5" w:rsidR="01D5CEA2">
        <w:rPr>
          <w:rFonts w:ascii="Calibri" w:hAnsi="Calibri" w:eastAsia="Calibri" w:cs="Calibri"/>
          <w:noProof w:val="0"/>
          <w:sz w:val="22"/>
          <w:szCs w:val="22"/>
          <w:lang w:val="en-US"/>
        </w:rPr>
        <w:t xml:space="preserve"> already in mind’</w:t>
      </w:r>
      <w:r w:rsidRPr="54ADC9B5">
        <w:rPr>
          <w:rStyle w:val="FootnoteReference"/>
          <w:rFonts w:ascii="Calibri" w:hAnsi="Calibri" w:eastAsia="Calibri" w:cs="Calibri"/>
          <w:noProof w:val="0"/>
          <w:sz w:val="22"/>
          <w:szCs w:val="22"/>
          <w:lang w:val="en-US"/>
        </w:rPr>
        <w:footnoteReference w:id="24949"/>
      </w:r>
      <w:r w:rsidRPr="54ADC9B5" w:rsidR="2E4F54EB">
        <w:rPr>
          <w:rFonts w:ascii="Calibri" w:hAnsi="Calibri" w:eastAsia="Calibri" w:cs="Calibri"/>
          <w:noProof w:val="0"/>
          <w:sz w:val="22"/>
          <w:szCs w:val="22"/>
          <w:lang w:val="en-US"/>
        </w:rPr>
        <w:t xml:space="preserve">. </w:t>
      </w:r>
      <w:r w:rsidRPr="54ADC9B5" w:rsidR="48E266F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Echeverría thus suggests that both the Hoplite and </w:t>
      </w:r>
      <w:r w:rsidRPr="54ADC9B5" w:rsidR="48E266F9">
        <w:rPr>
          <w:rFonts w:ascii="Calibri" w:hAnsi="Calibri" w:eastAsia="Calibri" w:cs="Calibri"/>
          <w:b w:val="0"/>
          <w:bCs w:val="0"/>
          <w:i w:val="0"/>
          <w:iCs w:val="0"/>
          <w:caps w:val="0"/>
          <w:smallCaps w:val="0"/>
          <w:noProof w:val="0"/>
          <w:color w:val="000000" w:themeColor="text1" w:themeTint="FF" w:themeShade="FF"/>
          <w:sz w:val="22"/>
          <w:szCs w:val="22"/>
          <w:lang w:val="en-US"/>
        </w:rPr>
        <w:t>phalanx</w:t>
      </w:r>
      <w:r w:rsidRPr="54ADC9B5" w:rsidR="48E266F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should be regarded as classical terms and not archaic ones. </w:t>
      </w:r>
    </w:p>
    <w:p w:rsidR="6073285F" w:rsidP="54ADC9B5" w:rsidRDefault="6073285F" w14:paraId="182ECBA4" w14:textId="17E3F478">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4ADC9B5" w:rsidR="6073285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Opposed to the </w:t>
      </w:r>
      <w:r w:rsidRPr="54ADC9B5" w:rsidR="6073285F">
        <w:rPr>
          <w:rFonts w:ascii="Calibri" w:hAnsi="Calibri" w:eastAsia="Calibri" w:cs="Calibri"/>
          <w:b w:val="0"/>
          <w:bCs w:val="0"/>
          <w:i w:val="0"/>
          <w:iCs w:val="0"/>
          <w:caps w:val="0"/>
          <w:smallCaps w:val="0"/>
          <w:noProof w:val="0"/>
          <w:color w:val="000000" w:themeColor="text1" w:themeTint="FF" w:themeShade="FF"/>
          <w:sz w:val="22"/>
          <w:szCs w:val="22"/>
          <w:lang w:val="en-US"/>
        </w:rPr>
        <w:t>phalanx</w:t>
      </w:r>
      <w:r w:rsidRPr="54ADC9B5" w:rsidR="6073285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Brouwers argues that warfare in the archaic period was much less organized than the orthodox phalanx centric view of Greek warfare would suggest. </w:t>
      </w:r>
      <w:r w:rsidRPr="54ADC9B5" w:rsidR="3FEB20C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But </w:t>
      </w:r>
      <w:r w:rsidRPr="54ADC9B5" w:rsidR="69A74115">
        <w:rPr>
          <w:rFonts w:ascii="Calibri" w:hAnsi="Calibri" w:eastAsia="Calibri" w:cs="Calibri"/>
          <w:b w:val="0"/>
          <w:bCs w:val="0"/>
          <w:i w:val="0"/>
          <w:iCs w:val="0"/>
          <w:caps w:val="0"/>
          <w:smallCaps w:val="0"/>
          <w:noProof w:val="0"/>
          <w:color w:val="000000" w:themeColor="text1" w:themeTint="FF" w:themeShade="FF"/>
          <w:sz w:val="22"/>
          <w:szCs w:val="22"/>
          <w:lang w:val="en-US"/>
        </w:rPr>
        <w:t>rather</w:t>
      </w:r>
      <w:r w:rsidRPr="54ADC9B5" w:rsidR="3FEB20C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consisted of ‘</w:t>
      </w:r>
      <w:r w:rsidRPr="54ADC9B5" w:rsidR="3FEB20C7">
        <w:rPr>
          <w:rFonts w:ascii="Calibri" w:hAnsi="Calibri" w:eastAsia="Calibri" w:cs="Calibri"/>
          <w:b w:val="0"/>
          <w:bCs w:val="0"/>
          <w:i w:val="0"/>
          <w:iCs w:val="0"/>
          <w:caps w:val="0"/>
          <w:smallCaps w:val="0"/>
          <w:noProof w:val="0"/>
          <w:color w:val="000000" w:themeColor="text1" w:themeTint="FF" w:themeShade="FF"/>
          <w:sz w:val="22"/>
          <w:szCs w:val="22"/>
          <w:lang w:val="en-US"/>
        </w:rPr>
        <w:t>numerous</w:t>
      </w:r>
      <w:r w:rsidRPr="54ADC9B5" w:rsidR="3FEB20C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small battles’</w:t>
      </w:r>
      <w:r w:rsidRPr="54ADC9B5">
        <w:rPr>
          <w:rStyle w:val="FootnoteReference"/>
          <w:rFonts w:ascii="Calibri" w:hAnsi="Calibri" w:eastAsia="Calibri" w:cs="Calibri"/>
          <w:b w:val="0"/>
          <w:bCs w:val="0"/>
          <w:i w:val="0"/>
          <w:iCs w:val="0"/>
          <w:caps w:val="0"/>
          <w:smallCaps w:val="0"/>
          <w:noProof w:val="0"/>
          <w:color w:val="000000" w:themeColor="text1" w:themeTint="FF" w:themeShade="FF"/>
          <w:sz w:val="22"/>
          <w:szCs w:val="22"/>
          <w:lang w:val="en-US"/>
        </w:rPr>
        <w:footnoteReference w:id="4585"/>
      </w:r>
      <w:r w:rsidRPr="54ADC9B5" w:rsidR="343F839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4ADC9B5" w:rsidR="4DD092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We do see this view supported in scholarship, but also challenged at the same time. Snodgrass for example, confirms </w:t>
      </w:r>
      <w:r w:rsidRPr="54ADC9B5" w:rsidR="543728F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to us that while, </w:t>
      </w:r>
      <w:r w:rsidRPr="54ADC9B5" w:rsidR="0ED43167">
        <w:rPr>
          <w:rFonts w:ascii="Calibri" w:hAnsi="Calibri" w:eastAsia="Calibri" w:cs="Calibri"/>
          <w:b w:val="0"/>
          <w:bCs w:val="0"/>
          <w:i w:val="0"/>
          <w:iCs w:val="0"/>
          <w:caps w:val="0"/>
          <w:smallCaps w:val="0"/>
          <w:noProof w:val="0"/>
          <w:color w:val="000000" w:themeColor="text1" w:themeTint="FF" w:themeShade="FF"/>
          <w:sz w:val="22"/>
          <w:szCs w:val="22"/>
          <w:lang w:val="en-US"/>
        </w:rPr>
        <w:t>yes,</w:t>
      </w:r>
      <w:r w:rsidRPr="54ADC9B5" w:rsidR="543728F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idea </w:t>
      </w:r>
      <w:r w:rsidRPr="54ADC9B5" w:rsidR="62DEDD3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that battles consisted of groups of </w:t>
      </w:r>
      <w:r w:rsidRPr="54ADC9B5" w:rsidR="62DEDD3F">
        <w:rPr>
          <w:rFonts w:ascii="Calibri" w:hAnsi="Calibri" w:eastAsia="Calibri" w:cs="Calibri"/>
          <w:b w:val="0"/>
          <w:bCs w:val="0"/>
          <w:i w:val="0"/>
          <w:iCs w:val="0"/>
          <w:caps w:val="0"/>
          <w:smallCaps w:val="0"/>
          <w:noProof w:val="0"/>
          <w:color w:val="000000" w:themeColor="text1" w:themeTint="FF" w:themeShade="FF"/>
          <w:sz w:val="22"/>
          <w:szCs w:val="22"/>
          <w:lang w:val="en-US"/>
        </w:rPr>
        <w:t>numerous</w:t>
      </w:r>
      <w:r w:rsidRPr="54ADC9B5" w:rsidR="62DEDD3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individual duels did occur, however it was </w:t>
      </w:r>
      <w:r w:rsidRPr="54ADC9B5" w:rsidR="4C539F99">
        <w:rPr>
          <w:rFonts w:ascii="Calibri" w:hAnsi="Calibri" w:eastAsia="Calibri" w:cs="Calibri"/>
          <w:b w:val="0"/>
          <w:bCs w:val="0"/>
          <w:i w:val="0"/>
          <w:iCs w:val="0"/>
          <w:caps w:val="0"/>
          <w:smallCaps w:val="0"/>
          <w:noProof w:val="0"/>
          <w:color w:val="000000" w:themeColor="text1" w:themeTint="FF" w:themeShade="FF"/>
          <w:sz w:val="22"/>
          <w:szCs w:val="22"/>
          <w:lang w:val="en-US"/>
        </w:rPr>
        <w:t>a part</w:t>
      </w:r>
      <w:r w:rsidRPr="54ADC9B5" w:rsidR="62DEDD3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a raiding tactic</w:t>
      </w:r>
      <w:r w:rsidRPr="54ADC9B5">
        <w:rPr>
          <w:rStyle w:val="FootnoteReference"/>
          <w:rFonts w:ascii="Calibri" w:hAnsi="Calibri" w:eastAsia="Calibri" w:cs="Calibri"/>
          <w:b w:val="0"/>
          <w:bCs w:val="0"/>
          <w:i w:val="0"/>
          <w:iCs w:val="0"/>
          <w:caps w:val="0"/>
          <w:smallCaps w:val="0"/>
          <w:noProof w:val="0"/>
          <w:color w:val="000000" w:themeColor="text1" w:themeTint="FF" w:themeShade="FF"/>
          <w:sz w:val="22"/>
          <w:szCs w:val="22"/>
          <w:lang w:val="en-US"/>
        </w:rPr>
        <w:footnoteReference w:id="22719"/>
      </w:r>
      <w:r w:rsidRPr="54ADC9B5" w:rsidR="00D6350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that it </w:t>
      </w:r>
      <w:r w:rsidRPr="54ADC9B5" w:rsidR="3F7B1A3B">
        <w:rPr>
          <w:rFonts w:ascii="Calibri" w:hAnsi="Calibri" w:eastAsia="Calibri" w:cs="Calibri"/>
          <w:b w:val="0"/>
          <w:bCs w:val="0"/>
          <w:i w:val="0"/>
          <w:iCs w:val="0"/>
          <w:caps w:val="0"/>
          <w:smallCaps w:val="0"/>
          <w:noProof w:val="0"/>
          <w:color w:val="000000" w:themeColor="text1" w:themeTint="FF" w:themeShade="FF"/>
          <w:sz w:val="22"/>
          <w:szCs w:val="22"/>
          <w:lang w:val="en-US"/>
        </w:rPr>
        <w:t>is questionable that this form of warfar</w:t>
      </w:r>
      <w:r w:rsidRPr="54ADC9B5" w:rsidR="00D6350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 </w:t>
      </w:r>
      <w:r w:rsidRPr="54ADC9B5" w:rsidR="146DB73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took </w:t>
      </w:r>
      <w:r w:rsidRPr="54ADC9B5" w:rsidR="00D6350A">
        <w:rPr>
          <w:rFonts w:ascii="Calibri" w:hAnsi="Calibri" w:eastAsia="Calibri" w:cs="Calibri"/>
          <w:b w:val="0"/>
          <w:bCs w:val="0"/>
          <w:i w:val="0"/>
          <w:iCs w:val="0"/>
          <w:caps w:val="0"/>
          <w:smallCaps w:val="0"/>
          <w:noProof w:val="0"/>
          <w:color w:val="000000" w:themeColor="text1" w:themeTint="FF" w:themeShade="FF"/>
          <w:sz w:val="22"/>
          <w:szCs w:val="22"/>
          <w:lang w:val="en-US"/>
        </w:rPr>
        <w:t>place during larger battles</w:t>
      </w:r>
      <w:r w:rsidRPr="54ADC9B5">
        <w:rPr>
          <w:rStyle w:val="FootnoteReference"/>
          <w:rFonts w:ascii="Calibri" w:hAnsi="Calibri" w:eastAsia="Calibri" w:cs="Calibri"/>
          <w:b w:val="0"/>
          <w:bCs w:val="0"/>
          <w:i w:val="0"/>
          <w:iCs w:val="0"/>
          <w:caps w:val="0"/>
          <w:smallCaps w:val="0"/>
          <w:noProof w:val="0"/>
          <w:color w:val="000000" w:themeColor="text1" w:themeTint="FF" w:themeShade="FF"/>
          <w:sz w:val="22"/>
          <w:szCs w:val="22"/>
          <w:lang w:val="en-US"/>
        </w:rPr>
        <w:footnoteReference w:id="18615"/>
      </w:r>
      <w:r w:rsidRPr="54ADC9B5" w:rsidR="00D6350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4ADC9B5" w:rsidR="33A0E83F">
        <w:rPr>
          <w:rFonts w:ascii="Calibri" w:hAnsi="Calibri" w:eastAsia="Calibri" w:cs="Calibri"/>
          <w:b w:val="0"/>
          <w:bCs w:val="0"/>
          <w:i w:val="0"/>
          <w:iCs w:val="0"/>
          <w:caps w:val="0"/>
          <w:smallCaps w:val="0"/>
          <w:noProof w:val="0"/>
          <w:color w:val="000000" w:themeColor="text1" w:themeTint="FF" w:themeShade="FF"/>
          <w:sz w:val="22"/>
          <w:szCs w:val="22"/>
          <w:lang w:val="en-US"/>
        </w:rPr>
        <w:t>What is important to note however is that Snodgrass wrote in 1965, and thus could be regarded as being heavily influenced by the works of Lorimer</w:t>
      </w:r>
      <w:r w:rsidRPr="54ADC9B5" w:rsidR="2AFFB87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but, it is interesting that he chooses to challenge the importance of cavalry in </w:t>
      </w:r>
      <w:r w:rsidRPr="54ADC9B5" w:rsidR="0A522B17">
        <w:rPr>
          <w:rFonts w:ascii="Calibri" w:hAnsi="Calibri" w:eastAsia="Calibri" w:cs="Calibri"/>
          <w:b w:val="0"/>
          <w:bCs w:val="0"/>
          <w:i w:val="0"/>
          <w:iCs w:val="0"/>
          <w:caps w:val="0"/>
          <w:smallCaps w:val="0"/>
          <w:noProof w:val="0"/>
          <w:color w:val="000000" w:themeColor="text1" w:themeTint="FF" w:themeShade="FF"/>
          <w:sz w:val="22"/>
          <w:szCs w:val="22"/>
          <w:lang w:val="en-US"/>
        </w:rPr>
        <w:t>Homer.</w:t>
      </w:r>
    </w:p>
    <w:p w:rsidR="0671F304" w:rsidP="54ADC9B5" w:rsidRDefault="0671F304" w14:paraId="6E75868A" w14:textId="1960CA2B">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4ADC9B5" w:rsidR="0671F304">
        <w:rPr>
          <w:rFonts w:ascii="Calibri" w:hAnsi="Calibri" w:eastAsia="Calibri" w:cs="Calibri"/>
          <w:b w:val="0"/>
          <w:bCs w:val="0"/>
          <w:i w:val="0"/>
          <w:iCs w:val="0"/>
          <w:caps w:val="0"/>
          <w:smallCaps w:val="0"/>
          <w:noProof w:val="0"/>
          <w:color w:val="000000" w:themeColor="text1" w:themeTint="FF" w:themeShade="FF"/>
          <w:sz w:val="22"/>
          <w:szCs w:val="22"/>
          <w:lang w:val="en-US"/>
        </w:rPr>
        <w:t>I find this section to be interesting as it challenges the orthodox view of archaic Greek warfare, and there is clear support for the views expressed that further support the stre</w:t>
      </w:r>
      <w:r w:rsidRPr="54ADC9B5" w:rsidR="74B55CC5">
        <w:rPr>
          <w:rFonts w:ascii="Calibri" w:hAnsi="Calibri" w:eastAsia="Calibri" w:cs="Calibri"/>
          <w:b w:val="0"/>
          <w:bCs w:val="0"/>
          <w:i w:val="0"/>
          <w:iCs w:val="0"/>
          <w:caps w:val="0"/>
          <w:smallCaps w:val="0"/>
          <w:noProof w:val="0"/>
          <w:color w:val="000000" w:themeColor="text1" w:themeTint="FF" w:themeShade="FF"/>
          <w:sz w:val="22"/>
          <w:szCs w:val="22"/>
          <w:lang w:val="en-US"/>
        </w:rPr>
        <w:t>ngth of Brouwers hypothesis.</w:t>
      </w:r>
    </w:p>
    <w:p w:rsidR="45A1815F" w:rsidP="54ADC9B5" w:rsidRDefault="45A1815F" w14:paraId="4958EC71" w14:textId="04EC1708">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4ADC9B5" w:rsidR="45A1815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second section is a brief overview of the works of Greenhalgh's book on Horsemen and chariots published in 1973. </w:t>
      </w:r>
      <w:r w:rsidRPr="54ADC9B5" w:rsidR="2F829F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Brouwers tells </w:t>
      </w:r>
      <w:r w:rsidRPr="54ADC9B5" w:rsidR="43FF8EA9">
        <w:rPr>
          <w:rFonts w:ascii="Calibri" w:hAnsi="Calibri" w:eastAsia="Calibri" w:cs="Calibri"/>
          <w:b w:val="0"/>
          <w:bCs w:val="0"/>
          <w:i w:val="0"/>
          <w:iCs w:val="0"/>
          <w:caps w:val="0"/>
          <w:smallCaps w:val="0"/>
          <w:noProof w:val="0"/>
          <w:color w:val="000000" w:themeColor="text1" w:themeTint="FF" w:themeShade="FF"/>
          <w:sz w:val="22"/>
          <w:szCs w:val="22"/>
          <w:lang w:val="en-US"/>
        </w:rPr>
        <w:t>us</w:t>
      </w:r>
      <w:r w:rsidRPr="54ADC9B5" w:rsidR="2F829FC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that it is from Greenhalgh's book and research that they are gathering much of their own sources</w:t>
      </w:r>
      <w:r w:rsidRPr="54ADC9B5">
        <w:rPr>
          <w:rStyle w:val="FootnoteReference"/>
          <w:rFonts w:ascii="Calibri" w:hAnsi="Calibri" w:eastAsia="Calibri" w:cs="Calibri"/>
          <w:b w:val="0"/>
          <w:bCs w:val="0"/>
          <w:i w:val="0"/>
          <w:iCs w:val="0"/>
          <w:caps w:val="0"/>
          <w:smallCaps w:val="0"/>
          <w:noProof w:val="0"/>
          <w:color w:val="000000" w:themeColor="text1" w:themeTint="FF" w:themeShade="FF"/>
          <w:sz w:val="22"/>
          <w:szCs w:val="22"/>
          <w:lang w:val="en-US"/>
        </w:rPr>
        <w:footnoteReference w:id="4983"/>
      </w:r>
      <w:r w:rsidRPr="54ADC9B5" w:rsidR="2F829FC6">
        <w:rPr>
          <w:rFonts w:ascii="Calibri" w:hAnsi="Calibri" w:eastAsia="Calibri" w:cs="Calibri"/>
          <w:b w:val="0"/>
          <w:bCs w:val="0"/>
          <w:i w:val="0"/>
          <w:iCs w:val="0"/>
          <w:caps w:val="0"/>
          <w:smallCaps w:val="0"/>
          <w:noProof w:val="0"/>
          <w:color w:val="000000" w:themeColor="text1" w:themeTint="FF" w:themeShade="FF"/>
          <w:sz w:val="22"/>
          <w:szCs w:val="22"/>
          <w:lang w:val="en-US"/>
        </w:rPr>
        <w:t>, particularly the iconography to support their hypothesis and is thus building upon his work as well as challenging</w:t>
      </w:r>
      <w:r w:rsidRPr="54ADC9B5" w:rsidR="4CF5C56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views expressed within. </w:t>
      </w:r>
    </w:p>
    <w:p w:rsidR="32513185" w:rsidP="54ADC9B5" w:rsidRDefault="32513185" w14:paraId="0AE98046" w14:textId="3BD33FD2">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4ADC9B5" w:rsidR="3251318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Greenhalgh talks about how chariots were used as a means for warriors to travel to and from the </w:t>
      </w:r>
      <w:r w:rsidRPr="54ADC9B5" w:rsidR="1289EF8C">
        <w:rPr>
          <w:rFonts w:ascii="Calibri" w:hAnsi="Calibri" w:eastAsia="Calibri" w:cs="Calibri"/>
          <w:b w:val="0"/>
          <w:bCs w:val="0"/>
          <w:i w:val="0"/>
          <w:iCs w:val="0"/>
          <w:caps w:val="0"/>
          <w:smallCaps w:val="0"/>
          <w:noProof w:val="0"/>
          <w:color w:val="000000" w:themeColor="text1" w:themeTint="FF" w:themeShade="FF"/>
          <w:sz w:val="22"/>
          <w:szCs w:val="22"/>
          <w:lang w:val="en-US"/>
        </w:rPr>
        <w:t>battlefield</w:t>
      </w:r>
      <w:r w:rsidRPr="54ADC9B5" w:rsidR="3251318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but </w:t>
      </w:r>
      <w:r w:rsidRPr="54ADC9B5" w:rsidR="32513185">
        <w:rPr>
          <w:rFonts w:ascii="Calibri" w:hAnsi="Calibri" w:eastAsia="Calibri" w:cs="Calibri"/>
          <w:b w:val="0"/>
          <w:bCs w:val="0"/>
          <w:i w:val="0"/>
          <w:iCs w:val="0"/>
          <w:caps w:val="0"/>
          <w:smallCaps w:val="0"/>
          <w:noProof w:val="0"/>
          <w:color w:val="000000" w:themeColor="text1" w:themeTint="FF" w:themeShade="FF"/>
          <w:sz w:val="22"/>
          <w:szCs w:val="22"/>
          <w:lang w:val="en-US"/>
        </w:rPr>
        <w:t>indicates</w:t>
      </w:r>
      <w:r w:rsidRPr="54ADC9B5" w:rsidR="3251318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that this was not </w:t>
      </w:r>
      <w:r w:rsidRPr="54ADC9B5" w:rsidR="32513185">
        <w:rPr>
          <w:rFonts w:ascii="Calibri" w:hAnsi="Calibri" w:eastAsia="Calibri" w:cs="Calibri"/>
          <w:b w:val="0"/>
          <w:bCs w:val="0"/>
          <w:i w:val="0"/>
          <w:iCs w:val="0"/>
          <w:caps w:val="0"/>
          <w:smallCaps w:val="0"/>
          <w:noProof w:val="0"/>
          <w:color w:val="000000" w:themeColor="text1" w:themeTint="FF" w:themeShade="FF"/>
          <w:sz w:val="22"/>
          <w:szCs w:val="22"/>
          <w:lang w:val="en-US"/>
        </w:rPr>
        <w:t>an accurate</w:t>
      </w:r>
      <w:r w:rsidRPr="54ADC9B5" w:rsidR="3251318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depiction of archaic Greek warfare, but a tool used by Homer to inspire feelings of a </w:t>
      </w:r>
      <w:r w:rsidRPr="54ADC9B5" w:rsidR="32513185">
        <w:rPr>
          <w:rFonts w:ascii="Calibri" w:hAnsi="Calibri" w:eastAsia="Calibri" w:cs="Calibri"/>
          <w:b w:val="0"/>
          <w:bCs w:val="0"/>
          <w:i w:val="0"/>
          <w:iCs w:val="0"/>
          <w:caps w:val="0"/>
          <w:smallCaps w:val="0"/>
          <w:noProof w:val="0"/>
          <w:color w:val="000000" w:themeColor="text1" w:themeTint="FF" w:themeShade="FF"/>
          <w:sz w:val="22"/>
          <w:szCs w:val="22"/>
          <w:lang w:val="en-US"/>
        </w:rPr>
        <w:t>bygone</w:t>
      </w:r>
      <w:r w:rsidRPr="54ADC9B5" w:rsidR="3251318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age</w:t>
      </w:r>
      <w:r w:rsidRPr="54ADC9B5">
        <w:rPr>
          <w:rStyle w:val="FootnoteReference"/>
          <w:rFonts w:ascii="Calibri" w:hAnsi="Calibri" w:eastAsia="Calibri" w:cs="Calibri"/>
          <w:b w:val="0"/>
          <w:bCs w:val="0"/>
          <w:i w:val="0"/>
          <w:iCs w:val="0"/>
          <w:caps w:val="0"/>
          <w:smallCaps w:val="0"/>
          <w:noProof w:val="0"/>
          <w:color w:val="000000" w:themeColor="text1" w:themeTint="FF" w:themeShade="FF"/>
          <w:sz w:val="22"/>
          <w:szCs w:val="22"/>
          <w:lang w:val="en-US"/>
        </w:rPr>
        <w:footnoteReference w:id="10515"/>
      </w:r>
      <w:r w:rsidRPr="54ADC9B5" w:rsidR="3601924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4ADC9B5" w:rsidR="735AF1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While Greenhalgh and Brouwers seem to agree that yes, the horse was used to transport the hoplite into battle. Their views </w:t>
      </w:r>
      <w:r w:rsidRPr="54ADC9B5" w:rsidR="735AF14F">
        <w:rPr>
          <w:rFonts w:ascii="Calibri" w:hAnsi="Calibri" w:eastAsia="Calibri" w:cs="Calibri"/>
          <w:b w:val="0"/>
          <w:bCs w:val="0"/>
          <w:i w:val="0"/>
          <w:iCs w:val="0"/>
          <w:caps w:val="0"/>
          <w:smallCaps w:val="0"/>
          <w:noProof w:val="0"/>
          <w:color w:val="000000" w:themeColor="text1" w:themeTint="FF" w:themeShade="FF"/>
          <w:sz w:val="22"/>
          <w:szCs w:val="22"/>
          <w:lang w:val="en-US"/>
        </w:rPr>
        <w:t>diver</w:t>
      </w:r>
      <w:r w:rsidRPr="54ADC9B5" w:rsidR="31FFD681">
        <w:rPr>
          <w:rFonts w:ascii="Calibri" w:hAnsi="Calibri" w:eastAsia="Calibri" w:cs="Calibri"/>
          <w:b w:val="0"/>
          <w:bCs w:val="0"/>
          <w:i w:val="0"/>
          <w:iCs w:val="0"/>
          <w:caps w:val="0"/>
          <w:smallCaps w:val="0"/>
          <w:noProof w:val="0"/>
          <w:color w:val="000000" w:themeColor="text1" w:themeTint="FF" w:themeShade="FF"/>
          <w:sz w:val="22"/>
          <w:szCs w:val="22"/>
          <w:lang w:val="en-US"/>
        </w:rPr>
        <w:t>g</w:t>
      </w:r>
      <w:r w:rsidRPr="54ADC9B5" w:rsidR="735AF14F">
        <w:rPr>
          <w:rFonts w:ascii="Calibri" w:hAnsi="Calibri" w:eastAsia="Calibri" w:cs="Calibri"/>
          <w:b w:val="0"/>
          <w:bCs w:val="0"/>
          <w:i w:val="0"/>
          <w:iCs w:val="0"/>
          <w:caps w:val="0"/>
          <w:smallCaps w:val="0"/>
          <w:noProof w:val="0"/>
          <w:color w:val="000000" w:themeColor="text1" w:themeTint="FF" w:themeShade="FF"/>
          <w:sz w:val="22"/>
          <w:szCs w:val="22"/>
          <w:lang w:val="en-US"/>
        </w:rPr>
        <w:t>e</w:t>
      </w:r>
      <w:r w:rsidRPr="54ADC9B5" w:rsidR="735AF1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as Brouwers states that Greenhalgh begins to </w:t>
      </w:r>
      <w:r w:rsidRPr="54ADC9B5" w:rsidR="004D0EFD">
        <w:rPr>
          <w:rFonts w:ascii="Calibri" w:hAnsi="Calibri" w:eastAsia="Calibri" w:cs="Calibri"/>
          <w:b w:val="0"/>
          <w:bCs w:val="0"/>
          <w:i w:val="0"/>
          <w:iCs w:val="0"/>
          <w:caps w:val="0"/>
          <w:smallCaps w:val="0"/>
          <w:noProof w:val="0"/>
          <w:color w:val="000000" w:themeColor="text1" w:themeTint="FF" w:themeShade="FF"/>
          <w:sz w:val="22"/>
          <w:szCs w:val="22"/>
          <w:lang w:val="en-US"/>
        </w:rPr>
        <w:t>view</w:t>
      </w:r>
      <w:r w:rsidRPr="54ADC9B5" w:rsidR="735AF1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horse as being primarily obsolete in battle once the </w:t>
      </w:r>
      <w:r w:rsidRPr="54ADC9B5" w:rsidR="735AF14F">
        <w:rPr>
          <w:rFonts w:ascii="Calibri" w:hAnsi="Calibri" w:eastAsia="Calibri" w:cs="Calibri"/>
          <w:b w:val="0"/>
          <w:bCs w:val="0"/>
          <w:i w:val="0"/>
          <w:iCs w:val="0"/>
          <w:caps w:val="0"/>
          <w:smallCaps w:val="0"/>
          <w:noProof w:val="0"/>
          <w:color w:val="000000" w:themeColor="text1" w:themeTint="FF" w:themeShade="FF"/>
          <w:sz w:val="22"/>
          <w:szCs w:val="22"/>
          <w:lang w:val="en-US"/>
        </w:rPr>
        <w:t>phalanx</w:t>
      </w:r>
      <w:r w:rsidRPr="54ADC9B5" w:rsidR="735AF1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4ADC9B5" w:rsidR="5EF65E8E">
        <w:rPr>
          <w:rFonts w:ascii="Calibri" w:hAnsi="Calibri" w:eastAsia="Calibri" w:cs="Calibri"/>
          <w:b w:val="0"/>
          <w:bCs w:val="0"/>
          <w:i w:val="0"/>
          <w:iCs w:val="0"/>
          <w:caps w:val="0"/>
          <w:smallCaps w:val="0"/>
          <w:noProof w:val="0"/>
          <w:color w:val="000000" w:themeColor="text1" w:themeTint="FF" w:themeShade="FF"/>
          <w:sz w:val="22"/>
          <w:szCs w:val="22"/>
          <w:lang w:val="en-US"/>
        </w:rPr>
        <w:t>formation was adopted</w:t>
      </w:r>
      <w:r w:rsidRPr="54ADC9B5">
        <w:rPr>
          <w:rStyle w:val="FootnoteReference"/>
          <w:rFonts w:ascii="Calibri" w:hAnsi="Calibri" w:eastAsia="Calibri" w:cs="Calibri"/>
          <w:b w:val="0"/>
          <w:bCs w:val="0"/>
          <w:i w:val="0"/>
          <w:iCs w:val="0"/>
          <w:caps w:val="0"/>
          <w:smallCaps w:val="0"/>
          <w:noProof w:val="0"/>
          <w:color w:val="000000" w:themeColor="text1" w:themeTint="FF" w:themeShade="FF"/>
          <w:sz w:val="22"/>
          <w:szCs w:val="22"/>
          <w:lang w:val="en-US"/>
        </w:rPr>
        <w:footnoteReference w:id="1617"/>
      </w:r>
      <w:r w:rsidRPr="54ADC9B5" w:rsidR="5EF65E8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4ADC9B5" w:rsidR="4FAFA15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Greenhalgh holding the view that horses were only useful for </w:t>
      </w:r>
      <w:r w:rsidRPr="54ADC9B5" w:rsidR="74D21E3D">
        <w:rPr>
          <w:rFonts w:ascii="Calibri" w:hAnsi="Calibri" w:eastAsia="Calibri" w:cs="Calibri"/>
          <w:b w:val="0"/>
          <w:bCs w:val="0"/>
          <w:i w:val="0"/>
          <w:iCs w:val="0"/>
          <w:caps w:val="0"/>
          <w:smallCaps w:val="0"/>
          <w:noProof w:val="0"/>
          <w:color w:val="000000" w:themeColor="text1" w:themeTint="FF" w:themeShade="FF"/>
          <w:sz w:val="22"/>
          <w:szCs w:val="22"/>
          <w:lang w:val="en-US"/>
        </w:rPr>
        <w:t>pursuit</w:t>
      </w:r>
      <w:r w:rsidRPr="54ADC9B5" w:rsidR="4FAFA15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flight, or getting behind enemy lines and that the horse and the </w:t>
      </w:r>
      <w:r w:rsidRPr="54ADC9B5" w:rsidR="4FAFA155">
        <w:rPr>
          <w:rFonts w:ascii="Calibri" w:hAnsi="Calibri" w:eastAsia="Calibri" w:cs="Calibri"/>
          <w:b w:val="0"/>
          <w:bCs w:val="0"/>
          <w:i w:val="0"/>
          <w:iCs w:val="0"/>
          <w:caps w:val="0"/>
          <w:smallCaps w:val="0"/>
          <w:noProof w:val="0"/>
          <w:color w:val="000000" w:themeColor="text1" w:themeTint="FF" w:themeShade="FF"/>
          <w:sz w:val="22"/>
          <w:szCs w:val="22"/>
          <w:lang w:val="en-US"/>
        </w:rPr>
        <w:t>phalanx</w:t>
      </w:r>
      <w:r w:rsidRPr="54ADC9B5" w:rsidR="4FAFA15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could not mix while in battle</w:t>
      </w:r>
      <w:r w:rsidRPr="54ADC9B5">
        <w:rPr>
          <w:rStyle w:val="FootnoteReference"/>
          <w:rFonts w:ascii="Calibri" w:hAnsi="Calibri" w:eastAsia="Calibri" w:cs="Calibri"/>
          <w:b w:val="0"/>
          <w:bCs w:val="0"/>
          <w:i w:val="0"/>
          <w:iCs w:val="0"/>
          <w:caps w:val="0"/>
          <w:smallCaps w:val="0"/>
          <w:noProof w:val="0"/>
          <w:color w:val="000000" w:themeColor="text1" w:themeTint="FF" w:themeShade="FF"/>
          <w:sz w:val="22"/>
          <w:szCs w:val="22"/>
          <w:lang w:val="en-US"/>
        </w:rPr>
        <w:footnoteReference w:id="21995"/>
      </w:r>
      <w:r w:rsidRPr="54ADC9B5" w:rsidR="4FAFA15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337B0586" w:rsidP="54ADC9B5" w:rsidRDefault="337B0586" w14:paraId="33ABCC2A" w14:textId="0C524724">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4ADC9B5" w:rsidR="337B058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Another point of divergence mentioned is that Greenhalgh supports the theory that warfare developed from being open and fluid in the archaic, to the </w:t>
      </w:r>
      <w:r w:rsidRPr="54ADC9B5" w:rsidR="39E19BE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adoption of </w:t>
      </w:r>
      <w:r w:rsidRPr="54ADC9B5" w:rsidR="39E19BEA">
        <w:rPr>
          <w:rFonts w:ascii="Calibri" w:hAnsi="Calibri" w:eastAsia="Calibri" w:cs="Calibri"/>
          <w:b w:val="0"/>
          <w:bCs w:val="0"/>
          <w:i w:val="0"/>
          <w:iCs w:val="0"/>
          <w:caps w:val="0"/>
          <w:smallCaps w:val="0"/>
          <w:noProof w:val="0"/>
          <w:color w:val="000000" w:themeColor="text1" w:themeTint="FF" w:themeShade="FF"/>
          <w:sz w:val="22"/>
          <w:szCs w:val="22"/>
          <w:lang w:val="en-US"/>
        </w:rPr>
        <w:t>phalanx</w:t>
      </w:r>
      <w:r w:rsidRPr="54ADC9B5" w:rsidR="39E19BE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tactics, which slowly decreased the role of the horse in hoplite warfare. Brouwers rejects the view entirely that warfare developed much at a</w:t>
      </w:r>
      <w:r w:rsidRPr="54ADC9B5" w:rsidR="7886811B">
        <w:rPr>
          <w:rFonts w:ascii="Calibri" w:hAnsi="Calibri" w:eastAsia="Calibri" w:cs="Calibri"/>
          <w:b w:val="0"/>
          <w:bCs w:val="0"/>
          <w:i w:val="0"/>
          <w:iCs w:val="0"/>
          <w:caps w:val="0"/>
          <w:smallCaps w:val="0"/>
          <w:noProof w:val="0"/>
          <w:color w:val="000000" w:themeColor="text1" w:themeTint="FF" w:themeShade="FF"/>
          <w:sz w:val="22"/>
          <w:szCs w:val="22"/>
          <w:lang w:val="en-US"/>
        </w:rPr>
        <w:t>ll in the archaic period and that to the 5</w:t>
      </w:r>
      <w:r w:rsidRPr="54ADC9B5" w:rsidR="7886811B">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54ADC9B5" w:rsidR="7886811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century, fighting was still largely the same.</w:t>
      </w:r>
      <w:r w:rsidRPr="54ADC9B5" w:rsidR="1B71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Again, this view can be attributed to Lorimer’s influence on Greenhalgh's work and the orthodox standpoint that he might have been working from. </w:t>
      </w:r>
    </w:p>
    <w:p w:rsidR="3AA64C90" w:rsidP="54ADC9B5" w:rsidRDefault="3AA64C90" w14:paraId="48CA7DFC" w14:textId="106A9CB4">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4ADC9B5" w:rsidR="3AA64C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It is in the third section of the article that we finally get to the examination of the iconographical evidence to try and support the hypothesis that the horse played </w:t>
      </w:r>
      <w:r w:rsidRPr="54ADC9B5" w:rsidR="2B22EA2B">
        <w:rPr>
          <w:rFonts w:ascii="Calibri" w:hAnsi="Calibri" w:eastAsia="Calibri" w:cs="Calibri"/>
          <w:b w:val="0"/>
          <w:bCs w:val="0"/>
          <w:i w:val="0"/>
          <w:iCs w:val="0"/>
          <w:caps w:val="0"/>
          <w:smallCaps w:val="0"/>
          <w:noProof w:val="0"/>
          <w:color w:val="000000" w:themeColor="text1" w:themeTint="FF" w:themeShade="FF"/>
          <w:sz w:val="22"/>
          <w:szCs w:val="22"/>
          <w:lang w:val="en-US"/>
        </w:rPr>
        <w:t>a key role</w:t>
      </w:r>
      <w:r w:rsidRPr="54ADC9B5" w:rsidR="3AA64C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 the outfit of the early hoplite. </w:t>
      </w:r>
      <w:r w:rsidRPr="54ADC9B5" w:rsidR="782B75E9">
        <w:rPr>
          <w:rFonts w:ascii="Calibri" w:hAnsi="Calibri" w:eastAsia="Calibri" w:cs="Calibri"/>
          <w:b w:val="0"/>
          <w:bCs w:val="0"/>
          <w:i w:val="0"/>
          <w:iCs w:val="0"/>
          <w:caps w:val="0"/>
          <w:smallCaps w:val="0"/>
          <w:noProof w:val="0"/>
          <w:color w:val="000000" w:themeColor="text1" w:themeTint="FF" w:themeShade="FF"/>
          <w:sz w:val="22"/>
          <w:szCs w:val="22"/>
          <w:lang w:val="en-US"/>
        </w:rPr>
        <w:t>From here the terminology shifts, the word hoplite is no longer used</w:t>
      </w:r>
      <w:r w:rsidRPr="54ADC9B5" w:rsidR="4A04CE8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as much in the article</w:t>
      </w:r>
      <w:r w:rsidRPr="54ADC9B5" w:rsidR="782B75E9">
        <w:rPr>
          <w:rFonts w:ascii="Calibri" w:hAnsi="Calibri" w:eastAsia="Calibri" w:cs="Calibri"/>
          <w:b w:val="0"/>
          <w:bCs w:val="0"/>
          <w:i w:val="0"/>
          <w:iCs w:val="0"/>
          <w:caps w:val="0"/>
          <w:smallCaps w:val="0"/>
          <w:noProof w:val="0"/>
          <w:color w:val="000000" w:themeColor="text1" w:themeTint="FF" w:themeShade="FF"/>
          <w:sz w:val="22"/>
          <w:szCs w:val="22"/>
          <w:lang w:val="en-US"/>
        </w:rPr>
        <w:t>, but is replaced by the</w:t>
      </w:r>
      <w:r w:rsidRPr="54ADC9B5" w:rsidR="63F07AE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term</w:t>
      </w:r>
      <w:r w:rsidRPr="54ADC9B5" w:rsidR="782B75E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4ADC9B5" w:rsidR="39A13A13">
        <w:rPr>
          <w:rFonts w:ascii="Calibri" w:hAnsi="Calibri" w:eastAsia="Calibri" w:cs="Calibri"/>
          <w:b w:val="0"/>
          <w:bCs w:val="0"/>
          <w:i w:val="0"/>
          <w:iCs w:val="0"/>
          <w:caps w:val="0"/>
          <w:smallCaps w:val="0"/>
          <w:noProof w:val="0"/>
          <w:color w:val="000000" w:themeColor="text1" w:themeTint="FF" w:themeShade="FF"/>
          <w:sz w:val="22"/>
          <w:szCs w:val="22"/>
          <w:lang w:val="en-US"/>
        </w:rPr>
        <w:t>‘</w:t>
      </w:r>
      <w:r w:rsidRPr="54ADC9B5" w:rsidR="782B75E9">
        <w:rPr>
          <w:rFonts w:ascii="Calibri" w:hAnsi="Calibri" w:eastAsia="Calibri" w:cs="Calibri"/>
          <w:b w:val="0"/>
          <w:bCs w:val="0"/>
          <w:i w:val="0"/>
          <w:iCs w:val="0"/>
          <w:caps w:val="0"/>
          <w:smallCaps w:val="0"/>
          <w:noProof w:val="0"/>
          <w:color w:val="000000" w:themeColor="text1" w:themeTint="FF" w:themeShade="FF"/>
          <w:sz w:val="22"/>
          <w:szCs w:val="22"/>
          <w:lang w:val="en-US"/>
        </w:rPr>
        <w:t>hippobatai</w:t>
      </w:r>
      <w:r w:rsidRPr="54ADC9B5" w:rsidR="4DB52F48">
        <w:rPr>
          <w:rFonts w:ascii="Calibri" w:hAnsi="Calibri" w:eastAsia="Calibri" w:cs="Calibri"/>
          <w:b w:val="0"/>
          <w:bCs w:val="0"/>
          <w:i w:val="0"/>
          <w:iCs w:val="0"/>
          <w:caps w:val="0"/>
          <w:smallCaps w:val="0"/>
          <w:noProof w:val="0"/>
          <w:color w:val="000000" w:themeColor="text1" w:themeTint="FF" w:themeShade="FF"/>
          <w:sz w:val="22"/>
          <w:szCs w:val="22"/>
          <w:lang w:val="en-US"/>
        </w:rPr>
        <w:t>,’</w:t>
      </w:r>
      <w:r w:rsidRPr="54ADC9B5" w:rsidR="782B75E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which were horse mounted warriors, who would ride into battle and </w:t>
      </w:r>
      <w:r w:rsidRPr="54ADC9B5" w:rsidR="782B75E9">
        <w:rPr>
          <w:rFonts w:ascii="Calibri" w:hAnsi="Calibri" w:eastAsia="Calibri" w:cs="Calibri"/>
          <w:b w:val="0"/>
          <w:bCs w:val="0"/>
          <w:i w:val="0"/>
          <w:iCs w:val="0"/>
          <w:caps w:val="0"/>
          <w:smallCaps w:val="0"/>
          <w:noProof w:val="0"/>
          <w:color w:val="000000" w:themeColor="text1" w:themeTint="FF" w:themeShade="FF"/>
          <w:sz w:val="22"/>
          <w:szCs w:val="22"/>
          <w:lang w:val="en-US"/>
        </w:rPr>
        <w:t>dismount</w:t>
      </w:r>
      <w:r w:rsidRPr="54ADC9B5" w:rsidR="782B75E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4ADC9B5" w:rsidR="10DBF328">
        <w:rPr>
          <w:rFonts w:ascii="Calibri" w:hAnsi="Calibri" w:eastAsia="Calibri" w:cs="Calibri"/>
          <w:b w:val="0"/>
          <w:bCs w:val="0"/>
          <w:i w:val="0"/>
          <w:iCs w:val="0"/>
          <w:caps w:val="0"/>
          <w:smallCaps w:val="0"/>
          <w:noProof w:val="0"/>
          <w:color w:val="000000" w:themeColor="text1" w:themeTint="FF" w:themeShade="FF"/>
          <w:sz w:val="22"/>
          <w:szCs w:val="22"/>
          <w:lang w:val="en-US"/>
        </w:rPr>
        <w:t>when close to an enemy and engage in combat</w:t>
      </w:r>
      <w:r w:rsidRPr="54ADC9B5">
        <w:rPr>
          <w:rStyle w:val="FootnoteReference"/>
          <w:rFonts w:ascii="Calibri" w:hAnsi="Calibri" w:eastAsia="Calibri" w:cs="Calibri"/>
          <w:b w:val="0"/>
          <w:bCs w:val="0"/>
          <w:i w:val="0"/>
          <w:iCs w:val="0"/>
          <w:caps w:val="0"/>
          <w:smallCaps w:val="0"/>
          <w:noProof w:val="0"/>
          <w:color w:val="000000" w:themeColor="text1" w:themeTint="FF" w:themeShade="FF"/>
          <w:sz w:val="22"/>
          <w:szCs w:val="22"/>
          <w:lang w:val="en-US"/>
        </w:rPr>
        <w:footnoteReference w:id="32366"/>
      </w:r>
      <w:r w:rsidRPr="54ADC9B5" w:rsidR="10DBF32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4ADC9B5" w:rsidR="2573B31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Hippobatai, as Brouwers explains, are ‘horse </w:t>
      </w:r>
      <w:r w:rsidRPr="54ADC9B5" w:rsidR="44226A3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fighters’ are sometimes depicted with a youth, typically riding the horse, known as a </w:t>
      </w:r>
      <w:r w:rsidRPr="54ADC9B5" w:rsidR="1B5944BD">
        <w:rPr>
          <w:rFonts w:ascii="Calibri" w:hAnsi="Calibri" w:eastAsia="Calibri" w:cs="Calibri"/>
          <w:b w:val="0"/>
          <w:bCs w:val="0"/>
          <w:i w:val="0"/>
          <w:iCs w:val="0"/>
          <w:caps w:val="0"/>
          <w:smallCaps w:val="0"/>
          <w:noProof w:val="0"/>
          <w:color w:val="000000" w:themeColor="text1" w:themeTint="FF" w:themeShade="FF"/>
          <w:sz w:val="22"/>
          <w:szCs w:val="22"/>
          <w:lang w:val="en-US"/>
        </w:rPr>
        <w:t>’hippostrophos</w:t>
      </w:r>
      <w:r w:rsidRPr="54ADC9B5">
        <w:rPr>
          <w:rStyle w:val="FootnoteReference"/>
          <w:rFonts w:ascii="Calibri" w:hAnsi="Calibri" w:eastAsia="Calibri" w:cs="Calibri"/>
          <w:b w:val="0"/>
          <w:bCs w:val="0"/>
          <w:i w:val="0"/>
          <w:iCs w:val="0"/>
          <w:caps w:val="0"/>
          <w:smallCaps w:val="0"/>
          <w:noProof w:val="0"/>
          <w:color w:val="000000" w:themeColor="text1" w:themeTint="FF" w:themeShade="FF"/>
          <w:sz w:val="22"/>
          <w:szCs w:val="22"/>
          <w:lang w:val="en-US"/>
        </w:rPr>
        <w:footnoteReference w:id="19400"/>
      </w:r>
      <w:r w:rsidRPr="54ADC9B5" w:rsidR="18F7DBBF">
        <w:rPr>
          <w:rFonts w:ascii="Calibri" w:hAnsi="Calibri" w:eastAsia="Calibri" w:cs="Calibri"/>
          <w:b w:val="0"/>
          <w:bCs w:val="0"/>
          <w:i w:val="0"/>
          <w:iCs w:val="0"/>
          <w:caps w:val="0"/>
          <w:smallCaps w:val="0"/>
          <w:noProof w:val="0"/>
          <w:color w:val="000000" w:themeColor="text1" w:themeTint="FF" w:themeShade="FF"/>
          <w:sz w:val="22"/>
          <w:szCs w:val="22"/>
          <w:lang w:val="en-US"/>
        </w:rPr>
        <w:t>.’</w:t>
      </w:r>
      <w:r w:rsidRPr="54ADC9B5" w:rsidR="1B5944B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4ADC9B5" w:rsidR="336E3845">
        <w:rPr>
          <w:rFonts w:ascii="Calibri" w:hAnsi="Calibri" w:eastAsia="Calibri" w:cs="Calibri"/>
          <w:b w:val="0"/>
          <w:bCs w:val="0"/>
          <w:i w:val="0"/>
          <w:iCs w:val="0"/>
          <w:caps w:val="0"/>
          <w:smallCaps w:val="0"/>
          <w:noProof w:val="0"/>
          <w:color w:val="000000" w:themeColor="text1" w:themeTint="FF" w:themeShade="FF"/>
          <w:sz w:val="22"/>
          <w:szCs w:val="22"/>
          <w:lang w:val="en-US"/>
        </w:rPr>
        <w:t>The function of the hippostrophos, Brouwers describes, was likely that of a squire who would watch the horses while the battle was taking place</w:t>
      </w:r>
      <w:r w:rsidRPr="54ADC9B5">
        <w:rPr>
          <w:rStyle w:val="FootnoteReference"/>
          <w:rFonts w:ascii="Calibri" w:hAnsi="Calibri" w:eastAsia="Calibri" w:cs="Calibri"/>
          <w:b w:val="0"/>
          <w:bCs w:val="0"/>
          <w:i w:val="0"/>
          <w:iCs w:val="0"/>
          <w:caps w:val="0"/>
          <w:smallCaps w:val="0"/>
          <w:noProof w:val="0"/>
          <w:color w:val="000000" w:themeColor="text1" w:themeTint="FF" w:themeShade="FF"/>
          <w:sz w:val="22"/>
          <w:szCs w:val="22"/>
          <w:lang w:val="en-US"/>
        </w:rPr>
        <w:footnoteReference w:id="20175"/>
      </w:r>
      <w:r w:rsidRPr="54ADC9B5" w:rsidR="336E38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4ADC9B5" w:rsidR="3033D08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It is important to not however, that I have not found the terminology ’hippobatai’ or ’hippostrophos’ elsewhere, in other scholarship, the term hoplite is still used. I believe that Brouwers intention was to </w:t>
      </w:r>
      <w:r w:rsidRPr="54ADC9B5" w:rsidR="47C491E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show that the hippobatai evolved into the hoplite after the archaic period. </w:t>
      </w:r>
    </w:p>
    <w:p w:rsidR="2336CC72" w:rsidP="54ADC9B5" w:rsidRDefault="2336CC72" w14:paraId="386C42E1" w14:textId="5C9F8AE2">
      <w:pPr>
        <w:pStyle w:val="Normal"/>
        <w:jc w:val="left"/>
        <w:rPr>
          <w:rFonts w:ascii="Calibri" w:hAnsi="Calibri" w:eastAsia="Calibri" w:cs="Calibri"/>
          <w:noProof w:val="0"/>
          <w:sz w:val="22"/>
          <w:szCs w:val="22"/>
          <w:lang w:val="en-US"/>
        </w:rPr>
      </w:pPr>
      <w:r w:rsidRPr="54ADC9B5" w:rsidR="2336CC7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As </w:t>
      </w:r>
      <w:r w:rsidRPr="54ADC9B5" w:rsidR="2336CC72">
        <w:rPr>
          <w:rFonts w:ascii="Calibri" w:hAnsi="Calibri" w:eastAsia="Calibri" w:cs="Calibri"/>
          <w:b w:val="0"/>
          <w:bCs w:val="0"/>
          <w:i w:val="0"/>
          <w:iCs w:val="0"/>
          <w:caps w:val="0"/>
          <w:smallCaps w:val="0"/>
          <w:noProof w:val="0"/>
          <w:color w:val="000000" w:themeColor="text1" w:themeTint="FF" w:themeShade="FF"/>
          <w:sz w:val="22"/>
          <w:szCs w:val="22"/>
          <w:lang w:val="en-US"/>
        </w:rPr>
        <w:t>aforementioned</w:t>
      </w:r>
      <w:r w:rsidRPr="54ADC9B5" w:rsidR="2336CC72">
        <w:rPr>
          <w:rFonts w:ascii="Calibri" w:hAnsi="Calibri" w:eastAsia="Calibri" w:cs="Calibri"/>
          <w:b w:val="0"/>
          <w:bCs w:val="0"/>
          <w:i w:val="0"/>
          <w:iCs w:val="0"/>
          <w:caps w:val="0"/>
          <w:smallCaps w:val="0"/>
          <w:noProof w:val="0"/>
          <w:color w:val="000000" w:themeColor="text1" w:themeTint="FF" w:themeShade="FF"/>
          <w:sz w:val="22"/>
          <w:szCs w:val="22"/>
          <w:lang w:val="en-US"/>
        </w:rPr>
        <w:t>, in this section, Brouwers draws from iconography presented in Greenhalgh's book. After discussing the image of the Hippobatai and the moun</w:t>
      </w:r>
      <w:r w:rsidRPr="54ADC9B5" w:rsidR="110B6D8A">
        <w:rPr>
          <w:rFonts w:ascii="Calibri" w:hAnsi="Calibri" w:eastAsia="Calibri" w:cs="Calibri"/>
          <w:b w:val="0"/>
          <w:bCs w:val="0"/>
          <w:i w:val="0"/>
          <w:iCs w:val="0"/>
          <w:caps w:val="0"/>
          <w:smallCaps w:val="0"/>
          <w:noProof w:val="0"/>
          <w:color w:val="000000" w:themeColor="text1" w:themeTint="FF" w:themeShade="FF"/>
          <w:sz w:val="22"/>
          <w:szCs w:val="22"/>
          <w:lang w:val="en-US"/>
        </w:rPr>
        <w:t>t</w:t>
      </w:r>
      <w:r w:rsidRPr="54ADC9B5" w:rsidR="2336CC72">
        <w:rPr>
          <w:rFonts w:ascii="Calibri" w:hAnsi="Calibri" w:eastAsia="Calibri" w:cs="Calibri"/>
          <w:b w:val="0"/>
          <w:bCs w:val="0"/>
          <w:i w:val="0"/>
          <w:iCs w:val="0"/>
          <w:caps w:val="0"/>
          <w:smallCaps w:val="0"/>
          <w:noProof w:val="0"/>
          <w:color w:val="000000" w:themeColor="text1" w:themeTint="FF" w:themeShade="FF"/>
          <w:sz w:val="22"/>
          <w:szCs w:val="22"/>
          <w:lang w:val="en-US"/>
        </w:rPr>
        <w:t>ed Hippostrophos</w:t>
      </w:r>
      <w:r w:rsidRPr="54ADC9B5" w:rsidR="4097149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Brouwers goes </w:t>
      </w:r>
      <w:r w:rsidRPr="54ADC9B5" w:rsidR="708BFBD3">
        <w:rPr>
          <w:rFonts w:ascii="Calibri" w:hAnsi="Calibri" w:eastAsia="Calibri" w:cs="Calibri"/>
          <w:b w:val="0"/>
          <w:bCs w:val="0"/>
          <w:i w:val="0"/>
          <w:iCs w:val="0"/>
          <w:caps w:val="0"/>
          <w:smallCaps w:val="0"/>
          <w:noProof w:val="0"/>
          <w:color w:val="000000" w:themeColor="text1" w:themeTint="FF" w:themeShade="FF"/>
          <w:sz w:val="22"/>
          <w:szCs w:val="22"/>
          <w:lang w:val="en-US"/>
        </w:rPr>
        <w:t>o</w:t>
      </w:r>
      <w:r w:rsidRPr="54ADC9B5" w:rsidR="40971491">
        <w:rPr>
          <w:rFonts w:ascii="Calibri" w:hAnsi="Calibri" w:eastAsia="Calibri" w:cs="Calibri"/>
          <w:b w:val="0"/>
          <w:bCs w:val="0"/>
          <w:i w:val="0"/>
          <w:iCs w:val="0"/>
          <w:caps w:val="0"/>
          <w:smallCaps w:val="0"/>
          <w:noProof w:val="0"/>
          <w:color w:val="000000" w:themeColor="text1" w:themeTint="FF" w:themeShade="FF"/>
          <w:sz w:val="22"/>
          <w:szCs w:val="22"/>
          <w:lang w:val="en-US"/>
        </w:rPr>
        <w:t>nto detail the equipment in which the hippobatai is carrying.</w:t>
      </w:r>
      <w:r w:rsidRPr="54ADC9B5" w:rsidR="7181DA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4ADC9B5" w:rsidR="69D370C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aim here is to prove that the equipment was designed in such a way that specifically catered to a warrior on horseback. </w:t>
      </w:r>
      <w:r w:rsidRPr="54ADC9B5" w:rsidR="3727ACA7">
        <w:rPr>
          <w:rFonts w:ascii="Calibri" w:hAnsi="Calibri" w:eastAsia="Calibri" w:cs="Calibri"/>
          <w:b w:val="0"/>
          <w:bCs w:val="0"/>
          <w:i w:val="0"/>
          <w:iCs w:val="0"/>
          <w:caps w:val="0"/>
          <w:smallCaps w:val="0"/>
          <w:noProof w:val="0"/>
          <w:color w:val="000000" w:themeColor="text1" w:themeTint="FF" w:themeShade="FF"/>
          <w:sz w:val="22"/>
          <w:szCs w:val="22"/>
          <w:lang w:val="en-US"/>
        </w:rPr>
        <w:t>The two items that are selected for this are the cuirass and the shield</w:t>
      </w:r>
      <w:r w:rsidRPr="54ADC9B5">
        <w:rPr>
          <w:rStyle w:val="FootnoteReference"/>
          <w:rFonts w:ascii="Calibri" w:hAnsi="Calibri" w:eastAsia="Calibri" w:cs="Calibri"/>
          <w:b w:val="0"/>
          <w:bCs w:val="0"/>
          <w:i w:val="0"/>
          <w:iCs w:val="0"/>
          <w:caps w:val="0"/>
          <w:smallCaps w:val="0"/>
          <w:noProof w:val="0"/>
          <w:color w:val="000000" w:themeColor="text1" w:themeTint="FF" w:themeShade="FF"/>
          <w:sz w:val="22"/>
          <w:szCs w:val="22"/>
          <w:lang w:val="en-US"/>
        </w:rPr>
        <w:footnoteReference w:id="17933"/>
      </w:r>
      <w:r w:rsidRPr="54ADC9B5" w:rsidR="3727ACA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shield is of particular importance, as it is </w:t>
      </w:r>
      <w:r w:rsidRPr="54ADC9B5" w:rsidR="3D8E430B">
        <w:rPr>
          <w:rFonts w:ascii="Calibri" w:hAnsi="Calibri" w:eastAsia="Calibri" w:cs="Calibri"/>
          <w:b w:val="0"/>
          <w:bCs w:val="0"/>
          <w:i w:val="0"/>
          <w:iCs w:val="0"/>
          <w:caps w:val="0"/>
          <w:smallCaps w:val="0"/>
          <w:noProof w:val="0"/>
          <w:color w:val="000000" w:themeColor="text1" w:themeTint="FF" w:themeShade="FF"/>
          <w:sz w:val="22"/>
          <w:szCs w:val="22"/>
          <w:lang w:val="en-US"/>
        </w:rPr>
        <w:t>OfCourse</w:t>
      </w:r>
      <w:r w:rsidRPr="54ADC9B5" w:rsidR="3727ACA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regarded as being a paramount item of the hoplite</w:t>
      </w:r>
      <w:r w:rsidRPr="54ADC9B5">
        <w:rPr>
          <w:rStyle w:val="FootnoteReference"/>
          <w:rFonts w:ascii="Calibri" w:hAnsi="Calibri" w:eastAsia="Calibri" w:cs="Calibri"/>
          <w:b w:val="0"/>
          <w:bCs w:val="0"/>
          <w:i w:val="0"/>
          <w:iCs w:val="0"/>
          <w:caps w:val="0"/>
          <w:smallCaps w:val="0"/>
          <w:noProof w:val="0"/>
          <w:color w:val="000000" w:themeColor="text1" w:themeTint="FF" w:themeShade="FF"/>
          <w:sz w:val="22"/>
          <w:szCs w:val="22"/>
          <w:lang w:val="en-US"/>
        </w:rPr>
        <w:footnoteReference w:id="18197"/>
      </w:r>
      <w:r w:rsidRPr="54ADC9B5" w:rsidR="3727ACA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Most specifically, the </w:t>
      </w:r>
      <w:r w:rsidRPr="54ADC9B5" w:rsidR="0633FE9D">
        <w:rPr>
          <w:rFonts w:ascii="Calibri" w:hAnsi="Calibri" w:eastAsia="Calibri" w:cs="Calibri"/>
          <w:b w:val="0"/>
          <w:bCs w:val="0"/>
          <w:i w:val="0"/>
          <w:iCs w:val="0"/>
          <w:caps w:val="0"/>
          <w:smallCaps w:val="0"/>
          <w:noProof w:val="0"/>
          <w:color w:val="000000" w:themeColor="text1" w:themeTint="FF" w:themeShade="FF"/>
          <w:sz w:val="22"/>
          <w:szCs w:val="22"/>
          <w:lang w:val="en-US"/>
        </w:rPr>
        <w:t>Argive</w:t>
      </w:r>
      <w:r w:rsidRPr="54ADC9B5" w:rsidR="6A1A78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shield, which we can see depicted</w:t>
      </w:r>
      <w:r w:rsidRPr="54ADC9B5" w:rsidR="5B0168B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 the </w:t>
      </w:r>
      <w:r w:rsidRPr="54ADC9B5" w:rsidR="739A8E5D">
        <w:rPr>
          <w:rFonts w:ascii="Calibri" w:hAnsi="Calibri" w:eastAsia="Calibri" w:cs="Calibri"/>
          <w:b w:val="0"/>
          <w:bCs w:val="0"/>
          <w:i w:val="0"/>
          <w:iCs w:val="0"/>
          <w:caps w:val="0"/>
          <w:smallCaps w:val="0"/>
          <w:noProof w:val="0"/>
          <w:color w:val="000000" w:themeColor="text1" w:themeTint="FF" w:themeShade="FF"/>
          <w:sz w:val="22"/>
          <w:szCs w:val="22"/>
          <w:lang w:val="en-US"/>
        </w:rPr>
        <w:t>sketches of artifacts</w:t>
      </w:r>
      <w:r w:rsidRPr="54ADC9B5" w:rsidR="5B0168B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4ADC9B5" w:rsidR="5B0168B3">
        <w:rPr>
          <w:rFonts w:ascii="Calibri" w:hAnsi="Calibri" w:eastAsia="Calibri" w:cs="Calibri"/>
          <w:b w:val="0"/>
          <w:bCs w:val="0"/>
          <w:i w:val="0"/>
          <w:iCs w:val="0"/>
          <w:caps w:val="0"/>
          <w:smallCaps w:val="0"/>
          <w:noProof w:val="0"/>
          <w:color w:val="000000" w:themeColor="text1" w:themeTint="FF" w:themeShade="FF"/>
          <w:sz w:val="22"/>
          <w:szCs w:val="22"/>
          <w:lang w:val="en-US"/>
        </w:rPr>
        <w:t>shown to us in the article in figures 4, 5, 6, 7 and 8</w:t>
      </w:r>
      <w:r w:rsidRPr="54ADC9B5">
        <w:rPr>
          <w:rStyle w:val="FootnoteReference"/>
          <w:rFonts w:ascii="Calibri" w:hAnsi="Calibri" w:eastAsia="Calibri" w:cs="Calibri"/>
          <w:b w:val="0"/>
          <w:bCs w:val="0"/>
          <w:i w:val="0"/>
          <w:iCs w:val="0"/>
          <w:caps w:val="0"/>
          <w:smallCaps w:val="0"/>
          <w:noProof w:val="0"/>
          <w:color w:val="000000" w:themeColor="text1" w:themeTint="FF" w:themeShade="FF"/>
          <w:sz w:val="22"/>
          <w:szCs w:val="22"/>
          <w:lang w:val="en-US"/>
        </w:rPr>
        <w:footnoteReference w:id="10980"/>
      </w:r>
      <w:r w:rsidRPr="54ADC9B5" w:rsidR="5B0168B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4ADC9B5" w:rsidR="5B859AD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Argive shield depictions are the most compelling piece of evidence for Brouwers hypothesis, simply due to the </w:t>
      </w:r>
      <w:r w:rsidRPr="54ADC9B5" w:rsidR="05C5ED46">
        <w:rPr>
          <w:rFonts w:ascii="Calibri" w:hAnsi="Calibri" w:eastAsia="Calibri" w:cs="Calibri"/>
          <w:b w:val="0"/>
          <w:bCs w:val="0"/>
          <w:i w:val="0"/>
          <w:iCs w:val="0"/>
          <w:caps w:val="0"/>
          <w:smallCaps w:val="0"/>
          <w:noProof w:val="0"/>
          <w:color w:val="000000" w:themeColor="text1" w:themeTint="FF" w:themeShade="FF"/>
          <w:sz w:val="22"/>
          <w:szCs w:val="22"/>
          <w:lang w:val="en-US"/>
        </w:rPr>
        <w:t>foremost importance</w:t>
      </w:r>
      <w:r w:rsidRPr="54ADC9B5" w:rsidR="5B859AD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4ADC9B5" w:rsidR="1A2A800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of the shield to the later hoplites. </w:t>
      </w:r>
      <w:r w:rsidRPr="54ADC9B5" w:rsidR="6ADADC2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We see this importance reflected by </w:t>
      </w:r>
      <w:r w:rsidRPr="54ADC9B5" w:rsidR="6ADADC20">
        <w:rPr>
          <w:rFonts w:ascii="Calibri" w:hAnsi="Calibri" w:eastAsia="Calibri" w:cs="Calibri"/>
          <w:noProof w:val="0"/>
          <w:sz w:val="22"/>
          <w:szCs w:val="22"/>
          <w:lang w:val="en-US"/>
        </w:rPr>
        <w:t>Echeverría and Snodgrass both</w:t>
      </w:r>
      <w:r w:rsidRPr="54ADC9B5">
        <w:rPr>
          <w:rStyle w:val="FootnoteReference"/>
          <w:rFonts w:ascii="Calibri" w:hAnsi="Calibri" w:eastAsia="Calibri" w:cs="Calibri"/>
          <w:noProof w:val="0"/>
          <w:sz w:val="22"/>
          <w:szCs w:val="22"/>
          <w:lang w:val="en-US"/>
        </w:rPr>
        <w:footnoteReference w:id="3214"/>
      </w:r>
      <w:r w:rsidRPr="54ADC9B5" w:rsidR="6ADADC20">
        <w:rPr>
          <w:rFonts w:ascii="Calibri" w:hAnsi="Calibri" w:eastAsia="Calibri" w:cs="Calibri"/>
          <w:noProof w:val="0"/>
          <w:sz w:val="22"/>
          <w:szCs w:val="22"/>
          <w:lang w:val="en-US"/>
        </w:rPr>
        <w:t xml:space="preserve">. </w:t>
      </w:r>
      <w:r w:rsidRPr="54ADC9B5" w:rsidR="617EF5B5">
        <w:rPr>
          <w:rFonts w:ascii="Calibri" w:hAnsi="Calibri" w:eastAsia="Calibri" w:cs="Calibri"/>
          <w:noProof w:val="0"/>
          <w:sz w:val="22"/>
          <w:szCs w:val="22"/>
          <w:lang w:val="en-US"/>
        </w:rPr>
        <w:t xml:space="preserve"> Brouwers particularly states that the Argive shield was d</w:t>
      </w:r>
      <w:r w:rsidRPr="54ADC9B5" w:rsidR="0BBF4826">
        <w:rPr>
          <w:rFonts w:ascii="Calibri" w:hAnsi="Calibri" w:eastAsia="Calibri" w:cs="Calibri"/>
          <w:noProof w:val="0"/>
          <w:sz w:val="22"/>
          <w:szCs w:val="22"/>
          <w:lang w:val="en-US"/>
        </w:rPr>
        <w:t>esigned specifically for ease of use on horseback</w:t>
      </w:r>
      <w:r w:rsidRPr="54ADC9B5">
        <w:rPr>
          <w:rStyle w:val="FootnoteReference"/>
          <w:rFonts w:ascii="Calibri" w:hAnsi="Calibri" w:eastAsia="Calibri" w:cs="Calibri"/>
          <w:noProof w:val="0"/>
          <w:sz w:val="22"/>
          <w:szCs w:val="22"/>
          <w:lang w:val="en-US"/>
        </w:rPr>
        <w:footnoteReference w:id="12334"/>
      </w:r>
      <w:r w:rsidRPr="54ADC9B5" w:rsidR="2B6BA1A7">
        <w:rPr>
          <w:rFonts w:ascii="Calibri" w:hAnsi="Calibri" w:eastAsia="Calibri" w:cs="Calibri"/>
          <w:noProof w:val="0"/>
          <w:sz w:val="22"/>
          <w:szCs w:val="22"/>
          <w:lang w:val="en-US"/>
        </w:rPr>
        <w:t>, while initially the argument was that the shield was placed on the back when not in use and therefore was inadequate for riding horseback as pointed out by Greenhalgh</w:t>
      </w:r>
      <w:r w:rsidRPr="54ADC9B5">
        <w:rPr>
          <w:rStyle w:val="FootnoteReference"/>
          <w:rFonts w:ascii="Calibri" w:hAnsi="Calibri" w:eastAsia="Calibri" w:cs="Calibri"/>
          <w:noProof w:val="0"/>
          <w:sz w:val="22"/>
          <w:szCs w:val="22"/>
          <w:lang w:val="en-US"/>
        </w:rPr>
        <w:footnoteReference w:id="26713"/>
      </w:r>
      <w:r w:rsidRPr="54ADC9B5" w:rsidR="7659817E">
        <w:rPr>
          <w:rFonts w:ascii="Calibri" w:hAnsi="Calibri" w:eastAsia="Calibri" w:cs="Calibri"/>
          <w:noProof w:val="0"/>
          <w:sz w:val="22"/>
          <w:szCs w:val="22"/>
          <w:lang w:val="en-US"/>
        </w:rPr>
        <w:t xml:space="preserve">. Instead, the shield, due to it being hollow and having two handles, could easily rest on </w:t>
      </w:r>
      <w:r w:rsidRPr="54ADC9B5" w:rsidR="34FE66B0">
        <w:rPr>
          <w:rFonts w:ascii="Calibri" w:hAnsi="Calibri" w:eastAsia="Calibri" w:cs="Calibri"/>
          <w:noProof w:val="0"/>
          <w:sz w:val="22"/>
          <w:szCs w:val="22"/>
          <w:lang w:val="en-US"/>
        </w:rPr>
        <w:t>warriors'</w:t>
      </w:r>
      <w:r w:rsidRPr="54ADC9B5" w:rsidR="7659817E">
        <w:rPr>
          <w:rFonts w:ascii="Calibri" w:hAnsi="Calibri" w:eastAsia="Calibri" w:cs="Calibri"/>
          <w:noProof w:val="0"/>
          <w:sz w:val="22"/>
          <w:szCs w:val="22"/>
          <w:lang w:val="en-US"/>
        </w:rPr>
        <w:t xml:space="preserve"> </w:t>
      </w:r>
      <w:r w:rsidRPr="54ADC9B5" w:rsidR="7CC017E2">
        <w:rPr>
          <w:rFonts w:ascii="Calibri" w:hAnsi="Calibri" w:eastAsia="Calibri" w:cs="Calibri"/>
          <w:noProof w:val="0"/>
          <w:sz w:val="22"/>
          <w:szCs w:val="22"/>
          <w:lang w:val="en-US"/>
        </w:rPr>
        <w:t>shoulder on their left side as they rode on horseback quite easily</w:t>
      </w:r>
      <w:r w:rsidRPr="54ADC9B5">
        <w:rPr>
          <w:rStyle w:val="FootnoteReference"/>
          <w:rFonts w:ascii="Calibri" w:hAnsi="Calibri" w:eastAsia="Calibri" w:cs="Calibri"/>
          <w:noProof w:val="0"/>
          <w:sz w:val="22"/>
          <w:szCs w:val="22"/>
          <w:lang w:val="en-US"/>
        </w:rPr>
        <w:footnoteReference w:id="10198"/>
      </w:r>
      <w:r w:rsidRPr="54ADC9B5" w:rsidR="538B1BD0">
        <w:rPr>
          <w:rFonts w:ascii="Calibri" w:hAnsi="Calibri" w:eastAsia="Calibri" w:cs="Calibri"/>
          <w:noProof w:val="0"/>
          <w:sz w:val="22"/>
          <w:szCs w:val="22"/>
          <w:lang w:val="en-US"/>
        </w:rPr>
        <w:t xml:space="preserve">. </w:t>
      </w:r>
      <w:r w:rsidRPr="54ADC9B5" w:rsidR="152F7A0A">
        <w:rPr>
          <w:rFonts w:ascii="Calibri" w:hAnsi="Calibri" w:eastAsia="Calibri" w:cs="Calibri"/>
          <w:noProof w:val="0"/>
          <w:sz w:val="22"/>
          <w:szCs w:val="22"/>
          <w:lang w:val="en-US"/>
        </w:rPr>
        <w:t xml:space="preserve">This in and of itself not only sounds plausible but is shown in the depictions that are supplied within the article. </w:t>
      </w:r>
      <w:r w:rsidRPr="54ADC9B5" w:rsidR="47EC5764">
        <w:rPr>
          <w:rFonts w:ascii="Calibri" w:hAnsi="Calibri" w:eastAsia="Calibri" w:cs="Calibri"/>
          <w:noProof w:val="0"/>
          <w:sz w:val="22"/>
          <w:szCs w:val="22"/>
          <w:lang w:val="en-US"/>
        </w:rPr>
        <w:t xml:space="preserve">I do believe that while Brouwers has supported his hypothesis, more evidence would be </w:t>
      </w:r>
      <w:r w:rsidRPr="54ADC9B5" w:rsidR="47EC5764">
        <w:rPr>
          <w:rFonts w:ascii="Calibri" w:hAnsi="Calibri" w:eastAsia="Calibri" w:cs="Calibri"/>
          <w:noProof w:val="0"/>
          <w:sz w:val="22"/>
          <w:szCs w:val="22"/>
          <w:lang w:val="en-US"/>
        </w:rPr>
        <w:t>required</w:t>
      </w:r>
      <w:r w:rsidRPr="54ADC9B5" w:rsidR="47EC5764">
        <w:rPr>
          <w:rFonts w:ascii="Calibri" w:hAnsi="Calibri" w:eastAsia="Calibri" w:cs="Calibri"/>
          <w:noProof w:val="0"/>
          <w:sz w:val="22"/>
          <w:szCs w:val="22"/>
          <w:lang w:val="en-US"/>
        </w:rPr>
        <w:t xml:space="preserve"> to convince t</w:t>
      </w:r>
      <w:r w:rsidRPr="54ADC9B5" w:rsidR="39EC3C2D">
        <w:rPr>
          <w:rFonts w:ascii="Calibri" w:hAnsi="Calibri" w:eastAsia="Calibri" w:cs="Calibri"/>
          <w:noProof w:val="0"/>
          <w:sz w:val="22"/>
          <w:szCs w:val="22"/>
          <w:lang w:val="en-US"/>
        </w:rPr>
        <w:t xml:space="preserve">hose that hold more traditional views of archaic Greek warfare as the evidence supplied lacks context, in that we are not told where </w:t>
      </w:r>
      <w:r w:rsidRPr="54ADC9B5" w:rsidR="4052D291">
        <w:rPr>
          <w:rFonts w:ascii="Calibri" w:hAnsi="Calibri" w:eastAsia="Calibri" w:cs="Calibri"/>
          <w:noProof w:val="0"/>
          <w:sz w:val="22"/>
          <w:szCs w:val="22"/>
          <w:lang w:val="en-US"/>
        </w:rPr>
        <w:t>these sketches come from or what their functions might have been.</w:t>
      </w:r>
    </w:p>
    <w:p w:rsidR="473A9472" w:rsidP="54ADC9B5" w:rsidRDefault="473A9472" w14:paraId="51D54254" w14:textId="6B2CE477">
      <w:pPr>
        <w:pStyle w:val="Normal"/>
        <w:jc w:val="left"/>
        <w:rPr>
          <w:rFonts w:ascii="Calibri" w:hAnsi="Calibri" w:eastAsia="Calibri" w:cs="Calibri"/>
          <w:noProof w:val="0"/>
          <w:sz w:val="22"/>
          <w:szCs w:val="22"/>
          <w:lang w:val="en-US"/>
        </w:rPr>
      </w:pPr>
      <w:r w:rsidRPr="54ADC9B5" w:rsidR="473A9472">
        <w:rPr>
          <w:rFonts w:ascii="Calibri" w:hAnsi="Calibri" w:eastAsia="Calibri" w:cs="Calibri"/>
          <w:noProof w:val="0"/>
          <w:sz w:val="22"/>
          <w:szCs w:val="22"/>
          <w:lang w:val="en-US"/>
        </w:rPr>
        <w:t xml:space="preserve">The fourth section is a continuation and evaluation of the </w:t>
      </w:r>
      <w:r w:rsidRPr="54ADC9B5" w:rsidR="05DF79A4">
        <w:rPr>
          <w:rFonts w:ascii="Calibri" w:hAnsi="Calibri" w:eastAsia="Calibri" w:cs="Calibri"/>
          <w:noProof w:val="0"/>
          <w:sz w:val="22"/>
          <w:szCs w:val="22"/>
          <w:lang w:val="en-US"/>
        </w:rPr>
        <w:t>third and</w:t>
      </w:r>
      <w:r w:rsidRPr="54ADC9B5" w:rsidR="473A9472">
        <w:rPr>
          <w:rFonts w:ascii="Calibri" w:hAnsi="Calibri" w:eastAsia="Calibri" w:cs="Calibri"/>
          <w:noProof w:val="0"/>
          <w:sz w:val="22"/>
          <w:szCs w:val="22"/>
          <w:lang w:val="en-US"/>
        </w:rPr>
        <w:t xml:space="preserve"> </w:t>
      </w:r>
      <w:r w:rsidRPr="54ADC9B5" w:rsidR="7F78E33F">
        <w:rPr>
          <w:rFonts w:ascii="Calibri" w:hAnsi="Calibri" w:eastAsia="Calibri" w:cs="Calibri"/>
          <w:noProof w:val="0"/>
          <w:sz w:val="22"/>
          <w:szCs w:val="22"/>
          <w:lang w:val="en-US"/>
        </w:rPr>
        <w:t>supplies</w:t>
      </w:r>
      <w:r w:rsidRPr="54ADC9B5" w:rsidR="473A9472">
        <w:rPr>
          <w:rFonts w:ascii="Calibri" w:hAnsi="Calibri" w:eastAsia="Calibri" w:cs="Calibri"/>
          <w:noProof w:val="0"/>
          <w:sz w:val="22"/>
          <w:szCs w:val="22"/>
          <w:lang w:val="en-US"/>
        </w:rPr>
        <w:t xml:space="preserve"> the necessary evidence to greater support Brouwers hypothesis that horses were in</w:t>
      </w:r>
      <w:r w:rsidRPr="54ADC9B5" w:rsidR="50E13231">
        <w:rPr>
          <w:rFonts w:ascii="Calibri" w:hAnsi="Calibri" w:eastAsia="Calibri" w:cs="Calibri"/>
          <w:noProof w:val="0"/>
          <w:sz w:val="22"/>
          <w:szCs w:val="22"/>
          <w:lang w:val="en-US"/>
        </w:rPr>
        <w:t xml:space="preserve"> </w:t>
      </w:r>
      <w:r w:rsidRPr="54ADC9B5" w:rsidR="473A9472">
        <w:rPr>
          <w:rFonts w:ascii="Calibri" w:hAnsi="Calibri" w:eastAsia="Calibri" w:cs="Calibri"/>
          <w:noProof w:val="0"/>
          <w:sz w:val="22"/>
          <w:szCs w:val="22"/>
          <w:lang w:val="en-US"/>
        </w:rPr>
        <w:t>fact a part of the hoplites/hippobatai</w:t>
      </w:r>
      <w:r w:rsidRPr="54ADC9B5" w:rsidR="25E5552F">
        <w:rPr>
          <w:rFonts w:ascii="Calibri" w:hAnsi="Calibri" w:eastAsia="Calibri" w:cs="Calibri"/>
          <w:noProof w:val="0"/>
          <w:sz w:val="22"/>
          <w:szCs w:val="22"/>
          <w:lang w:val="en-US"/>
        </w:rPr>
        <w:t>’s outfit.</w:t>
      </w:r>
      <w:r w:rsidRPr="54ADC9B5" w:rsidR="37CCA3B9">
        <w:rPr>
          <w:rFonts w:ascii="Calibri" w:hAnsi="Calibri" w:eastAsia="Calibri" w:cs="Calibri"/>
          <w:noProof w:val="0"/>
          <w:sz w:val="22"/>
          <w:szCs w:val="22"/>
          <w:lang w:val="en-US"/>
        </w:rPr>
        <w:t xml:space="preserve"> A compelling </w:t>
      </w:r>
      <w:r w:rsidRPr="54ADC9B5" w:rsidR="44845ED5">
        <w:rPr>
          <w:rFonts w:ascii="Calibri" w:hAnsi="Calibri" w:eastAsia="Calibri" w:cs="Calibri"/>
          <w:noProof w:val="0"/>
          <w:sz w:val="22"/>
          <w:szCs w:val="22"/>
          <w:lang w:val="en-US"/>
        </w:rPr>
        <w:t>source</w:t>
      </w:r>
      <w:r w:rsidRPr="54ADC9B5" w:rsidR="37CCA3B9">
        <w:rPr>
          <w:rFonts w:ascii="Calibri" w:hAnsi="Calibri" w:eastAsia="Calibri" w:cs="Calibri"/>
          <w:noProof w:val="0"/>
          <w:sz w:val="22"/>
          <w:szCs w:val="22"/>
          <w:lang w:val="en-US"/>
        </w:rPr>
        <w:t xml:space="preserve"> is the table presented showing that out of 29 </w:t>
      </w:r>
      <w:r w:rsidRPr="54ADC9B5" w:rsidR="55E6F420">
        <w:rPr>
          <w:rFonts w:ascii="Calibri" w:hAnsi="Calibri" w:eastAsia="Calibri" w:cs="Calibri"/>
          <w:noProof w:val="0"/>
          <w:sz w:val="22"/>
          <w:szCs w:val="22"/>
          <w:lang w:val="en-US"/>
        </w:rPr>
        <w:t>items</w:t>
      </w:r>
      <w:r w:rsidRPr="54ADC9B5" w:rsidR="25E5552F">
        <w:rPr>
          <w:rFonts w:ascii="Calibri" w:hAnsi="Calibri" w:eastAsia="Calibri" w:cs="Calibri"/>
          <w:noProof w:val="0"/>
          <w:sz w:val="22"/>
          <w:szCs w:val="22"/>
          <w:lang w:val="en-US"/>
        </w:rPr>
        <w:t xml:space="preserve"> </w:t>
      </w:r>
      <w:r w:rsidRPr="54ADC9B5" w:rsidR="6F6897EC">
        <w:rPr>
          <w:rFonts w:ascii="Calibri" w:hAnsi="Calibri" w:eastAsia="Calibri" w:cs="Calibri"/>
          <w:noProof w:val="0"/>
          <w:sz w:val="22"/>
          <w:szCs w:val="22"/>
          <w:lang w:val="en-US"/>
        </w:rPr>
        <w:t>41% depicted the hippobatai and the hippostrophos</w:t>
      </w:r>
      <w:r w:rsidRPr="54ADC9B5">
        <w:rPr>
          <w:rStyle w:val="FootnoteReference"/>
          <w:rFonts w:ascii="Calibri" w:hAnsi="Calibri" w:eastAsia="Calibri" w:cs="Calibri"/>
          <w:noProof w:val="0"/>
          <w:sz w:val="22"/>
          <w:szCs w:val="22"/>
          <w:lang w:val="en-US"/>
        </w:rPr>
        <w:footnoteReference w:id="24339"/>
      </w:r>
      <w:r w:rsidRPr="54ADC9B5" w:rsidR="6F6897EC">
        <w:rPr>
          <w:rFonts w:ascii="Calibri" w:hAnsi="Calibri" w:eastAsia="Calibri" w:cs="Calibri"/>
          <w:noProof w:val="0"/>
          <w:sz w:val="22"/>
          <w:szCs w:val="22"/>
          <w:lang w:val="en-US"/>
        </w:rPr>
        <w:t xml:space="preserve">. Though </w:t>
      </w:r>
      <w:r w:rsidRPr="54ADC9B5" w:rsidR="301FCC14">
        <w:rPr>
          <w:rFonts w:ascii="Calibri" w:hAnsi="Calibri" w:eastAsia="Calibri" w:cs="Calibri"/>
          <w:noProof w:val="0"/>
          <w:sz w:val="22"/>
          <w:szCs w:val="22"/>
          <w:lang w:val="en-US"/>
        </w:rPr>
        <w:t xml:space="preserve">only </w:t>
      </w:r>
      <w:r w:rsidRPr="54ADC9B5" w:rsidR="6F6897EC">
        <w:rPr>
          <w:rFonts w:ascii="Calibri" w:hAnsi="Calibri" w:eastAsia="Calibri" w:cs="Calibri"/>
          <w:noProof w:val="0"/>
          <w:sz w:val="22"/>
          <w:szCs w:val="22"/>
          <w:lang w:val="en-US"/>
        </w:rPr>
        <w:t xml:space="preserve">a few </w:t>
      </w:r>
      <w:r w:rsidRPr="54ADC9B5" w:rsidR="24459A18">
        <w:rPr>
          <w:rFonts w:ascii="Calibri" w:hAnsi="Calibri" w:eastAsia="Calibri" w:cs="Calibri"/>
          <w:noProof w:val="0"/>
          <w:sz w:val="22"/>
          <w:szCs w:val="22"/>
          <w:lang w:val="en-US"/>
        </w:rPr>
        <w:t>depicted</w:t>
      </w:r>
      <w:r w:rsidRPr="54ADC9B5" w:rsidR="6F6897EC">
        <w:rPr>
          <w:rFonts w:ascii="Calibri" w:hAnsi="Calibri" w:eastAsia="Calibri" w:cs="Calibri"/>
          <w:noProof w:val="0"/>
          <w:sz w:val="22"/>
          <w:szCs w:val="22"/>
          <w:lang w:val="en-US"/>
        </w:rPr>
        <w:t xml:space="preserve"> single </w:t>
      </w:r>
      <w:r w:rsidRPr="54ADC9B5" w:rsidR="04591157">
        <w:rPr>
          <w:rFonts w:ascii="Calibri" w:hAnsi="Calibri" w:eastAsia="Calibri" w:cs="Calibri"/>
          <w:noProof w:val="0"/>
          <w:sz w:val="22"/>
          <w:szCs w:val="22"/>
          <w:lang w:val="en-US"/>
        </w:rPr>
        <w:t>combats</w:t>
      </w:r>
      <w:r w:rsidRPr="54ADC9B5" w:rsidR="64F4BC87">
        <w:rPr>
          <w:rFonts w:ascii="Calibri" w:hAnsi="Calibri" w:eastAsia="Calibri" w:cs="Calibri"/>
          <w:noProof w:val="0"/>
          <w:sz w:val="22"/>
          <w:szCs w:val="22"/>
          <w:lang w:val="en-US"/>
        </w:rPr>
        <w:t xml:space="preserve">, in which the hippobatai dismounts and engages with a single opponent. </w:t>
      </w:r>
      <w:r w:rsidRPr="54ADC9B5" w:rsidR="2C622D4A">
        <w:rPr>
          <w:rFonts w:ascii="Calibri" w:hAnsi="Calibri" w:eastAsia="Calibri" w:cs="Calibri"/>
          <w:noProof w:val="0"/>
          <w:sz w:val="22"/>
          <w:szCs w:val="22"/>
          <w:lang w:val="en-US"/>
        </w:rPr>
        <w:t>This section also looks at literary sources</w:t>
      </w:r>
      <w:r w:rsidRPr="54ADC9B5" w:rsidR="7EA367B5">
        <w:rPr>
          <w:rFonts w:ascii="Calibri" w:hAnsi="Calibri" w:eastAsia="Calibri" w:cs="Calibri"/>
          <w:noProof w:val="0"/>
          <w:sz w:val="22"/>
          <w:szCs w:val="22"/>
          <w:lang w:val="en-US"/>
        </w:rPr>
        <w:t xml:space="preserve">, primarily homer, to further support the hypothesis. In Homer, the example given is </w:t>
      </w:r>
      <w:r w:rsidRPr="54ADC9B5" w:rsidR="42FDF688">
        <w:rPr>
          <w:rFonts w:ascii="Calibri" w:hAnsi="Calibri" w:eastAsia="Calibri" w:cs="Calibri"/>
          <w:noProof w:val="0"/>
          <w:sz w:val="22"/>
          <w:szCs w:val="22"/>
          <w:lang w:val="en-US"/>
        </w:rPr>
        <w:t xml:space="preserve">in the Doloneia, when Odysseus and Diomedes steal horses, Brouwers explains that there is a passage that specifically refers to </w:t>
      </w:r>
      <w:r w:rsidRPr="54ADC9B5" w:rsidR="3D1B9246">
        <w:rPr>
          <w:rFonts w:ascii="Calibri" w:hAnsi="Calibri" w:eastAsia="Calibri" w:cs="Calibri"/>
          <w:noProof w:val="0"/>
          <w:sz w:val="22"/>
          <w:szCs w:val="22"/>
          <w:lang w:val="en-US"/>
        </w:rPr>
        <w:t>horsemen</w:t>
      </w:r>
      <w:r w:rsidRPr="54ADC9B5" w:rsidR="3D1B9246">
        <w:rPr>
          <w:rFonts w:ascii="Calibri" w:hAnsi="Calibri" w:eastAsia="Calibri" w:cs="Calibri"/>
          <w:noProof w:val="0"/>
          <w:sz w:val="22"/>
          <w:szCs w:val="22"/>
          <w:lang w:val="en-US"/>
        </w:rPr>
        <w:t xml:space="preserve"> instead of chariots in battle against each other</w:t>
      </w:r>
      <w:r w:rsidRPr="54ADC9B5">
        <w:rPr>
          <w:rStyle w:val="FootnoteReference"/>
          <w:rFonts w:ascii="Calibri" w:hAnsi="Calibri" w:eastAsia="Calibri" w:cs="Calibri"/>
          <w:noProof w:val="0"/>
          <w:sz w:val="22"/>
          <w:szCs w:val="22"/>
          <w:lang w:val="en-US"/>
        </w:rPr>
        <w:footnoteReference w:id="26742"/>
      </w:r>
      <w:r w:rsidRPr="54ADC9B5" w:rsidR="0F8E46CF">
        <w:rPr>
          <w:rFonts w:ascii="Calibri" w:hAnsi="Calibri" w:eastAsia="Calibri" w:cs="Calibri"/>
          <w:noProof w:val="0"/>
          <w:sz w:val="22"/>
          <w:szCs w:val="22"/>
          <w:lang w:val="en-US"/>
        </w:rPr>
        <w:t xml:space="preserve">. </w:t>
      </w:r>
    </w:p>
    <w:p w:rsidR="6786D220" w:rsidP="54ADC9B5" w:rsidRDefault="6786D220" w14:paraId="3F261262" w14:textId="7A4274EC">
      <w:pPr>
        <w:pStyle w:val="Normal"/>
        <w:jc w:val="left"/>
        <w:rPr>
          <w:rFonts w:ascii="Calibri" w:hAnsi="Calibri" w:eastAsia="Calibri" w:cs="Calibri"/>
          <w:noProof w:val="0"/>
          <w:sz w:val="22"/>
          <w:szCs w:val="22"/>
          <w:lang w:val="en-US"/>
        </w:rPr>
      </w:pPr>
      <w:r w:rsidRPr="54ADC9B5" w:rsidR="6786D220">
        <w:rPr>
          <w:rFonts w:ascii="Calibri" w:hAnsi="Calibri" w:eastAsia="Calibri" w:cs="Calibri"/>
          <w:noProof w:val="0"/>
          <w:sz w:val="22"/>
          <w:szCs w:val="22"/>
          <w:lang w:val="en-US"/>
        </w:rPr>
        <w:t xml:space="preserve">Also using evidence from Homer, Brouwers looks at what warfare was like in the archaic period, again further disproving the orthodox viewpoint that the </w:t>
      </w:r>
      <w:r w:rsidRPr="54ADC9B5" w:rsidR="6786D220">
        <w:rPr>
          <w:rFonts w:ascii="Calibri" w:hAnsi="Calibri" w:eastAsia="Calibri" w:cs="Calibri"/>
          <w:noProof w:val="0"/>
          <w:sz w:val="22"/>
          <w:szCs w:val="22"/>
          <w:lang w:val="en-US"/>
        </w:rPr>
        <w:t>phalanx</w:t>
      </w:r>
      <w:r w:rsidRPr="54ADC9B5" w:rsidR="6786D220">
        <w:rPr>
          <w:rFonts w:ascii="Calibri" w:hAnsi="Calibri" w:eastAsia="Calibri" w:cs="Calibri"/>
          <w:noProof w:val="0"/>
          <w:sz w:val="22"/>
          <w:szCs w:val="22"/>
          <w:lang w:val="en-US"/>
        </w:rPr>
        <w:t xml:space="preserve"> developed in the period. </w:t>
      </w:r>
      <w:r w:rsidRPr="54ADC9B5" w:rsidR="1D2BDB3E">
        <w:rPr>
          <w:rFonts w:ascii="Calibri" w:hAnsi="Calibri" w:eastAsia="Calibri" w:cs="Calibri"/>
          <w:noProof w:val="0"/>
          <w:sz w:val="22"/>
          <w:szCs w:val="22"/>
          <w:lang w:val="en-US"/>
        </w:rPr>
        <w:t xml:space="preserve">But he </w:t>
      </w:r>
      <w:r w:rsidRPr="54ADC9B5" w:rsidR="1D2BDB3E">
        <w:rPr>
          <w:rFonts w:ascii="Calibri" w:hAnsi="Calibri" w:eastAsia="Calibri" w:cs="Calibri"/>
          <w:noProof w:val="0"/>
          <w:sz w:val="22"/>
          <w:szCs w:val="22"/>
          <w:lang w:val="en-US"/>
        </w:rPr>
        <w:t>states</w:t>
      </w:r>
      <w:r w:rsidRPr="54ADC9B5" w:rsidR="1D2BDB3E">
        <w:rPr>
          <w:rFonts w:ascii="Calibri" w:hAnsi="Calibri" w:eastAsia="Calibri" w:cs="Calibri"/>
          <w:noProof w:val="0"/>
          <w:sz w:val="22"/>
          <w:szCs w:val="22"/>
          <w:lang w:val="en-US"/>
        </w:rPr>
        <w:t xml:space="preserve"> that, ‘during the 7</w:t>
      </w:r>
      <w:r w:rsidRPr="54ADC9B5" w:rsidR="1D2BDB3E">
        <w:rPr>
          <w:rFonts w:ascii="Calibri" w:hAnsi="Calibri" w:eastAsia="Calibri" w:cs="Calibri"/>
          <w:noProof w:val="0"/>
          <w:sz w:val="22"/>
          <w:szCs w:val="22"/>
          <w:vertAlign w:val="superscript"/>
          <w:lang w:val="en-US"/>
        </w:rPr>
        <w:t>th</w:t>
      </w:r>
      <w:r w:rsidRPr="54ADC9B5" w:rsidR="1D2BDB3E">
        <w:rPr>
          <w:rFonts w:ascii="Calibri" w:hAnsi="Calibri" w:eastAsia="Calibri" w:cs="Calibri"/>
          <w:noProof w:val="0"/>
          <w:sz w:val="22"/>
          <w:szCs w:val="22"/>
          <w:lang w:val="en-US"/>
        </w:rPr>
        <w:t xml:space="preserve"> Century BC armies were likely </w:t>
      </w:r>
      <w:r w:rsidRPr="54ADC9B5" w:rsidR="1D2BDB3E">
        <w:rPr>
          <w:rFonts w:ascii="Calibri" w:hAnsi="Calibri" w:eastAsia="Calibri" w:cs="Calibri"/>
          <w:noProof w:val="0"/>
          <w:sz w:val="22"/>
          <w:szCs w:val="22"/>
          <w:lang w:val="en-US"/>
        </w:rPr>
        <w:t>very small</w:t>
      </w:r>
      <w:r w:rsidRPr="54ADC9B5" w:rsidR="1D2BDB3E">
        <w:rPr>
          <w:rFonts w:ascii="Calibri" w:hAnsi="Calibri" w:eastAsia="Calibri" w:cs="Calibri"/>
          <w:noProof w:val="0"/>
          <w:sz w:val="22"/>
          <w:szCs w:val="22"/>
          <w:lang w:val="en-US"/>
        </w:rPr>
        <w:t xml:space="preserve"> and were drawn from the aristocracy</w:t>
      </w:r>
      <w:r w:rsidRPr="54ADC9B5">
        <w:rPr>
          <w:rStyle w:val="FootnoteReference"/>
          <w:rFonts w:ascii="Calibri" w:hAnsi="Calibri" w:eastAsia="Calibri" w:cs="Calibri"/>
          <w:noProof w:val="0"/>
          <w:sz w:val="22"/>
          <w:szCs w:val="22"/>
          <w:lang w:val="en-US"/>
        </w:rPr>
        <w:footnoteReference w:id="20420"/>
      </w:r>
      <w:r w:rsidRPr="54ADC9B5" w:rsidR="1D2BDB3E">
        <w:rPr>
          <w:rFonts w:ascii="Calibri" w:hAnsi="Calibri" w:eastAsia="Calibri" w:cs="Calibri"/>
          <w:noProof w:val="0"/>
          <w:sz w:val="22"/>
          <w:szCs w:val="22"/>
          <w:lang w:val="en-US"/>
        </w:rPr>
        <w:t xml:space="preserve">’ </w:t>
      </w:r>
      <w:r w:rsidRPr="54ADC9B5" w:rsidR="4711E6B1">
        <w:rPr>
          <w:rFonts w:ascii="Calibri" w:hAnsi="Calibri" w:eastAsia="Calibri" w:cs="Calibri"/>
          <w:noProof w:val="0"/>
          <w:sz w:val="22"/>
          <w:szCs w:val="22"/>
          <w:lang w:val="en-US"/>
        </w:rPr>
        <w:t>Stating</w:t>
      </w:r>
      <w:r w:rsidRPr="54ADC9B5" w:rsidR="1D2BDB3E">
        <w:rPr>
          <w:rFonts w:ascii="Calibri" w:hAnsi="Calibri" w:eastAsia="Calibri" w:cs="Calibri"/>
          <w:noProof w:val="0"/>
          <w:sz w:val="22"/>
          <w:szCs w:val="22"/>
          <w:lang w:val="en-US"/>
        </w:rPr>
        <w:t xml:space="preserve"> that </w:t>
      </w:r>
      <w:r w:rsidRPr="54ADC9B5" w:rsidR="034692E8">
        <w:rPr>
          <w:rFonts w:ascii="Calibri" w:hAnsi="Calibri" w:eastAsia="Calibri" w:cs="Calibri"/>
          <w:noProof w:val="0"/>
          <w:sz w:val="22"/>
          <w:szCs w:val="22"/>
          <w:lang w:val="en-US"/>
        </w:rPr>
        <w:t>rather</w:t>
      </w:r>
      <w:r w:rsidRPr="54ADC9B5" w:rsidR="1D2BDB3E">
        <w:rPr>
          <w:rFonts w:ascii="Calibri" w:hAnsi="Calibri" w:eastAsia="Calibri" w:cs="Calibri"/>
          <w:noProof w:val="0"/>
          <w:sz w:val="22"/>
          <w:szCs w:val="22"/>
          <w:lang w:val="en-US"/>
        </w:rPr>
        <w:t xml:space="preserve"> than large batt</w:t>
      </w:r>
      <w:r w:rsidRPr="54ADC9B5" w:rsidR="6F9004DA">
        <w:rPr>
          <w:rFonts w:ascii="Calibri" w:hAnsi="Calibri" w:eastAsia="Calibri" w:cs="Calibri"/>
          <w:noProof w:val="0"/>
          <w:sz w:val="22"/>
          <w:szCs w:val="22"/>
          <w:lang w:val="en-US"/>
        </w:rPr>
        <w:t>l</w:t>
      </w:r>
      <w:r w:rsidRPr="54ADC9B5" w:rsidR="1D2BDB3E">
        <w:rPr>
          <w:rFonts w:ascii="Calibri" w:hAnsi="Calibri" w:eastAsia="Calibri" w:cs="Calibri"/>
          <w:noProof w:val="0"/>
          <w:sz w:val="22"/>
          <w:szCs w:val="22"/>
          <w:lang w:val="en-US"/>
        </w:rPr>
        <w:t xml:space="preserve">es, there were instead small </w:t>
      </w:r>
      <w:r w:rsidRPr="54ADC9B5" w:rsidR="67B3DBDE">
        <w:rPr>
          <w:rFonts w:ascii="Calibri" w:hAnsi="Calibri" w:eastAsia="Calibri" w:cs="Calibri"/>
          <w:noProof w:val="0"/>
          <w:sz w:val="22"/>
          <w:szCs w:val="22"/>
          <w:lang w:val="en-US"/>
        </w:rPr>
        <w:t>clashes</w:t>
      </w:r>
      <w:r w:rsidRPr="54ADC9B5" w:rsidR="1D2BDB3E">
        <w:rPr>
          <w:rFonts w:ascii="Calibri" w:hAnsi="Calibri" w:eastAsia="Calibri" w:cs="Calibri"/>
          <w:noProof w:val="0"/>
          <w:sz w:val="22"/>
          <w:szCs w:val="22"/>
          <w:lang w:val="en-US"/>
        </w:rPr>
        <w:t xml:space="preserve"> between rivals</w:t>
      </w:r>
      <w:r w:rsidRPr="54ADC9B5">
        <w:rPr>
          <w:rStyle w:val="FootnoteReference"/>
          <w:rFonts w:ascii="Calibri" w:hAnsi="Calibri" w:eastAsia="Calibri" w:cs="Calibri"/>
          <w:noProof w:val="0"/>
          <w:sz w:val="22"/>
          <w:szCs w:val="22"/>
          <w:lang w:val="en-US"/>
        </w:rPr>
        <w:footnoteReference w:id="17981"/>
      </w:r>
      <w:r w:rsidRPr="54ADC9B5" w:rsidR="038F62AA">
        <w:rPr>
          <w:rFonts w:ascii="Calibri" w:hAnsi="Calibri" w:eastAsia="Calibri" w:cs="Calibri"/>
          <w:noProof w:val="0"/>
          <w:sz w:val="22"/>
          <w:szCs w:val="22"/>
          <w:lang w:val="en-US"/>
        </w:rPr>
        <w:t xml:space="preserve">. </w:t>
      </w:r>
      <w:r w:rsidRPr="54ADC9B5" w:rsidR="6EE0E109">
        <w:rPr>
          <w:rFonts w:ascii="Calibri" w:hAnsi="Calibri" w:eastAsia="Calibri" w:cs="Calibri"/>
          <w:noProof w:val="0"/>
          <w:sz w:val="22"/>
          <w:szCs w:val="22"/>
          <w:lang w:val="en-US"/>
        </w:rPr>
        <w:t xml:space="preserve">Horses were effective in small raids, as previously </w:t>
      </w:r>
      <w:r w:rsidRPr="54ADC9B5" w:rsidR="6EE0E109">
        <w:rPr>
          <w:rFonts w:ascii="Calibri" w:hAnsi="Calibri" w:eastAsia="Calibri" w:cs="Calibri"/>
          <w:noProof w:val="0"/>
          <w:sz w:val="22"/>
          <w:szCs w:val="22"/>
          <w:lang w:val="en-US"/>
        </w:rPr>
        <w:t>stated</w:t>
      </w:r>
      <w:r w:rsidRPr="54ADC9B5" w:rsidR="6EE0E109">
        <w:rPr>
          <w:rFonts w:ascii="Calibri" w:hAnsi="Calibri" w:eastAsia="Calibri" w:cs="Calibri"/>
          <w:noProof w:val="0"/>
          <w:sz w:val="22"/>
          <w:szCs w:val="22"/>
          <w:lang w:val="en-US"/>
        </w:rPr>
        <w:t xml:space="preserve"> by Snodgrass</w:t>
      </w:r>
      <w:r w:rsidRPr="54ADC9B5">
        <w:rPr>
          <w:rStyle w:val="FootnoteReference"/>
          <w:rFonts w:ascii="Calibri" w:hAnsi="Calibri" w:eastAsia="Calibri" w:cs="Calibri"/>
          <w:noProof w:val="0"/>
          <w:sz w:val="22"/>
          <w:szCs w:val="22"/>
          <w:lang w:val="en-US"/>
        </w:rPr>
        <w:footnoteReference w:id="674"/>
      </w:r>
      <w:r w:rsidRPr="54ADC9B5" w:rsidR="6EE0E109">
        <w:rPr>
          <w:rFonts w:ascii="Calibri" w:hAnsi="Calibri" w:eastAsia="Calibri" w:cs="Calibri"/>
          <w:noProof w:val="0"/>
          <w:sz w:val="22"/>
          <w:szCs w:val="22"/>
          <w:lang w:val="en-US"/>
        </w:rPr>
        <w:t xml:space="preserve">, but were less useful in larger scale conflicts where ranged weapons were used, as </w:t>
      </w:r>
      <w:r w:rsidRPr="54ADC9B5" w:rsidR="6EE0E109">
        <w:rPr>
          <w:rFonts w:ascii="Calibri" w:hAnsi="Calibri" w:eastAsia="Calibri" w:cs="Calibri"/>
          <w:noProof w:val="0"/>
          <w:sz w:val="22"/>
          <w:szCs w:val="22"/>
          <w:lang w:val="en-US"/>
        </w:rPr>
        <w:t>stated</w:t>
      </w:r>
      <w:r w:rsidRPr="54ADC9B5" w:rsidR="6EE0E109">
        <w:rPr>
          <w:rFonts w:ascii="Calibri" w:hAnsi="Calibri" w:eastAsia="Calibri" w:cs="Calibri"/>
          <w:noProof w:val="0"/>
          <w:sz w:val="22"/>
          <w:szCs w:val="22"/>
          <w:lang w:val="en-US"/>
        </w:rPr>
        <w:t xml:space="preserve"> also by Snodgrass</w:t>
      </w:r>
      <w:r w:rsidRPr="54ADC9B5">
        <w:rPr>
          <w:rStyle w:val="FootnoteReference"/>
          <w:rFonts w:ascii="Calibri" w:hAnsi="Calibri" w:eastAsia="Calibri" w:cs="Calibri"/>
          <w:noProof w:val="0"/>
          <w:sz w:val="22"/>
          <w:szCs w:val="22"/>
          <w:lang w:val="en-US"/>
        </w:rPr>
        <w:footnoteReference w:id="18522"/>
      </w:r>
      <w:r w:rsidRPr="54ADC9B5" w:rsidR="6EE0E109">
        <w:rPr>
          <w:rFonts w:ascii="Calibri" w:hAnsi="Calibri" w:eastAsia="Calibri" w:cs="Calibri"/>
          <w:noProof w:val="0"/>
          <w:sz w:val="22"/>
          <w:szCs w:val="22"/>
          <w:lang w:val="en-US"/>
        </w:rPr>
        <w:t xml:space="preserve">. </w:t>
      </w:r>
      <w:r w:rsidRPr="54ADC9B5" w:rsidR="5499EA06">
        <w:rPr>
          <w:rFonts w:ascii="Calibri" w:hAnsi="Calibri" w:eastAsia="Calibri" w:cs="Calibri"/>
          <w:noProof w:val="0"/>
          <w:sz w:val="22"/>
          <w:szCs w:val="22"/>
          <w:lang w:val="en-US"/>
        </w:rPr>
        <w:t>But from the late 6</w:t>
      </w:r>
      <w:r w:rsidRPr="54ADC9B5" w:rsidR="5499EA06">
        <w:rPr>
          <w:rFonts w:ascii="Calibri" w:hAnsi="Calibri" w:eastAsia="Calibri" w:cs="Calibri"/>
          <w:noProof w:val="0"/>
          <w:sz w:val="22"/>
          <w:szCs w:val="22"/>
          <w:vertAlign w:val="superscript"/>
          <w:lang w:val="en-US"/>
        </w:rPr>
        <w:t>th</w:t>
      </w:r>
      <w:r w:rsidRPr="54ADC9B5" w:rsidR="5499EA06">
        <w:rPr>
          <w:rFonts w:ascii="Calibri" w:hAnsi="Calibri" w:eastAsia="Calibri" w:cs="Calibri"/>
          <w:noProof w:val="0"/>
          <w:sz w:val="22"/>
          <w:szCs w:val="22"/>
          <w:lang w:val="en-US"/>
        </w:rPr>
        <w:t xml:space="preserve"> century, Brouwers describes that Greek armies do begin to become more </w:t>
      </w:r>
      <w:r w:rsidRPr="54ADC9B5" w:rsidR="7EDA3C76">
        <w:rPr>
          <w:rFonts w:ascii="Calibri" w:hAnsi="Calibri" w:eastAsia="Calibri" w:cs="Calibri"/>
          <w:noProof w:val="0"/>
          <w:sz w:val="22"/>
          <w:szCs w:val="22"/>
          <w:lang w:val="en-US"/>
        </w:rPr>
        <w:t>specialized</w:t>
      </w:r>
      <w:r w:rsidRPr="54ADC9B5" w:rsidR="5499EA06">
        <w:rPr>
          <w:rFonts w:ascii="Calibri" w:hAnsi="Calibri" w:eastAsia="Calibri" w:cs="Calibri"/>
          <w:noProof w:val="0"/>
          <w:sz w:val="22"/>
          <w:szCs w:val="22"/>
          <w:lang w:val="en-US"/>
        </w:rPr>
        <w:t xml:space="preserve">, primarily </w:t>
      </w:r>
      <w:r w:rsidRPr="54ADC9B5" w:rsidR="73586CC2">
        <w:rPr>
          <w:rFonts w:ascii="Calibri" w:hAnsi="Calibri" w:eastAsia="Calibri" w:cs="Calibri"/>
          <w:noProof w:val="0"/>
          <w:sz w:val="22"/>
          <w:szCs w:val="22"/>
          <w:lang w:val="en-US"/>
        </w:rPr>
        <w:t>because of</w:t>
      </w:r>
      <w:r w:rsidRPr="54ADC9B5" w:rsidR="5499EA06">
        <w:rPr>
          <w:rFonts w:ascii="Calibri" w:hAnsi="Calibri" w:eastAsia="Calibri" w:cs="Calibri"/>
          <w:noProof w:val="0"/>
          <w:sz w:val="22"/>
          <w:szCs w:val="22"/>
          <w:lang w:val="en-US"/>
        </w:rPr>
        <w:t xml:space="preserve"> </w:t>
      </w:r>
      <w:r w:rsidRPr="54ADC9B5" w:rsidR="0CD838D4">
        <w:rPr>
          <w:rFonts w:ascii="Calibri" w:hAnsi="Calibri" w:eastAsia="Calibri" w:cs="Calibri"/>
          <w:noProof w:val="0"/>
          <w:sz w:val="22"/>
          <w:szCs w:val="22"/>
          <w:lang w:val="en-US"/>
        </w:rPr>
        <w:t>dramatic cultural and political shifts</w:t>
      </w:r>
      <w:r w:rsidRPr="54ADC9B5">
        <w:rPr>
          <w:rStyle w:val="FootnoteReference"/>
          <w:rFonts w:ascii="Calibri" w:hAnsi="Calibri" w:eastAsia="Calibri" w:cs="Calibri"/>
          <w:noProof w:val="0"/>
          <w:sz w:val="22"/>
          <w:szCs w:val="22"/>
          <w:lang w:val="en-US"/>
        </w:rPr>
        <w:footnoteReference w:id="1543"/>
      </w:r>
      <w:r w:rsidRPr="54ADC9B5" w:rsidR="0CD838D4">
        <w:rPr>
          <w:rFonts w:ascii="Calibri" w:hAnsi="Calibri" w:eastAsia="Calibri" w:cs="Calibri"/>
          <w:noProof w:val="0"/>
          <w:sz w:val="22"/>
          <w:szCs w:val="22"/>
          <w:lang w:val="en-US"/>
        </w:rPr>
        <w:t xml:space="preserve">. Therefore ‘the hippobatai’ seems to split and become two separate branches of the military, one heavy infantry, and the other true </w:t>
      </w:r>
      <w:r w:rsidRPr="54ADC9B5" w:rsidR="1E48734E">
        <w:rPr>
          <w:rFonts w:ascii="Calibri" w:hAnsi="Calibri" w:eastAsia="Calibri" w:cs="Calibri"/>
          <w:noProof w:val="0"/>
          <w:sz w:val="22"/>
          <w:szCs w:val="22"/>
          <w:lang w:val="en-US"/>
        </w:rPr>
        <w:t>cavalry</w:t>
      </w:r>
      <w:r w:rsidRPr="54ADC9B5">
        <w:rPr>
          <w:rStyle w:val="FootnoteReference"/>
          <w:rFonts w:ascii="Calibri" w:hAnsi="Calibri" w:eastAsia="Calibri" w:cs="Calibri"/>
          <w:noProof w:val="0"/>
          <w:sz w:val="22"/>
          <w:szCs w:val="22"/>
          <w:lang w:val="en-US"/>
        </w:rPr>
        <w:footnoteReference w:id="29494"/>
      </w:r>
      <w:r w:rsidRPr="54ADC9B5" w:rsidR="1E48734E">
        <w:rPr>
          <w:rFonts w:ascii="Calibri" w:hAnsi="Calibri" w:eastAsia="Calibri" w:cs="Calibri"/>
          <w:noProof w:val="0"/>
          <w:sz w:val="22"/>
          <w:szCs w:val="22"/>
          <w:lang w:val="en-US"/>
        </w:rPr>
        <w:t xml:space="preserve">. Importantly, it is </w:t>
      </w:r>
      <w:r w:rsidRPr="54ADC9B5" w:rsidR="7B9FD4B7">
        <w:rPr>
          <w:rFonts w:ascii="Calibri" w:hAnsi="Calibri" w:eastAsia="Calibri" w:cs="Calibri"/>
          <w:noProof w:val="0"/>
          <w:sz w:val="22"/>
          <w:szCs w:val="22"/>
          <w:lang w:val="en-US"/>
        </w:rPr>
        <w:t>Aristotle</w:t>
      </w:r>
      <w:r w:rsidRPr="54ADC9B5" w:rsidR="1E48734E">
        <w:rPr>
          <w:rFonts w:ascii="Calibri" w:hAnsi="Calibri" w:eastAsia="Calibri" w:cs="Calibri"/>
          <w:noProof w:val="0"/>
          <w:sz w:val="22"/>
          <w:szCs w:val="22"/>
          <w:lang w:val="en-US"/>
        </w:rPr>
        <w:t xml:space="preserve"> who </w:t>
      </w:r>
      <w:r w:rsidRPr="54ADC9B5" w:rsidR="7D01CE64">
        <w:rPr>
          <w:rFonts w:ascii="Calibri" w:hAnsi="Calibri" w:eastAsia="Calibri" w:cs="Calibri"/>
          <w:noProof w:val="0"/>
          <w:sz w:val="22"/>
          <w:szCs w:val="22"/>
          <w:lang w:val="en-US"/>
        </w:rPr>
        <w:t>looks</w:t>
      </w:r>
      <w:r w:rsidRPr="54ADC9B5" w:rsidR="1E48734E">
        <w:rPr>
          <w:rFonts w:ascii="Calibri" w:hAnsi="Calibri" w:eastAsia="Calibri" w:cs="Calibri"/>
          <w:noProof w:val="0"/>
          <w:sz w:val="22"/>
          <w:szCs w:val="22"/>
          <w:lang w:val="en-US"/>
        </w:rPr>
        <w:t xml:space="preserve"> back and describes the </w:t>
      </w:r>
      <w:r w:rsidRPr="54ADC9B5" w:rsidR="0F18933C">
        <w:rPr>
          <w:rFonts w:ascii="Calibri" w:hAnsi="Calibri" w:eastAsia="Calibri" w:cs="Calibri"/>
          <w:noProof w:val="0"/>
          <w:sz w:val="22"/>
          <w:szCs w:val="22"/>
          <w:lang w:val="en-US"/>
        </w:rPr>
        <w:t>cavalry</w:t>
      </w:r>
      <w:r w:rsidRPr="54ADC9B5" w:rsidR="1E48734E">
        <w:rPr>
          <w:rFonts w:ascii="Calibri" w:hAnsi="Calibri" w:eastAsia="Calibri" w:cs="Calibri"/>
          <w:noProof w:val="0"/>
          <w:sz w:val="22"/>
          <w:szCs w:val="22"/>
          <w:lang w:val="en-US"/>
        </w:rPr>
        <w:t xml:space="preserve"> as </w:t>
      </w:r>
      <w:r w:rsidRPr="54ADC9B5" w:rsidR="009CF272">
        <w:rPr>
          <w:rFonts w:ascii="Calibri" w:hAnsi="Calibri" w:eastAsia="Calibri" w:cs="Calibri"/>
          <w:noProof w:val="0"/>
          <w:sz w:val="22"/>
          <w:szCs w:val="22"/>
          <w:lang w:val="en-US"/>
        </w:rPr>
        <w:t>showing superiority and strength</w:t>
      </w:r>
      <w:r w:rsidRPr="54ADC9B5">
        <w:rPr>
          <w:rStyle w:val="FootnoteReference"/>
          <w:rFonts w:ascii="Calibri" w:hAnsi="Calibri" w:eastAsia="Calibri" w:cs="Calibri"/>
          <w:noProof w:val="0"/>
          <w:sz w:val="22"/>
          <w:szCs w:val="22"/>
          <w:lang w:val="en-US"/>
        </w:rPr>
        <w:footnoteReference w:id="22908"/>
      </w:r>
      <w:r w:rsidRPr="54ADC9B5" w:rsidR="009CF272">
        <w:rPr>
          <w:rFonts w:ascii="Calibri" w:hAnsi="Calibri" w:eastAsia="Calibri" w:cs="Calibri"/>
          <w:noProof w:val="0"/>
          <w:sz w:val="22"/>
          <w:szCs w:val="22"/>
          <w:lang w:val="en-US"/>
        </w:rPr>
        <w:t>.</w:t>
      </w:r>
      <w:r w:rsidRPr="54ADC9B5" w:rsidR="59DB5BE1">
        <w:rPr>
          <w:rFonts w:ascii="Calibri" w:hAnsi="Calibri" w:eastAsia="Calibri" w:cs="Calibri"/>
          <w:noProof w:val="0"/>
          <w:sz w:val="22"/>
          <w:szCs w:val="22"/>
          <w:lang w:val="en-US"/>
        </w:rPr>
        <w:t xml:space="preserve"> </w:t>
      </w:r>
      <w:r w:rsidRPr="54ADC9B5" w:rsidR="3D51E891">
        <w:rPr>
          <w:rFonts w:ascii="Calibri" w:hAnsi="Calibri" w:eastAsia="Calibri" w:cs="Calibri"/>
          <w:noProof w:val="0"/>
          <w:sz w:val="22"/>
          <w:szCs w:val="22"/>
          <w:lang w:val="en-US"/>
        </w:rPr>
        <w:t xml:space="preserve">Brouwers believes that Aristotle was in fact referring to the Hippobatai in this. </w:t>
      </w:r>
    </w:p>
    <w:p w:rsidR="7633697D" w:rsidP="54ADC9B5" w:rsidRDefault="7633697D" w14:paraId="117B39BE" w14:textId="4303F36B">
      <w:pPr>
        <w:pStyle w:val="Normal"/>
        <w:jc w:val="left"/>
        <w:rPr>
          <w:rFonts w:ascii="Calibri" w:hAnsi="Calibri" w:eastAsia="Calibri" w:cs="Calibri"/>
          <w:noProof w:val="0"/>
          <w:sz w:val="22"/>
          <w:szCs w:val="22"/>
          <w:lang w:val="en-US"/>
        </w:rPr>
      </w:pPr>
      <w:r w:rsidRPr="54ADC9B5" w:rsidR="7633697D">
        <w:rPr>
          <w:rFonts w:ascii="Calibri" w:hAnsi="Calibri" w:eastAsia="Calibri" w:cs="Calibri"/>
          <w:noProof w:val="0"/>
          <w:sz w:val="22"/>
          <w:szCs w:val="22"/>
          <w:lang w:val="en-US"/>
        </w:rPr>
        <w:t xml:space="preserve">This article was very well laid out, each section raised a different point and followed on from the other. Brouwers built upon the works of other scholars and made bold claims, challenging the orthodox standpoint throughout. The article comes across as being very </w:t>
      </w:r>
      <w:r w:rsidRPr="54ADC9B5" w:rsidR="7633697D">
        <w:rPr>
          <w:rFonts w:ascii="Calibri" w:hAnsi="Calibri" w:eastAsia="Calibri" w:cs="Calibri"/>
          <w:noProof w:val="0"/>
          <w:sz w:val="22"/>
          <w:szCs w:val="22"/>
          <w:lang w:val="en-US"/>
        </w:rPr>
        <w:t>opinionated</w:t>
      </w:r>
      <w:r w:rsidRPr="54ADC9B5" w:rsidR="7633697D">
        <w:rPr>
          <w:rFonts w:ascii="Calibri" w:hAnsi="Calibri" w:eastAsia="Calibri" w:cs="Calibri"/>
          <w:noProof w:val="0"/>
          <w:sz w:val="22"/>
          <w:szCs w:val="22"/>
          <w:lang w:val="en-US"/>
        </w:rPr>
        <w:t xml:space="preserve"> and </w:t>
      </w:r>
      <w:r w:rsidRPr="54ADC9B5" w:rsidR="08E2FA88">
        <w:rPr>
          <w:rFonts w:ascii="Calibri" w:hAnsi="Calibri" w:eastAsia="Calibri" w:cs="Calibri"/>
          <w:noProof w:val="0"/>
          <w:sz w:val="22"/>
          <w:szCs w:val="22"/>
          <w:lang w:val="en-US"/>
        </w:rPr>
        <w:t xml:space="preserve">direct. But I believe it to be well supported and highly engaging. Brouwers went in </w:t>
      </w:r>
      <w:r w:rsidRPr="54ADC9B5" w:rsidR="08E2FA88">
        <w:rPr>
          <w:rFonts w:ascii="Calibri" w:hAnsi="Calibri" w:eastAsia="Calibri" w:cs="Calibri"/>
          <w:noProof w:val="0"/>
          <w:sz w:val="22"/>
          <w:szCs w:val="22"/>
          <w:lang w:val="en-US"/>
        </w:rPr>
        <w:t>numerous</w:t>
      </w:r>
      <w:r w:rsidRPr="54ADC9B5" w:rsidR="08E2FA88">
        <w:rPr>
          <w:rFonts w:ascii="Calibri" w:hAnsi="Calibri" w:eastAsia="Calibri" w:cs="Calibri"/>
          <w:noProof w:val="0"/>
          <w:sz w:val="22"/>
          <w:szCs w:val="22"/>
          <w:lang w:val="en-US"/>
        </w:rPr>
        <w:t xml:space="preserve"> different directions throughout, in which he was able to challenge my notions of archaic Greek warfare and bring the light the mirage that surrounds the way in which we view </w:t>
      </w:r>
      <w:r w:rsidRPr="54ADC9B5" w:rsidR="3B3EE513">
        <w:rPr>
          <w:rFonts w:ascii="Calibri" w:hAnsi="Calibri" w:eastAsia="Calibri" w:cs="Calibri"/>
          <w:noProof w:val="0"/>
          <w:sz w:val="22"/>
          <w:szCs w:val="22"/>
          <w:lang w:val="en-US"/>
        </w:rPr>
        <w:t xml:space="preserve">warfare in the Greek world in general. </w:t>
      </w:r>
    </w:p>
    <w:p w:rsidR="54ADC9B5" w:rsidP="54ADC9B5" w:rsidRDefault="54ADC9B5" w14:paraId="09BB14B5" w14:textId="4EC63DEF">
      <w:pPr>
        <w:pStyle w:val="Normal"/>
        <w:jc w:val="left"/>
        <w:rPr>
          <w:rFonts w:ascii="Calibri" w:hAnsi="Calibri" w:eastAsia="Calibri" w:cs="Calibri"/>
          <w:noProof w:val="0"/>
          <w:sz w:val="22"/>
          <w:szCs w:val="22"/>
          <w:lang w:val="en-US"/>
        </w:rPr>
      </w:pPr>
    </w:p>
    <w:p w:rsidR="2815808C" w:rsidP="54ADC9B5" w:rsidRDefault="2815808C" w14:paraId="7014DE45" w14:textId="1A420F37">
      <w:pPr>
        <w:pStyle w:val="Normal"/>
        <w:jc w:val="left"/>
        <w:rPr>
          <w:rFonts w:ascii="Calibri" w:hAnsi="Calibri" w:eastAsia="Calibri" w:cs="Calibri"/>
          <w:noProof w:val="0"/>
          <w:sz w:val="22"/>
          <w:szCs w:val="22"/>
          <w:lang w:val="en-US"/>
        </w:rPr>
      </w:pPr>
      <w:r w:rsidRPr="54ADC9B5" w:rsidR="2815808C">
        <w:rPr>
          <w:rFonts w:ascii="Calibri" w:hAnsi="Calibri" w:eastAsia="Calibri" w:cs="Calibri"/>
          <w:noProof w:val="0"/>
          <w:sz w:val="22"/>
          <w:szCs w:val="22"/>
          <w:lang w:val="en-US"/>
        </w:rPr>
        <w:t xml:space="preserve">Reference: </w:t>
      </w:r>
    </w:p>
    <w:p w:rsidR="54ADC9B5" w:rsidP="54ADC9B5" w:rsidRDefault="54ADC9B5" w14:paraId="666B652A" w14:textId="48988E8C">
      <w:pPr>
        <w:pStyle w:val="Normal"/>
        <w:jc w:val="left"/>
        <w:rPr>
          <w:rFonts w:ascii="Calibri" w:hAnsi="Calibri" w:eastAsia="Calibri" w:cs="Calibri"/>
          <w:noProof w:val="0"/>
          <w:sz w:val="22"/>
          <w:szCs w:val="22"/>
          <w:lang w:val="en-US"/>
        </w:rPr>
      </w:pPr>
    </w:p>
    <w:p w:rsidR="2815808C" w:rsidP="54ADC9B5" w:rsidRDefault="2815808C" w14:paraId="34CD94A0" w14:textId="11C2E148">
      <w:pPr>
        <w:pStyle w:val="Normal"/>
        <w:jc w:val="left"/>
        <w:rPr>
          <w:rFonts w:ascii="Calibri" w:hAnsi="Calibri" w:eastAsia="Calibri" w:cs="Calibri"/>
          <w:noProof w:val="0"/>
          <w:sz w:val="22"/>
          <w:szCs w:val="22"/>
          <w:lang w:val="en-US"/>
        </w:rPr>
      </w:pPr>
      <w:r w:rsidRPr="54ADC9B5" w:rsidR="2815808C">
        <w:rPr>
          <w:rFonts w:ascii="Calibri" w:hAnsi="Calibri" w:eastAsia="Calibri" w:cs="Calibri"/>
          <w:noProof w:val="0"/>
          <w:sz w:val="22"/>
          <w:szCs w:val="22"/>
          <w:lang w:val="en-US"/>
        </w:rPr>
        <w:t>Brouwers J.J (2007) ‘</w:t>
      </w:r>
      <w:r w:rsidRPr="54ADC9B5" w:rsidR="2815808C">
        <w:rPr>
          <w:rFonts w:ascii="Calibri" w:hAnsi="Calibri" w:eastAsia="Calibri" w:cs="Calibri"/>
          <w:i w:val="1"/>
          <w:iCs w:val="1"/>
          <w:noProof w:val="0"/>
          <w:sz w:val="22"/>
          <w:szCs w:val="22"/>
          <w:lang w:val="en-US"/>
        </w:rPr>
        <w:t>From Hoplites to Horsemen, Some remarks on Archaic Greek Warfare’</w:t>
      </w:r>
    </w:p>
    <w:p w:rsidR="041FB58B" w:rsidP="54ADC9B5" w:rsidRDefault="041FB58B" w14:paraId="44D6BE1D" w14:textId="6923D2FC">
      <w:pPr>
        <w:pStyle w:val="Normal"/>
        <w:jc w:val="left"/>
        <w:rPr>
          <w:rFonts w:ascii="Calibri" w:hAnsi="Calibri" w:eastAsia="Calibri" w:cs="Calibri"/>
          <w:noProof w:val="0"/>
          <w:sz w:val="22"/>
          <w:szCs w:val="22"/>
          <w:lang w:val="en-US"/>
        </w:rPr>
      </w:pPr>
      <w:r w:rsidRPr="54ADC9B5" w:rsidR="041FB58B">
        <w:rPr>
          <w:rFonts w:ascii="Calibri" w:hAnsi="Calibri" w:eastAsia="Calibri" w:cs="Calibri"/>
          <w:noProof w:val="0"/>
          <w:sz w:val="22"/>
          <w:szCs w:val="22"/>
          <w:lang w:val="en-US"/>
        </w:rPr>
        <w:t>Echeverría F (2012) ‘</w:t>
      </w:r>
      <w:r w:rsidRPr="54ADC9B5" w:rsidR="041FB58B">
        <w:rPr>
          <w:rFonts w:ascii="Calibri" w:hAnsi="Calibri" w:eastAsia="Calibri" w:cs="Calibri"/>
          <w:i w:val="1"/>
          <w:iCs w:val="1"/>
          <w:noProof w:val="0"/>
          <w:sz w:val="22"/>
          <w:szCs w:val="22"/>
          <w:lang w:val="en-US"/>
        </w:rPr>
        <w:t>Hoplite and Phalanx in Archai</w:t>
      </w:r>
      <w:r w:rsidRPr="54ADC9B5" w:rsidR="72631F4C">
        <w:rPr>
          <w:rFonts w:ascii="Calibri" w:hAnsi="Calibri" w:eastAsia="Calibri" w:cs="Calibri"/>
          <w:i w:val="1"/>
          <w:iCs w:val="1"/>
          <w:noProof w:val="0"/>
          <w:sz w:val="22"/>
          <w:szCs w:val="22"/>
          <w:lang w:val="en-US"/>
        </w:rPr>
        <w:t>c</w:t>
      </w:r>
      <w:r w:rsidRPr="54ADC9B5" w:rsidR="041FB58B">
        <w:rPr>
          <w:rFonts w:ascii="Calibri" w:hAnsi="Calibri" w:eastAsia="Calibri" w:cs="Calibri"/>
          <w:i w:val="1"/>
          <w:iCs w:val="1"/>
          <w:noProof w:val="0"/>
          <w:sz w:val="22"/>
          <w:szCs w:val="22"/>
          <w:lang w:val="en-US"/>
        </w:rPr>
        <w:t xml:space="preserve"> and Classical Greece: A reassessment</w:t>
      </w:r>
      <w:r w:rsidRPr="54ADC9B5" w:rsidR="42BAC9F1">
        <w:rPr>
          <w:rFonts w:ascii="Calibri" w:hAnsi="Calibri" w:eastAsia="Calibri" w:cs="Calibri"/>
          <w:i w:val="1"/>
          <w:iCs w:val="1"/>
          <w:noProof w:val="0"/>
          <w:sz w:val="22"/>
          <w:szCs w:val="22"/>
          <w:lang w:val="en-US"/>
        </w:rPr>
        <w:t xml:space="preserve">’ </w:t>
      </w:r>
      <w:r w:rsidRPr="54ADC9B5" w:rsidR="42BAC9F1">
        <w:rPr>
          <w:rFonts w:ascii="Calibri" w:hAnsi="Calibri" w:eastAsia="Calibri" w:cs="Calibri"/>
          <w:i w:val="0"/>
          <w:iCs w:val="0"/>
          <w:noProof w:val="0"/>
          <w:sz w:val="22"/>
          <w:szCs w:val="22"/>
          <w:lang w:val="en-US"/>
        </w:rPr>
        <w:t xml:space="preserve">Classical </w:t>
      </w:r>
      <w:r w:rsidRPr="54ADC9B5" w:rsidR="42BAC9F1">
        <w:rPr>
          <w:rFonts w:ascii="Calibri" w:hAnsi="Calibri" w:eastAsia="Calibri" w:cs="Calibri"/>
          <w:b w:val="0"/>
          <w:bCs w:val="0"/>
          <w:i w:val="0"/>
          <w:iCs w:val="0"/>
          <w:caps w:val="0"/>
          <w:smallCaps w:val="0"/>
          <w:noProof w:val="0"/>
          <w:color w:val="000000" w:themeColor="text1" w:themeTint="FF" w:themeShade="FF"/>
          <w:sz w:val="21"/>
          <w:szCs w:val="21"/>
          <w:lang w:val="en-US"/>
        </w:rPr>
        <w:t>Philology</w:t>
      </w:r>
      <w:r w:rsidRPr="54ADC9B5" w:rsidR="7A1B5CCF">
        <w:rPr>
          <w:rFonts w:ascii="Calibri" w:hAnsi="Calibri" w:eastAsia="Calibri" w:cs="Calibri"/>
          <w:b w:val="0"/>
          <w:bCs w:val="0"/>
          <w:i w:val="0"/>
          <w:iCs w:val="0"/>
          <w:caps w:val="0"/>
          <w:smallCaps w:val="0"/>
          <w:noProof w:val="0"/>
          <w:color w:val="000000" w:themeColor="text1" w:themeTint="FF" w:themeShade="FF"/>
          <w:sz w:val="21"/>
          <w:szCs w:val="21"/>
          <w:lang w:val="en-US"/>
        </w:rPr>
        <w:t>, vol 107. The University of Chicago press, pp.291-318</w:t>
      </w:r>
    </w:p>
    <w:p w:rsidR="7A1B5CCF" w:rsidP="54ADC9B5" w:rsidRDefault="7A1B5CCF" w14:paraId="2C0A598C" w14:textId="1D4C799D">
      <w:pPr>
        <w:pStyle w:val="Normal"/>
        <w:jc w:val="left"/>
        <w:rPr>
          <w:rFonts w:ascii="Calibri" w:hAnsi="Calibri" w:eastAsia="Calibri" w:cs="Calibri"/>
          <w:noProof w:val="0"/>
          <w:sz w:val="21"/>
          <w:szCs w:val="21"/>
          <w:lang w:val="en-US"/>
        </w:rPr>
      </w:pPr>
      <w:r w:rsidRPr="54ADC9B5" w:rsidR="7A1B5CCF">
        <w:rPr>
          <w:rFonts w:ascii="Calibri" w:hAnsi="Calibri" w:eastAsia="Calibri" w:cs="Calibri"/>
          <w:b w:val="0"/>
          <w:bCs w:val="0"/>
          <w:i w:val="0"/>
          <w:iCs w:val="0"/>
          <w:caps w:val="0"/>
          <w:smallCaps w:val="0"/>
          <w:noProof w:val="0"/>
          <w:color w:val="000000" w:themeColor="text1" w:themeTint="FF" w:themeShade="FF"/>
          <w:sz w:val="21"/>
          <w:szCs w:val="21"/>
          <w:lang w:val="en-US"/>
        </w:rPr>
        <w:t>Lazenby J.F &amp; Whitehead D (1996) ‘</w:t>
      </w:r>
      <w:r w:rsidRPr="54ADC9B5" w:rsidR="7A1B5CCF">
        <w:rPr>
          <w:rFonts w:ascii="Calibri" w:hAnsi="Calibri" w:eastAsia="Calibri" w:cs="Calibri"/>
          <w:i w:val="1"/>
          <w:iCs w:val="1"/>
          <w:noProof w:val="0"/>
          <w:sz w:val="21"/>
          <w:szCs w:val="21"/>
          <w:lang w:val="en-US"/>
        </w:rPr>
        <w:t xml:space="preserve">The Myth of the Hoplite's Hoplon’ </w:t>
      </w:r>
      <w:r w:rsidRPr="54ADC9B5" w:rsidR="11AC1E36">
        <w:rPr>
          <w:rFonts w:ascii="Calibri" w:hAnsi="Calibri" w:eastAsia="Calibri" w:cs="Calibri"/>
          <w:i w:val="0"/>
          <w:iCs w:val="0"/>
          <w:noProof w:val="0"/>
          <w:sz w:val="21"/>
          <w:szCs w:val="21"/>
          <w:lang w:val="en-US"/>
        </w:rPr>
        <w:t>The Classical quarterly, vol 46, Cambridge University Press</w:t>
      </w:r>
    </w:p>
    <w:p w:rsidR="5EBAAE22" w:rsidP="54ADC9B5" w:rsidRDefault="5EBAAE22" w14:paraId="2D767A18" w14:textId="7D88901D">
      <w:pPr>
        <w:pStyle w:val="Normal"/>
        <w:jc w:val="left"/>
        <w:rPr>
          <w:rFonts w:ascii="Calibri" w:hAnsi="Calibri" w:eastAsia="Calibri" w:cs="Calibri"/>
          <w:i w:val="0"/>
          <w:iCs w:val="0"/>
          <w:noProof w:val="0"/>
          <w:sz w:val="22"/>
          <w:szCs w:val="22"/>
          <w:lang w:val="en-US"/>
        </w:rPr>
      </w:pPr>
      <w:r w:rsidRPr="54ADC9B5" w:rsidR="5EBAAE22">
        <w:rPr>
          <w:rFonts w:ascii="Calibri" w:hAnsi="Calibri" w:eastAsia="Calibri" w:cs="Calibri"/>
          <w:i w:val="0"/>
          <w:iCs w:val="0"/>
          <w:noProof w:val="0"/>
          <w:sz w:val="22"/>
          <w:szCs w:val="22"/>
          <w:lang w:val="en-US"/>
        </w:rPr>
        <w:t>Snodgrass A.M (1965) ‘</w:t>
      </w:r>
      <w:r w:rsidRPr="54ADC9B5" w:rsidR="5EBAAE22">
        <w:rPr>
          <w:rFonts w:ascii="Calibri" w:hAnsi="Calibri" w:eastAsia="Calibri" w:cs="Calibri"/>
          <w:i w:val="1"/>
          <w:iCs w:val="1"/>
          <w:noProof w:val="0"/>
          <w:sz w:val="22"/>
          <w:szCs w:val="22"/>
          <w:lang w:val="en-US"/>
        </w:rPr>
        <w:t xml:space="preserve">The Hoplite Reform and History’ </w:t>
      </w:r>
      <w:r w:rsidRPr="54ADC9B5" w:rsidR="5EBAAE22">
        <w:rPr>
          <w:rFonts w:ascii="Calibri" w:hAnsi="Calibri" w:eastAsia="Calibri" w:cs="Calibri"/>
          <w:i w:val="0"/>
          <w:iCs w:val="0"/>
          <w:noProof w:val="0"/>
          <w:sz w:val="22"/>
          <w:szCs w:val="22"/>
          <w:lang w:val="en-US"/>
        </w:rPr>
        <w:t xml:space="preserve">The Journey of Hellenic studies, vol 65. The society for </w:t>
      </w:r>
      <w:r w:rsidRPr="54ADC9B5" w:rsidR="3E0D20BB">
        <w:rPr>
          <w:rFonts w:ascii="Calibri" w:hAnsi="Calibri" w:eastAsia="Calibri" w:cs="Calibri"/>
          <w:i w:val="0"/>
          <w:iCs w:val="0"/>
          <w:noProof w:val="0"/>
          <w:sz w:val="22"/>
          <w:szCs w:val="22"/>
          <w:lang w:val="en-US"/>
        </w:rPr>
        <w:t xml:space="preserve">the promotion of </w:t>
      </w:r>
      <w:r w:rsidRPr="54ADC9B5" w:rsidR="3E0D20BB">
        <w:rPr>
          <w:rFonts w:ascii="Calibri" w:hAnsi="Calibri" w:eastAsia="Calibri" w:cs="Calibri"/>
          <w:i w:val="0"/>
          <w:iCs w:val="0"/>
          <w:noProof w:val="0"/>
          <w:sz w:val="22"/>
          <w:szCs w:val="22"/>
          <w:lang w:val="en-US"/>
        </w:rPr>
        <w:t>Hellenic</w:t>
      </w:r>
      <w:r w:rsidRPr="54ADC9B5" w:rsidR="3E0D20BB">
        <w:rPr>
          <w:rFonts w:ascii="Calibri" w:hAnsi="Calibri" w:eastAsia="Calibri" w:cs="Calibri"/>
          <w:i w:val="0"/>
          <w:iCs w:val="0"/>
          <w:noProof w:val="0"/>
          <w:sz w:val="22"/>
          <w:szCs w:val="22"/>
          <w:lang w:val="en-US"/>
        </w:rPr>
        <w:t xml:space="preserve"> studies</w:t>
      </w:r>
      <w:r w:rsidRPr="54ADC9B5" w:rsidR="3E0D20BB">
        <w:rPr>
          <w:rFonts w:ascii="Calibri" w:hAnsi="Calibri" w:eastAsia="Calibri" w:cs="Calibri"/>
          <w:i w:val="0"/>
          <w:iCs w:val="0"/>
          <w:noProof w:val="0"/>
          <w:sz w:val="22"/>
          <w:szCs w:val="22"/>
          <w:lang w:val="en-US"/>
        </w:rPr>
        <w:t xml:space="preserve">. </w:t>
      </w:r>
      <w:r w:rsidRPr="54ADC9B5" w:rsidR="3E0D20BB">
        <w:rPr>
          <w:rFonts w:ascii="Calibri" w:hAnsi="Calibri" w:eastAsia="Calibri" w:cs="Calibri"/>
          <w:i w:val="0"/>
          <w:iCs w:val="0"/>
          <w:noProof w:val="0"/>
          <w:sz w:val="22"/>
          <w:szCs w:val="22"/>
          <w:lang w:val="en-US"/>
        </w:rPr>
        <w:t>pp. 110-122</w:t>
      </w:r>
    </w:p>
    <w:p w:rsidR="54ADC9B5" w:rsidP="54ADC9B5" w:rsidRDefault="54ADC9B5" w14:paraId="4C25F434" w14:textId="7634BC7F">
      <w:pPr>
        <w:pStyle w:val="Normal"/>
        <w:jc w:val="left"/>
        <w:rPr>
          <w:rFonts w:ascii="Calibri" w:hAnsi="Calibri" w:eastAsia="Calibri" w:cs="Calibri"/>
          <w:i w:val="0"/>
          <w:iCs w:val="0"/>
          <w:noProof w:val="0"/>
          <w:sz w:val="22"/>
          <w:szCs w:val="22"/>
          <w:lang w:val="en-US"/>
        </w:rPr>
      </w:pPr>
    </w:p>
    <w:p w:rsidR="54ADC9B5" w:rsidP="54ADC9B5" w:rsidRDefault="54ADC9B5" w14:paraId="6A1A7FF4" w14:textId="4F158863">
      <w:pPr>
        <w:pStyle w:val="Normal"/>
        <w:jc w:val="left"/>
        <w:rPr>
          <w:rFonts w:ascii="Calibri" w:hAnsi="Calibri" w:eastAsia="Calibri" w:cs="Calibri"/>
          <w:noProof w:val="0"/>
          <w:sz w:val="22"/>
          <w:szCs w:val="22"/>
          <w:lang w:val="en-US"/>
        </w:rPr>
      </w:pPr>
    </w:p>
    <w:p w:rsidR="54ADC9B5" w:rsidP="54ADC9B5" w:rsidRDefault="54ADC9B5" w14:paraId="659FCFDC" w14:textId="61D55FC5">
      <w:pPr>
        <w:pStyle w:val="Normal"/>
        <w:jc w:val="left"/>
        <w:rPr>
          <w:rFonts w:ascii="Calibri" w:hAnsi="Calibri" w:eastAsia="Calibri" w:cs="Calibri"/>
          <w:noProof w:val="0"/>
          <w:sz w:val="22"/>
          <w:szCs w:val="22"/>
          <w:lang w:val="en-US"/>
        </w:rPr>
      </w:pPr>
    </w:p>
    <w:p w:rsidR="54ADC9B5" w:rsidP="54ADC9B5" w:rsidRDefault="54ADC9B5" w14:paraId="6431D467" w14:textId="6B597B67">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54ADC9B5" w:rsidP="54ADC9B5" w:rsidRDefault="54ADC9B5" w14:paraId="18651245" w14:textId="59D67F26">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sectPr>
      <w:pgSz w:w="12240" w:h="15840" w:orient="portrait"/>
      <w:pgMar w:top="1440" w:right="1440" w:bottom="1440" w:left="1440" w:header="720" w:footer="720" w:gutter="0"/>
      <w:cols w:space="720"/>
      <w:docGrid w:linePitch="360"/>
    </w:sectPr>
  </w:body>
</w:document>
</file>

<file path=word/endnotes.xml><?xml version="1.0" encoding="utf-8"?>
<w:endnotes xmlns:w14="http://schemas.microsoft.com/office/word/2010/wordml" xmlns:w="http://schemas.openxmlformats.org/wordprocessingml/2006/main">
  <w:endnote w:type="separator" w:id="-1">
    <w:p w:rsidR="54ADC9B5" w:rsidRDefault="54ADC9B5" w14:paraId="680D16E4" w14:textId="5DCEC3DB">
      <w:pPr>
        <w:spacing w:after="0" w:line="240" w:lineRule="auto"/>
      </w:pPr>
      <w:r>
        <w:separator/>
      </w:r>
    </w:p>
  </w:endnote>
  <w:endnote w:type="continuationSeparator" w:id="0">
    <w:p w:rsidR="54ADC9B5" w:rsidRDefault="54ADC9B5" w14:paraId="77BAF78E" w14:textId="205B3FED">
      <w:pPr>
        <w:spacing w:after="0" w:line="240" w:lineRule="auto"/>
      </w:pPr>
      <w:r>
        <w:continuationSeparator/>
      </w:r>
    </w:p>
  </w:endnote>
  <w:endnote w:id="31322">
    <w:p w:rsidR="54ADC9B5" w:rsidP="54ADC9B5" w:rsidRDefault="54ADC9B5" w14:paraId="694F5725" w14:textId="2B767C1B">
      <w:pPr>
        <w:pStyle w:val="EndnoteText"/>
        <w:bidi w:val="0"/>
      </w:pPr>
      <w:r w:rsidRPr="54ADC9B5">
        <w:rPr>
          <w:rStyle w:val="EndnoteReference"/>
          <w:sz w:val="20"/>
          <w:szCs w:val="20"/>
        </w:rPr>
        <w:endnoteRef/>
      </w:r>
      <w:r w:rsidRPr="54ADC9B5" w:rsidR="54ADC9B5">
        <w:rPr>
          <w:sz w:val="20"/>
          <w:szCs w:val="20"/>
        </w:rPr>
        <w:t xml:space="preserve"> J.J Brouwers 2007 p.306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54ADC9B5" w:rsidRDefault="54ADC9B5" w14:paraId="1E0C4A78" w14:textId="7B4E5840">
      <w:pPr>
        <w:spacing w:after="0" w:line="240" w:lineRule="auto"/>
      </w:pPr>
      <w:r>
        <w:separator/>
      </w:r>
    </w:p>
  </w:footnote>
  <w:footnote w:type="continuationSeparator" w:id="0">
    <w:p w:rsidR="54ADC9B5" w:rsidRDefault="54ADC9B5" w14:paraId="298F334B" w14:textId="30EA8E15">
      <w:pPr>
        <w:spacing w:after="0" w:line="240" w:lineRule="auto"/>
      </w:pPr>
      <w:r>
        <w:continuationSeparator/>
      </w:r>
    </w:p>
  </w:footnote>
  <w:footnote w:id="26615">
    <w:p w:rsidR="54ADC9B5" w:rsidP="54ADC9B5" w:rsidRDefault="54ADC9B5" w14:paraId="02942B1C" w14:textId="4793F73F">
      <w:pPr>
        <w:pStyle w:val="FootnoteText"/>
        <w:bidi w:val="0"/>
      </w:pPr>
      <w:r w:rsidRPr="54ADC9B5">
        <w:rPr>
          <w:rStyle w:val="FootnoteReference"/>
          <w:sz w:val="20"/>
          <w:szCs w:val="20"/>
        </w:rPr>
        <w:footnoteRef/>
      </w:r>
      <w:r w:rsidRPr="54ADC9B5" w:rsidR="54ADC9B5">
        <w:rPr>
          <w:sz w:val="20"/>
          <w:szCs w:val="20"/>
        </w:rPr>
        <w:t xml:space="preserve"> J.J Brouwers (2007) p.305</w:t>
      </w:r>
    </w:p>
  </w:footnote>
  <w:footnote w:id="18971">
    <w:p w:rsidR="54ADC9B5" w:rsidP="54ADC9B5" w:rsidRDefault="54ADC9B5" w14:paraId="174E3FFF" w14:textId="7AF94948">
      <w:pPr>
        <w:pStyle w:val="FootnoteText"/>
        <w:bidi w:val="0"/>
      </w:pPr>
      <w:r w:rsidRPr="54ADC9B5">
        <w:rPr>
          <w:rStyle w:val="FootnoteReference"/>
          <w:sz w:val="20"/>
          <w:szCs w:val="20"/>
        </w:rPr>
        <w:footnoteRef/>
      </w:r>
      <w:r w:rsidRPr="54ADC9B5" w:rsidR="54ADC9B5">
        <w:rPr>
          <w:sz w:val="20"/>
          <w:szCs w:val="20"/>
        </w:rPr>
        <w:t xml:space="preserve"> J.J Brouwers 2007 p.305</w:t>
      </w:r>
    </w:p>
  </w:footnote>
  <w:footnote w:id="7599">
    <w:p w:rsidR="54ADC9B5" w:rsidP="54ADC9B5" w:rsidRDefault="54ADC9B5" w14:paraId="7C10BA89" w14:textId="012776FC">
      <w:pPr>
        <w:pStyle w:val="FootnoteText"/>
        <w:bidi w:val="0"/>
      </w:pPr>
      <w:r w:rsidRPr="54ADC9B5">
        <w:rPr>
          <w:rStyle w:val="FootnoteReference"/>
          <w:sz w:val="20"/>
          <w:szCs w:val="20"/>
        </w:rPr>
        <w:footnoteRef/>
      </w:r>
      <w:r w:rsidRPr="54ADC9B5" w:rsidR="54ADC9B5">
        <w:rPr>
          <w:sz w:val="20"/>
          <w:szCs w:val="20"/>
        </w:rPr>
        <w:t xml:space="preserve"> J.J Brouwers 2007 p.305</w:t>
      </w:r>
    </w:p>
  </w:footnote>
  <w:footnote w:id="21371">
    <w:p w:rsidR="54ADC9B5" w:rsidP="54ADC9B5" w:rsidRDefault="54ADC9B5" w14:paraId="7533E277" w14:textId="0B4643D8">
      <w:pPr>
        <w:pStyle w:val="FootnoteText"/>
        <w:bidi w:val="0"/>
      </w:pPr>
      <w:r w:rsidRPr="54ADC9B5">
        <w:rPr>
          <w:rStyle w:val="FootnoteReference"/>
          <w:sz w:val="20"/>
          <w:szCs w:val="20"/>
        </w:rPr>
        <w:footnoteRef/>
      </w:r>
      <w:r w:rsidRPr="54ADC9B5" w:rsidR="54ADC9B5">
        <w:rPr>
          <w:sz w:val="20"/>
          <w:szCs w:val="20"/>
        </w:rPr>
        <w:t xml:space="preserve"> J.J Brouwers 2007 p.305</w:t>
      </w:r>
    </w:p>
  </w:footnote>
  <w:footnote w:id="31709">
    <w:p w:rsidR="54ADC9B5" w:rsidP="54ADC9B5" w:rsidRDefault="54ADC9B5" w14:paraId="6877DDA0" w14:textId="7E3DD432">
      <w:pPr>
        <w:pStyle w:val="FootnoteText"/>
        <w:bidi w:val="0"/>
        <w:rPr>
          <w:noProof w:val="0"/>
          <w:sz w:val="20"/>
          <w:szCs w:val="20"/>
          <w:lang w:val="en-US"/>
        </w:rPr>
      </w:pPr>
      <w:r w:rsidRPr="54ADC9B5">
        <w:rPr>
          <w:rStyle w:val="FootnoteReference"/>
          <w:sz w:val="20"/>
          <w:szCs w:val="20"/>
        </w:rPr>
        <w:footnoteRef/>
      </w:r>
      <w:r w:rsidRPr="54ADC9B5" w:rsidR="54ADC9B5">
        <w:rPr>
          <w:sz w:val="20"/>
          <w:szCs w:val="20"/>
        </w:rPr>
        <w:t xml:space="preserve"> </w:t>
      </w:r>
      <w:r w:rsidRPr="54ADC9B5" w:rsidR="54ADC9B5">
        <w:rPr>
          <w:rFonts w:ascii="Calibri" w:hAnsi="Calibri" w:eastAsia="Calibri" w:cs="Calibri"/>
          <w:b w:val="0"/>
          <w:bCs w:val="0"/>
          <w:i w:val="0"/>
          <w:iCs w:val="0"/>
          <w:caps w:val="0"/>
          <w:smallCaps w:val="0"/>
          <w:noProof w:val="0"/>
          <w:color w:val="000000" w:themeColor="text1" w:themeTint="FF" w:themeShade="FF"/>
          <w:sz w:val="19"/>
          <w:szCs w:val="19"/>
          <w:lang w:val="en-US"/>
        </w:rPr>
        <w:t>J.J Brouwers 2007 p.305</w:t>
      </w:r>
    </w:p>
  </w:footnote>
  <w:footnote w:id="1119">
    <w:p w:rsidR="54ADC9B5" w:rsidP="54ADC9B5" w:rsidRDefault="54ADC9B5" w14:paraId="38E63F64" w14:textId="07F23403">
      <w:pPr>
        <w:pStyle w:val="FootnoteText"/>
        <w:bidi w:val="0"/>
        <w:rPr>
          <w:noProof w:val="0"/>
          <w:sz w:val="20"/>
          <w:szCs w:val="20"/>
          <w:lang w:val="en-US"/>
        </w:rPr>
      </w:pPr>
      <w:r w:rsidRPr="54ADC9B5">
        <w:rPr>
          <w:rStyle w:val="FootnoteReference"/>
          <w:sz w:val="20"/>
          <w:szCs w:val="20"/>
        </w:rPr>
        <w:footnoteRef/>
      </w:r>
      <w:r w:rsidRPr="54ADC9B5" w:rsidR="54ADC9B5">
        <w:rPr>
          <w:sz w:val="20"/>
          <w:szCs w:val="20"/>
        </w:rPr>
        <w:t xml:space="preserve"> </w:t>
      </w:r>
      <w:r w:rsidRPr="54ADC9B5" w:rsidR="54ADC9B5">
        <w:rPr>
          <w:rFonts w:ascii="Calibri" w:hAnsi="Calibri" w:eastAsia="Calibri" w:cs="Calibri"/>
          <w:b w:val="0"/>
          <w:bCs w:val="0"/>
          <w:i w:val="0"/>
          <w:iCs w:val="0"/>
          <w:caps w:val="0"/>
          <w:smallCaps w:val="0"/>
          <w:noProof w:val="0"/>
          <w:color w:val="000000" w:themeColor="text1" w:themeTint="FF" w:themeShade="FF"/>
          <w:sz w:val="19"/>
          <w:szCs w:val="19"/>
          <w:lang w:val="en-US"/>
        </w:rPr>
        <w:t>J.J Brouwers 2007 p.305</w:t>
      </w:r>
    </w:p>
  </w:footnote>
  <w:footnote w:id="14529">
    <w:p w:rsidR="54ADC9B5" w:rsidP="54ADC9B5" w:rsidRDefault="54ADC9B5" w14:paraId="5AB87113" w14:textId="55DD7117">
      <w:pPr>
        <w:pStyle w:val="FootnoteText"/>
        <w:bidi w:val="0"/>
        <w:rPr>
          <w:noProof w:val="0"/>
          <w:sz w:val="20"/>
          <w:szCs w:val="20"/>
          <w:lang w:val="en-US"/>
        </w:rPr>
      </w:pPr>
      <w:r w:rsidRPr="54ADC9B5">
        <w:rPr>
          <w:rStyle w:val="FootnoteReference"/>
          <w:sz w:val="20"/>
          <w:szCs w:val="20"/>
        </w:rPr>
        <w:footnoteRef/>
      </w:r>
      <w:r w:rsidRPr="54ADC9B5" w:rsidR="54ADC9B5">
        <w:rPr>
          <w:sz w:val="20"/>
          <w:szCs w:val="20"/>
        </w:rPr>
        <w:t xml:space="preserve"> </w:t>
      </w:r>
      <w:r w:rsidRPr="54ADC9B5" w:rsidR="54ADC9B5">
        <w:rPr>
          <w:rFonts w:ascii="Calibri" w:hAnsi="Calibri" w:eastAsia="Calibri" w:cs="Calibri"/>
          <w:b w:val="0"/>
          <w:bCs w:val="0"/>
          <w:i w:val="0"/>
          <w:iCs w:val="0"/>
          <w:caps w:val="0"/>
          <w:smallCaps w:val="0"/>
          <w:noProof w:val="0"/>
          <w:color w:val="000000" w:themeColor="text1" w:themeTint="FF" w:themeShade="FF"/>
          <w:sz w:val="19"/>
          <w:szCs w:val="19"/>
          <w:lang w:val="en-US"/>
        </w:rPr>
        <w:t>J.J Brouwers 2007 p.305</w:t>
      </w:r>
    </w:p>
  </w:footnote>
  <w:footnote w:id="9798">
    <w:p w:rsidR="54ADC9B5" w:rsidP="54ADC9B5" w:rsidRDefault="54ADC9B5" w14:paraId="09694FE6" w14:textId="5F2DD13B">
      <w:pPr>
        <w:pStyle w:val="FootnoteText"/>
        <w:bidi w:val="0"/>
        <w:rPr>
          <w:noProof w:val="0"/>
          <w:sz w:val="20"/>
          <w:szCs w:val="20"/>
          <w:lang w:val="en-US"/>
        </w:rPr>
      </w:pPr>
      <w:r w:rsidRPr="54ADC9B5">
        <w:rPr>
          <w:rStyle w:val="FootnoteReference"/>
          <w:sz w:val="20"/>
          <w:szCs w:val="20"/>
        </w:rPr>
        <w:footnoteRef/>
      </w:r>
      <w:r w:rsidRPr="54ADC9B5" w:rsidR="54ADC9B5">
        <w:rPr>
          <w:sz w:val="20"/>
          <w:szCs w:val="20"/>
        </w:rPr>
        <w:t xml:space="preserve"> E</w:t>
      </w:r>
      <w:r w:rsidRPr="54ADC9B5" w:rsidR="54ADC9B5">
        <w:rPr>
          <w:noProof w:val="0"/>
          <w:lang w:val="en-US"/>
        </w:rPr>
        <w:t>cheverría F 2012 p.291</w:t>
      </w:r>
    </w:p>
  </w:footnote>
  <w:footnote w:id="24174">
    <w:p w:rsidR="54ADC9B5" w:rsidP="54ADC9B5" w:rsidRDefault="54ADC9B5" w14:paraId="0B0318B8" w14:textId="45A6A3D3">
      <w:pPr>
        <w:pStyle w:val="FootnoteText"/>
        <w:bidi w:val="0"/>
        <w:rPr>
          <w:noProof w:val="0"/>
          <w:sz w:val="20"/>
          <w:szCs w:val="20"/>
          <w:lang w:val="en-US"/>
        </w:rPr>
      </w:pPr>
      <w:r w:rsidRPr="54ADC9B5">
        <w:rPr>
          <w:rStyle w:val="FootnoteReference"/>
          <w:sz w:val="20"/>
          <w:szCs w:val="20"/>
        </w:rPr>
        <w:footnoteRef/>
      </w:r>
      <w:r w:rsidRPr="54ADC9B5" w:rsidR="54ADC9B5">
        <w:rPr>
          <w:sz w:val="20"/>
          <w:szCs w:val="20"/>
        </w:rPr>
        <w:t xml:space="preserve"> Echeverría F 2012 p.291</w:t>
      </w:r>
    </w:p>
  </w:footnote>
  <w:footnote w:id="18058">
    <w:p w:rsidR="54ADC9B5" w:rsidP="54ADC9B5" w:rsidRDefault="54ADC9B5" w14:paraId="4D652650" w14:textId="311A82E1">
      <w:pPr>
        <w:pStyle w:val="FootnoteText"/>
        <w:bidi w:val="0"/>
      </w:pPr>
      <w:r w:rsidRPr="54ADC9B5">
        <w:rPr>
          <w:rStyle w:val="FootnoteReference"/>
          <w:sz w:val="20"/>
          <w:szCs w:val="20"/>
        </w:rPr>
        <w:footnoteRef/>
      </w:r>
      <w:r w:rsidRPr="54ADC9B5" w:rsidR="54ADC9B5">
        <w:rPr>
          <w:sz w:val="20"/>
          <w:szCs w:val="20"/>
        </w:rPr>
        <w:t xml:space="preserve"> J.F Lazenby &amp; Whitehead D 1996 p.27</w:t>
      </w:r>
    </w:p>
  </w:footnote>
  <w:footnote w:id="19714">
    <w:p w:rsidR="54ADC9B5" w:rsidP="54ADC9B5" w:rsidRDefault="54ADC9B5" w14:paraId="17C4EFB8" w14:textId="517F1902">
      <w:pPr>
        <w:pStyle w:val="FootnoteText"/>
        <w:bidi w:val="0"/>
      </w:pPr>
      <w:r w:rsidRPr="54ADC9B5">
        <w:rPr>
          <w:rStyle w:val="FootnoteReference"/>
          <w:sz w:val="20"/>
          <w:szCs w:val="20"/>
        </w:rPr>
        <w:footnoteRef/>
      </w:r>
      <w:r w:rsidRPr="54ADC9B5" w:rsidR="54ADC9B5">
        <w:rPr>
          <w:sz w:val="20"/>
          <w:szCs w:val="20"/>
        </w:rPr>
        <w:t xml:space="preserve"> J.J </w:t>
      </w:r>
      <w:r w:rsidRPr="54ADC9B5" w:rsidR="54ADC9B5">
        <w:rPr>
          <w:sz w:val="20"/>
          <w:szCs w:val="20"/>
        </w:rPr>
        <w:t>Brouwers</w:t>
      </w:r>
      <w:r w:rsidRPr="54ADC9B5" w:rsidR="54ADC9B5">
        <w:rPr>
          <w:sz w:val="20"/>
          <w:szCs w:val="20"/>
        </w:rPr>
        <w:t xml:space="preserve"> 2007 p.306</w:t>
      </w:r>
    </w:p>
  </w:footnote>
  <w:footnote w:id="12067">
    <w:p w:rsidR="54ADC9B5" w:rsidP="54ADC9B5" w:rsidRDefault="54ADC9B5" w14:paraId="47CD3B02" w14:textId="40803C43">
      <w:pPr>
        <w:pStyle w:val="FootnoteText"/>
        <w:bidi w:val="0"/>
      </w:pPr>
      <w:r w:rsidRPr="54ADC9B5">
        <w:rPr>
          <w:rStyle w:val="FootnoteReference"/>
          <w:sz w:val="20"/>
          <w:szCs w:val="20"/>
        </w:rPr>
        <w:footnoteRef/>
      </w:r>
      <w:r w:rsidRPr="54ADC9B5" w:rsidR="54ADC9B5">
        <w:rPr>
          <w:sz w:val="20"/>
          <w:szCs w:val="20"/>
        </w:rPr>
        <w:t xml:space="preserve"> J.J Brouwers 2007 p.306</w:t>
      </w:r>
    </w:p>
  </w:footnote>
  <w:footnote w:id="2228">
    <w:p w:rsidR="54ADC9B5" w:rsidP="54ADC9B5" w:rsidRDefault="54ADC9B5" w14:paraId="37CCB62F" w14:textId="6E6BAA69">
      <w:pPr>
        <w:pStyle w:val="FootnoteText"/>
        <w:bidi w:val="0"/>
      </w:pPr>
      <w:r w:rsidRPr="54ADC9B5">
        <w:rPr>
          <w:rStyle w:val="FootnoteReference"/>
          <w:sz w:val="20"/>
          <w:szCs w:val="20"/>
        </w:rPr>
        <w:footnoteRef/>
      </w:r>
      <w:r w:rsidRPr="54ADC9B5" w:rsidR="54ADC9B5">
        <w:rPr>
          <w:sz w:val="20"/>
          <w:szCs w:val="20"/>
        </w:rPr>
        <w:t xml:space="preserve"> J.J Brouwers 2007 p.306</w:t>
      </w:r>
    </w:p>
  </w:footnote>
  <w:footnote w:id="24949">
    <w:p w:rsidR="54ADC9B5" w:rsidP="54ADC9B5" w:rsidRDefault="54ADC9B5" w14:paraId="0C707940" w14:textId="782C4B51">
      <w:pPr>
        <w:pStyle w:val="FootnoteText"/>
        <w:bidi w:val="0"/>
        <w:rPr>
          <w:noProof w:val="0"/>
          <w:sz w:val="20"/>
          <w:szCs w:val="20"/>
          <w:lang w:val="en-US"/>
        </w:rPr>
      </w:pPr>
      <w:r w:rsidRPr="54ADC9B5">
        <w:rPr>
          <w:rStyle w:val="FootnoteReference"/>
          <w:sz w:val="20"/>
          <w:szCs w:val="20"/>
        </w:rPr>
        <w:footnoteRef/>
      </w:r>
      <w:r w:rsidRPr="54ADC9B5" w:rsidR="54ADC9B5">
        <w:rPr>
          <w:sz w:val="20"/>
          <w:szCs w:val="20"/>
        </w:rPr>
        <w:t xml:space="preserve"> E</w:t>
      </w:r>
      <w:r w:rsidRPr="54ADC9B5" w:rsidR="54ADC9B5">
        <w:rPr>
          <w:noProof w:val="0"/>
          <w:lang w:val="en-US"/>
        </w:rPr>
        <w:t>cheverría F 2012 p.291</w:t>
      </w:r>
    </w:p>
  </w:footnote>
  <w:footnote w:id="4585">
    <w:p w:rsidR="54ADC9B5" w:rsidP="54ADC9B5" w:rsidRDefault="54ADC9B5" w14:paraId="257EC862" w14:textId="10796F28">
      <w:pPr>
        <w:pStyle w:val="FootnoteText"/>
        <w:bidi w:val="0"/>
      </w:pPr>
      <w:r w:rsidRPr="54ADC9B5">
        <w:rPr>
          <w:rStyle w:val="FootnoteReference"/>
          <w:sz w:val="20"/>
          <w:szCs w:val="20"/>
        </w:rPr>
        <w:footnoteRef/>
      </w:r>
      <w:r w:rsidRPr="54ADC9B5" w:rsidR="54ADC9B5">
        <w:rPr>
          <w:sz w:val="20"/>
          <w:szCs w:val="20"/>
        </w:rPr>
        <w:t xml:space="preserve"> J.J Brouwers 2007 p.306</w:t>
      </w:r>
    </w:p>
  </w:footnote>
  <w:footnote w:id="22719">
    <w:p w:rsidR="54ADC9B5" w:rsidP="54ADC9B5" w:rsidRDefault="54ADC9B5" w14:paraId="415F14EF" w14:textId="4FCD8C1A">
      <w:pPr>
        <w:pStyle w:val="FootnoteText"/>
        <w:bidi w:val="0"/>
      </w:pPr>
      <w:r w:rsidRPr="54ADC9B5">
        <w:rPr>
          <w:rStyle w:val="FootnoteReference"/>
          <w:sz w:val="20"/>
          <w:szCs w:val="20"/>
        </w:rPr>
        <w:footnoteRef/>
      </w:r>
      <w:r w:rsidRPr="54ADC9B5" w:rsidR="54ADC9B5">
        <w:rPr>
          <w:sz w:val="20"/>
          <w:szCs w:val="20"/>
        </w:rPr>
        <w:t xml:space="preserve"> A.M Snodgrass 1965 p.111</w:t>
      </w:r>
    </w:p>
  </w:footnote>
  <w:footnote w:id="18615">
    <w:p w:rsidR="54ADC9B5" w:rsidP="54ADC9B5" w:rsidRDefault="54ADC9B5" w14:paraId="67642EB8" w14:textId="0704DB80">
      <w:pPr>
        <w:pStyle w:val="FootnoteText"/>
        <w:bidi w:val="0"/>
        <w:rPr>
          <w:noProof w:val="0"/>
          <w:sz w:val="20"/>
          <w:szCs w:val="20"/>
          <w:lang w:val="en-US"/>
        </w:rPr>
      </w:pPr>
      <w:r w:rsidRPr="54ADC9B5">
        <w:rPr>
          <w:rStyle w:val="FootnoteReference"/>
          <w:sz w:val="20"/>
          <w:szCs w:val="20"/>
        </w:rPr>
        <w:footnoteRef/>
      </w:r>
      <w:r w:rsidRPr="54ADC9B5" w:rsidR="54ADC9B5">
        <w:rPr>
          <w:sz w:val="20"/>
          <w:szCs w:val="20"/>
        </w:rPr>
        <w:t xml:space="preserve"> </w:t>
      </w:r>
      <w:r w:rsidRPr="54ADC9B5" w:rsidR="54ADC9B5">
        <w:rPr>
          <w:rFonts w:ascii="Calibri" w:hAnsi="Calibri" w:eastAsia="Calibri" w:cs="Calibri"/>
          <w:b w:val="0"/>
          <w:bCs w:val="0"/>
          <w:i w:val="0"/>
          <w:iCs w:val="0"/>
          <w:caps w:val="0"/>
          <w:smallCaps w:val="0"/>
          <w:noProof w:val="0"/>
          <w:color w:val="000000" w:themeColor="text1" w:themeTint="FF" w:themeShade="FF"/>
          <w:sz w:val="19"/>
          <w:szCs w:val="19"/>
          <w:lang w:val="en-US"/>
        </w:rPr>
        <w:t>A.M Snodgrass 1965 p.111</w:t>
      </w:r>
    </w:p>
  </w:footnote>
  <w:footnote w:id="4983">
    <w:p w:rsidR="54ADC9B5" w:rsidP="54ADC9B5" w:rsidRDefault="54ADC9B5" w14:paraId="4F48D7A4" w14:textId="7BEC3E7A">
      <w:pPr>
        <w:pStyle w:val="FootnoteText"/>
        <w:bidi w:val="0"/>
      </w:pPr>
      <w:r w:rsidRPr="54ADC9B5">
        <w:rPr>
          <w:rStyle w:val="FootnoteReference"/>
          <w:sz w:val="20"/>
          <w:szCs w:val="20"/>
        </w:rPr>
        <w:footnoteRef/>
      </w:r>
      <w:r w:rsidRPr="54ADC9B5" w:rsidR="54ADC9B5">
        <w:rPr>
          <w:sz w:val="20"/>
          <w:szCs w:val="20"/>
        </w:rPr>
        <w:t xml:space="preserve"> J.J Brouwers 2007 p.305</w:t>
      </w:r>
    </w:p>
  </w:footnote>
  <w:footnote w:id="10515">
    <w:p w:rsidR="54ADC9B5" w:rsidP="54ADC9B5" w:rsidRDefault="54ADC9B5" w14:paraId="60E6D35D" w14:textId="68338FDF">
      <w:pPr>
        <w:pStyle w:val="FootnoteText"/>
        <w:bidi w:val="0"/>
      </w:pPr>
      <w:r w:rsidRPr="54ADC9B5">
        <w:rPr>
          <w:rStyle w:val="FootnoteReference"/>
          <w:sz w:val="20"/>
          <w:szCs w:val="20"/>
        </w:rPr>
        <w:footnoteRef/>
      </w:r>
      <w:r w:rsidRPr="54ADC9B5" w:rsidR="54ADC9B5">
        <w:rPr>
          <w:sz w:val="20"/>
          <w:szCs w:val="20"/>
        </w:rPr>
        <w:t xml:space="preserve"> J.J Brouwers 2007 p.307</w:t>
      </w:r>
    </w:p>
  </w:footnote>
  <w:footnote w:id="1617">
    <w:p w:rsidR="54ADC9B5" w:rsidP="54ADC9B5" w:rsidRDefault="54ADC9B5" w14:paraId="5DAE637B" w14:textId="305EAB34">
      <w:pPr>
        <w:pStyle w:val="FootnoteText"/>
        <w:bidi w:val="0"/>
      </w:pPr>
      <w:r w:rsidRPr="54ADC9B5">
        <w:rPr>
          <w:rStyle w:val="FootnoteReference"/>
          <w:sz w:val="20"/>
          <w:szCs w:val="20"/>
        </w:rPr>
        <w:footnoteRef/>
      </w:r>
      <w:r w:rsidRPr="54ADC9B5" w:rsidR="54ADC9B5">
        <w:rPr>
          <w:sz w:val="20"/>
          <w:szCs w:val="20"/>
        </w:rPr>
        <w:t xml:space="preserve"> J.J Brouwers 2007 p.308</w:t>
      </w:r>
    </w:p>
  </w:footnote>
  <w:footnote w:id="21995">
    <w:p w:rsidR="54ADC9B5" w:rsidP="54ADC9B5" w:rsidRDefault="54ADC9B5" w14:paraId="7D64202C" w14:textId="11B79857">
      <w:pPr>
        <w:pStyle w:val="FootnoteText"/>
        <w:bidi w:val="0"/>
      </w:pPr>
      <w:r w:rsidRPr="54ADC9B5">
        <w:rPr>
          <w:rStyle w:val="FootnoteReference"/>
          <w:sz w:val="20"/>
          <w:szCs w:val="20"/>
        </w:rPr>
        <w:footnoteRef/>
      </w:r>
      <w:r w:rsidRPr="54ADC9B5" w:rsidR="54ADC9B5">
        <w:rPr>
          <w:sz w:val="20"/>
          <w:szCs w:val="20"/>
        </w:rPr>
        <w:t xml:space="preserve"> J.J Brouwers 2007 p.308</w:t>
      </w:r>
    </w:p>
  </w:footnote>
  <w:footnote w:id="32366">
    <w:p w:rsidR="54ADC9B5" w:rsidP="54ADC9B5" w:rsidRDefault="54ADC9B5" w14:paraId="2CAFC19F" w14:textId="64CBCECF">
      <w:pPr>
        <w:pStyle w:val="FootnoteText"/>
        <w:bidi w:val="0"/>
      </w:pPr>
      <w:r w:rsidRPr="54ADC9B5">
        <w:rPr>
          <w:rStyle w:val="FootnoteReference"/>
          <w:sz w:val="20"/>
          <w:szCs w:val="20"/>
        </w:rPr>
        <w:footnoteRef/>
      </w:r>
      <w:r w:rsidRPr="54ADC9B5" w:rsidR="54ADC9B5">
        <w:rPr>
          <w:sz w:val="20"/>
          <w:szCs w:val="20"/>
        </w:rPr>
        <w:t xml:space="preserve"> J.J Brouwers 2007 p.309</w:t>
      </w:r>
    </w:p>
  </w:footnote>
  <w:footnote w:id="19400">
    <w:p w:rsidR="54ADC9B5" w:rsidP="54ADC9B5" w:rsidRDefault="54ADC9B5" w14:paraId="7D3CE4E6" w14:textId="3E05FD93">
      <w:pPr>
        <w:pStyle w:val="FootnoteText"/>
        <w:bidi w:val="0"/>
      </w:pPr>
      <w:r w:rsidRPr="54ADC9B5">
        <w:rPr>
          <w:rStyle w:val="FootnoteReference"/>
          <w:sz w:val="20"/>
          <w:szCs w:val="20"/>
        </w:rPr>
        <w:footnoteRef/>
      </w:r>
      <w:r w:rsidRPr="54ADC9B5" w:rsidR="54ADC9B5">
        <w:rPr>
          <w:sz w:val="20"/>
          <w:szCs w:val="20"/>
        </w:rPr>
        <w:t xml:space="preserve"> J.J Brouwers 2007 p.309</w:t>
      </w:r>
    </w:p>
  </w:footnote>
  <w:footnote w:id="20175">
    <w:p w:rsidR="54ADC9B5" w:rsidP="54ADC9B5" w:rsidRDefault="54ADC9B5" w14:paraId="1B5EEF71" w14:textId="152157A4">
      <w:pPr>
        <w:pStyle w:val="FootnoteText"/>
        <w:bidi w:val="0"/>
      </w:pPr>
      <w:r w:rsidRPr="54ADC9B5">
        <w:rPr>
          <w:rStyle w:val="FootnoteReference"/>
          <w:sz w:val="20"/>
          <w:szCs w:val="20"/>
        </w:rPr>
        <w:footnoteRef/>
      </w:r>
      <w:r w:rsidRPr="54ADC9B5" w:rsidR="54ADC9B5">
        <w:rPr>
          <w:sz w:val="20"/>
          <w:szCs w:val="20"/>
        </w:rPr>
        <w:t xml:space="preserve"> J.J Brouwers 2007 p.308</w:t>
      </w:r>
    </w:p>
  </w:footnote>
  <w:footnote w:id="17933">
    <w:p w:rsidR="54ADC9B5" w:rsidP="54ADC9B5" w:rsidRDefault="54ADC9B5" w14:paraId="189E291F" w14:textId="19171656">
      <w:pPr>
        <w:pStyle w:val="FootnoteText"/>
        <w:bidi w:val="0"/>
      </w:pPr>
      <w:r w:rsidRPr="54ADC9B5">
        <w:rPr>
          <w:rStyle w:val="FootnoteReference"/>
          <w:sz w:val="20"/>
          <w:szCs w:val="20"/>
        </w:rPr>
        <w:footnoteRef/>
      </w:r>
      <w:r w:rsidRPr="54ADC9B5" w:rsidR="54ADC9B5">
        <w:rPr>
          <w:sz w:val="20"/>
          <w:szCs w:val="20"/>
        </w:rPr>
        <w:t xml:space="preserve"> J.J Brouwers 2007 p.309</w:t>
      </w:r>
    </w:p>
  </w:footnote>
  <w:footnote w:id="18197">
    <w:p w:rsidR="54ADC9B5" w:rsidP="54ADC9B5" w:rsidRDefault="54ADC9B5" w14:paraId="08B4BFFF" w14:textId="740F7CD1">
      <w:pPr>
        <w:pStyle w:val="FootnoteText"/>
        <w:bidi w:val="0"/>
        <w:rPr>
          <w:noProof w:val="0"/>
          <w:sz w:val="20"/>
          <w:szCs w:val="20"/>
          <w:lang w:val="en-US"/>
        </w:rPr>
      </w:pPr>
      <w:r w:rsidRPr="54ADC9B5">
        <w:rPr>
          <w:rStyle w:val="FootnoteReference"/>
          <w:sz w:val="20"/>
          <w:szCs w:val="20"/>
        </w:rPr>
        <w:footnoteRef/>
      </w:r>
      <w:r w:rsidRPr="54ADC9B5" w:rsidR="54ADC9B5">
        <w:rPr>
          <w:sz w:val="20"/>
          <w:szCs w:val="20"/>
        </w:rPr>
        <w:t xml:space="preserve"> F </w:t>
      </w:r>
      <w:r w:rsidRPr="54ADC9B5" w:rsidR="54ADC9B5">
        <w:rPr>
          <w:noProof w:val="0"/>
          <w:lang w:val="en-US"/>
        </w:rPr>
        <w:t>Echeverría 2012 p.292</w:t>
      </w:r>
    </w:p>
  </w:footnote>
  <w:footnote w:id="10980">
    <w:p w:rsidR="54ADC9B5" w:rsidP="54ADC9B5" w:rsidRDefault="54ADC9B5" w14:paraId="00C54ABE" w14:textId="2DB82B7F">
      <w:pPr>
        <w:pStyle w:val="FootnoteText"/>
        <w:bidi w:val="0"/>
      </w:pPr>
      <w:r w:rsidRPr="54ADC9B5">
        <w:rPr>
          <w:rStyle w:val="FootnoteReference"/>
          <w:sz w:val="20"/>
          <w:szCs w:val="20"/>
        </w:rPr>
        <w:footnoteRef/>
      </w:r>
      <w:r w:rsidRPr="54ADC9B5" w:rsidR="54ADC9B5">
        <w:rPr>
          <w:sz w:val="20"/>
          <w:szCs w:val="20"/>
        </w:rPr>
        <w:t xml:space="preserve"> J.J Brouwers 2007 p.309-312</w:t>
      </w:r>
    </w:p>
  </w:footnote>
  <w:footnote w:id="3214">
    <w:p w:rsidR="54ADC9B5" w:rsidP="54ADC9B5" w:rsidRDefault="54ADC9B5" w14:paraId="6DA44243" w14:textId="71424C70">
      <w:pPr>
        <w:pStyle w:val="FootnoteText"/>
        <w:bidi w:val="0"/>
        <w:rPr>
          <w:noProof w:val="0"/>
          <w:sz w:val="20"/>
          <w:szCs w:val="20"/>
          <w:lang w:val="en-US"/>
        </w:rPr>
      </w:pPr>
      <w:r w:rsidRPr="54ADC9B5">
        <w:rPr>
          <w:rStyle w:val="FootnoteReference"/>
          <w:sz w:val="20"/>
          <w:szCs w:val="20"/>
        </w:rPr>
        <w:footnoteRef/>
      </w:r>
      <w:r w:rsidRPr="54ADC9B5" w:rsidR="54ADC9B5">
        <w:rPr>
          <w:sz w:val="20"/>
          <w:szCs w:val="20"/>
        </w:rPr>
        <w:t xml:space="preserve"> F Echeverría 2012 p.292 &amp; A.M Snodgrass 1965 p.116</w:t>
      </w:r>
    </w:p>
  </w:footnote>
  <w:footnote w:id="12334">
    <w:p w:rsidR="54ADC9B5" w:rsidP="54ADC9B5" w:rsidRDefault="54ADC9B5" w14:paraId="19172B2A" w14:textId="28188CAF">
      <w:pPr>
        <w:pStyle w:val="FootnoteText"/>
        <w:bidi w:val="0"/>
      </w:pPr>
      <w:r w:rsidRPr="54ADC9B5">
        <w:rPr>
          <w:rStyle w:val="FootnoteReference"/>
          <w:sz w:val="20"/>
          <w:szCs w:val="20"/>
        </w:rPr>
        <w:footnoteRef/>
      </w:r>
      <w:r w:rsidRPr="54ADC9B5" w:rsidR="54ADC9B5">
        <w:rPr>
          <w:sz w:val="20"/>
          <w:szCs w:val="20"/>
        </w:rPr>
        <w:t xml:space="preserve"> J.J Brouwers 2007 p.310</w:t>
      </w:r>
    </w:p>
  </w:footnote>
  <w:footnote w:id="26713">
    <w:p w:rsidR="54ADC9B5" w:rsidP="54ADC9B5" w:rsidRDefault="54ADC9B5" w14:paraId="65A3398E" w14:textId="7EC74F26">
      <w:pPr>
        <w:pStyle w:val="FootnoteText"/>
        <w:bidi w:val="0"/>
      </w:pPr>
      <w:r w:rsidRPr="54ADC9B5">
        <w:rPr>
          <w:rStyle w:val="FootnoteReference"/>
          <w:sz w:val="20"/>
          <w:szCs w:val="20"/>
        </w:rPr>
        <w:footnoteRef/>
      </w:r>
      <w:r w:rsidRPr="54ADC9B5" w:rsidR="54ADC9B5">
        <w:rPr>
          <w:sz w:val="20"/>
          <w:szCs w:val="20"/>
        </w:rPr>
        <w:t xml:space="preserve"> J.J Brouwers 2007 p.310</w:t>
      </w:r>
    </w:p>
  </w:footnote>
  <w:footnote w:id="10198">
    <w:p w:rsidR="54ADC9B5" w:rsidP="54ADC9B5" w:rsidRDefault="54ADC9B5" w14:paraId="5D2BAF0E" w14:textId="75FDA68E">
      <w:pPr>
        <w:pStyle w:val="FootnoteText"/>
        <w:bidi w:val="0"/>
        <w:rPr>
          <w:sz w:val="20"/>
          <w:szCs w:val="20"/>
        </w:rPr>
      </w:pPr>
      <w:r w:rsidRPr="54ADC9B5">
        <w:rPr>
          <w:rStyle w:val="FootnoteReference"/>
          <w:sz w:val="20"/>
          <w:szCs w:val="20"/>
        </w:rPr>
        <w:footnoteRef/>
      </w:r>
      <w:r w:rsidRPr="54ADC9B5" w:rsidR="54ADC9B5">
        <w:rPr>
          <w:sz w:val="20"/>
          <w:szCs w:val="20"/>
        </w:rPr>
        <w:t xml:space="preserve"> J.J Brouwers 2007 p.310</w:t>
      </w:r>
    </w:p>
  </w:footnote>
  <w:footnote w:id="24339">
    <w:p w:rsidR="54ADC9B5" w:rsidP="54ADC9B5" w:rsidRDefault="54ADC9B5" w14:paraId="44DA43AF" w14:textId="09B1CEFC">
      <w:pPr>
        <w:pStyle w:val="FootnoteText"/>
        <w:bidi w:val="0"/>
      </w:pPr>
      <w:r w:rsidRPr="54ADC9B5">
        <w:rPr>
          <w:rStyle w:val="FootnoteReference"/>
          <w:sz w:val="20"/>
          <w:szCs w:val="20"/>
        </w:rPr>
        <w:footnoteRef/>
      </w:r>
      <w:r w:rsidRPr="54ADC9B5" w:rsidR="54ADC9B5">
        <w:rPr>
          <w:sz w:val="20"/>
          <w:szCs w:val="20"/>
        </w:rPr>
        <w:t xml:space="preserve"> J.J Brouwers 2007 p.314</w:t>
      </w:r>
    </w:p>
  </w:footnote>
  <w:footnote w:id="26742">
    <w:p w:rsidR="54ADC9B5" w:rsidP="54ADC9B5" w:rsidRDefault="54ADC9B5" w14:paraId="64BA87FD" w14:textId="675DCB0F">
      <w:pPr>
        <w:pStyle w:val="FootnoteText"/>
        <w:bidi w:val="0"/>
      </w:pPr>
      <w:r w:rsidRPr="54ADC9B5">
        <w:rPr>
          <w:rStyle w:val="FootnoteReference"/>
          <w:sz w:val="20"/>
          <w:szCs w:val="20"/>
        </w:rPr>
        <w:footnoteRef/>
      </w:r>
      <w:r w:rsidRPr="54ADC9B5" w:rsidR="54ADC9B5">
        <w:rPr>
          <w:sz w:val="20"/>
          <w:szCs w:val="20"/>
        </w:rPr>
        <w:t xml:space="preserve"> J.J Brouwers 2007 p.314</w:t>
      </w:r>
    </w:p>
    <w:p w:rsidR="54ADC9B5" w:rsidP="54ADC9B5" w:rsidRDefault="54ADC9B5" w14:paraId="374AD2C5" w14:textId="566BB13E">
      <w:pPr>
        <w:pStyle w:val="FootnoteText"/>
        <w:bidi w:val="0"/>
        <w:rPr>
          <w:sz w:val="20"/>
          <w:szCs w:val="20"/>
        </w:rPr>
      </w:pPr>
    </w:p>
  </w:footnote>
  <w:footnote w:id="20420">
    <w:p w:rsidR="54ADC9B5" w:rsidP="54ADC9B5" w:rsidRDefault="54ADC9B5" w14:paraId="12E2616E" w14:textId="2C355F6A">
      <w:pPr>
        <w:pStyle w:val="FootnoteText"/>
        <w:bidi w:val="0"/>
      </w:pPr>
      <w:r w:rsidRPr="54ADC9B5">
        <w:rPr>
          <w:rStyle w:val="FootnoteReference"/>
          <w:sz w:val="20"/>
          <w:szCs w:val="20"/>
        </w:rPr>
        <w:footnoteRef/>
      </w:r>
      <w:r w:rsidRPr="54ADC9B5" w:rsidR="54ADC9B5">
        <w:rPr>
          <w:sz w:val="20"/>
          <w:szCs w:val="20"/>
        </w:rPr>
        <w:t xml:space="preserve"> J.J Brouwers 2007 p.315</w:t>
      </w:r>
    </w:p>
    <w:p w:rsidR="54ADC9B5" w:rsidP="54ADC9B5" w:rsidRDefault="54ADC9B5" w14:paraId="4F57D244" w14:textId="1D228A28">
      <w:pPr>
        <w:pStyle w:val="FootnoteText"/>
        <w:bidi w:val="0"/>
        <w:rPr>
          <w:sz w:val="20"/>
          <w:szCs w:val="20"/>
        </w:rPr>
      </w:pPr>
    </w:p>
  </w:footnote>
  <w:footnote w:id="17981">
    <w:p w:rsidR="54ADC9B5" w:rsidP="54ADC9B5" w:rsidRDefault="54ADC9B5" w14:paraId="778C64F1" w14:textId="41BEC817">
      <w:pPr>
        <w:pStyle w:val="FootnoteText"/>
        <w:bidi w:val="0"/>
      </w:pPr>
      <w:r w:rsidRPr="54ADC9B5">
        <w:rPr>
          <w:rStyle w:val="FootnoteReference"/>
          <w:sz w:val="20"/>
          <w:szCs w:val="20"/>
        </w:rPr>
        <w:footnoteRef/>
      </w:r>
      <w:r w:rsidRPr="54ADC9B5" w:rsidR="54ADC9B5">
        <w:rPr>
          <w:sz w:val="20"/>
          <w:szCs w:val="20"/>
        </w:rPr>
        <w:t xml:space="preserve"> J.J Brouwers 2007 p.315</w:t>
      </w:r>
    </w:p>
    <w:p w:rsidR="54ADC9B5" w:rsidP="54ADC9B5" w:rsidRDefault="54ADC9B5" w14:paraId="0EA88C6A" w14:textId="741F97F6">
      <w:pPr>
        <w:pStyle w:val="FootnoteText"/>
        <w:bidi w:val="0"/>
        <w:rPr>
          <w:sz w:val="20"/>
          <w:szCs w:val="20"/>
        </w:rPr>
      </w:pPr>
    </w:p>
  </w:footnote>
  <w:footnote w:id="674">
    <w:p w:rsidR="54ADC9B5" w:rsidP="54ADC9B5" w:rsidRDefault="54ADC9B5" w14:paraId="598F2C2E" w14:textId="5F824EE2">
      <w:pPr>
        <w:pStyle w:val="FootnoteText"/>
        <w:bidi w:val="0"/>
        <w:rPr>
          <w:noProof w:val="0"/>
          <w:sz w:val="20"/>
          <w:szCs w:val="20"/>
          <w:lang w:val="en-US"/>
        </w:rPr>
      </w:pPr>
      <w:r w:rsidRPr="54ADC9B5">
        <w:rPr>
          <w:rStyle w:val="FootnoteReference"/>
          <w:sz w:val="20"/>
          <w:szCs w:val="20"/>
        </w:rPr>
        <w:footnoteRef/>
      </w:r>
      <w:r w:rsidRPr="54ADC9B5" w:rsidR="54ADC9B5">
        <w:rPr>
          <w:sz w:val="20"/>
          <w:szCs w:val="20"/>
        </w:rPr>
        <w:t xml:space="preserve"> </w:t>
      </w:r>
      <w:r w:rsidRPr="54ADC9B5" w:rsidR="54ADC9B5">
        <w:rPr>
          <w:rFonts w:ascii="Calibri" w:hAnsi="Calibri" w:eastAsia="Calibri" w:cs="Calibri"/>
          <w:b w:val="0"/>
          <w:bCs w:val="0"/>
          <w:i w:val="0"/>
          <w:iCs w:val="0"/>
          <w:caps w:val="0"/>
          <w:smallCaps w:val="0"/>
          <w:noProof w:val="0"/>
          <w:color w:val="000000" w:themeColor="text1" w:themeTint="FF" w:themeShade="FF"/>
          <w:sz w:val="19"/>
          <w:szCs w:val="19"/>
          <w:lang w:val="en-US"/>
        </w:rPr>
        <w:t>A.M Snodgrass 1965 p.111</w:t>
      </w:r>
    </w:p>
  </w:footnote>
  <w:footnote w:id="18522">
    <w:p w:rsidR="54ADC9B5" w:rsidP="54ADC9B5" w:rsidRDefault="54ADC9B5" w14:paraId="180624A1" w14:textId="5B348A6B">
      <w:pPr>
        <w:pStyle w:val="FootnoteText"/>
        <w:bidi w:val="0"/>
        <w:rPr>
          <w:noProof w:val="0"/>
          <w:sz w:val="20"/>
          <w:szCs w:val="20"/>
          <w:lang w:val="en-US"/>
        </w:rPr>
      </w:pPr>
      <w:r w:rsidRPr="54ADC9B5">
        <w:rPr>
          <w:rStyle w:val="FootnoteReference"/>
          <w:sz w:val="20"/>
          <w:szCs w:val="20"/>
        </w:rPr>
        <w:footnoteRef/>
      </w:r>
      <w:r w:rsidRPr="54ADC9B5" w:rsidR="54ADC9B5">
        <w:rPr>
          <w:sz w:val="20"/>
          <w:szCs w:val="20"/>
        </w:rPr>
        <w:t xml:space="preserve"> </w:t>
      </w:r>
      <w:r w:rsidRPr="54ADC9B5" w:rsidR="54ADC9B5">
        <w:rPr>
          <w:rFonts w:ascii="Calibri" w:hAnsi="Calibri" w:eastAsia="Calibri" w:cs="Calibri"/>
          <w:b w:val="0"/>
          <w:bCs w:val="0"/>
          <w:i w:val="0"/>
          <w:iCs w:val="0"/>
          <w:caps w:val="0"/>
          <w:smallCaps w:val="0"/>
          <w:noProof w:val="0"/>
          <w:color w:val="000000" w:themeColor="text1" w:themeTint="FF" w:themeShade="FF"/>
          <w:sz w:val="19"/>
          <w:szCs w:val="19"/>
          <w:lang w:val="en-US"/>
        </w:rPr>
        <w:t>A.M Snodgrass 1965 p.111</w:t>
      </w:r>
    </w:p>
  </w:footnote>
  <w:footnote w:id="1543">
    <w:p w:rsidR="54ADC9B5" w:rsidP="54ADC9B5" w:rsidRDefault="54ADC9B5" w14:paraId="69F1CFBF" w14:textId="118E621B">
      <w:pPr>
        <w:pStyle w:val="FootnoteText"/>
        <w:bidi w:val="0"/>
        <w:rPr>
          <w:noProof w:val="0"/>
          <w:sz w:val="20"/>
          <w:szCs w:val="20"/>
          <w:lang w:val="en-US"/>
        </w:rPr>
      </w:pPr>
      <w:r w:rsidRPr="54ADC9B5">
        <w:rPr>
          <w:rStyle w:val="FootnoteReference"/>
          <w:sz w:val="20"/>
          <w:szCs w:val="20"/>
        </w:rPr>
        <w:footnoteRef/>
      </w:r>
      <w:r w:rsidRPr="54ADC9B5" w:rsidR="54ADC9B5">
        <w:rPr>
          <w:sz w:val="20"/>
          <w:szCs w:val="20"/>
        </w:rPr>
        <w:t xml:space="preserve"> </w:t>
      </w:r>
      <w:r w:rsidRPr="54ADC9B5" w:rsidR="54ADC9B5">
        <w:rPr>
          <w:rFonts w:ascii="Calibri" w:hAnsi="Calibri" w:eastAsia="Calibri" w:cs="Calibri"/>
          <w:b w:val="0"/>
          <w:bCs w:val="0"/>
          <w:i w:val="0"/>
          <w:iCs w:val="0"/>
          <w:caps w:val="0"/>
          <w:smallCaps w:val="0"/>
          <w:noProof w:val="0"/>
          <w:color w:val="000000" w:themeColor="text1" w:themeTint="FF" w:themeShade="FF"/>
          <w:sz w:val="19"/>
          <w:szCs w:val="19"/>
          <w:lang w:val="en-US"/>
        </w:rPr>
        <w:t>J.J Brouwers 2007 p.315</w:t>
      </w:r>
    </w:p>
  </w:footnote>
  <w:footnote w:id="29494">
    <w:p w:rsidR="54ADC9B5" w:rsidP="54ADC9B5" w:rsidRDefault="54ADC9B5" w14:paraId="42E40E99" w14:textId="323060F7">
      <w:pPr>
        <w:pStyle w:val="FootnoteText"/>
        <w:bidi w:val="0"/>
        <w:rPr>
          <w:noProof w:val="0"/>
          <w:sz w:val="20"/>
          <w:szCs w:val="20"/>
          <w:lang w:val="en-US"/>
        </w:rPr>
      </w:pPr>
      <w:r w:rsidRPr="54ADC9B5">
        <w:rPr>
          <w:rStyle w:val="FootnoteReference"/>
          <w:sz w:val="20"/>
          <w:szCs w:val="20"/>
        </w:rPr>
        <w:footnoteRef/>
      </w:r>
      <w:r w:rsidRPr="54ADC9B5" w:rsidR="54ADC9B5">
        <w:rPr>
          <w:sz w:val="20"/>
          <w:szCs w:val="20"/>
        </w:rPr>
        <w:t xml:space="preserve"> </w:t>
      </w:r>
      <w:r w:rsidRPr="54ADC9B5" w:rsidR="54ADC9B5">
        <w:rPr>
          <w:rFonts w:ascii="Calibri" w:hAnsi="Calibri" w:eastAsia="Calibri" w:cs="Calibri"/>
          <w:b w:val="0"/>
          <w:bCs w:val="0"/>
          <w:i w:val="0"/>
          <w:iCs w:val="0"/>
          <w:caps w:val="0"/>
          <w:smallCaps w:val="0"/>
          <w:noProof w:val="0"/>
          <w:color w:val="000000" w:themeColor="text1" w:themeTint="FF" w:themeShade="FF"/>
          <w:sz w:val="19"/>
          <w:szCs w:val="19"/>
          <w:lang w:val="en-US"/>
        </w:rPr>
        <w:t>J.J Brouwers 2007 p.315</w:t>
      </w:r>
    </w:p>
  </w:footnote>
  <w:footnote w:id="22908">
    <w:p w:rsidR="54ADC9B5" w:rsidP="54ADC9B5" w:rsidRDefault="54ADC9B5" w14:paraId="73DCF35C" w14:textId="5C594B3E">
      <w:pPr>
        <w:pStyle w:val="FootnoteText"/>
        <w:bidi w:val="0"/>
        <w:rPr>
          <w:noProof w:val="0"/>
          <w:sz w:val="20"/>
          <w:szCs w:val="20"/>
          <w:lang w:val="en-US"/>
        </w:rPr>
      </w:pPr>
      <w:r w:rsidRPr="54ADC9B5">
        <w:rPr>
          <w:rStyle w:val="FootnoteReference"/>
          <w:sz w:val="20"/>
          <w:szCs w:val="20"/>
        </w:rPr>
        <w:footnoteRef/>
      </w:r>
      <w:r w:rsidRPr="54ADC9B5" w:rsidR="54ADC9B5">
        <w:rPr>
          <w:sz w:val="20"/>
          <w:szCs w:val="20"/>
        </w:rPr>
        <w:t xml:space="preserve"> </w:t>
      </w:r>
      <w:r w:rsidRPr="54ADC9B5" w:rsidR="54ADC9B5">
        <w:rPr>
          <w:rFonts w:ascii="Calibri" w:hAnsi="Calibri" w:eastAsia="Calibri" w:cs="Calibri"/>
          <w:b w:val="0"/>
          <w:bCs w:val="0"/>
          <w:i w:val="0"/>
          <w:iCs w:val="0"/>
          <w:caps w:val="0"/>
          <w:smallCaps w:val="0"/>
          <w:noProof w:val="0"/>
          <w:color w:val="000000" w:themeColor="text1" w:themeTint="FF" w:themeShade="FF"/>
          <w:sz w:val="19"/>
          <w:szCs w:val="19"/>
          <w:lang w:val="en-US"/>
        </w:rPr>
        <w:t>J.J Brouwers 2007 p.316</w:t>
      </w:r>
    </w:p>
  </w:footnote>
</w:footnotes>
</file>

<file path=word/intelligence.xml><?xml version="1.0" encoding="utf-8"?>
<int:Intelligence xmlns:int="http://schemas.microsoft.com/office/intelligence/2019/intelligence">
  <int:IntelligenceSettings/>
  <int:Manifest>
    <int:WordHash hashCode="iPc7iH9Y6VSe4d" id="4B8mSAxZ"/>
    <int:WordHash hashCode="6NSrc3S8OwgvYe" id="pOBCpuyG"/>
    <int:WordHash hashCode="mqskPT3plOBGHe" id="fp3ILW2Q"/>
    <int:WordHash hashCode="6PE3sox1QDM0Fe" id="VHljmOPq"/>
    <int:WordHash hashCode="+dz7mDpEcpNKmf" id="P8T7pYGI"/>
    <int:WordHash hashCode="pBHEVMS6e5Mndv" id="8e1VF2ML"/>
    <int:WordHash hashCode="4ZzdazjjUdKQrq" id="gfyrWI8a"/>
    <int:WordHash hashCode="KeJBmHRQc5CVED" id="HxHORFlh"/>
  </int:Manifest>
  <int:Observations>
    <int:Content id="4B8mSAxZ">
      <int:Rejection type="LegacyProofing"/>
    </int:Content>
    <int:Content id="pOBCpuyG">
      <int:Rejection type="LegacyProofing"/>
    </int:Content>
    <int:Content id="fp3ILW2Q">
      <int:Rejection type="LegacyProofing"/>
    </int:Content>
    <int:Content id="VHljmOPq">
      <int:Rejection type="LegacyProofing"/>
    </int:Content>
    <int:Content id="P8T7pYGI">
      <int:Rejection type="LegacyProofing"/>
    </int:Content>
    <int:Content id="8e1VF2ML">
      <int:Rejection type="LegacyProofing"/>
    </int:Content>
    <int:Content id="gfyrWI8a">
      <int:Rejection type="AugLoop_Text_Critique"/>
    </int:Content>
    <int:Content id="HxHORFlh">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93AA10F"/>
  <w15:docId w15:val="{23189EE3-F2C8-490C-8462-37358AC8A807}"/>
  <w:rsids>
    <w:rsidRoot w:val="393AA10F"/>
    <w:rsid w:val="004D0EFD"/>
    <w:rsid w:val="009CF272"/>
    <w:rsid w:val="00D6350A"/>
    <w:rsid w:val="01249E8A"/>
    <w:rsid w:val="0135D961"/>
    <w:rsid w:val="0136D163"/>
    <w:rsid w:val="018DD094"/>
    <w:rsid w:val="01D5CEA2"/>
    <w:rsid w:val="0222A6D0"/>
    <w:rsid w:val="022C0C13"/>
    <w:rsid w:val="023DCB88"/>
    <w:rsid w:val="025533F8"/>
    <w:rsid w:val="0267D69F"/>
    <w:rsid w:val="02ABB952"/>
    <w:rsid w:val="033FAABF"/>
    <w:rsid w:val="034692E8"/>
    <w:rsid w:val="036D68F4"/>
    <w:rsid w:val="038F62AA"/>
    <w:rsid w:val="03A8F0D4"/>
    <w:rsid w:val="041FB58B"/>
    <w:rsid w:val="0439D5E9"/>
    <w:rsid w:val="04591157"/>
    <w:rsid w:val="046DD432"/>
    <w:rsid w:val="046E7225"/>
    <w:rsid w:val="04BBD071"/>
    <w:rsid w:val="0525C7F9"/>
    <w:rsid w:val="0544C135"/>
    <w:rsid w:val="05C5ED46"/>
    <w:rsid w:val="05DF79A4"/>
    <w:rsid w:val="05E35A14"/>
    <w:rsid w:val="0633FE9D"/>
    <w:rsid w:val="0659D6F3"/>
    <w:rsid w:val="0671F304"/>
    <w:rsid w:val="0697081B"/>
    <w:rsid w:val="06F00B86"/>
    <w:rsid w:val="0804FF9E"/>
    <w:rsid w:val="08A214FE"/>
    <w:rsid w:val="08E2FA88"/>
    <w:rsid w:val="09B6C59B"/>
    <w:rsid w:val="09CEA8DD"/>
    <w:rsid w:val="0A4A666C"/>
    <w:rsid w:val="0A522B17"/>
    <w:rsid w:val="0ACB80D0"/>
    <w:rsid w:val="0B166555"/>
    <w:rsid w:val="0BBF4826"/>
    <w:rsid w:val="0C27D661"/>
    <w:rsid w:val="0C28D657"/>
    <w:rsid w:val="0C675131"/>
    <w:rsid w:val="0CD838D4"/>
    <w:rsid w:val="0DCC9AF2"/>
    <w:rsid w:val="0DF88E2B"/>
    <w:rsid w:val="0E4293FA"/>
    <w:rsid w:val="0E43960D"/>
    <w:rsid w:val="0EC520AB"/>
    <w:rsid w:val="0EC52726"/>
    <w:rsid w:val="0ED43167"/>
    <w:rsid w:val="0F18933C"/>
    <w:rsid w:val="0F1F75BE"/>
    <w:rsid w:val="0F540506"/>
    <w:rsid w:val="0F8E46CF"/>
    <w:rsid w:val="0FF6E926"/>
    <w:rsid w:val="1029F41B"/>
    <w:rsid w:val="10941C27"/>
    <w:rsid w:val="10B4063C"/>
    <w:rsid w:val="10DBF328"/>
    <w:rsid w:val="10F6CF84"/>
    <w:rsid w:val="110B6D8A"/>
    <w:rsid w:val="11557466"/>
    <w:rsid w:val="11AC1E36"/>
    <w:rsid w:val="11FCC7E8"/>
    <w:rsid w:val="122A72F2"/>
    <w:rsid w:val="124FD69D"/>
    <w:rsid w:val="1289663F"/>
    <w:rsid w:val="1289EF8C"/>
    <w:rsid w:val="13145AD4"/>
    <w:rsid w:val="139891CE"/>
    <w:rsid w:val="13989849"/>
    <w:rsid w:val="13A93FC5"/>
    <w:rsid w:val="13BB729E"/>
    <w:rsid w:val="13D82055"/>
    <w:rsid w:val="146DB733"/>
    <w:rsid w:val="1483B4EC"/>
    <w:rsid w:val="14A5B56F"/>
    <w:rsid w:val="14A92A5E"/>
    <w:rsid w:val="152F7A0A"/>
    <w:rsid w:val="153468AA"/>
    <w:rsid w:val="1548EB72"/>
    <w:rsid w:val="155742FF"/>
    <w:rsid w:val="157DFDB8"/>
    <w:rsid w:val="15B23B1D"/>
    <w:rsid w:val="15C10701"/>
    <w:rsid w:val="162D448E"/>
    <w:rsid w:val="163A6163"/>
    <w:rsid w:val="1640C09F"/>
    <w:rsid w:val="165E2C15"/>
    <w:rsid w:val="16E4BBD3"/>
    <w:rsid w:val="172347C0"/>
    <w:rsid w:val="17C82883"/>
    <w:rsid w:val="181B2368"/>
    <w:rsid w:val="186B7611"/>
    <w:rsid w:val="186C02F1"/>
    <w:rsid w:val="18808C34"/>
    <w:rsid w:val="18F7DBBF"/>
    <w:rsid w:val="18F8A7C3"/>
    <w:rsid w:val="19792692"/>
    <w:rsid w:val="19A894E7"/>
    <w:rsid w:val="19C80DDD"/>
    <w:rsid w:val="19CFFA68"/>
    <w:rsid w:val="1A2A8007"/>
    <w:rsid w:val="1A2AB422"/>
    <w:rsid w:val="1A516EDB"/>
    <w:rsid w:val="1B5944BD"/>
    <w:rsid w:val="1B71A7B2"/>
    <w:rsid w:val="1BB451AA"/>
    <w:rsid w:val="1BCA974F"/>
    <w:rsid w:val="1BDF2B93"/>
    <w:rsid w:val="1CAFB927"/>
    <w:rsid w:val="1CC3DDC3"/>
    <w:rsid w:val="1D2BDB3E"/>
    <w:rsid w:val="1D40A72A"/>
    <w:rsid w:val="1D4359F8"/>
    <w:rsid w:val="1D6FE740"/>
    <w:rsid w:val="1D7AFBF4"/>
    <w:rsid w:val="1D8583C8"/>
    <w:rsid w:val="1E48734E"/>
    <w:rsid w:val="1E4B8988"/>
    <w:rsid w:val="200D0CF0"/>
    <w:rsid w:val="2012172C"/>
    <w:rsid w:val="208FB053"/>
    <w:rsid w:val="213208E5"/>
    <w:rsid w:val="2183C271"/>
    <w:rsid w:val="2223932E"/>
    <w:rsid w:val="2280DD99"/>
    <w:rsid w:val="22A29074"/>
    <w:rsid w:val="2336CC72"/>
    <w:rsid w:val="239271A2"/>
    <w:rsid w:val="2401DA24"/>
    <w:rsid w:val="2409B84E"/>
    <w:rsid w:val="244209E2"/>
    <w:rsid w:val="24459A18"/>
    <w:rsid w:val="24AB9293"/>
    <w:rsid w:val="2573B31E"/>
    <w:rsid w:val="2575544F"/>
    <w:rsid w:val="25C75C4D"/>
    <w:rsid w:val="25E5552F"/>
    <w:rsid w:val="26578782"/>
    <w:rsid w:val="26F83F7F"/>
    <w:rsid w:val="271124B0"/>
    <w:rsid w:val="27133DB1"/>
    <w:rsid w:val="27ECD517"/>
    <w:rsid w:val="2815808C"/>
    <w:rsid w:val="28BA876D"/>
    <w:rsid w:val="2A81A0F6"/>
    <w:rsid w:val="2AFFB87E"/>
    <w:rsid w:val="2B22EA2B"/>
    <w:rsid w:val="2B6BA1A7"/>
    <w:rsid w:val="2BFBA1D6"/>
    <w:rsid w:val="2C05B553"/>
    <w:rsid w:val="2C622D4A"/>
    <w:rsid w:val="2CBE9276"/>
    <w:rsid w:val="2E4F54EB"/>
    <w:rsid w:val="2EB0FFBF"/>
    <w:rsid w:val="2F3D5615"/>
    <w:rsid w:val="2F6D2325"/>
    <w:rsid w:val="2F829FC6"/>
    <w:rsid w:val="2FCC0950"/>
    <w:rsid w:val="2FF7C6CF"/>
    <w:rsid w:val="2FFA732B"/>
    <w:rsid w:val="301FCC14"/>
    <w:rsid w:val="3033D086"/>
    <w:rsid w:val="304CD020"/>
    <w:rsid w:val="30AC2BD4"/>
    <w:rsid w:val="30C4E534"/>
    <w:rsid w:val="30D073BF"/>
    <w:rsid w:val="30FDCB50"/>
    <w:rsid w:val="31305DF6"/>
    <w:rsid w:val="31FFD681"/>
    <w:rsid w:val="3241A47E"/>
    <w:rsid w:val="32513185"/>
    <w:rsid w:val="33167B30"/>
    <w:rsid w:val="3362BF02"/>
    <w:rsid w:val="336E3845"/>
    <w:rsid w:val="337B0586"/>
    <w:rsid w:val="339FDA79"/>
    <w:rsid w:val="33A0E83F"/>
    <w:rsid w:val="3406B3BB"/>
    <w:rsid w:val="343F839A"/>
    <w:rsid w:val="34FE66B0"/>
    <w:rsid w:val="35794540"/>
    <w:rsid w:val="3601924C"/>
    <w:rsid w:val="3666386C"/>
    <w:rsid w:val="3727ACA7"/>
    <w:rsid w:val="3788BB40"/>
    <w:rsid w:val="37CCA3B9"/>
    <w:rsid w:val="3808D894"/>
    <w:rsid w:val="38289DC9"/>
    <w:rsid w:val="391E5E6E"/>
    <w:rsid w:val="393AA10F"/>
    <w:rsid w:val="393EA399"/>
    <w:rsid w:val="3944C5B3"/>
    <w:rsid w:val="3955C1AA"/>
    <w:rsid w:val="39A13A13"/>
    <w:rsid w:val="39D20086"/>
    <w:rsid w:val="39E19BEA"/>
    <w:rsid w:val="39EC3C2D"/>
    <w:rsid w:val="39EFB752"/>
    <w:rsid w:val="3AA64C90"/>
    <w:rsid w:val="3B036A9B"/>
    <w:rsid w:val="3B3EE513"/>
    <w:rsid w:val="3D1B9246"/>
    <w:rsid w:val="3D51E891"/>
    <w:rsid w:val="3D8E430B"/>
    <w:rsid w:val="3E0D20BB"/>
    <w:rsid w:val="3E4E4A3F"/>
    <w:rsid w:val="3E733D95"/>
    <w:rsid w:val="3EB775CE"/>
    <w:rsid w:val="3F7B1A3B"/>
    <w:rsid w:val="3FEB20C7"/>
    <w:rsid w:val="3FFAC21C"/>
    <w:rsid w:val="402DDC24"/>
    <w:rsid w:val="4052D291"/>
    <w:rsid w:val="40971491"/>
    <w:rsid w:val="419A6DC9"/>
    <w:rsid w:val="41CECBF1"/>
    <w:rsid w:val="42BAC9F1"/>
    <w:rsid w:val="42FDF688"/>
    <w:rsid w:val="43271C7F"/>
    <w:rsid w:val="4374CA17"/>
    <w:rsid w:val="43E6024B"/>
    <w:rsid w:val="43FF8EA9"/>
    <w:rsid w:val="440CFD74"/>
    <w:rsid w:val="44226A3F"/>
    <w:rsid w:val="44537D62"/>
    <w:rsid w:val="44845ED5"/>
    <w:rsid w:val="44D5147E"/>
    <w:rsid w:val="459C0E1C"/>
    <w:rsid w:val="45A1815F"/>
    <w:rsid w:val="45D3421C"/>
    <w:rsid w:val="467C3679"/>
    <w:rsid w:val="4689C8D5"/>
    <w:rsid w:val="46A2F132"/>
    <w:rsid w:val="4711E6B1"/>
    <w:rsid w:val="473A9472"/>
    <w:rsid w:val="4757C6B3"/>
    <w:rsid w:val="47C491EC"/>
    <w:rsid w:val="47EC5764"/>
    <w:rsid w:val="47F4992A"/>
    <w:rsid w:val="4805D401"/>
    <w:rsid w:val="481685F5"/>
    <w:rsid w:val="48259936"/>
    <w:rsid w:val="48E266F9"/>
    <w:rsid w:val="4A04CE81"/>
    <w:rsid w:val="4ACCBB92"/>
    <w:rsid w:val="4B9ABF2E"/>
    <w:rsid w:val="4C4AC345"/>
    <w:rsid w:val="4C539F99"/>
    <w:rsid w:val="4CD94524"/>
    <w:rsid w:val="4CF5C56E"/>
    <w:rsid w:val="4D0C65A7"/>
    <w:rsid w:val="4D24579E"/>
    <w:rsid w:val="4DB52F48"/>
    <w:rsid w:val="4DD0928D"/>
    <w:rsid w:val="4E63DAAE"/>
    <w:rsid w:val="4E87485E"/>
    <w:rsid w:val="4EB1BCB8"/>
    <w:rsid w:val="4EB970DF"/>
    <w:rsid w:val="4EDC9430"/>
    <w:rsid w:val="4F02D31C"/>
    <w:rsid w:val="4F2DC90B"/>
    <w:rsid w:val="4FAACACF"/>
    <w:rsid w:val="4FAFA155"/>
    <w:rsid w:val="4FFFAB0F"/>
    <w:rsid w:val="50E13231"/>
    <w:rsid w:val="527BC252"/>
    <w:rsid w:val="538B1BD0"/>
    <w:rsid w:val="54127347"/>
    <w:rsid w:val="543728F1"/>
    <w:rsid w:val="5499EA06"/>
    <w:rsid w:val="54ADC9B5"/>
    <w:rsid w:val="54E54F0B"/>
    <w:rsid w:val="55AA3C06"/>
    <w:rsid w:val="55B36314"/>
    <w:rsid w:val="55E6F420"/>
    <w:rsid w:val="5636015F"/>
    <w:rsid w:val="5640454F"/>
    <w:rsid w:val="570DE501"/>
    <w:rsid w:val="5762AF86"/>
    <w:rsid w:val="57DC15B0"/>
    <w:rsid w:val="586A4E19"/>
    <w:rsid w:val="59D12BCE"/>
    <w:rsid w:val="59DB5BE1"/>
    <w:rsid w:val="5A4585C3"/>
    <w:rsid w:val="5B0168B3"/>
    <w:rsid w:val="5B03E2DC"/>
    <w:rsid w:val="5B84C4EF"/>
    <w:rsid w:val="5B859AD5"/>
    <w:rsid w:val="5BDFA0B2"/>
    <w:rsid w:val="5C1CF84C"/>
    <w:rsid w:val="5C9FB33D"/>
    <w:rsid w:val="5D3DBF3C"/>
    <w:rsid w:val="5DE9C8B9"/>
    <w:rsid w:val="5EBAAE22"/>
    <w:rsid w:val="5ED98F9D"/>
    <w:rsid w:val="5EF65E8E"/>
    <w:rsid w:val="5F0BCF57"/>
    <w:rsid w:val="6073285F"/>
    <w:rsid w:val="60755FFE"/>
    <w:rsid w:val="617EF5B5"/>
    <w:rsid w:val="61DD5A15"/>
    <w:rsid w:val="61FCAD97"/>
    <w:rsid w:val="624C22BF"/>
    <w:rsid w:val="62DEDD3F"/>
    <w:rsid w:val="63F07AEA"/>
    <w:rsid w:val="644299CF"/>
    <w:rsid w:val="644B77E1"/>
    <w:rsid w:val="646B575E"/>
    <w:rsid w:val="64AE7767"/>
    <w:rsid w:val="64F4BC87"/>
    <w:rsid w:val="65C3DA92"/>
    <w:rsid w:val="65EB97E5"/>
    <w:rsid w:val="6637E3E7"/>
    <w:rsid w:val="67470F76"/>
    <w:rsid w:val="67713FD9"/>
    <w:rsid w:val="6786D220"/>
    <w:rsid w:val="67A2F820"/>
    <w:rsid w:val="67B3DBDE"/>
    <w:rsid w:val="693EC881"/>
    <w:rsid w:val="6960B8C5"/>
    <w:rsid w:val="699A73C2"/>
    <w:rsid w:val="69A74115"/>
    <w:rsid w:val="69D370C4"/>
    <w:rsid w:val="69F00378"/>
    <w:rsid w:val="6A1A7880"/>
    <w:rsid w:val="6A639713"/>
    <w:rsid w:val="6AA8868C"/>
    <w:rsid w:val="6AC2A6EB"/>
    <w:rsid w:val="6ADA98E2"/>
    <w:rsid w:val="6ADADC20"/>
    <w:rsid w:val="6ADED0F5"/>
    <w:rsid w:val="6B08F825"/>
    <w:rsid w:val="6C44B0FC"/>
    <w:rsid w:val="6C766943"/>
    <w:rsid w:val="6CA7256B"/>
    <w:rsid w:val="6CD21484"/>
    <w:rsid w:val="6D2520D5"/>
    <w:rsid w:val="6D603E91"/>
    <w:rsid w:val="6DCEEC77"/>
    <w:rsid w:val="6DD6D9FD"/>
    <w:rsid w:val="6E07DA09"/>
    <w:rsid w:val="6E1056FC"/>
    <w:rsid w:val="6E5287DC"/>
    <w:rsid w:val="6E593464"/>
    <w:rsid w:val="6EE0E109"/>
    <w:rsid w:val="6F6897EC"/>
    <w:rsid w:val="6F9004DA"/>
    <w:rsid w:val="6FAE0A05"/>
    <w:rsid w:val="6FAE8649"/>
    <w:rsid w:val="6FEE583D"/>
    <w:rsid w:val="708BFBD3"/>
    <w:rsid w:val="7093714E"/>
    <w:rsid w:val="70975F94"/>
    <w:rsid w:val="7118C012"/>
    <w:rsid w:val="71340170"/>
    <w:rsid w:val="71421519"/>
    <w:rsid w:val="7181DA06"/>
    <w:rsid w:val="71E61F56"/>
    <w:rsid w:val="720BE512"/>
    <w:rsid w:val="7256D865"/>
    <w:rsid w:val="72631F4C"/>
    <w:rsid w:val="728DA801"/>
    <w:rsid w:val="72B49073"/>
    <w:rsid w:val="72BB85F7"/>
    <w:rsid w:val="72CFD1D1"/>
    <w:rsid w:val="73586CC2"/>
    <w:rsid w:val="735AF14F"/>
    <w:rsid w:val="739A8E5D"/>
    <w:rsid w:val="74297862"/>
    <w:rsid w:val="743E2DFB"/>
    <w:rsid w:val="74B55CC5"/>
    <w:rsid w:val="74D21E3D"/>
    <w:rsid w:val="75540870"/>
    <w:rsid w:val="7606E393"/>
    <w:rsid w:val="7633697D"/>
    <w:rsid w:val="7659817E"/>
    <w:rsid w:val="76988E46"/>
    <w:rsid w:val="76B498F2"/>
    <w:rsid w:val="76DF0E34"/>
    <w:rsid w:val="776520C6"/>
    <w:rsid w:val="77A129F3"/>
    <w:rsid w:val="77AEBC4F"/>
    <w:rsid w:val="782B75E9"/>
    <w:rsid w:val="784CB5BA"/>
    <w:rsid w:val="787CBA2D"/>
    <w:rsid w:val="7886811B"/>
    <w:rsid w:val="7896E941"/>
    <w:rsid w:val="7900F127"/>
    <w:rsid w:val="7975D9F5"/>
    <w:rsid w:val="7A1B5CCF"/>
    <w:rsid w:val="7ACFECA3"/>
    <w:rsid w:val="7AD8CAB5"/>
    <w:rsid w:val="7AE65D11"/>
    <w:rsid w:val="7AF8AA32"/>
    <w:rsid w:val="7B0D00A4"/>
    <w:rsid w:val="7B1D09E7"/>
    <w:rsid w:val="7B5B9FEE"/>
    <w:rsid w:val="7B9FD4B7"/>
    <w:rsid w:val="7BCE8A03"/>
    <w:rsid w:val="7C01403A"/>
    <w:rsid w:val="7CC017E2"/>
    <w:rsid w:val="7D01CE64"/>
    <w:rsid w:val="7D3D02D3"/>
    <w:rsid w:val="7DD4624A"/>
    <w:rsid w:val="7DF7431A"/>
    <w:rsid w:val="7E1DFDD3"/>
    <w:rsid w:val="7E5B3A0D"/>
    <w:rsid w:val="7E61071C"/>
    <w:rsid w:val="7EA367B5"/>
    <w:rsid w:val="7EDA3C76"/>
    <w:rsid w:val="7F78E33F"/>
    <w:rsid w:val="7F80E0A2"/>
    <w:rsid w:val="7F88CE28"/>
    <w:rsid w:val="7F9A630E"/>
    <w:rsid w:val="7F9B0101"/>
    <w:rsid w:val="7FB15F61"/>
  </w:rsids>
  <w:endnotePr>
    <w:endnote w:id="-1"/>
    <w:endnote w:id="0"/>
  </w:endnotePr>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EndnoteTextChar" w:customStyle="1" mc:Ignorable="w14">
    <w:name xmlns:w="http://schemas.openxmlformats.org/wordprocessingml/2006/main" w:val="Endnote Text Char"/>
    <w:basedOn xmlns:w="http://schemas.openxmlformats.org/wordprocessingml/2006/main" w:val="DefaultParagraphFont"/>
    <w:link xmlns:w="http://schemas.openxmlformats.org/wordprocessingml/2006/main" w:val="End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EndnoteText" mc:Ignorable="w14">
    <w:basedOn xmlns:w="http://schemas.openxmlformats.org/wordprocessingml/2006/main" w:val="Normal"/>
    <w:link xmlns:w="http://schemas.openxmlformats.org/wordprocessingml/2006/main" w:val="EndnoteTextChar"/>
    <w:name xmlns:w="http://schemas.openxmlformats.org/wordprocessingml/2006/main" w:val="end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endnotes" Target="/word/endnotes.xml" Id="Rcba900facde743dd" /><Relationship Type="http://schemas.openxmlformats.org/officeDocument/2006/relationships/footnotes" Target="/word/footnotes.xml" Id="R6afd8d0aed7a4de4" /><Relationship Type="http://schemas.microsoft.com/office/2019/09/relationships/intelligence" Target="/word/intelligence.xml" Id="R9aca38580b5f44a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2021-08-02T17:28:41.8093017Z</dcterms:created>
  <dcterms:modified xsi:type="dcterms:W3CDTF">2021-08-02T22:08:32.5850562Z</dcterms:modified>
  <dc:creator>Sean Robert Kirkham (1802923)</dc:creator>
  <lastModifiedBy>Sean Robert Kirkham (1802923)</lastModifiedBy>
</coreProperties>
</file>