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4882" w:rsidRPr="006C4882" w:rsidRDefault="006C4882" w:rsidP="006C4882">
      <w:pPr>
        <w:spacing w:line="360" w:lineRule="auto"/>
        <w:rPr>
          <w:rFonts w:ascii="Times New Roman" w:hAnsi="Times New Roman" w:cs="Times New Roman"/>
          <w:sz w:val="24"/>
          <w:u w:val="single"/>
        </w:rPr>
      </w:pPr>
      <w:r w:rsidRPr="006C4882">
        <w:rPr>
          <w:rFonts w:ascii="Times New Roman" w:hAnsi="Times New Roman" w:cs="Times New Roman"/>
          <w:sz w:val="24"/>
          <w:u w:val="single"/>
        </w:rPr>
        <w:t>A Review of Cavalry Recruited in Macedonia down to 322 B.C. by Nicholas G. L. Hammond</w:t>
      </w:r>
    </w:p>
    <w:p w:rsidR="008E3705" w:rsidRPr="00F9705E" w:rsidRDefault="00681346" w:rsidP="00F9705E">
      <w:pPr>
        <w:spacing w:line="360" w:lineRule="auto"/>
        <w:rPr>
          <w:rFonts w:ascii="Times New Roman" w:hAnsi="Times New Roman" w:cs="Times New Roman"/>
          <w:sz w:val="24"/>
        </w:rPr>
      </w:pPr>
      <w:r w:rsidRPr="00F9705E">
        <w:rPr>
          <w:rFonts w:ascii="Times New Roman" w:hAnsi="Times New Roman" w:cs="Times New Roman"/>
          <w:sz w:val="24"/>
        </w:rPr>
        <w:t>Nicholas Geoffrey Lampriere Hammond is a</w:t>
      </w:r>
      <w:r w:rsidR="00A51086" w:rsidRPr="00F9705E">
        <w:rPr>
          <w:rFonts w:ascii="Times New Roman" w:hAnsi="Times New Roman" w:cs="Times New Roman"/>
          <w:sz w:val="24"/>
        </w:rPr>
        <w:t xml:space="preserve">n infamous </w:t>
      </w:r>
      <w:r w:rsidRPr="00F9705E">
        <w:rPr>
          <w:rFonts w:ascii="Times New Roman" w:hAnsi="Times New Roman" w:cs="Times New Roman"/>
          <w:sz w:val="24"/>
        </w:rPr>
        <w:t>historian in the field of Macedon contributing on multiple occasions to various volumes of Cambridge Ancient History and the second edition of the Oxford Classical dictionary</w:t>
      </w:r>
      <w:r w:rsidR="00F27103" w:rsidRPr="00F9705E">
        <w:rPr>
          <w:rStyle w:val="FootnoteReference"/>
          <w:rFonts w:ascii="Times New Roman" w:hAnsi="Times New Roman" w:cs="Times New Roman"/>
          <w:sz w:val="24"/>
        </w:rPr>
        <w:footnoteReference w:id="2"/>
      </w:r>
      <w:r w:rsidRPr="00F9705E">
        <w:rPr>
          <w:rFonts w:ascii="Times New Roman" w:hAnsi="Times New Roman" w:cs="Times New Roman"/>
          <w:sz w:val="24"/>
        </w:rPr>
        <w:t>, specialising</w:t>
      </w:r>
      <w:r w:rsidR="00B01883" w:rsidRPr="00F9705E">
        <w:rPr>
          <w:rFonts w:ascii="Times New Roman" w:hAnsi="Times New Roman" w:cs="Times New Roman"/>
          <w:sz w:val="24"/>
        </w:rPr>
        <w:t xml:space="preserve"> in Alexander the Great and his theory of the relationship of Vergina with Aegae</w:t>
      </w:r>
      <w:r w:rsidR="00F27103" w:rsidRPr="00F9705E">
        <w:rPr>
          <w:rStyle w:val="FootnoteReference"/>
          <w:rFonts w:ascii="Times New Roman" w:hAnsi="Times New Roman" w:cs="Times New Roman"/>
          <w:sz w:val="24"/>
        </w:rPr>
        <w:footnoteReference w:id="3"/>
      </w:r>
      <w:r w:rsidR="00B01883" w:rsidRPr="00F9705E">
        <w:rPr>
          <w:rFonts w:ascii="Times New Roman" w:hAnsi="Times New Roman" w:cs="Times New Roman"/>
          <w:sz w:val="24"/>
        </w:rPr>
        <w:t>, and various other works</w:t>
      </w:r>
      <w:r w:rsidR="0088363C" w:rsidRPr="00F9705E">
        <w:rPr>
          <w:rFonts w:ascii="Times New Roman" w:hAnsi="Times New Roman" w:cs="Times New Roman"/>
          <w:sz w:val="24"/>
        </w:rPr>
        <w:t>.</w:t>
      </w:r>
      <w:r w:rsidR="00B01883" w:rsidRPr="00F9705E">
        <w:rPr>
          <w:rStyle w:val="FootnoteReference"/>
          <w:rFonts w:ascii="Times New Roman" w:hAnsi="Times New Roman" w:cs="Times New Roman"/>
          <w:sz w:val="24"/>
        </w:rPr>
        <w:footnoteReference w:id="4"/>
      </w:r>
      <w:r w:rsidR="00B01883" w:rsidRPr="00F9705E">
        <w:rPr>
          <w:rFonts w:ascii="Times New Roman" w:hAnsi="Times New Roman" w:cs="Times New Roman"/>
          <w:sz w:val="24"/>
        </w:rPr>
        <w:t xml:space="preserve"> </w:t>
      </w:r>
      <w:r w:rsidR="008E3705" w:rsidRPr="00F9705E">
        <w:rPr>
          <w:rFonts w:ascii="Times New Roman" w:hAnsi="Times New Roman" w:cs="Times New Roman"/>
          <w:sz w:val="24"/>
        </w:rPr>
        <w:t xml:space="preserve">One third of the entries in the Abbreviations and Select </w:t>
      </w:r>
      <w:r w:rsidR="00850946" w:rsidRPr="00F9705E">
        <w:rPr>
          <w:rFonts w:ascii="Times New Roman" w:hAnsi="Times New Roman" w:cs="Times New Roman"/>
          <w:sz w:val="24"/>
        </w:rPr>
        <w:t>Bibliography</w:t>
      </w:r>
      <w:r w:rsidR="008E3705" w:rsidRPr="00F9705E">
        <w:rPr>
          <w:rFonts w:ascii="Times New Roman" w:hAnsi="Times New Roman" w:cs="Times New Roman"/>
          <w:sz w:val="24"/>
        </w:rPr>
        <w:t xml:space="preserve"> are at least contributed to if not written by Hammond.</w:t>
      </w:r>
      <w:r w:rsidR="00F73768" w:rsidRPr="00F9705E">
        <w:rPr>
          <w:rFonts w:ascii="Times New Roman" w:hAnsi="Times New Roman" w:cs="Times New Roman"/>
          <w:sz w:val="24"/>
        </w:rPr>
        <w:t xml:space="preserve"> In fact in my research </w:t>
      </w:r>
      <w:r w:rsidR="005F2C03" w:rsidRPr="00F9705E">
        <w:rPr>
          <w:rFonts w:ascii="Times New Roman" w:hAnsi="Times New Roman" w:cs="Times New Roman"/>
          <w:sz w:val="24"/>
        </w:rPr>
        <w:t>Hammond was consistently</w:t>
      </w:r>
      <w:r w:rsidR="00F73768" w:rsidRPr="00F9705E">
        <w:rPr>
          <w:rFonts w:ascii="Times New Roman" w:hAnsi="Times New Roman" w:cs="Times New Roman"/>
          <w:sz w:val="24"/>
        </w:rPr>
        <w:t xml:space="preserve"> source for almost all other works.</w:t>
      </w:r>
      <w:r w:rsidR="004D5E6D" w:rsidRPr="00F9705E">
        <w:rPr>
          <w:rFonts w:ascii="Times New Roman" w:hAnsi="Times New Roman" w:cs="Times New Roman"/>
          <w:sz w:val="24"/>
        </w:rPr>
        <w:t xml:space="preserve"> In his review of a different piece of Hammonds earlier work Heckel commented that the work was an example of vintage Hammond which</w:t>
      </w:r>
      <w:r w:rsidR="005F2C03" w:rsidRPr="00F9705E">
        <w:rPr>
          <w:rFonts w:ascii="Times New Roman" w:hAnsi="Times New Roman" w:cs="Times New Roman"/>
          <w:sz w:val="24"/>
        </w:rPr>
        <w:t xml:space="preserve"> sheds a</w:t>
      </w:r>
      <w:r w:rsidR="00F27103" w:rsidRPr="00F9705E">
        <w:rPr>
          <w:rFonts w:ascii="Times New Roman" w:hAnsi="Times New Roman" w:cs="Times New Roman"/>
          <w:sz w:val="24"/>
        </w:rPr>
        <w:t>n</w:t>
      </w:r>
      <w:r w:rsidR="005F2C03" w:rsidRPr="00F9705E">
        <w:rPr>
          <w:rFonts w:ascii="Times New Roman" w:hAnsi="Times New Roman" w:cs="Times New Roman"/>
          <w:sz w:val="24"/>
        </w:rPr>
        <w:t xml:space="preserve"> inappropriately positive light on his work, which will be discussed further</w:t>
      </w:r>
      <w:r w:rsidR="004D5E6D" w:rsidRPr="00F9705E">
        <w:rPr>
          <w:rFonts w:ascii="Times New Roman" w:hAnsi="Times New Roman" w:cs="Times New Roman"/>
          <w:sz w:val="24"/>
        </w:rPr>
        <w:t>.</w:t>
      </w:r>
    </w:p>
    <w:p w:rsidR="009F22B5" w:rsidRPr="00F9705E" w:rsidRDefault="00591549" w:rsidP="00F9705E">
      <w:pPr>
        <w:spacing w:line="360" w:lineRule="auto"/>
        <w:rPr>
          <w:rFonts w:ascii="Times New Roman" w:hAnsi="Times New Roman" w:cs="Times New Roman"/>
          <w:sz w:val="24"/>
        </w:rPr>
      </w:pPr>
      <w:r w:rsidRPr="00F9705E">
        <w:rPr>
          <w:rFonts w:ascii="Times New Roman" w:hAnsi="Times New Roman" w:cs="Times New Roman"/>
          <w:sz w:val="24"/>
        </w:rPr>
        <w:t xml:space="preserve">The cavalry unit discussed is the Companions or Hetairoi who were the elite cavalry of Macedon, they originated under Philip II however it was under Alexander that they achieved infamy as the most fearsome cavalry in Greece, the elite of the elite also functioned as kings guard (which is how they got their name as Hetairoi roughly translates to ‘those near the king’). The kings guard however was not exclusive to one class (the gentry) it could in fact be anyone whom the king held in high esteem. </w:t>
      </w:r>
      <w:r w:rsidR="009F22B5" w:rsidRPr="00F9705E">
        <w:rPr>
          <w:rFonts w:ascii="Times New Roman" w:hAnsi="Times New Roman" w:cs="Times New Roman"/>
          <w:sz w:val="24"/>
        </w:rPr>
        <w:t xml:space="preserve"> Given their high status they received the best of everything</w:t>
      </w:r>
      <w:r w:rsidR="00F27103" w:rsidRPr="00F9705E">
        <w:rPr>
          <w:rFonts w:ascii="Times New Roman" w:hAnsi="Times New Roman" w:cs="Times New Roman"/>
          <w:sz w:val="24"/>
        </w:rPr>
        <w:t>.</w:t>
      </w:r>
      <w:r w:rsidR="00F27103" w:rsidRPr="00F9705E">
        <w:rPr>
          <w:rStyle w:val="FootnoteReference"/>
          <w:rFonts w:ascii="Times New Roman" w:hAnsi="Times New Roman" w:cs="Times New Roman"/>
          <w:sz w:val="24"/>
        </w:rPr>
        <w:footnoteReference w:id="5"/>
      </w:r>
    </w:p>
    <w:p w:rsidR="000544E3" w:rsidRPr="00F9705E" w:rsidRDefault="00C37754" w:rsidP="00F9705E">
      <w:pPr>
        <w:spacing w:line="360" w:lineRule="auto"/>
        <w:rPr>
          <w:rFonts w:ascii="Times New Roman" w:hAnsi="Times New Roman" w:cs="Times New Roman"/>
          <w:sz w:val="24"/>
        </w:rPr>
      </w:pPr>
      <w:r w:rsidRPr="00F9705E">
        <w:rPr>
          <w:rFonts w:ascii="Times New Roman" w:hAnsi="Times New Roman" w:cs="Times New Roman"/>
          <w:sz w:val="24"/>
        </w:rPr>
        <w:t xml:space="preserve">The article is divided into six different segments: In the period to the death of Philip, the cavalry which crossed to Asia and fought at the Granicus, in the campaigns of the Issus and Gaugamela, the named squadrons of Companion cavalry and some numbers and general conclusions. Given the nature and style of the article one can infer that is meant for a scholarly audience or at least an audience with an understanding of the classical world. </w:t>
      </w:r>
      <w:r w:rsidR="009F22B5" w:rsidRPr="00F9705E">
        <w:rPr>
          <w:rFonts w:ascii="Times New Roman" w:hAnsi="Times New Roman" w:cs="Times New Roman"/>
          <w:sz w:val="24"/>
        </w:rPr>
        <w:t>And so Hammond also begins his article</w:t>
      </w:r>
      <w:r w:rsidRPr="00F9705E">
        <w:rPr>
          <w:rFonts w:ascii="Times New Roman" w:hAnsi="Times New Roman" w:cs="Times New Roman"/>
          <w:sz w:val="24"/>
        </w:rPr>
        <w:t xml:space="preserve"> in the section </w:t>
      </w:r>
      <w:r w:rsidR="00532C65" w:rsidRPr="00F9705E">
        <w:rPr>
          <w:rFonts w:ascii="Times New Roman" w:hAnsi="Times New Roman" w:cs="Times New Roman"/>
          <w:sz w:val="24"/>
        </w:rPr>
        <w:t>entitled</w:t>
      </w:r>
      <w:r w:rsidRPr="00F9705E">
        <w:rPr>
          <w:rFonts w:ascii="Times New Roman" w:hAnsi="Times New Roman" w:cs="Times New Roman"/>
          <w:sz w:val="24"/>
        </w:rPr>
        <w:t xml:space="preserve"> ‘In the period to the death of Philip’ </w:t>
      </w:r>
      <w:r w:rsidR="009F22B5" w:rsidRPr="00F9705E">
        <w:rPr>
          <w:rFonts w:ascii="Times New Roman" w:hAnsi="Times New Roman" w:cs="Times New Roman"/>
          <w:sz w:val="24"/>
        </w:rPr>
        <w:t xml:space="preserve"> with a list of the equipment the cavalry and even Alexander himself would have been </w:t>
      </w:r>
      <w:r w:rsidR="009F22B5" w:rsidRPr="00F9705E">
        <w:rPr>
          <w:rFonts w:ascii="Times New Roman" w:hAnsi="Times New Roman" w:cs="Times New Roman"/>
          <w:sz w:val="24"/>
        </w:rPr>
        <w:lastRenderedPageBreak/>
        <w:t>equipped with</w:t>
      </w:r>
      <w:r w:rsidRPr="00F9705E">
        <w:rPr>
          <w:rFonts w:ascii="Times New Roman" w:hAnsi="Times New Roman" w:cs="Times New Roman"/>
          <w:sz w:val="24"/>
        </w:rPr>
        <w:t>; metal helmets, gorgets, cuirass’ and greaves.</w:t>
      </w:r>
      <w:r w:rsidR="00532C65" w:rsidRPr="00F9705E">
        <w:rPr>
          <w:rStyle w:val="FootnoteReference"/>
          <w:rFonts w:ascii="Times New Roman" w:hAnsi="Times New Roman" w:cs="Times New Roman"/>
          <w:sz w:val="24"/>
        </w:rPr>
        <w:footnoteReference w:id="6"/>
      </w:r>
      <w:r w:rsidRPr="00F9705E">
        <w:rPr>
          <w:rFonts w:ascii="Times New Roman" w:hAnsi="Times New Roman" w:cs="Times New Roman"/>
          <w:sz w:val="24"/>
        </w:rPr>
        <w:t xml:space="preserve"> He also lists of the achievements of this fighting force; Hammond does reference a varying amount of ancient scholarship such as Diodorus, Polyaenus and more</w:t>
      </w:r>
      <w:r w:rsidR="00532C65" w:rsidRPr="00F9705E">
        <w:rPr>
          <w:rStyle w:val="FootnoteReference"/>
          <w:rFonts w:ascii="Times New Roman" w:hAnsi="Times New Roman" w:cs="Times New Roman"/>
          <w:sz w:val="24"/>
        </w:rPr>
        <w:footnoteReference w:id="7"/>
      </w:r>
      <w:r w:rsidRPr="00F9705E">
        <w:rPr>
          <w:rFonts w:ascii="Times New Roman" w:hAnsi="Times New Roman" w:cs="Times New Roman"/>
          <w:sz w:val="24"/>
        </w:rPr>
        <w:t xml:space="preserve"> however what he fails to do is engage </w:t>
      </w:r>
      <w:r w:rsidR="00532C65" w:rsidRPr="00F9705E">
        <w:rPr>
          <w:rFonts w:ascii="Times New Roman" w:hAnsi="Times New Roman" w:cs="Times New Roman"/>
          <w:sz w:val="24"/>
        </w:rPr>
        <w:t>with modern scholarship, Hammond gives a list of abbreviations of the scholarship he has used totalling 17 however 6 of those are his other work</w:t>
      </w:r>
      <w:r w:rsidR="00532C65" w:rsidRPr="00F9705E">
        <w:rPr>
          <w:rStyle w:val="FootnoteReference"/>
          <w:rFonts w:ascii="Times New Roman" w:hAnsi="Times New Roman" w:cs="Times New Roman"/>
          <w:sz w:val="24"/>
        </w:rPr>
        <w:footnoteReference w:id="8"/>
      </w:r>
      <w:r w:rsidR="00532C65" w:rsidRPr="00F9705E">
        <w:rPr>
          <w:rFonts w:ascii="Times New Roman" w:hAnsi="Times New Roman" w:cs="Times New Roman"/>
          <w:sz w:val="24"/>
        </w:rPr>
        <w:t>,</w:t>
      </w:r>
      <w:r w:rsidRPr="00F9705E">
        <w:rPr>
          <w:rFonts w:ascii="Times New Roman" w:hAnsi="Times New Roman" w:cs="Times New Roman"/>
          <w:sz w:val="24"/>
        </w:rPr>
        <w:t xml:space="preserve"> and this</w:t>
      </w:r>
      <w:r w:rsidR="00532C65" w:rsidRPr="00F9705E">
        <w:rPr>
          <w:rFonts w:ascii="Times New Roman" w:hAnsi="Times New Roman" w:cs="Times New Roman"/>
          <w:sz w:val="24"/>
        </w:rPr>
        <w:t xml:space="preserve"> lack of engagement</w:t>
      </w:r>
      <w:r w:rsidRPr="00F9705E">
        <w:rPr>
          <w:rFonts w:ascii="Times New Roman" w:hAnsi="Times New Roman" w:cs="Times New Roman"/>
          <w:sz w:val="24"/>
        </w:rPr>
        <w:t xml:space="preserve"> is a complaint which seems to be synonymous with Hammond’s wider work. This is addressed by Heckel who believes that Hammond may not have even read scholarship on his subject and those that he does engage with he only does so to dismiss their opinions as they often discredit the ancient sources which Hammond seems so enamoured with. Ha</w:t>
      </w:r>
      <w:r w:rsidR="003163D2" w:rsidRPr="00F9705E">
        <w:rPr>
          <w:rFonts w:ascii="Times New Roman" w:hAnsi="Times New Roman" w:cs="Times New Roman"/>
          <w:sz w:val="24"/>
        </w:rPr>
        <w:t>mmond has even said</w:t>
      </w:r>
      <w:r w:rsidRPr="00F9705E">
        <w:rPr>
          <w:rFonts w:ascii="Times New Roman" w:hAnsi="Times New Roman" w:cs="Times New Roman"/>
          <w:sz w:val="24"/>
        </w:rPr>
        <w:t xml:space="preserve"> “there has been a tendency in recent writing to give one’s own view of other scholars’ views rather than to tackle the ancient testimonia in detail. That is not my purpose”</w:t>
      </w:r>
      <w:r w:rsidR="00404474" w:rsidRPr="00F9705E">
        <w:rPr>
          <w:rStyle w:val="FootnoteReference"/>
          <w:rFonts w:ascii="Times New Roman" w:hAnsi="Times New Roman" w:cs="Times New Roman"/>
          <w:sz w:val="24"/>
        </w:rPr>
        <w:footnoteReference w:id="9"/>
      </w:r>
      <w:r w:rsidR="003163D2" w:rsidRPr="00F9705E">
        <w:rPr>
          <w:rFonts w:ascii="Times New Roman" w:hAnsi="Times New Roman" w:cs="Times New Roman"/>
          <w:sz w:val="24"/>
        </w:rPr>
        <w:t>. Although I understand the point Hammond is try to make as I myself find that sometimes scholars will rely too heavily on their contemporaries work which results in opinions sometimes feeling recycled I do believe that his complete disregard for others research and conclusions is deeply egotistical and arrogant and as a result his reliance and interpretation of the sources comes off as naive and uninformed as another scholar may have compelling evidence which disproves the evidence which Hammond is so readily accepts, Heckel</w:t>
      </w:r>
      <w:r w:rsidRPr="00F9705E">
        <w:rPr>
          <w:rFonts w:ascii="Times New Roman" w:hAnsi="Times New Roman" w:cs="Times New Roman"/>
          <w:sz w:val="24"/>
        </w:rPr>
        <w:t xml:space="preserve"> believes this is because “Hammond is heavily under the spell of his subject”</w:t>
      </w:r>
      <w:r w:rsidR="003163D2" w:rsidRPr="00F9705E">
        <w:rPr>
          <w:rFonts w:ascii="Times New Roman" w:hAnsi="Times New Roman" w:cs="Times New Roman"/>
          <w:sz w:val="24"/>
        </w:rPr>
        <w:t>.</w:t>
      </w:r>
      <w:r w:rsidR="00404474" w:rsidRPr="00F9705E">
        <w:rPr>
          <w:rStyle w:val="FootnoteReference"/>
          <w:rFonts w:ascii="Times New Roman" w:hAnsi="Times New Roman" w:cs="Times New Roman"/>
          <w:sz w:val="24"/>
        </w:rPr>
        <w:footnoteReference w:id="10"/>
      </w:r>
      <w:r w:rsidR="003163D2" w:rsidRPr="00F9705E">
        <w:rPr>
          <w:rFonts w:ascii="Times New Roman" w:hAnsi="Times New Roman" w:cs="Times New Roman"/>
          <w:sz w:val="24"/>
        </w:rPr>
        <w:t xml:space="preserve"> </w:t>
      </w:r>
      <w:r w:rsidR="00C95278" w:rsidRPr="00F9705E">
        <w:rPr>
          <w:rFonts w:ascii="Times New Roman" w:hAnsi="Times New Roman" w:cs="Times New Roman"/>
          <w:sz w:val="24"/>
        </w:rPr>
        <w:t xml:space="preserve">The major issue with this is that Hammond does end up </w:t>
      </w:r>
      <w:r w:rsidR="00404474" w:rsidRPr="00F9705E">
        <w:rPr>
          <w:rFonts w:ascii="Times New Roman" w:hAnsi="Times New Roman" w:cs="Times New Roman"/>
          <w:sz w:val="24"/>
        </w:rPr>
        <w:t>unintentionally rehashing</w:t>
      </w:r>
      <w:r w:rsidR="00F27103" w:rsidRPr="00F9705E">
        <w:rPr>
          <w:rFonts w:ascii="Times New Roman" w:hAnsi="Times New Roman" w:cs="Times New Roman"/>
          <w:sz w:val="24"/>
        </w:rPr>
        <w:t xml:space="preserve"> pr</w:t>
      </w:r>
      <w:r w:rsidR="00C95278" w:rsidRPr="00F9705E">
        <w:rPr>
          <w:rFonts w:ascii="Times New Roman" w:hAnsi="Times New Roman" w:cs="Times New Roman"/>
          <w:sz w:val="24"/>
        </w:rPr>
        <w:t>evi</w:t>
      </w:r>
      <w:r w:rsidR="00F27103" w:rsidRPr="00F9705E">
        <w:rPr>
          <w:rFonts w:ascii="Times New Roman" w:hAnsi="Times New Roman" w:cs="Times New Roman"/>
          <w:sz w:val="24"/>
        </w:rPr>
        <w:t xml:space="preserve">ous views of scholarship that have already been disproven. </w:t>
      </w:r>
      <w:r w:rsidR="003163D2" w:rsidRPr="00F9705E">
        <w:rPr>
          <w:rFonts w:ascii="Times New Roman" w:hAnsi="Times New Roman" w:cs="Times New Roman"/>
          <w:sz w:val="24"/>
        </w:rPr>
        <w:t>That is not to say that Hammonds work is completely without merit and itself should be completely dismissed as he would do but rather that is should be read under the eye of scrutiny.</w:t>
      </w:r>
    </w:p>
    <w:p w:rsidR="00591549" w:rsidRPr="00F9705E" w:rsidRDefault="000544E3" w:rsidP="00F9705E">
      <w:pPr>
        <w:spacing w:line="360" w:lineRule="auto"/>
        <w:rPr>
          <w:rFonts w:ascii="Times New Roman" w:hAnsi="Times New Roman" w:cs="Times New Roman"/>
          <w:sz w:val="24"/>
        </w:rPr>
      </w:pPr>
      <w:r w:rsidRPr="00F9705E">
        <w:rPr>
          <w:rFonts w:ascii="Times New Roman" w:hAnsi="Times New Roman" w:cs="Times New Roman"/>
          <w:sz w:val="24"/>
        </w:rPr>
        <w:t>With regard to his engagement with ancient sources Hammond does an excellent job of describing the events and piecing together the evidence in these sources to make a cohesive narrative detailing the recruitment of cav</w:t>
      </w:r>
      <w:r w:rsidR="00C04971" w:rsidRPr="00F9705E">
        <w:rPr>
          <w:rFonts w:ascii="Times New Roman" w:hAnsi="Times New Roman" w:cs="Times New Roman"/>
          <w:sz w:val="24"/>
        </w:rPr>
        <w:t xml:space="preserve">alry in Macedonia down to 322BC and it does excel at being a narrative however as an academic piece of work it falls short of the mark. Like with scholarship he doesn’t </w:t>
      </w:r>
      <w:r w:rsidR="00A51086" w:rsidRPr="00F9705E">
        <w:rPr>
          <w:rFonts w:ascii="Times New Roman" w:hAnsi="Times New Roman" w:cs="Times New Roman"/>
          <w:sz w:val="24"/>
        </w:rPr>
        <w:t xml:space="preserve">engage with it </w:t>
      </w:r>
      <w:r w:rsidR="00404474" w:rsidRPr="00F9705E">
        <w:rPr>
          <w:rFonts w:ascii="Times New Roman" w:hAnsi="Times New Roman" w:cs="Times New Roman"/>
          <w:sz w:val="24"/>
        </w:rPr>
        <w:t xml:space="preserve">critically </w:t>
      </w:r>
      <w:r w:rsidR="00A51086" w:rsidRPr="00F9705E">
        <w:rPr>
          <w:rFonts w:ascii="Times New Roman" w:hAnsi="Times New Roman" w:cs="Times New Roman"/>
          <w:sz w:val="24"/>
        </w:rPr>
        <w:t xml:space="preserve">what so ever, in the final segment titled ‘Some numbers and general conclusions’ where one would expect to find some engagement Hammond uses this as an opportunity to justify the ancient sources and disregard other </w:t>
      </w:r>
      <w:r w:rsidR="00A51086" w:rsidRPr="00F9705E">
        <w:rPr>
          <w:rFonts w:ascii="Times New Roman" w:hAnsi="Times New Roman" w:cs="Times New Roman"/>
          <w:sz w:val="24"/>
        </w:rPr>
        <w:lastRenderedPageBreak/>
        <w:t>scholars findings “Despite this evidence Beloch and the suc</w:t>
      </w:r>
      <w:r w:rsidR="00ED74BF" w:rsidRPr="00F9705E">
        <w:rPr>
          <w:rFonts w:ascii="Times New Roman" w:hAnsi="Times New Roman" w:cs="Times New Roman"/>
          <w:sz w:val="24"/>
        </w:rPr>
        <w:t>ceeding commentators have main</w:t>
      </w:r>
      <w:r w:rsidR="00A51086" w:rsidRPr="00F9705E">
        <w:rPr>
          <w:rFonts w:ascii="Times New Roman" w:hAnsi="Times New Roman" w:cs="Times New Roman"/>
          <w:sz w:val="24"/>
        </w:rPr>
        <w:t>tained that Craterus had in Cilicia 10,000 Macedonian infantrymen and 1,500 Macedonian cavalrymen. They rely entirely on their interpretation following passage in Diodorus”</w:t>
      </w:r>
      <w:r w:rsidR="00404474" w:rsidRPr="00F9705E">
        <w:rPr>
          <w:rStyle w:val="FootnoteReference"/>
          <w:rFonts w:ascii="Times New Roman" w:hAnsi="Times New Roman" w:cs="Times New Roman"/>
          <w:sz w:val="24"/>
        </w:rPr>
        <w:footnoteReference w:id="11"/>
      </w:r>
      <w:r w:rsidR="00A51086" w:rsidRPr="00F9705E">
        <w:rPr>
          <w:rFonts w:ascii="Times New Roman" w:hAnsi="Times New Roman" w:cs="Times New Roman"/>
          <w:sz w:val="24"/>
        </w:rPr>
        <w:t xml:space="preserve"> before breaking off again into further narrative. </w:t>
      </w:r>
      <w:r w:rsidR="00C04971" w:rsidRPr="00F9705E">
        <w:rPr>
          <w:rFonts w:ascii="Times New Roman" w:hAnsi="Times New Roman" w:cs="Times New Roman"/>
          <w:sz w:val="24"/>
        </w:rPr>
        <w:t>Th</w:t>
      </w:r>
      <w:r w:rsidR="00A51086" w:rsidRPr="00F9705E">
        <w:rPr>
          <w:rFonts w:ascii="Times New Roman" w:hAnsi="Times New Roman" w:cs="Times New Roman"/>
          <w:sz w:val="24"/>
        </w:rPr>
        <w:t xml:space="preserve">ere is a trend appearing in </w:t>
      </w:r>
      <w:r w:rsidR="005F2C03" w:rsidRPr="00F9705E">
        <w:rPr>
          <w:rFonts w:ascii="Times New Roman" w:hAnsi="Times New Roman" w:cs="Times New Roman"/>
          <w:sz w:val="24"/>
        </w:rPr>
        <w:t>Hammond’s</w:t>
      </w:r>
      <w:r w:rsidR="00A51086" w:rsidRPr="00F9705E">
        <w:rPr>
          <w:rFonts w:ascii="Times New Roman" w:hAnsi="Times New Roman" w:cs="Times New Roman"/>
          <w:sz w:val="24"/>
        </w:rPr>
        <w:t xml:space="preserve"> work which evidently extends beyond this article alone.</w:t>
      </w:r>
      <w:r w:rsidR="005F2C03" w:rsidRPr="00F9705E">
        <w:rPr>
          <w:rFonts w:ascii="Times New Roman" w:hAnsi="Times New Roman" w:cs="Times New Roman"/>
          <w:sz w:val="24"/>
        </w:rPr>
        <w:t xml:space="preserve"> </w:t>
      </w:r>
    </w:p>
    <w:p w:rsidR="005F2C03" w:rsidRPr="00F9705E" w:rsidRDefault="005F2C03" w:rsidP="00F9705E">
      <w:pPr>
        <w:spacing w:line="360" w:lineRule="auto"/>
        <w:rPr>
          <w:rFonts w:ascii="Times New Roman" w:hAnsi="Times New Roman" w:cs="Times New Roman"/>
          <w:sz w:val="24"/>
        </w:rPr>
      </w:pPr>
      <w:r w:rsidRPr="00F9705E">
        <w:rPr>
          <w:rFonts w:ascii="Times New Roman" w:hAnsi="Times New Roman" w:cs="Times New Roman"/>
          <w:sz w:val="24"/>
        </w:rPr>
        <w:t xml:space="preserve">The quality and functionality of Hammond’s work greatly depends on how one approaches it: if the reader is seeking a discussion on the credibility of sources, engagement with sources and scholarship regarding the validity of the numbers and events which transpired and an academic view on these events Hammond is not the source. However if one were to </w:t>
      </w:r>
      <w:r w:rsidR="00ED74BF" w:rsidRPr="00F9705E">
        <w:rPr>
          <w:rFonts w:ascii="Times New Roman" w:hAnsi="Times New Roman" w:cs="Times New Roman"/>
          <w:sz w:val="24"/>
        </w:rPr>
        <w:t xml:space="preserve">come at this looking for a well researched account from the ancient sources of the events that transpired in order to get an understanding of Macedonian recruitment of Cavalry Hammond is an excellent writer. </w:t>
      </w:r>
      <w:r w:rsidR="00C95278" w:rsidRPr="00F9705E">
        <w:rPr>
          <w:rFonts w:ascii="Times New Roman" w:hAnsi="Times New Roman" w:cs="Times New Roman"/>
          <w:sz w:val="24"/>
        </w:rPr>
        <w:t>And Hammond was for a time considered to be at the forefront of his field</w:t>
      </w:r>
      <w:r w:rsidR="00404474" w:rsidRPr="00F9705E">
        <w:rPr>
          <w:rStyle w:val="FootnoteReference"/>
          <w:rFonts w:ascii="Times New Roman" w:hAnsi="Times New Roman" w:cs="Times New Roman"/>
          <w:sz w:val="24"/>
        </w:rPr>
        <w:footnoteReference w:id="12"/>
      </w:r>
      <w:r w:rsidR="00C95278" w:rsidRPr="00F9705E">
        <w:rPr>
          <w:rFonts w:ascii="Times New Roman" w:hAnsi="Times New Roman" w:cs="Times New Roman"/>
          <w:sz w:val="24"/>
        </w:rPr>
        <w:t xml:space="preserve"> however he published his first title in 1959 ‘A History of Greece to 322 B.C.’ but was no doubt writing before then in a time before the archaeological discoveries at Aegae</w:t>
      </w:r>
      <w:r w:rsidR="00404474" w:rsidRPr="00F9705E">
        <w:rPr>
          <w:rStyle w:val="FootnoteReference"/>
          <w:rFonts w:ascii="Times New Roman" w:hAnsi="Times New Roman" w:cs="Times New Roman"/>
          <w:sz w:val="24"/>
        </w:rPr>
        <w:footnoteReference w:id="13"/>
      </w:r>
      <w:r w:rsidR="00C95278" w:rsidRPr="00F9705E">
        <w:rPr>
          <w:rFonts w:ascii="Times New Roman" w:hAnsi="Times New Roman" w:cs="Times New Roman"/>
          <w:sz w:val="24"/>
        </w:rPr>
        <w:t xml:space="preserve"> (a focus of his wider work) so his style of writing is most likely a product of his environment and of the time in which he was writing.</w:t>
      </w:r>
      <w:r w:rsidR="00F27103" w:rsidRPr="00F9705E">
        <w:rPr>
          <w:rFonts w:ascii="Times New Roman" w:hAnsi="Times New Roman" w:cs="Times New Roman"/>
          <w:sz w:val="24"/>
        </w:rPr>
        <w:t xml:space="preserve"> In the time that this article was written in 1998 Hammond had been retired from working in academics for 25 years so had probably fallen out of touch with the evolving nature of academic articles.</w:t>
      </w:r>
    </w:p>
    <w:p w:rsidR="008E2E14" w:rsidRPr="00F9705E" w:rsidRDefault="008E2E14" w:rsidP="00F9705E">
      <w:pPr>
        <w:spacing w:line="360" w:lineRule="auto"/>
        <w:rPr>
          <w:rFonts w:ascii="Times New Roman" w:hAnsi="Times New Roman" w:cs="Times New Roman"/>
          <w:sz w:val="24"/>
        </w:rPr>
      </w:pPr>
      <w:r w:rsidRPr="00F9705E">
        <w:rPr>
          <w:rFonts w:ascii="Times New Roman" w:hAnsi="Times New Roman" w:cs="Times New Roman"/>
          <w:sz w:val="24"/>
        </w:rPr>
        <w:t xml:space="preserve">The topic of the cavalry of Macedon has </w:t>
      </w:r>
      <w:r w:rsidR="00F73768" w:rsidRPr="00F9705E">
        <w:rPr>
          <w:rFonts w:ascii="Times New Roman" w:hAnsi="Times New Roman" w:cs="Times New Roman"/>
          <w:sz w:val="24"/>
        </w:rPr>
        <w:t xml:space="preserve">also </w:t>
      </w:r>
      <w:r w:rsidRPr="00F9705E">
        <w:rPr>
          <w:rFonts w:ascii="Times New Roman" w:hAnsi="Times New Roman" w:cs="Times New Roman"/>
          <w:sz w:val="24"/>
        </w:rPr>
        <w:t>bee</w:t>
      </w:r>
      <w:r w:rsidR="00257AE8" w:rsidRPr="00F9705E">
        <w:rPr>
          <w:rFonts w:ascii="Times New Roman" w:hAnsi="Times New Roman" w:cs="Times New Roman"/>
          <w:sz w:val="24"/>
        </w:rPr>
        <w:t>n covered by Fuller and Lonsdale and Sage however Sage was the only article to predate Hammond</w:t>
      </w:r>
      <w:r w:rsidR="00850946" w:rsidRPr="00F9705E">
        <w:rPr>
          <w:rFonts w:ascii="Times New Roman" w:hAnsi="Times New Roman" w:cs="Times New Roman"/>
          <w:sz w:val="24"/>
        </w:rPr>
        <w:t xml:space="preserve">. As the other two articles were published after Hammonds we will focus on Sage and what separates the two and why Hammond felt it necessary to publish his </w:t>
      </w:r>
      <w:r w:rsidR="00F9705E" w:rsidRPr="00F9705E">
        <w:rPr>
          <w:rFonts w:ascii="Times New Roman" w:hAnsi="Times New Roman" w:cs="Times New Roman"/>
          <w:sz w:val="24"/>
        </w:rPr>
        <w:t>work so soon after (1996, 1998) and look at how these two works can be so contrasting.</w:t>
      </w:r>
      <w:r w:rsidR="00850946" w:rsidRPr="00F9705E">
        <w:rPr>
          <w:rFonts w:ascii="Times New Roman" w:hAnsi="Times New Roman" w:cs="Times New Roman"/>
          <w:sz w:val="24"/>
        </w:rPr>
        <w:t xml:space="preserve"> </w:t>
      </w:r>
      <w:r w:rsidR="0060452E" w:rsidRPr="00F9705E">
        <w:rPr>
          <w:rFonts w:ascii="Times New Roman" w:hAnsi="Times New Roman" w:cs="Times New Roman"/>
          <w:sz w:val="24"/>
        </w:rPr>
        <w:t>I believe the first thing we need to take into consideration is the difference in format Sages work is a</w:t>
      </w:r>
      <w:r w:rsidR="00F9705E" w:rsidRPr="00F9705E">
        <w:rPr>
          <w:rFonts w:ascii="Times New Roman" w:hAnsi="Times New Roman" w:cs="Times New Roman"/>
          <w:sz w:val="24"/>
        </w:rPr>
        <w:t>n academic</w:t>
      </w:r>
      <w:r w:rsidR="0060452E" w:rsidRPr="00F9705E">
        <w:rPr>
          <w:rFonts w:ascii="Times New Roman" w:hAnsi="Times New Roman" w:cs="Times New Roman"/>
          <w:sz w:val="24"/>
        </w:rPr>
        <w:t xml:space="preserve"> book where as Hammonds is an article, this means that although detailed </w:t>
      </w:r>
      <w:r w:rsidR="00446B95" w:rsidRPr="00F9705E">
        <w:rPr>
          <w:rFonts w:ascii="Times New Roman" w:hAnsi="Times New Roman" w:cs="Times New Roman"/>
          <w:sz w:val="24"/>
        </w:rPr>
        <w:t>the inclusion of Cavalry in Sages work it is only a segment of a larger whole Hammonds work on the other hand is purely devoted to</w:t>
      </w:r>
      <w:r w:rsidR="0060452E" w:rsidRPr="00F9705E">
        <w:rPr>
          <w:rFonts w:ascii="Times New Roman" w:hAnsi="Times New Roman" w:cs="Times New Roman"/>
          <w:sz w:val="24"/>
        </w:rPr>
        <w:t xml:space="preserve"> the </w:t>
      </w:r>
      <w:r w:rsidR="00446B95" w:rsidRPr="00F9705E">
        <w:rPr>
          <w:rFonts w:ascii="Times New Roman" w:hAnsi="Times New Roman" w:cs="Times New Roman"/>
          <w:sz w:val="24"/>
        </w:rPr>
        <w:t xml:space="preserve">Cavalry recruitment so he is able to offer a far more detailed </w:t>
      </w:r>
      <w:r w:rsidR="00F9705E" w:rsidRPr="00F9705E">
        <w:rPr>
          <w:rFonts w:ascii="Times New Roman" w:hAnsi="Times New Roman" w:cs="Times New Roman"/>
          <w:sz w:val="24"/>
        </w:rPr>
        <w:t>account</w:t>
      </w:r>
      <w:r w:rsidR="00446B95" w:rsidRPr="00F9705E">
        <w:rPr>
          <w:rFonts w:ascii="Times New Roman" w:hAnsi="Times New Roman" w:cs="Times New Roman"/>
          <w:sz w:val="24"/>
        </w:rPr>
        <w:t xml:space="preserve">. </w:t>
      </w:r>
      <w:r w:rsidR="00F9705E" w:rsidRPr="00F9705E">
        <w:rPr>
          <w:rFonts w:ascii="Times New Roman" w:hAnsi="Times New Roman" w:cs="Times New Roman"/>
          <w:sz w:val="24"/>
        </w:rPr>
        <w:t>However</w:t>
      </w:r>
      <w:r w:rsidR="00F9705E">
        <w:rPr>
          <w:rFonts w:ascii="Times New Roman" w:hAnsi="Times New Roman" w:cs="Times New Roman"/>
          <w:sz w:val="24"/>
        </w:rPr>
        <w:t xml:space="preserve"> although Hammond is able to speak for longer on this matter in the shorter segment devoted to the cavalry by Sage he is able to offer a more valuable account.</w:t>
      </w:r>
      <w:r w:rsidR="006C4882">
        <w:rPr>
          <w:rFonts w:ascii="Times New Roman" w:hAnsi="Times New Roman" w:cs="Times New Roman"/>
          <w:sz w:val="24"/>
        </w:rPr>
        <w:t xml:space="preserve"> I use Sage as an </w:t>
      </w:r>
      <w:r w:rsidR="006C4882">
        <w:rPr>
          <w:rFonts w:ascii="Times New Roman" w:hAnsi="Times New Roman" w:cs="Times New Roman"/>
          <w:sz w:val="24"/>
        </w:rPr>
        <w:lastRenderedPageBreak/>
        <w:t>example because of the format he is writing in the presentation is similar in that it is almost a narrative style</w:t>
      </w:r>
      <w:r w:rsidR="005B1C00">
        <w:rPr>
          <w:rFonts w:ascii="Times New Roman" w:hAnsi="Times New Roman" w:cs="Times New Roman"/>
          <w:sz w:val="24"/>
        </w:rPr>
        <w:t xml:space="preserve"> without critically engaging with scholarship thus creating work similar enough to compare but different enough to contrast. Sage achieves a more credible source due to the lack of bias presented against other scholars in his work so what separates the two is tone. </w:t>
      </w:r>
      <w:r w:rsidR="005B1C00">
        <w:rPr>
          <w:rFonts w:ascii="Times New Roman" w:hAnsi="Times New Roman" w:cs="Times New Roman"/>
          <w:iCs/>
          <w:sz w:val="24"/>
          <w:szCs w:val="23"/>
          <w:shd w:val="clear" w:color="auto" w:fill="FFFFFF"/>
        </w:rPr>
        <w:t>From a literary point of view the style of Hammond</w:t>
      </w:r>
      <w:r w:rsidR="005B1C00" w:rsidRPr="00F9705E">
        <w:rPr>
          <w:rFonts w:ascii="Times New Roman" w:hAnsi="Times New Roman" w:cs="Times New Roman"/>
          <w:iCs/>
          <w:sz w:val="24"/>
          <w:szCs w:val="23"/>
          <w:shd w:val="clear" w:color="auto" w:fill="FFFFFF"/>
        </w:rPr>
        <w:t xml:space="preserve"> is </w:t>
      </w:r>
      <w:r w:rsidR="005B1C00">
        <w:rPr>
          <w:rFonts w:ascii="Times New Roman" w:hAnsi="Times New Roman" w:cs="Times New Roman"/>
          <w:iCs/>
          <w:sz w:val="24"/>
          <w:szCs w:val="23"/>
          <w:shd w:val="clear" w:color="auto" w:fill="FFFFFF"/>
        </w:rPr>
        <w:t>well written and easy to read however the tone comes off as brash and un-endearing which again boils down to how he engages with scholarship, the times in between when in his narrative voice the article becomes an engaging narrative and as a comparison Sages work which is without this engagement is able to achieve a more pleasant tone overall.</w:t>
      </w:r>
    </w:p>
    <w:p w:rsidR="000A4D51" w:rsidRDefault="00687BBD" w:rsidP="00F9705E">
      <w:pPr>
        <w:spacing w:line="360" w:lineRule="auto"/>
        <w:rPr>
          <w:rFonts w:ascii="Times New Roman" w:hAnsi="Times New Roman" w:cs="Times New Roman"/>
          <w:iCs/>
          <w:sz w:val="24"/>
          <w:szCs w:val="23"/>
          <w:shd w:val="clear" w:color="auto" w:fill="FFFFFF"/>
        </w:rPr>
      </w:pPr>
      <w:r w:rsidRPr="00F9705E">
        <w:rPr>
          <w:rFonts w:ascii="Times New Roman" w:hAnsi="Times New Roman" w:cs="Times New Roman"/>
          <w:sz w:val="24"/>
        </w:rPr>
        <w:t>In terms of translation Hammond i</w:t>
      </w:r>
      <w:r w:rsidR="00705592" w:rsidRPr="00F9705E">
        <w:rPr>
          <w:rFonts w:ascii="Times New Roman" w:hAnsi="Times New Roman" w:cs="Times New Roman"/>
          <w:sz w:val="24"/>
        </w:rPr>
        <w:t xml:space="preserve">s a British scholar so there are </w:t>
      </w:r>
      <w:r w:rsidRPr="00F9705E">
        <w:rPr>
          <w:rFonts w:ascii="Times New Roman" w:hAnsi="Times New Roman" w:cs="Times New Roman"/>
          <w:sz w:val="24"/>
        </w:rPr>
        <w:t>no issues there for an English speaking audience in terms of content ho</w:t>
      </w:r>
      <w:r w:rsidR="00705592" w:rsidRPr="00F9705E">
        <w:rPr>
          <w:rFonts w:ascii="Times New Roman" w:hAnsi="Times New Roman" w:cs="Times New Roman"/>
          <w:sz w:val="24"/>
        </w:rPr>
        <w:t xml:space="preserve">wever it should be take into account that it was published in the </w:t>
      </w:r>
      <w:r w:rsidR="00705592" w:rsidRPr="00F9705E">
        <w:rPr>
          <w:rFonts w:ascii="Times New Roman" w:hAnsi="Times New Roman" w:cs="Times New Roman"/>
          <w:iCs/>
          <w:sz w:val="24"/>
          <w:szCs w:val="23"/>
          <w:shd w:val="clear" w:color="auto" w:fill="FFFFFF"/>
        </w:rPr>
        <w:t xml:space="preserve">Historia: Zeitschrift für Alte Geschichte which is a European international publication, publishing in English, German, French and Italian so there is the potential for translation errors, this is however blanket issue across the medium. </w:t>
      </w:r>
      <w:r w:rsidR="00D65504" w:rsidRPr="00F9705E">
        <w:rPr>
          <w:rFonts w:ascii="Times New Roman" w:hAnsi="Times New Roman" w:cs="Times New Roman"/>
          <w:iCs/>
          <w:sz w:val="24"/>
          <w:szCs w:val="23"/>
          <w:shd w:val="clear" w:color="auto" w:fill="FFFFFF"/>
        </w:rPr>
        <w:t>Hammond does however seem to only engage with only individual translations of the source material by doing so Hammond has restricted himself to one school of thought thereby limiting his work on this occasion, doubtless but engaging with different translations he would be able to open the reader up to a more diverse series of accounts and thus be able to draw more informed conclusions.</w:t>
      </w:r>
    </w:p>
    <w:p w:rsidR="00AB4B8B" w:rsidRPr="00F9705E" w:rsidRDefault="00957DA1" w:rsidP="00F9705E">
      <w:pPr>
        <w:spacing w:line="360" w:lineRule="auto"/>
        <w:rPr>
          <w:rFonts w:ascii="Times New Roman" w:hAnsi="Times New Roman" w:cs="Times New Roman"/>
          <w:iCs/>
          <w:sz w:val="24"/>
          <w:szCs w:val="23"/>
          <w:shd w:val="clear" w:color="auto" w:fill="FFFFFF"/>
        </w:rPr>
      </w:pPr>
      <w:r>
        <w:rPr>
          <w:rFonts w:ascii="Times New Roman" w:hAnsi="Times New Roman" w:cs="Times New Roman"/>
          <w:iCs/>
          <w:sz w:val="24"/>
          <w:szCs w:val="23"/>
          <w:shd w:val="clear" w:color="auto" w:fill="FFFFFF"/>
        </w:rPr>
        <w:t>A positive of Hammonds article is that there is a broad and detailed account of events and is an excellent retelling of the ancient sources but that is all that it is able to achieve, a retelling. Snively summarises Hammond perfectly  stating that he is strongly pro-Greek and that “</w:t>
      </w:r>
      <w:r w:rsidRPr="00957DA1">
        <w:rPr>
          <w:rFonts w:ascii="Times New Roman" w:hAnsi="Times New Roman" w:cs="Times New Roman"/>
          <w:sz w:val="24"/>
        </w:rPr>
        <w:t>the lack of reference even to the existence of controversies about the origin of the Macedonian royal house or the identity of the occupants of Tomb II at Vergina, and the tendency to turn Philip II and Alexander the Great into heroic "nice guys" and the latter's empire into an early version of the League of Nations</w:t>
      </w:r>
      <w:r>
        <w:rPr>
          <w:rFonts w:ascii="Times New Roman" w:hAnsi="Times New Roman" w:cs="Times New Roman"/>
          <w:sz w:val="24"/>
        </w:rPr>
        <w:t>”</w:t>
      </w:r>
      <w:r w:rsidR="0084790A">
        <w:rPr>
          <w:rStyle w:val="FootnoteReference"/>
          <w:rFonts w:ascii="Times New Roman" w:hAnsi="Times New Roman" w:cs="Times New Roman"/>
          <w:sz w:val="24"/>
        </w:rPr>
        <w:footnoteReference w:id="14"/>
      </w:r>
      <w:r>
        <w:rPr>
          <w:rFonts w:ascii="Times New Roman" w:hAnsi="Times New Roman" w:cs="Times New Roman"/>
          <w:sz w:val="24"/>
        </w:rPr>
        <w:t xml:space="preserve"> and that “</w:t>
      </w:r>
      <w:r w:rsidRPr="00957DA1">
        <w:rPr>
          <w:rFonts w:ascii="Times New Roman" w:hAnsi="Times New Roman" w:cs="Times New Roman"/>
          <w:sz w:val="24"/>
        </w:rPr>
        <w:t>Unfortunately, however, neither the exact audience at which the volume is aimed nor the one which might benefit from it is completely clear. On occasion throughout the book statements are made which assume a detailed knowledge of Macedonia on the part of the reader, but such readers will find the absence of notes and the tone of absolute certainty irritating.”</w:t>
      </w:r>
      <w:r>
        <w:rPr>
          <w:rStyle w:val="FootnoteReference"/>
          <w:rFonts w:ascii="Times New Roman" w:hAnsi="Times New Roman" w:cs="Times New Roman"/>
          <w:sz w:val="24"/>
        </w:rPr>
        <w:footnoteReference w:id="15"/>
      </w:r>
    </w:p>
    <w:p w:rsidR="00F27103" w:rsidRPr="00F9705E" w:rsidRDefault="00F27103" w:rsidP="00F9705E">
      <w:pPr>
        <w:spacing w:line="360" w:lineRule="auto"/>
        <w:rPr>
          <w:rFonts w:ascii="Times New Roman" w:hAnsi="Times New Roman" w:cs="Times New Roman"/>
          <w:sz w:val="24"/>
        </w:rPr>
      </w:pPr>
      <w:r w:rsidRPr="00F9705E">
        <w:rPr>
          <w:rFonts w:ascii="Times New Roman" w:hAnsi="Times New Roman" w:cs="Times New Roman"/>
          <w:sz w:val="24"/>
        </w:rPr>
        <w:lastRenderedPageBreak/>
        <w:t>Bibliography</w:t>
      </w:r>
    </w:p>
    <w:p w:rsidR="00F27103" w:rsidRPr="00F9705E" w:rsidRDefault="00F27103" w:rsidP="00F9705E">
      <w:pPr>
        <w:spacing w:line="360" w:lineRule="auto"/>
        <w:rPr>
          <w:rFonts w:ascii="Times New Roman" w:hAnsi="Times New Roman" w:cs="Times New Roman"/>
          <w:sz w:val="24"/>
        </w:rPr>
      </w:pPr>
      <w:r w:rsidRPr="00F9705E">
        <w:rPr>
          <w:rFonts w:ascii="Times New Roman" w:hAnsi="Times New Roman" w:cs="Times New Roman"/>
          <w:sz w:val="24"/>
        </w:rPr>
        <w:t>Chambers, Mortimer (2002). The Western Experience. McGraw-Hill. p. 101. </w:t>
      </w:r>
    </w:p>
    <w:p w:rsidR="00F27103" w:rsidRPr="00F9705E" w:rsidRDefault="00F27103" w:rsidP="00F9705E">
      <w:pPr>
        <w:spacing w:line="360" w:lineRule="auto"/>
        <w:rPr>
          <w:rFonts w:ascii="Times New Roman" w:hAnsi="Times New Roman" w:cs="Times New Roman"/>
          <w:sz w:val="24"/>
        </w:rPr>
      </w:pPr>
      <w:hyperlink r:id="rId7" w:tooltip="Eugene Borza" w:history="1">
        <w:r w:rsidRPr="00F9705E">
          <w:rPr>
            <w:rStyle w:val="Hyperlink"/>
            <w:rFonts w:ascii="Times New Roman" w:hAnsi="Times New Roman" w:cs="Times New Roman"/>
            <w:color w:val="auto"/>
            <w:sz w:val="24"/>
            <w:u w:val="none"/>
          </w:rPr>
          <w:t>Borza, Eugene N.</w:t>
        </w:r>
      </w:hyperlink>
      <w:r w:rsidRPr="00F9705E">
        <w:rPr>
          <w:rFonts w:ascii="Times New Roman" w:hAnsi="Times New Roman" w:cs="Times New Roman"/>
          <w:sz w:val="24"/>
        </w:rPr>
        <w:t> (1992). </w:t>
      </w:r>
      <w:hyperlink r:id="rId8" w:anchor="PPA16,M1" w:history="1">
        <w:r w:rsidRPr="00F9705E">
          <w:rPr>
            <w:rStyle w:val="Hyperlink"/>
            <w:rFonts w:ascii="Times New Roman" w:hAnsi="Times New Roman" w:cs="Times New Roman"/>
            <w:color w:val="auto"/>
            <w:sz w:val="24"/>
            <w:u w:val="none"/>
          </w:rPr>
          <w:t>In the Shadow of Olympus</w:t>
        </w:r>
      </w:hyperlink>
      <w:r w:rsidRPr="00F9705E">
        <w:rPr>
          <w:rFonts w:ascii="Times New Roman" w:hAnsi="Times New Roman" w:cs="Times New Roman"/>
          <w:sz w:val="24"/>
        </w:rPr>
        <w:t>. </w:t>
      </w:r>
      <w:hyperlink r:id="rId9" w:tooltip="Princeton University Press" w:history="1">
        <w:r w:rsidRPr="00F9705E">
          <w:rPr>
            <w:rStyle w:val="Hyperlink"/>
            <w:rFonts w:ascii="Times New Roman" w:hAnsi="Times New Roman" w:cs="Times New Roman"/>
            <w:color w:val="auto"/>
            <w:sz w:val="24"/>
            <w:u w:val="none"/>
          </w:rPr>
          <w:t>Princeton University Press</w:t>
        </w:r>
      </w:hyperlink>
      <w:r w:rsidRPr="00F9705E">
        <w:rPr>
          <w:rFonts w:ascii="Times New Roman" w:hAnsi="Times New Roman" w:cs="Times New Roman"/>
          <w:sz w:val="24"/>
        </w:rPr>
        <w:t>. p. 16. </w:t>
      </w:r>
    </w:p>
    <w:p w:rsidR="00532C65" w:rsidRPr="00F9705E" w:rsidRDefault="00532C65" w:rsidP="00F9705E">
      <w:pPr>
        <w:spacing w:line="360" w:lineRule="auto"/>
        <w:rPr>
          <w:rFonts w:ascii="Times New Roman" w:hAnsi="Times New Roman" w:cs="Times New Roman"/>
          <w:sz w:val="24"/>
        </w:rPr>
      </w:pPr>
      <w:r w:rsidRPr="00F9705E">
        <w:rPr>
          <w:rFonts w:ascii="Times New Roman" w:hAnsi="Times New Roman" w:cs="Times New Roman"/>
          <w:sz w:val="24"/>
        </w:rPr>
        <w:t>Lonsdale, David J. (2007). Alexander the Great:lessons in strategy. Routlidge. </w:t>
      </w:r>
    </w:p>
    <w:p w:rsidR="00532C65" w:rsidRPr="00F9705E" w:rsidRDefault="00532C65" w:rsidP="00F9705E">
      <w:pPr>
        <w:spacing w:line="360" w:lineRule="auto"/>
        <w:rPr>
          <w:rFonts w:ascii="Times New Roman" w:hAnsi="Times New Roman" w:cs="Times New Roman"/>
          <w:sz w:val="24"/>
        </w:rPr>
      </w:pPr>
      <w:r w:rsidRPr="00F9705E">
        <w:rPr>
          <w:rFonts w:ascii="Times New Roman" w:hAnsi="Times New Roman" w:cs="Times New Roman"/>
          <w:sz w:val="24"/>
        </w:rPr>
        <w:t>Hammond, Nicholas G. L. (1998). "Cavalry Recruited in Macedonia down to 322 BC". Historia: Zeitschrift für Alte Geschichte. 47 (4): 404–425. </w:t>
      </w:r>
    </w:p>
    <w:p w:rsidR="00532C65" w:rsidRPr="00F9705E" w:rsidRDefault="00532C65" w:rsidP="00F9705E">
      <w:pPr>
        <w:spacing w:line="360" w:lineRule="auto"/>
        <w:rPr>
          <w:rFonts w:ascii="Times New Roman" w:hAnsi="Times New Roman" w:cs="Times New Roman"/>
          <w:sz w:val="24"/>
        </w:rPr>
      </w:pPr>
      <w:r w:rsidRPr="00F9705E">
        <w:rPr>
          <w:rFonts w:ascii="Times New Roman" w:hAnsi="Times New Roman" w:cs="Times New Roman"/>
          <w:sz w:val="24"/>
        </w:rPr>
        <w:t>Sage, Michael M. (1996). Warfare in ancient Greece. Routlidge. </w:t>
      </w:r>
    </w:p>
    <w:p w:rsidR="00404474" w:rsidRPr="00F9705E" w:rsidRDefault="00404474" w:rsidP="00F9705E">
      <w:pPr>
        <w:spacing w:line="360" w:lineRule="auto"/>
        <w:rPr>
          <w:rFonts w:ascii="Times New Roman" w:hAnsi="Times New Roman" w:cs="Times New Roman"/>
          <w:sz w:val="24"/>
        </w:rPr>
      </w:pPr>
      <w:hyperlink r:id="rId10" w:history="1">
        <w:r w:rsidRPr="00F9705E">
          <w:rPr>
            <w:rStyle w:val="Hyperlink"/>
            <w:rFonts w:ascii="Times New Roman" w:hAnsi="Times New Roman" w:cs="Times New Roman"/>
            <w:sz w:val="24"/>
          </w:rPr>
          <w:t>https://whc.unesco.org/en/list/780</w:t>
        </w:r>
      </w:hyperlink>
    </w:p>
    <w:p w:rsidR="00F9705E" w:rsidRDefault="00F9705E" w:rsidP="00F9705E">
      <w:pPr>
        <w:spacing w:line="360" w:lineRule="auto"/>
        <w:rPr>
          <w:rFonts w:ascii="Times New Roman" w:hAnsi="Times New Roman" w:cs="Times New Roman"/>
          <w:sz w:val="24"/>
        </w:rPr>
      </w:pPr>
      <w:r w:rsidRPr="00F9705E">
        <w:rPr>
          <w:rFonts w:ascii="Times New Roman" w:hAnsi="Times New Roman" w:cs="Times New Roman"/>
          <w:sz w:val="24"/>
        </w:rPr>
        <w:t>Philip of Macedon by Nicholas G. L. Hammond Review by: Waldemar Hechel Source: Gnomon, 72. Bd., H. 3 (2000), pp. 273-275 Published by: Verlag C.H.Beck</w:t>
      </w:r>
    </w:p>
    <w:p w:rsidR="0084790A" w:rsidRPr="0084790A" w:rsidRDefault="0084790A" w:rsidP="00F9705E">
      <w:pPr>
        <w:spacing w:line="360" w:lineRule="auto"/>
        <w:rPr>
          <w:rFonts w:ascii="Times New Roman" w:hAnsi="Times New Roman" w:cs="Times New Roman"/>
          <w:sz w:val="28"/>
        </w:rPr>
      </w:pPr>
      <w:r w:rsidRPr="0084790A">
        <w:rPr>
          <w:rFonts w:ascii="Times New Roman" w:hAnsi="Times New Roman" w:cs="Times New Roman"/>
          <w:sz w:val="24"/>
        </w:rPr>
        <w:t>Reviewed Work(s): The Miracle That Was Macedonia by Nicholas G. L. Hammond Review by: Carolyn S. Snively Source: The Classical World, Vol. 86, No. 6 (Jul. - Aug., 1993), pp. 511-512 Published by: The Johns Hopkins University Press on behalf of the Classical Association of the Atlantic States</w:t>
      </w:r>
    </w:p>
    <w:p w:rsidR="00F27103" w:rsidRPr="00F9705E" w:rsidRDefault="00F27103" w:rsidP="00F9705E">
      <w:pPr>
        <w:rPr>
          <w:rFonts w:cstheme="minorHAnsi"/>
        </w:rPr>
      </w:pPr>
    </w:p>
    <w:p w:rsidR="0088363C" w:rsidRDefault="0088363C"/>
    <w:sectPr w:rsidR="0088363C" w:rsidSect="00EF4DA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01207" w:rsidRDefault="00601207" w:rsidP="00B01883">
      <w:pPr>
        <w:spacing w:after="0" w:line="240" w:lineRule="auto"/>
      </w:pPr>
      <w:r>
        <w:separator/>
      </w:r>
    </w:p>
  </w:endnote>
  <w:endnote w:type="continuationSeparator" w:id="1">
    <w:p w:rsidR="00601207" w:rsidRDefault="00601207" w:rsidP="00B018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01207" w:rsidRDefault="00601207" w:rsidP="00B01883">
      <w:pPr>
        <w:spacing w:after="0" w:line="240" w:lineRule="auto"/>
      </w:pPr>
      <w:r>
        <w:separator/>
      </w:r>
    </w:p>
  </w:footnote>
  <w:footnote w:type="continuationSeparator" w:id="1">
    <w:p w:rsidR="00601207" w:rsidRDefault="00601207" w:rsidP="00B01883">
      <w:pPr>
        <w:spacing w:after="0" w:line="240" w:lineRule="auto"/>
      </w:pPr>
      <w:r>
        <w:continuationSeparator/>
      </w:r>
    </w:p>
  </w:footnote>
  <w:footnote w:id="2">
    <w:p w:rsidR="00F27103" w:rsidRPr="00404474" w:rsidRDefault="00F27103">
      <w:pPr>
        <w:pStyle w:val="FootnoteText"/>
        <w:rPr>
          <w:rFonts w:cstheme="minorHAnsi"/>
        </w:rPr>
      </w:pPr>
      <w:r w:rsidRPr="00404474">
        <w:rPr>
          <w:rStyle w:val="FootnoteReference"/>
          <w:rFonts w:cstheme="minorHAnsi"/>
        </w:rPr>
        <w:footnoteRef/>
      </w:r>
      <w:r w:rsidRPr="00404474">
        <w:rPr>
          <w:rFonts w:cstheme="minorHAnsi"/>
        </w:rPr>
        <w:t xml:space="preserve"> </w:t>
      </w:r>
      <w:r w:rsidRPr="00404474">
        <w:rPr>
          <w:rFonts w:cstheme="minorHAnsi"/>
          <w:shd w:val="clear" w:color="auto" w:fill="FFFFFF"/>
        </w:rPr>
        <w:t>Chambers, Mortimer (2002). </w:t>
      </w:r>
      <w:r w:rsidRPr="00404474">
        <w:rPr>
          <w:rFonts w:cstheme="minorHAnsi"/>
          <w:i/>
          <w:iCs/>
          <w:shd w:val="clear" w:color="auto" w:fill="FFFFFF"/>
        </w:rPr>
        <w:t>The Western Experience</w:t>
      </w:r>
      <w:r w:rsidRPr="00404474">
        <w:rPr>
          <w:rFonts w:cstheme="minorHAnsi"/>
          <w:shd w:val="clear" w:color="auto" w:fill="FFFFFF"/>
        </w:rPr>
        <w:t>. McGraw-Hill. p. 101. </w:t>
      </w:r>
    </w:p>
  </w:footnote>
  <w:footnote w:id="3">
    <w:p w:rsidR="00F27103" w:rsidRPr="00404474" w:rsidRDefault="00F27103" w:rsidP="00404474">
      <w:pPr>
        <w:rPr>
          <w:rFonts w:cstheme="minorHAnsi"/>
          <w:sz w:val="20"/>
          <w:szCs w:val="20"/>
        </w:rPr>
      </w:pPr>
      <w:r w:rsidRPr="00404474">
        <w:footnoteRef/>
      </w:r>
      <w:r w:rsidRPr="00404474">
        <w:rPr>
          <w:rFonts w:cstheme="minorHAnsi"/>
          <w:sz w:val="20"/>
          <w:szCs w:val="20"/>
        </w:rPr>
        <w:t xml:space="preserve"> </w:t>
      </w:r>
      <w:hyperlink r:id="rId1" w:tooltip="Eugene Borza" w:history="1">
        <w:r w:rsidRPr="00404474">
          <w:rPr>
            <w:rStyle w:val="Hyperlink"/>
            <w:rFonts w:cstheme="minorHAnsi"/>
            <w:color w:val="auto"/>
            <w:sz w:val="20"/>
            <w:szCs w:val="20"/>
            <w:u w:val="none"/>
          </w:rPr>
          <w:t>Borza, Eugene N.</w:t>
        </w:r>
      </w:hyperlink>
      <w:r w:rsidRPr="00404474">
        <w:rPr>
          <w:rFonts w:cstheme="minorHAnsi"/>
          <w:sz w:val="20"/>
          <w:szCs w:val="20"/>
        </w:rPr>
        <w:t> (1992). </w:t>
      </w:r>
      <w:hyperlink r:id="rId2" w:anchor="PPA16,M1" w:history="1">
        <w:r w:rsidRPr="00404474">
          <w:rPr>
            <w:rStyle w:val="Hyperlink"/>
            <w:rFonts w:cstheme="minorHAnsi"/>
            <w:color w:val="auto"/>
            <w:sz w:val="20"/>
            <w:szCs w:val="20"/>
            <w:u w:val="none"/>
          </w:rPr>
          <w:t>In the Shadow of Olympus</w:t>
        </w:r>
      </w:hyperlink>
      <w:r w:rsidRPr="00404474">
        <w:rPr>
          <w:rFonts w:cstheme="minorHAnsi"/>
          <w:sz w:val="20"/>
          <w:szCs w:val="20"/>
        </w:rPr>
        <w:t>. </w:t>
      </w:r>
      <w:hyperlink r:id="rId3" w:tooltip="Princeton University Press" w:history="1">
        <w:r w:rsidRPr="00404474">
          <w:rPr>
            <w:rStyle w:val="Hyperlink"/>
            <w:rFonts w:cstheme="minorHAnsi"/>
            <w:color w:val="auto"/>
            <w:sz w:val="20"/>
            <w:szCs w:val="20"/>
            <w:u w:val="none"/>
          </w:rPr>
          <w:t>Princeton University Press</w:t>
        </w:r>
      </w:hyperlink>
      <w:r w:rsidRPr="00404474">
        <w:rPr>
          <w:rFonts w:cstheme="minorHAnsi"/>
          <w:sz w:val="20"/>
          <w:szCs w:val="20"/>
        </w:rPr>
        <w:t>. p. 16. </w:t>
      </w:r>
    </w:p>
  </w:footnote>
  <w:footnote w:id="4">
    <w:p w:rsidR="00B01883" w:rsidRPr="00404474" w:rsidRDefault="00404474" w:rsidP="00404474">
      <w:pPr>
        <w:rPr>
          <w:b/>
        </w:rPr>
      </w:pPr>
      <w:r>
        <w:rPr>
          <w:rStyle w:val="FootnoteReference"/>
          <w:rFonts w:cstheme="minorHAnsi"/>
          <w:sz w:val="20"/>
          <w:szCs w:val="20"/>
        </w:rPr>
        <w:t>3</w:t>
      </w:r>
      <w:r w:rsidR="00B01883" w:rsidRPr="00404474">
        <w:t xml:space="preserve"> </w:t>
      </w:r>
      <w:r w:rsidR="00B01883" w:rsidRPr="00404474">
        <w:rPr>
          <w:shd w:val="clear" w:color="auto" w:fill="FFFFFF"/>
        </w:rPr>
        <w:t xml:space="preserve">Alexander's Letter concerning Samos in Plut. "Alex." 28.2, </w:t>
      </w:r>
      <w:hyperlink r:id="rId4" w:history="1">
        <w:r w:rsidR="00B01883" w:rsidRPr="00404474">
          <w:t>The Meaning of οί άργυρολογέοντεν and the Beginning of the Third Sacred War</w:t>
        </w:r>
      </w:hyperlink>
      <w:r w:rsidR="00B01883" w:rsidRPr="00404474">
        <w:t xml:space="preserve">, </w:t>
      </w:r>
      <w:hyperlink r:id="rId5" w:history="1">
        <w:r w:rsidR="00B01883" w:rsidRPr="00404474">
          <w:rPr>
            <w:rStyle w:val="Hyperlink"/>
            <w:rFonts w:cstheme="minorHAnsi"/>
            <w:color w:val="auto"/>
            <w:sz w:val="20"/>
            <w:szCs w:val="20"/>
            <w:u w:val="none"/>
          </w:rPr>
          <w:t>Cavalry Recruited in Macedonia down to 322 B.C.</w:t>
        </w:r>
      </w:hyperlink>
      <w:r w:rsidR="00B01883" w:rsidRPr="00404474">
        <w:t xml:space="preserve">, </w:t>
      </w:r>
      <w:hyperlink r:id="rId6" w:history="1">
        <w:r w:rsidR="00B01883" w:rsidRPr="00404474">
          <w:rPr>
            <w:rStyle w:val="Hyperlink"/>
            <w:rFonts w:cstheme="minorHAnsi"/>
            <w:color w:val="auto"/>
            <w:sz w:val="20"/>
            <w:szCs w:val="20"/>
            <w:u w:val="none"/>
          </w:rPr>
          <w:t>The Continuity of Macedonian Institutions and the Macedonian Kingdoms of the Hellenistic Era</w:t>
        </w:r>
      </w:hyperlink>
      <w:r w:rsidR="00B01883" w:rsidRPr="00404474">
        <w:t xml:space="preserve">, </w:t>
      </w:r>
      <w:hyperlink r:id="rId7" w:history="1">
        <w:r w:rsidR="00B01883" w:rsidRPr="00404474">
          <w:rPr>
            <w:rStyle w:val="Hyperlink"/>
            <w:rFonts w:cstheme="minorHAnsi"/>
            <w:color w:val="auto"/>
            <w:sz w:val="20"/>
            <w:szCs w:val="20"/>
            <w:u w:val="none"/>
          </w:rPr>
          <w:t>Sparta at Thermopylae</w:t>
        </w:r>
      </w:hyperlink>
      <w:r w:rsidR="00B01883" w:rsidRPr="00404474">
        <w:t xml:space="preserve">, </w:t>
      </w:r>
      <w:hyperlink r:id="rId8" w:history="1">
        <w:r w:rsidR="00B01883" w:rsidRPr="00404474">
          <w:rPr>
            <w:rStyle w:val="Hyperlink"/>
            <w:rFonts w:cstheme="minorHAnsi"/>
            <w:color w:val="auto"/>
            <w:sz w:val="20"/>
            <w:szCs w:val="20"/>
            <w:u w:val="none"/>
          </w:rPr>
          <w:t>Alexander's Charge at the Battle of Issus in 333 B.C.</w:t>
        </w:r>
      </w:hyperlink>
      <w:r w:rsidR="00B01883" w:rsidRPr="00404474">
        <w:t xml:space="preserve">, </w:t>
      </w:r>
      <w:r w:rsidR="00B01883" w:rsidRPr="00404474">
        <w:br/>
      </w:r>
      <w:r w:rsidR="00B01883" w:rsidRPr="00404474">
        <w:rPr>
          <w:shd w:val="clear" w:color="auto" w:fill="FFFFFF"/>
        </w:rPr>
        <w:t xml:space="preserve">The Various Guards of Philip II and Alexander III, </w:t>
      </w:r>
      <w:hyperlink r:id="rId9" w:history="1">
        <w:r w:rsidR="00B01883" w:rsidRPr="00404474">
          <w:rPr>
            <w:rStyle w:val="Hyperlink"/>
            <w:rFonts w:cstheme="minorHAnsi"/>
            <w:color w:val="auto"/>
            <w:sz w:val="20"/>
            <w:szCs w:val="20"/>
            <w:u w:val="none"/>
          </w:rPr>
          <w:t>Vivid Tenses in Arrian 1. 16</w:t>
        </w:r>
      </w:hyperlink>
      <w:r w:rsidR="00B01883" w:rsidRPr="00404474">
        <w:t xml:space="preserve">, </w:t>
      </w:r>
      <w:hyperlink r:id="rId10" w:history="1">
        <w:r w:rsidR="00B01883" w:rsidRPr="00404474">
          <w:rPr>
            <w:rStyle w:val="Hyperlink"/>
            <w:rFonts w:cstheme="minorHAnsi"/>
            <w:color w:val="auto"/>
            <w:sz w:val="20"/>
            <w:szCs w:val="20"/>
            <w:u w:val="none"/>
          </w:rPr>
          <w:t>Literary Evidence for Macedonian Speech</w:t>
        </w:r>
      </w:hyperlink>
    </w:p>
  </w:footnote>
  <w:footnote w:id="5">
    <w:p w:rsidR="00F27103" w:rsidRPr="00404474" w:rsidRDefault="00F27103">
      <w:pPr>
        <w:pStyle w:val="FootnoteText"/>
        <w:rPr>
          <w:rFonts w:cstheme="minorHAnsi"/>
        </w:rPr>
      </w:pPr>
      <w:r w:rsidRPr="00404474">
        <w:rPr>
          <w:rStyle w:val="FootnoteReference"/>
          <w:rFonts w:cstheme="minorHAnsi"/>
        </w:rPr>
        <w:footnoteRef/>
      </w:r>
      <w:r w:rsidRPr="00404474">
        <w:rPr>
          <w:rFonts w:cstheme="minorHAnsi"/>
        </w:rPr>
        <w:t xml:space="preserve"> </w:t>
      </w:r>
      <w:r w:rsidRPr="00404474">
        <w:rPr>
          <w:rFonts w:cstheme="minorHAnsi"/>
          <w:shd w:val="clear" w:color="auto" w:fill="FFFFFF"/>
        </w:rPr>
        <w:t>Lonsdale 40</w:t>
      </w:r>
    </w:p>
  </w:footnote>
  <w:footnote w:id="6">
    <w:p w:rsidR="00532C65" w:rsidRPr="00404474" w:rsidRDefault="00532C65">
      <w:pPr>
        <w:pStyle w:val="FootnoteText"/>
        <w:rPr>
          <w:rFonts w:cstheme="minorHAnsi"/>
        </w:rPr>
      </w:pPr>
      <w:r w:rsidRPr="00404474">
        <w:rPr>
          <w:rStyle w:val="FootnoteReference"/>
          <w:rFonts w:cstheme="minorHAnsi"/>
        </w:rPr>
        <w:footnoteRef/>
      </w:r>
      <w:r w:rsidRPr="00404474">
        <w:rPr>
          <w:rFonts w:cstheme="minorHAnsi"/>
        </w:rPr>
        <w:t xml:space="preserve"> Hammond p406</w:t>
      </w:r>
    </w:p>
  </w:footnote>
  <w:footnote w:id="7">
    <w:p w:rsidR="00532C65" w:rsidRPr="00404474" w:rsidRDefault="00532C65">
      <w:pPr>
        <w:pStyle w:val="FootnoteText"/>
        <w:rPr>
          <w:rFonts w:cstheme="minorHAnsi"/>
        </w:rPr>
      </w:pPr>
      <w:r w:rsidRPr="00404474">
        <w:rPr>
          <w:rStyle w:val="FootnoteReference"/>
          <w:rFonts w:cstheme="minorHAnsi"/>
        </w:rPr>
        <w:footnoteRef/>
      </w:r>
      <w:r w:rsidRPr="00404474">
        <w:rPr>
          <w:rFonts w:cstheme="minorHAnsi"/>
        </w:rPr>
        <w:t xml:space="preserve"> Xenophon, Thucydides, Didymus, Plutarch </w:t>
      </w:r>
    </w:p>
  </w:footnote>
  <w:footnote w:id="8">
    <w:p w:rsidR="00532C65" w:rsidRDefault="00532C65">
      <w:pPr>
        <w:pStyle w:val="FootnoteText"/>
      </w:pPr>
      <w:r w:rsidRPr="00404474">
        <w:rPr>
          <w:rStyle w:val="FootnoteReference"/>
          <w:rFonts w:cstheme="minorHAnsi"/>
        </w:rPr>
        <w:footnoteRef/>
      </w:r>
      <w:r w:rsidRPr="00404474">
        <w:rPr>
          <w:rFonts w:cstheme="minorHAnsi"/>
        </w:rPr>
        <w:t xml:space="preserve"> </w:t>
      </w:r>
      <w:r w:rsidR="00404474" w:rsidRPr="00404474">
        <w:rPr>
          <w:rFonts w:cstheme="minorHAnsi"/>
        </w:rPr>
        <w:t>Hammond p405</w:t>
      </w:r>
    </w:p>
  </w:footnote>
  <w:footnote w:id="9">
    <w:p w:rsidR="00404474" w:rsidRDefault="00404474">
      <w:pPr>
        <w:pStyle w:val="FootnoteText"/>
      </w:pPr>
      <w:r>
        <w:rPr>
          <w:rStyle w:val="FootnoteReference"/>
        </w:rPr>
        <w:footnoteRef/>
      </w:r>
      <w:r>
        <w:t xml:space="preserve"> Heckel p274</w:t>
      </w:r>
    </w:p>
  </w:footnote>
  <w:footnote w:id="10">
    <w:p w:rsidR="00404474" w:rsidRPr="00404474" w:rsidRDefault="00404474">
      <w:pPr>
        <w:pStyle w:val="FootnoteText"/>
        <w:rPr>
          <w:rFonts w:cstheme="minorHAnsi"/>
        </w:rPr>
      </w:pPr>
      <w:r>
        <w:rPr>
          <w:rStyle w:val="FootnoteReference"/>
        </w:rPr>
        <w:footnoteRef/>
      </w:r>
      <w:r>
        <w:t xml:space="preserve"> </w:t>
      </w:r>
      <w:r w:rsidRPr="00404474">
        <w:rPr>
          <w:rFonts w:cstheme="minorHAnsi"/>
        </w:rPr>
        <w:t>Heckel p273</w:t>
      </w:r>
    </w:p>
  </w:footnote>
  <w:footnote w:id="11">
    <w:p w:rsidR="00404474" w:rsidRPr="00404474" w:rsidRDefault="00404474">
      <w:pPr>
        <w:pStyle w:val="FootnoteText"/>
        <w:rPr>
          <w:rFonts w:cstheme="minorHAnsi"/>
        </w:rPr>
      </w:pPr>
      <w:r w:rsidRPr="00404474">
        <w:rPr>
          <w:rStyle w:val="FootnoteReference"/>
          <w:rFonts w:cstheme="minorHAnsi"/>
        </w:rPr>
        <w:footnoteRef/>
      </w:r>
      <w:r w:rsidRPr="00404474">
        <w:rPr>
          <w:rFonts w:cstheme="minorHAnsi"/>
        </w:rPr>
        <w:t xml:space="preserve"> Hammond p423</w:t>
      </w:r>
    </w:p>
  </w:footnote>
  <w:footnote w:id="12">
    <w:p w:rsidR="00404474" w:rsidRPr="00404474" w:rsidRDefault="00404474">
      <w:pPr>
        <w:pStyle w:val="FootnoteText"/>
        <w:rPr>
          <w:rFonts w:cstheme="minorHAnsi"/>
        </w:rPr>
      </w:pPr>
      <w:r w:rsidRPr="00404474">
        <w:rPr>
          <w:rStyle w:val="FootnoteReference"/>
          <w:rFonts w:cstheme="minorHAnsi"/>
        </w:rPr>
        <w:footnoteRef/>
      </w:r>
      <w:r w:rsidRPr="00404474">
        <w:rPr>
          <w:rFonts w:cstheme="minorHAnsi"/>
        </w:rPr>
        <w:t xml:space="preserve"> </w:t>
      </w:r>
      <w:r w:rsidRPr="00404474">
        <w:rPr>
          <w:rFonts w:cstheme="minorHAnsi"/>
          <w:sz w:val="22"/>
          <w:szCs w:val="22"/>
          <w:shd w:val="clear" w:color="auto" w:fill="FFFFFF"/>
        </w:rPr>
        <w:t>Chambers, Mortimer (2002). </w:t>
      </w:r>
      <w:r w:rsidRPr="00404474">
        <w:rPr>
          <w:rFonts w:cstheme="minorHAnsi"/>
          <w:i/>
          <w:iCs/>
          <w:sz w:val="22"/>
          <w:szCs w:val="22"/>
          <w:shd w:val="clear" w:color="auto" w:fill="FFFFFF"/>
        </w:rPr>
        <w:t>The Western Experience</w:t>
      </w:r>
      <w:r w:rsidRPr="00404474">
        <w:rPr>
          <w:rFonts w:cstheme="minorHAnsi"/>
          <w:sz w:val="22"/>
          <w:szCs w:val="22"/>
          <w:shd w:val="clear" w:color="auto" w:fill="FFFFFF"/>
        </w:rPr>
        <w:t>. McGraw-Hill. p. 101</w:t>
      </w:r>
    </w:p>
  </w:footnote>
  <w:footnote w:id="13">
    <w:p w:rsidR="00404474" w:rsidRPr="00404474" w:rsidRDefault="00404474" w:rsidP="00404474">
      <w:pPr>
        <w:pStyle w:val="Heading1"/>
        <w:spacing w:before="0" w:line="288" w:lineRule="atLeast"/>
        <w:rPr>
          <w:rFonts w:asciiTheme="minorHAnsi" w:hAnsiTheme="minorHAnsi" w:cstheme="minorHAnsi"/>
          <w:b w:val="0"/>
          <w:bCs w:val="0"/>
          <w:color w:val="auto"/>
          <w:sz w:val="62"/>
          <w:szCs w:val="62"/>
        </w:rPr>
      </w:pPr>
      <w:r w:rsidRPr="00404474">
        <w:rPr>
          <w:rStyle w:val="FootnoteReference"/>
          <w:rFonts w:asciiTheme="minorHAnsi" w:hAnsiTheme="minorHAnsi" w:cstheme="minorHAnsi"/>
          <w:b w:val="0"/>
          <w:color w:val="auto"/>
          <w:sz w:val="20"/>
        </w:rPr>
        <w:footnoteRef/>
      </w:r>
      <w:r w:rsidRPr="00404474">
        <w:rPr>
          <w:rFonts w:asciiTheme="minorHAnsi" w:hAnsiTheme="minorHAnsi" w:cstheme="minorHAnsi"/>
          <w:b w:val="0"/>
          <w:color w:val="auto"/>
          <w:sz w:val="20"/>
        </w:rPr>
        <w:t xml:space="preserve"> Archaeological Site of Aigai (modern name Vergina)</w:t>
      </w:r>
    </w:p>
    <w:p w:rsidR="00404474" w:rsidRDefault="00404474" w:rsidP="00404474">
      <w:pPr>
        <w:pStyle w:val="FootnoteText"/>
        <w:tabs>
          <w:tab w:val="left" w:pos="2980"/>
        </w:tabs>
      </w:pPr>
      <w:r>
        <w:tab/>
      </w:r>
    </w:p>
  </w:footnote>
  <w:footnote w:id="14">
    <w:p w:rsidR="0084790A" w:rsidRDefault="0084790A">
      <w:pPr>
        <w:pStyle w:val="FootnoteText"/>
      </w:pPr>
      <w:r>
        <w:rPr>
          <w:rStyle w:val="FootnoteReference"/>
        </w:rPr>
        <w:footnoteRef/>
      </w:r>
      <w:r>
        <w:t xml:space="preserve"> Snively p512</w:t>
      </w:r>
    </w:p>
  </w:footnote>
  <w:footnote w:id="15">
    <w:p w:rsidR="00957DA1" w:rsidRDefault="00957DA1">
      <w:pPr>
        <w:pStyle w:val="FootnoteText"/>
      </w:pPr>
      <w:r>
        <w:rPr>
          <w:rStyle w:val="FootnoteReference"/>
        </w:rPr>
        <w:footnoteRef/>
      </w:r>
      <w:r>
        <w:t xml:space="preserve"> </w:t>
      </w:r>
      <w:r w:rsidR="0084790A">
        <w:t>Snively p511</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681346"/>
    <w:rsid w:val="000544E3"/>
    <w:rsid w:val="000A4D51"/>
    <w:rsid w:val="000C2804"/>
    <w:rsid w:val="001365D7"/>
    <w:rsid w:val="0019478E"/>
    <w:rsid w:val="00257AE8"/>
    <w:rsid w:val="002D5B98"/>
    <w:rsid w:val="003163D2"/>
    <w:rsid w:val="00404474"/>
    <w:rsid w:val="00446B95"/>
    <w:rsid w:val="004D5E6D"/>
    <w:rsid w:val="004D62CF"/>
    <w:rsid w:val="00521518"/>
    <w:rsid w:val="00532C65"/>
    <w:rsid w:val="00591549"/>
    <w:rsid w:val="00595282"/>
    <w:rsid w:val="005B1C00"/>
    <w:rsid w:val="005F2C03"/>
    <w:rsid w:val="00601207"/>
    <w:rsid w:val="0060452E"/>
    <w:rsid w:val="0065634A"/>
    <w:rsid w:val="00681346"/>
    <w:rsid w:val="00687BBD"/>
    <w:rsid w:val="006C4882"/>
    <w:rsid w:val="006C63AC"/>
    <w:rsid w:val="006D7EF8"/>
    <w:rsid w:val="00705592"/>
    <w:rsid w:val="00741FDD"/>
    <w:rsid w:val="00771BC7"/>
    <w:rsid w:val="0084790A"/>
    <w:rsid w:val="00850946"/>
    <w:rsid w:val="0088363C"/>
    <w:rsid w:val="008E2E14"/>
    <w:rsid w:val="008E3705"/>
    <w:rsid w:val="00957DA1"/>
    <w:rsid w:val="009F22B5"/>
    <w:rsid w:val="00A51086"/>
    <w:rsid w:val="00A65255"/>
    <w:rsid w:val="00AB4B8B"/>
    <w:rsid w:val="00B01883"/>
    <w:rsid w:val="00BD0622"/>
    <w:rsid w:val="00C04971"/>
    <w:rsid w:val="00C37754"/>
    <w:rsid w:val="00C95278"/>
    <w:rsid w:val="00D65504"/>
    <w:rsid w:val="00DB0A7A"/>
    <w:rsid w:val="00ED74BF"/>
    <w:rsid w:val="00EF4DAF"/>
    <w:rsid w:val="00F27103"/>
    <w:rsid w:val="00F73768"/>
    <w:rsid w:val="00F970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DAF"/>
  </w:style>
  <w:style w:type="paragraph" w:styleId="Heading1">
    <w:name w:val="heading 1"/>
    <w:basedOn w:val="Normal"/>
    <w:next w:val="Normal"/>
    <w:link w:val="Heading1Char"/>
    <w:uiPriority w:val="9"/>
    <w:qFormat/>
    <w:rsid w:val="004044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018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18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1883"/>
    <w:rPr>
      <w:sz w:val="20"/>
      <w:szCs w:val="20"/>
    </w:rPr>
  </w:style>
  <w:style w:type="character" w:styleId="FootnoteReference">
    <w:name w:val="footnote reference"/>
    <w:basedOn w:val="DefaultParagraphFont"/>
    <w:uiPriority w:val="99"/>
    <w:semiHidden/>
    <w:unhideWhenUsed/>
    <w:rsid w:val="00B01883"/>
    <w:rPr>
      <w:vertAlign w:val="superscript"/>
    </w:rPr>
  </w:style>
  <w:style w:type="character" w:customStyle="1" w:styleId="Heading3Char">
    <w:name w:val="Heading 3 Char"/>
    <w:basedOn w:val="DefaultParagraphFont"/>
    <w:link w:val="Heading3"/>
    <w:uiPriority w:val="9"/>
    <w:rsid w:val="00B0188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01883"/>
    <w:rPr>
      <w:color w:val="0000FF"/>
      <w:u w:val="single"/>
    </w:rPr>
  </w:style>
  <w:style w:type="character" w:customStyle="1" w:styleId="Heading1Char">
    <w:name w:val="Heading 1 Char"/>
    <w:basedOn w:val="DefaultParagraphFont"/>
    <w:link w:val="Heading1"/>
    <w:uiPriority w:val="9"/>
    <w:rsid w:val="00404474"/>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87255216">
      <w:bodyDiv w:val="1"/>
      <w:marLeft w:val="0"/>
      <w:marRight w:val="0"/>
      <w:marTop w:val="0"/>
      <w:marBottom w:val="0"/>
      <w:divBdr>
        <w:top w:val="none" w:sz="0" w:space="0" w:color="auto"/>
        <w:left w:val="none" w:sz="0" w:space="0" w:color="auto"/>
        <w:bottom w:val="none" w:sz="0" w:space="0" w:color="auto"/>
        <w:right w:val="none" w:sz="0" w:space="0" w:color="auto"/>
      </w:divBdr>
    </w:div>
    <w:div w:id="457725166">
      <w:bodyDiv w:val="1"/>
      <w:marLeft w:val="0"/>
      <w:marRight w:val="0"/>
      <w:marTop w:val="0"/>
      <w:marBottom w:val="0"/>
      <w:divBdr>
        <w:top w:val="none" w:sz="0" w:space="0" w:color="auto"/>
        <w:left w:val="none" w:sz="0" w:space="0" w:color="auto"/>
        <w:bottom w:val="none" w:sz="0" w:space="0" w:color="auto"/>
        <w:right w:val="none" w:sz="0" w:space="0" w:color="auto"/>
      </w:divBdr>
    </w:div>
    <w:div w:id="799303136">
      <w:bodyDiv w:val="1"/>
      <w:marLeft w:val="0"/>
      <w:marRight w:val="0"/>
      <w:marTop w:val="0"/>
      <w:marBottom w:val="0"/>
      <w:divBdr>
        <w:top w:val="none" w:sz="0" w:space="0" w:color="auto"/>
        <w:left w:val="none" w:sz="0" w:space="0" w:color="auto"/>
        <w:bottom w:val="none" w:sz="0" w:space="0" w:color="auto"/>
        <w:right w:val="none" w:sz="0" w:space="0" w:color="auto"/>
      </w:divBdr>
    </w:div>
    <w:div w:id="1198785140">
      <w:bodyDiv w:val="1"/>
      <w:marLeft w:val="0"/>
      <w:marRight w:val="0"/>
      <w:marTop w:val="0"/>
      <w:marBottom w:val="0"/>
      <w:divBdr>
        <w:top w:val="none" w:sz="0" w:space="0" w:color="auto"/>
        <w:left w:val="none" w:sz="0" w:space="0" w:color="auto"/>
        <w:bottom w:val="none" w:sz="0" w:space="0" w:color="auto"/>
        <w:right w:val="none" w:sz="0" w:space="0" w:color="auto"/>
      </w:divBdr>
    </w:div>
    <w:div w:id="1231842229">
      <w:bodyDiv w:val="1"/>
      <w:marLeft w:val="0"/>
      <w:marRight w:val="0"/>
      <w:marTop w:val="0"/>
      <w:marBottom w:val="0"/>
      <w:divBdr>
        <w:top w:val="none" w:sz="0" w:space="0" w:color="auto"/>
        <w:left w:val="none" w:sz="0" w:space="0" w:color="auto"/>
        <w:bottom w:val="none" w:sz="0" w:space="0" w:color="auto"/>
        <w:right w:val="none" w:sz="0" w:space="0" w:color="auto"/>
      </w:divBdr>
    </w:div>
    <w:div w:id="1390496385">
      <w:bodyDiv w:val="1"/>
      <w:marLeft w:val="0"/>
      <w:marRight w:val="0"/>
      <w:marTop w:val="0"/>
      <w:marBottom w:val="0"/>
      <w:divBdr>
        <w:top w:val="none" w:sz="0" w:space="0" w:color="auto"/>
        <w:left w:val="none" w:sz="0" w:space="0" w:color="auto"/>
        <w:bottom w:val="none" w:sz="0" w:space="0" w:color="auto"/>
        <w:right w:val="none" w:sz="0" w:space="0" w:color="auto"/>
      </w:divBdr>
    </w:div>
    <w:div w:id="1481192932">
      <w:bodyDiv w:val="1"/>
      <w:marLeft w:val="0"/>
      <w:marRight w:val="0"/>
      <w:marTop w:val="0"/>
      <w:marBottom w:val="0"/>
      <w:divBdr>
        <w:top w:val="none" w:sz="0" w:space="0" w:color="auto"/>
        <w:left w:val="none" w:sz="0" w:space="0" w:color="auto"/>
        <w:bottom w:val="none" w:sz="0" w:space="0" w:color="auto"/>
        <w:right w:val="none" w:sz="0" w:space="0" w:color="auto"/>
      </w:divBdr>
      <w:divsChild>
        <w:div w:id="1159467825">
          <w:marLeft w:val="0"/>
          <w:marRight w:val="0"/>
          <w:marTop w:val="0"/>
          <w:marBottom w:val="0"/>
          <w:divBdr>
            <w:top w:val="none" w:sz="0" w:space="0" w:color="auto"/>
            <w:left w:val="none" w:sz="0" w:space="0" w:color="auto"/>
            <w:bottom w:val="none" w:sz="0" w:space="0" w:color="auto"/>
            <w:right w:val="none" w:sz="0" w:space="0" w:color="auto"/>
          </w:divBdr>
          <w:divsChild>
            <w:div w:id="188298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340800">
      <w:bodyDiv w:val="1"/>
      <w:marLeft w:val="0"/>
      <w:marRight w:val="0"/>
      <w:marTop w:val="0"/>
      <w:marBottom w:val="0"/>
      <w:divBdr>
        <w:top w:val="none" w:sz="0" w:space="0" w:color="auto"/>
        <w:left w:val="none" w:sz="0" w:space="0" w:color="auto"/>
        <w:bottom w:val="none" w:sz="0" w:space="0" w:color="auto"/>
        <w:right w:val="none" w:sz="0" w:space="0" w:color="auto"/>
      </w:divBdr>
    </w:div>
    <w:div w:id="1691713319">
      <w:bodyDiv w:val="1"/>
      <w:marLeft w:val="0"/>
      <w:marRight w:val="0"/>
      <w:marTop w:val="0"/>
      <w:marBottom w:val="0"/>
      <w:divBdr>
        <w:top w:val="none" w:sz="0" w:space="0" w:color="auto"/>
        <w:left w:val="none" w:sz="0" w:space="0" w:color="auto"/>
        <w:bottom w:val="none" w:sz="0" w:space="0" w:color="auto"/>
        <w:right w:val="none" w:sz="0" w:space="0" w:color="auto"/>
      </w:divBdr>
    </w:div>
    <w:div w:id="2146391521">
      <w:bodyDiv w:val="1"/>
      <w:marLeft w:val="0"/>
      <w:marRight w:val="0"/>
      <w:marTop w:val="0"/>
      <w:marBottom w:val="0"/>
      <w:divBdr>
        <w:top w:val="none" w:sz="0" w:space="0" w:color="auto"/>
        <w:left w:val="none" w:sz="0" w:space="0" w:color="auto"/>
        <w:bottom w:val="none" w:sz="0" w:space="0" w:color="auto"/>
        <w:right w:val="none" w:sz="0" w:space="0" w:color="auto"/>
      </w:divBdr>
      <w:divsChild>
        <w:div w:id="374358444">
          <w:marLeft w:val="0"/>
          <w:marRight w:val="0"/>
          <w:marTop w:val="0"/>
          <w:marBottom w:val="0"/>
          <w:divBdr>
            <w:top w:val="none" w:sz="0" w:space="0" w:color="auto"/>
            <w:left w:val="none" w:sz="0" w:space="0" w:color="auto"/>
            <w:bottom w:val="none" w:sz="0" w:space="0" w:color="auto"/>
            <w:right w:val="none" w:sz="0" w:space="0" w:color="auto"/>
          </w:divBdr>
          <w:divsChild>
            <w:div w:id="17007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id=614pd07OtfQC&amp;pg=PA16&amp;dq=greek+resistance+world+war+2+macedonians" TargetMode="External"/><Relationship Id="rId3" Type="http://schemas.openxmlformats.org/officeDocument/2006/relationships/settings" Target="settings.xml"/><Relationship Id="rId7" Type="http://schemas.openxmlformats.org/officeDocument/2006/relationships/hyperlink" Target="https://en.wikipedia.org/wiki/Eugene_Borz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hc.unesco.org/en/list/780" TargetMode="External"/><Relationship Id="rId4" Type="http://schemas.openxmlformats.org/officeDocument/2006/relationships/webSettings" Target="webSettings.xml"/><Relationship Id="rId9" Type="http://schemas.openxmlformats.org/officeDocument/2006/relationships/hyperlink" Target="https://en.wikipedia.org/wiki/Princeton_University_Pres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4436258?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3" Type="http://schemas.openxmlformats.org/officeDocument/2006/relationships/hyperlink" Target="https://en.wikipedia.org/wiki/Princeton_University_Press" TargetMode="External"/><Relationship Id="rId7" Type="http://schemas.openxmlformats.org/officeDocument/2006/relationships/hyperlink" Target="https://www.jstor.org/stable/4436404?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2" Type="http://schemas.openxmlformats.org/officeDocument/2006/relationships/hyperlink" Target="https://books.google.com/?id=614pd07OtfQC&amp;pg=PA16&amp;dq=greek+resistance+world+war+2+macedonians" TargetMode="External"/><Relationship Id="rId1" Type="http://schemas.openxmlformats.org/officeDocument/2006/relationships/hyperlink" Target="https://en.wikipedia.org/wiki/Eugene_Borza" TargetMode="External"/><Relationship Id="rId6" Type="http://schemas.openxmlformats.org/officeDocument/2006/relationships/hyperlink" Target="https://www.jstor.org/stable/4436574?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5" Type="http://schemas.openxmlformats.org/officeDocument/2006/relationships/hyperlink" Target="https://www.jstor.org/stable/4436520?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10" Type="http://schemas.openxmlformats.org/officeDocument/2006/relationships/hyperlink" Target="https://www.jstor.org/stable/4436322?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4" Type="http://schemas.openxmlformats.org/officeDocument/2006/relationships/hyperlink" Target="https://www.jstor.org/stable/4436697?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 Id="rId9" Type="http://schemas.openxmlformats.org/officeDocument/2006/relationships/hyperlink" Target="https://www.jstor.org/stable/4436467?Search=yes&amp;resultItemClick=true&amp;searchText=au%3A&amp;searchText=%22Nicholas+G.+L.+Hammond%22&amp;searchUri=%2Faction%2FdoBasicSearch%3FQuery%3Dau%253A%2522Nicholas%2BG.%2BL.%2BHammond%2522%2B%26amp%3Bfc%3Doff%26amp%3Bgroup%3Dnone%26amp%3Bacc%3Don%26amp%3Bwc%3Don&amp;ab_segments=0%2Fdefault-2%2F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D53006-431C-4CDF-B790-CCFADF857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5</Pages>
  <Words>1639</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9</cp:revision>
  <dcterms:created xsi:type="dcterms:W3CDTF">2019-03-29T11:44:00Z</dcterms:created>
  <dcterms:modified xsi:type="dcterms:W3CDTF">2019-03-29T23:57:00Z</dcterms:modified>
</cp:coreProperties>
</file>