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CCCCFF"/>
  <w:body>
    <w:p w:rsidR="005A64F8" w:rsidRDefault="00DC6FD5" w:rsidP="00DC6FD5">
      <w:r w:rsidRPr="00DC6FD5">
        <w:t>What do we</w:t>
      </w:r>
      <w:r>
        <w:t xml:space="preserve"> know about the Eleusinian</w:t>
      </w:r>
      <w:r w:rsidRPr="00DC6FD5">
        <w:t xml:space="preserve"> mysteries?</w:t>
      </w:r>
    </w:p>
    <w:p w:rsidR="00DC6FD5" w:rsidRDefault="00DC6FD5" w:rsidP="00DC6FD5">
      <w:r>
        <w:t xml:space="preserve">The knowledge which has been discovered based off the Eleusinian mysteries from the Eleusinian Gods to initiation of the cult of Demeter. The iconography and the myth surrounding the birth of the cult will be the main focus. </w:t>
      </w:r>
      <w:r w:rsidR="00986024">
        <w:t xml:space="preserve">It will </w:t>
      </w:r>
      <w:proofErr w:type="spellStart"/>
      <w:r w:rsidR="00986024">
        <w:t>be come</w:t>
      </w:r>
      <w:proofErr w:type="spellEnd"/>
      <w:r w:rsidR="00986024">
        <w:t xml:space="preserve"> evident that the Eleusinian mysteries were involved in the afterlife and beliefs and ideals surrounding it.</w:t>
      </w:r>
    </w:p>
    <w:p w:rsidR="005A64F8" w:rsidRDefault="005A64F8" w:rsidP="00DC6FD5">
      <w:r>
        <w:t>The birth of temple to Demeter at Eleusis is depicted in the Hymn to Demeter where Demeter herself demands “build me a great temple with an altar beneath”</w:t>
      </w:r>
      <w:r>
        <w:rPr>
          <w:rStyle w:val="FootnoteReference"/>
        </w:rPr>
        <w:footnoteReference w:id="1"/>
      </w:r>
      <w:r>
        <w:t xml:space="preserve"> The Eleusinian mysteries also had their own deities  , such as </w:t>
      </w:r>
      <w:proofErr w:type="spellStart"/>
      <w:r>
        <w:t>Iacchus</w:t>
      </w:r>
      <w:proofErr w:type="spellEnd"/>
      <w:r>
        <w:t xml:space="preserve"> who is mentioned within the frogs as the chorus calls out to them.</w:t>
      </w:r>
      <w:r>
        <w:rPr>
          <w:rStyle w:val="FootnoteReference"/>
        </w:rPr>
        <w:footnoteReference w:id="2"/>
      </w:r>
      <w:r>
        <w:t xml:space="preserve"> </w:t>
      </w:r>
      <w:r w:rsidR="005611E5">
        <w:t xml:space="preserve">An important part of </w:t>
      </w:r>
      <w:proofErr w:type="spellStart"/>
      <w:r w:rsidR="005611E5">
        <w:t>Iacchus</w:t>
      </w:r>
      <w:proofErr w:type="spellEnd"/>
      <w:r w:rsidR="005611E5">
        <w:t>’ nature is dancing which is also depicted by the chorus as the say “</w:t>
      </w:r>
      <w:proofErr w:type="spellStart"/>
      <w:r w:rsidR="005611E5">
        <w:t>Iachchus</w:t>
      </w:r>
      <w:proofErr w:type="spellEnd"/>
      <w:r w:rsidR="005611E5">
        <w:t xml:space="preserve">, </w:t>
      </w:r>
      <w:r w:rsidR="005611E5" w:rsidRPr="005611E5">
        <w:t>lover of the dance, lead me onward</w:t>
      </w:r>
      <w:r w:rsidR="005611E5">
        <w:t>”</w:t>
      </w:r>
      <w:r w:rsidR="005611E5">
        <w:rPr>
          <w:rStyle w:val="FootnoteReference"/>
        </w:rPr>
        <w:footnoteReference w:id="3"/>
      </w:r>
      <w:r w:rsidR="005611E5">
        <w:t xml:space="preserve"> this is also evident in Antigone when the chorus once again sing of </w:t>
      </w:r>
      <w:proofErr w:type="spellStart"/>
      <w:r w:rsidR="005611E5">
        <w:t>Iacchus</w:t>
      </w:r>
      <w:proofErr w:type="spellEnd"/>
      <w:r w:rsidR="005611E5">
        <w:t xml:space="preserve">’ </w:t>
      </w:r>
      <w:proofErr w:type="spellStart"/>
      <w:r w:rsidR="005611E5">
        <w:t>frienzed</w:t>
      </w:r>
      <w:proofErr w:type="spellEnd"/>
      <w:r w:rsidR="005611E5">
        <w:t xml:space="preserve"> dance.</w:t>
      </w:r>
      <w:r w:rsidR="005611E5">
        <w:rPr>
          <w:rStyle w:val="FootnoteReference"/>
        </w:rPr>
        <w:footnoteReference w:id="4"/>
      </w:r>
      <w:r w:rsidR="005611E5">
        <w:t xml:space="preserve"> This was to show the experience of those who participated in the long march which those of the temple of Demeter and Kore would take during the last three days of fasting.</w:t>
      </w:r>
      <w:r w:rsidR="005611E5">
        <w:rPr>
          <w:rStyle w:val="FootnoteReference"/>
        </w:rPr>
        <w:footnoteReference w:id="5"/>
      </w:r>
      <w:r w:rsidR="00322D07">
        <w:t xml:space="preserve"> </w:t>
      </w:r>
    </w:p>
    <w:p w:rsidR="00BE4A6C" w:rsidRDefault="00322D07" w:rsidP="00DC6FD5">
      <w:r>
        <w:t>One aspect of the Eleusinian mysteries is the laws which surrounded the cult, such as the crime of placing a bough on the altar during the mysteries.</w:t>
      </w:r>
      <w:r>
        <w:rPr>
          <w:rStyle w:val="FootnoteReference"/>
        </w:rPr>
        <w:footnoteReference w:id="6"/>
      </w:r>
      <w:r>
        <w:t xml:space="preserve"> An issue arises during this of what the punishment from the crime is whether it be the death penalty or a fine of a thousand drachma.</w:t>
      </w:r>
      <w:r>
        <w:rPr>
          <w:rStyle w:val="FootnoteReference"/>
        </w:rPr>
        <w:footnoteReference w:id="7"/>
      </w:r>
      <w:r>
        <w:t xml:space="preserve"> The serenity of  these punishments highlight the serious beliefs which surrounded these mysteries and that they were treated with respect and were not wild cultist. The speech also mentions “sacrifi</w:t>
      </w:r>
      <w:r w:rsidR="00BF4914">
        <w:t xml:space="preserve">ces” which were made in Eleusis. The experience of the afterlife in which the Eleusinian mysteries offers is only available to those who are initiated into the cult as in the hymn to Demeter “Happy is he… </w:t>
      </w:r>
      <w:r w:rsidR="00BF4914" w:rsidRPr="00BF4914">
        <w:t>who has seen these mysteries; but he who is uninitiated and who has no part in them, never has lot of like good things once he is dead</w:t>
      </w:r>
      <w:r w:rsidR="00BF4914">
        <w:t>.”</w:t>
      </w:r>
      <w:r w:rsidR="00BF4914">
        <w:rPr>
          <w:rStyle w:val="FootnoteReference"/>
        </w:rPr>
        <w:footnoteReference w:id="8"/>
      </w:r>
      <w:r w:rsidR="00BF4914">
        <w:t xml:space="preserve"> This may explain why people voluntarily joined this cult in a belief of a better and more peaceful afterlife and not a life of “</w:t>
      </w:r>
      <w:r w:rsidR="00BF4914" w:rsidRPr="00BF4914">
        <w:t>down in the darkness and gloom.</w:t>
      </w:r>
      <w:r w:rsidR="00BF4914">
        <w:t>”</w:t>
      </w:r>
      <w:r w:rsidR="00BF4914">
        <w:rPr>
          <w:rStyle w:val="FootnoteReference"/>
        </w:rPr>
        <w:footnoteReference w:id="9"/>
      </w:r>
      <w:r w:rsidR="00BF4914">
        <w:t xml:space="preserve"> </w:t>
      </w:r>
    </w:p>
    <w:p w:rsidR="00986024" w:rsidRDefault="00986024" w:rsidP="00DC6FD5">
      <w:r>
        <w:t xml:space="preserve">In conclusion, the Eleusinian mysteries were a cult focused around Demeter and Kore and the belief that praying and sacrificing to the Goddess and the daughter, Persephone, would bring a more peaceful afterlife to those who were initiated into the temple. This would explain why the wife of </w:t>
      </w:r>
      <w:proofErr w:type="spellStart"/>
      <w:r>
        <w:t>Diodorous</w:t>
      </w:r>
      <w:proofErr w:type="spellEnd"/>
      <w:r>
        <w:t xml:space="preserve"> was initiated into the cult and may have specific religious beliefs surrounding the afterlife. </w:t>
      </w:r>
    </w:p>
    <w:p w:rsidR="00986024" w:rsidRDefault="00986024" w:rsidP="00DC6FD5"/>
    <w:p w:rsidR="00BF4914" w:rsidRDefault="00BF4914" w:rsidP="00DC6FD5"/>
    <w:p w:rsidR="00BF4914" w:rsidRDefault="00BF4914" w:rsidP="00DC6FD5"/>
    <w:p w:rsidR="00BE4A6C" w:rsidRDefault="00BE4A6C" w:rsidP="00DC6FD5"/>
    <w:p w:rsidR="00BE4A6C" w:rsidRDefault="00BE4A6C" w:rsidP="00DC6FD5"/>
    <w:p w:rsidR="00BE4A6C" w:rsidRDefault="00BE4A6C" w:rsidP="00DC6FD5"/>
    <w:p w:rsidR="00BE4A6C" w:rsidRDefault="00826EEB" w:rsidP="00DC6FD5">
      <w:r>
        <w:lastRenderedPageBreak/>
        <w:t xml:space="preserve">Bibliography </w:t>
      </w:r>
    </w:p>
    <w:p w:rsidR="00E51CC4" w:rsidRDefault="00E51CC4" w:rsidP="00DC6FD5"/>
    <w:p w:rsidR="00E51CC4" w:rsidRPr="00E51CC4" w:rsidRDefault="00E51CC4" w:rsidP="00DC6FD5">
      <w:pPr>
        <w:rPr>
          <w:u w:val="single"/>
        </w:rPr>
      </w:pPr>
      <w:r>
        <w:rPr>
          <w:u w:val="single"/>
        </w:rPr>
        <w:t>Ancient Sources</w:t>
      </w:r>
    </w:p>
    <w:p w:rsidR="00826EEB" w:rsidRPr="00826EEB" w:rsidRDefault="00826EEB" w:rsidP="00DC6FD5">
      <w:pPr>
        <w:rPr>
          <w:i/>
        </w:rPr>
      </w:pPr>
      <w:proofErr w:type="spellStart"/>
      <w:r>
        <w:t>Andocides</w:t>
      </w:r>
      <w:proofErr w:type="spellEnd"/>
      <w:r>
        <w:t xml:space="preserve"> </w:t>
      </w:r>
      <w:r>
        <w:rPr>
          <w:i/>
        </w:rPr>
        <w:t>On the Mysteries</w:t>
      </w:r>
    </w:p>
    <w:p w:rsidR="00826EEB" w:rsidRDefault="00826EEB" w:rsidP="00DC6FD5">
      <w:pPr>
        <w:rPr>
          <w:i/>
        </w:rPr>
      </w:pPr>
      <w:r>
        <w:t xml:space="preserve">Aristophanes </w:t>
      </w:r>
      <w:r>
        <w:rPr>
          <w:i/>
        </w:rPr>
        <w:t>The Frogs</w:t>
      </w:r>
    </w:p>
    <w:p w:rsidR="00826EEB" w:rsidRPr="00E51CC4" w:rsidRDefault="00826EEB" w:rsidP="00DC6FD5">
      <w:pPr>
        <w:rPr>
          <w:i/>
        </w:rPr>
      </w:pPr>
      <w:r>
        <w:t>Soph</w:t>
      </w:r>
      <w:r w:rsidR="00E51CC4">
        <w:t xml:space="preserve">ocles </w:t>
      </w:r>
      <w:r w:rsidR="00E51CC4">
        <w:rPr>
          <w:i/>
        </w:rPr>
        <w:t>Antigone</w:t>
      </w:r>
    </w:p>
    <w:p w:rsidR="00826EEB" w:rsidRPr="00826EEB" w:rsidRDefault="00826EEB" w:rsidP="00DC6FD5"/>
    <w:p w:rsidR="00826EEB" w:rsidRPr="00826EEB" w:rsidRDefault="00826EEB" w:rsidP="00DC6FD5">
      <w:pPr>
        <w:rPr>
          <w:i/>
        </w:rPr>
      </w:pPr>
    </w:p>
    <w:p w:rsidR="00826EEB" w:rsidRDefault="00826EEB" w:rsidP="00DC6FD5"/>
    <w:p w:rsidR="00826EEB" w:rsidRPr="00E51CC4" w:rsidRDefault="00E51CC4" w:rsidP="00DC6FD5">
      <w:pPr>
        <w:rPr>
          <w:u w:val="single"/>
        </w:rPr>
      </w:pPr>
      <w:r w:rsidRPr="00E51CC4">
        <w:rPr>
          <w:u w:val="single"/>
        </w:rPr>
        <w:t>Second</w:t>
      </w:r>
      <w:r>
        <w:rPr>
          <w:u w:val="single"/>
        </w:rPr>
        <w:t>ary Sources</w:t>
      </w:r>
      <w:bookmarkStart w:id="0" w:name="_GoBack"/>
      <w:bookmarkEnd w:id="0"/>
    </w:p>
    <w:p w:rsidR="00826EEB" w:rsidRDefault="00826EEB" w:rsidP="00DC6FD5">
      <w:r>
        <w:t xml:space="preserve">Foley, H. P. (1993) </w:t>
      </w:r>
      <w:r>
        <w:rPr>
          <w:i/>
        </w:rPr>
        <w:t xml:space="preserve">The Homeric Hymn to Demeter </w:t>
      </w:r>
      <w:r>
        <w:t>New Jersey: Princeton University Press</w:t>
      </w:r>
    </w:p>
    <w:p w:rsidR="00826EEB" w:rsidRPr="00E51CC4" w:rsidRDefault="00826EEB" w:rsidP="00E51CC4">
      <w:r w:rsidRPr="00826EEB">
        <w:t>Graf, Fritz (Columbus, OH), “</w:t>
      </w:r>
      <w:proofErr w:type="spellStart"/>
      <w:r w:rsidRPr="00826EEB">
        <w:t>Iacchus</w:t>
      </w:r>
      <w:proofErr w:type="spellEnd"/>
      <w:r w:rsidRPr="00826EEB">
        <w:t xml:space="preserve">”, in: Brill’s New </w:t>
      </w:r>
      <w:proofErr w:type="spellStart"/>
      <w:r w:rsidRPr="00826EEB">
        <w:t>Pauly</w:t>
      </w:r>
      <w:proofErr w:type="spellEnd"/>
      <w:r w:rsidRPr="00826EEB">
        <w:t xml:space="preserve">, Antiquity volumes edited by: Hubert </w:t>
      </w:r>
      <w:proofErr w:type="spellStart"/>
      <w:r w:rsidRPr="00826EEB">
        <w:t>Cancik</w:t>
      </w:r>
      <w:proofErr w:type="spellEnd"/>
      <w:r w:rsidRPr="00826EEB">
        <w:t xml:space="preserve"> </w:t>
      </w:r>
      <w:proofErr w:type="gramStart"/>
      <w:r w:rsidRPr="00826EEB">
        <w:t>and ,</w:t>
      </w:r>
      <w:proofErr w:type="gramEnd"/>
      <w:r w:rsidRPr="00826EEB">
        <w:t xml:space="preserve"> Helmuth Schneider, English Edition by: Christine F. Salazar,</w:t>
      </w:r>
      <w:r w:rsidR="00E51CC4">
        <w:t xml:space="preserve"> En</w:t>
      </w:r>
      <w:r w:rsidR="00E51CC4" w:rsidRPr="00E51CC4">
        <w:t>glish Edition by: Francis G. Gentry. Consulted online on 03 October 2018</w:t>
      </w:r>
    </w:p>
    <w:p w:rsidR="00BE4A6C" w:rsidRDefault="00BE4A6C" w:rsidP="00DC6FD5"/>
    <w:p w:rsidR="00BE4A6C" w:rsidRPr="00DC6FD5" w:rsidRDefault="00BE4A6C" w:rsidP="00DC6FD5"/>
    <w:sectPr w:rsidR="00BE4A6C" w:rsidRPr="00DC6F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471C9" w:rsidRDefault="00C471C9" w:rsidP="005A64F8">
      <w:pPr>
        <w:spacing w:after="0" w:line="240" w:lineRule="auto"/>
      </w:pPr>
      <w:r>
        <w:separator/>
      </w:r>
    </w:p>
  </w:endnote>
  <w:endnote w:type="continuationSeparator" w:id="0">
    <w:p w:rsidR="00C471C9" w:rsidRDefault="00C471C9" w:rsidP="005A64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471C9" w:rsidRDefault="00C471C9" w:rsidP="005A64F8">
      <w:pPr>
        <w:spacing w:after="0" w:line="240" w:lineRule="auto"/>
      </w:pPr>
      <w:r>
        <w:separator/>
      </w:r>
    </w:p>
  </w:footnote>
  <w:footnote w:type="continuationSeparator" w:id="0">
    <w:p w:rsidR="00C471C9" w:rsidRDefault="00C471C9" w:rsidP="005A64F8">
      <w:pPr>
        <w:spacing w:after="0" w:line="240" w:lineRule="auto"/>
      </w:pPr>
      <w:r>
        <w:continuationSeparator/>
      </w:r>
    </w:p>
  </w:footnote>
  <w:footnote w:id="1">
    <w:p w:rsidR="005A64F8" w:rsidRDefault="005A64F8">
      <w:pPr>
        <w:pStyle w:val="FootnoteText"/>
      </w:pPr>
      <w:r>
        <w:rPr>
          <w:rStyle w:val="FootnoteReference"/>
        </w:rPr>
        <w:footnoteRef/>
      </w:r>
      <w:r>
        <w:t xml:space="preserve"> </w:t>
      </w:r>
      <w:r w:rsidRPr="005A64F8">
        <w:t>HH 2</w:t>
      </w:r>
      <w:r>
        <w:t xml:space="preserve"> 268-273</w:t>
      </w:r>
    </w:p>
  </w:footnote>
  <w:footnote w:id="2">
    <w:p w:rsidR="005A64F8" w:rsidRPr="005A64F8" w:rsidRDefault="005A64F8" w:rsidP="005A64F8">
      <w:pPr>
        <w:pStyle w:val="FootnoteText"/>
      </w:pPr>
      <w:r>
        <w:rPr>
          <w:rStyle w:val="FootnoteReference"/>
        </w:rPr>
        <w:footnoteRef/>
      </w:r>
      <w:r>
        <w:t xml:space="preserve"> </w:t>
      </w:r>
      <w:proofErr w:type="spellStart"/>
      <w:r w:rsidRPr="005A64F8">
        <w:t>Aristoph</w:t>
      </w:r>
      <w:proofErr w:type="spellEnd"/>
      <w:r w:rsidRPr="005A64F8">
        <w:t>. Frogs</w:t>
      </w:r>
      <w:r>
        <w:t xml:space="preserve"> 323-324</w:t>
      </w:r>
    </w:p>
  </w:footnote>
  <w:footnote w:id="3">
    <w:p w:rsidR="005611E5" w:rsidRDefault="005611E5">
      <w:pPr>
        <w:pStyle w:val="FootnoteText"/>
      </w:pPr>
      <w:r>
        <w:rPr>
          <w:rStyle w:val="FootnoteReference"/>
        </w:rPr>
        <w:footnoteRef/>
      </w:r>
      <w:r>
        <w:t xml:space="preserve"> </w:t>
      </w:r>
      <w:proofErr w:type="spellStart"/>
      <w:r>
        <w:t>Aristoph</w:t>
      </w:r>
      <w:proofErr w:type="spellEnd"/>
      <w:r>
        <w:t>. Frogs 403</w:t>
      </w:r>
    </w:p>
  </w:footnote>
  <w:footnote w:id="4">
    <w:p w:rsidR="005611E5" w:rsidRDefault="005611E5">
      <w:pPr>
        <w:pStyle w:val="FootnoteText"/>
      </w:pPr>
      <w:r>
        <w:rPr>
          <w:rStyle w:val="FootnoteReference"/>
        </w:rPr>
        <w:footnoteRef/>
      </w:r>
      <w:r>
        <w:t xml:space="preserve"> </w:t>
      </w:r>
      <w:r w:rsidRPr="005611E5">
        <w:t>Soph. Ant. 1152</w:t>
      </w:r>
    </w:p>
  </w:footnote>
  <w:footnote w:id="5">
    <w:p w:rsidR="005611E5" w:rsidRPr="005611E5" w:rsidRDefault="005611E5" w:rsidP="005611E5">
      <w:pPr>
        <w:pStyle w:val="FootnoteText"/>
      </w:pPr>
      <w:r>
        <w:rPr>
          <w:rStyle w:val="FootnoteReference"/>
        </w:rPr>
        <w:footnoteRef/>
      </w:r>
      <w:r>
        <w:t xml:space="preserve"> </w:t>
      </w:r>
      <w:r w:rsidRPr="005611E5">
        <w:t>Graf, Fritz (Columbus, OH), “</w:t>
      </w:r>
      <w:proofErr w:type="spellStart"/>
      <w:r w:rsidR="00322D07">
        <w:t>Iacchus</w:t>
      </w:r>
      <w:proofErr w:type="spellEnd"/>
      <w:r w:rsidR="00322D07">
        <w:t xml:space="preserve">”, in: Brill’s New </w:t>
      </w:r>
      <w:proofErr w:type="spellStart"/>
      <w:r w:rsidR="00322D07">
        <w:t>Pauly</w:t>
      </w:r>
      <w:proofErr w:type="spellEnd"/>
    </w:p>
  </w:footnote>
  <w:footnote w:id="6">
    <w:p w:rsidR="00322D07" w:rsidRPr="00322D07" w:rsidRDefault="00322D07" w:rsidP="00322D07">
      <w:pPr>
        <w:pStyle w:val="FootnoteText"/>
      </w:pPr>
      <w:r>
        <w:rPr>
          <w:rStyle w:val="FootnoteReference"/>
        </w:rPr>
        <w:footnoteRef/>
      </w:r>
      <w:r>
        <w:t xml:space="preserve"> </w:t>
      </w:r>
      <w:proofErr w:type="spellStart"/>
      <w:r w:rsidRPr="00322D07">
        <w:t>Andoc</w:t>
      </w:r>
      <w:proofErr w:type="spellEnd"/>
      <w:r w:rsidRPr="00322D07">
        <w:t>. 1</w:t>
      </w:r>
      <w:r>
        <w:t xml:space="preserve"> 116</w:t>
      </w:r>
    </w:p>
  </w:footnote>
  <w:footnote w:id="7">
    <w:p w:rsidR="00322D07" w:rsidRPr="00322D07" w:rsidRDefault="00322D07" w:rsidP="00322D07">
      <w:pPr>
        <w:pStyle w:val="FootnoteText"/>
      </w:pPr>
      <w:r>
        <w:rPr>
          <w:rStyle w:val="FootnoteReference"/>
        </w:rPr>
        <w:footnoteRef/>
      </w:r>
      <w:r>
        <w:t xml:space="preserve"> </w:t>
      </w:r>
      <w:proofErr w:type="spellStart"/>
      <w:r w:rsidRPr="00322D07">
        <w:t>Andoc</w:t>
      </w:r>
      <w:proofErr w:type="spellEnd"/>
      <w:r w:rsidRPr="00322D07">
        <w:t>. 1</w:t>
      </w:r>
      <w:r>
        <w:t xml:space="preserve"> 116-117</w:t>
      </w:r>
    </w:p>
  </w:footnote>
  <w:footnote w:id="8">
    <w:p w:rsidR="00BF4914" w:rsidRDefault="00BF4914">
      <w:pPr>
        <w:pStyle w:val="FootnoteText"/>
      </w:pPr>
      <w:r>
        <w:rPr>
          <w:rStyle w:val="FootnoteReference"/>
        </w:rPr>
        <w:footnoteRef/>
      </w:r>
      <w:r>
        <w:t xml:space="preserve"> HH 2 488</w:t>
      </w:r>
    </w:p>
  </w:footnote>
  <w:footnote w:id="9">
    <w:p w:rsidR="00BF4914" w:rsidRDefault="00BF4914">
      <w:pPr>
        <w:pStyle w:val="FootnoteText"/>
      </w:pPr>
      <w:r>
        <w:rPr>
          <w:rStyle w:val="FootnoteReference"/>
        </w:rPr>
        <w:footnoteRef/>
      </w:r>
      <w:r>
        <w:t xml:space="preserve"> HH 2 488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6FD5"/>
    <w:rsid w:val="00156363"/>
    <w:rsid w:val="00322D07"/>
    <w:rsid w:val="005611E5"/>
    <w:rsid w:val="005A64F8"/>
    <w:rsid w:val="00826EEB"/>
    <w:rsid w:val="00983B04"/>
    <w:rsid w:val="00986024"/>
    <w:rsid w:val="00A67EDB"/>
    <w:rsid w:val="00BE4A6C"/>
    <w:rsid w:val="00BF4914"/>
    <w:rsid w:val="00C471C9"/>
    <w:rsid w:val="00DC6FD5"/>
    <w:rsid w:val="00E51CC4"/>
    <w:rsid w:val="00F92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9EE94"/>
  <w15:chartTrackingRefBased/>
  <w15:docId w15:val="{DF14A72E-A8EF-460E-BDBF-8F0B8A175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A64F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A64F8"/>
    <w:rPr>
      <w:sz w:val="20"/>
      <w:szCs w:val="20"/>
    </w:rPr>
  </w:style>
  <w:style w:type="character" w:styleId="FootnoteReference">
    <w:name w:val="footnote reference"/>
    <w:basedOn w:val="DefaultParagraphFont"/>
    <w:uiPriority w:val="99"/>
    <w:semiHidden/>
    <w:unhideWhenUsed/>
    <w:rsid w:val="005A64F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57C478-6FA6-45C3-80EB-A1BD2DF6F1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2</Pages>
  <Words>440</Words>
  <Characters>2514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4</cp:revision>
  <dcterms:created xsi:type="dcterms:W3CDTF">2018-10-02T15:44:00Z</dcterms:created>
  <dcterms:modified xsi:type="dcterms:W3CDTF">2018-10-04T01:11:00Z</dcterms:modified>
</cp:coreProperties>
</file>