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B74336" w14:textId="77777777" w:rsidR="002E7200" w:rsidRPr="002E7200" w:rsidRDefault="002E7200" w:rsidP="00487DF3">
      <w:pPr>
        <w:pStyle w:val="Title"/>
        <w:rPr>
          <w:rFonts w:eastAsia="Calibri" w:cs="SimSun"/>
          <w:szCs w:val="22"/>
        </w:rPr>
      </w:pPr>
      <w:r w:rsidRPr="002E7200">
        <w:rPr>
          <w:rFonts w:eastAsia="Times New Roman"/>
        </w:rPr>
        <w:t>Roots of Conflicts: A Critical Exploration</w:t>
      </w:r>
    </w:p>
    <w:p w14:paraId="4B9A1A00" w14:textId="77777777" w:rsidR="002E7200" w:rsidRDefault="002E7200">
      <w:pPr>
        <w:spacing w:after="200" w:line="276" w:lineRule="auto"/>
      </w:pPr>
      <w:r>
        <w:br w:type="page"/>
      </w:r>
    </w:p>
    <w:p w14:paraId="71E4525B" w14:textId="77777777" w:rsidR="002E7200" w:rsidRDefault="002E7200" w:rsidP="002E7200">
      <w:pPr>
        <w:pStyle w:val="Heading1"/>
      </w:pPr>
      <w:r>
        <w:lastRenderedPageBreak/>
        <w:t>Introduction</w:t>
      </w:r>
    </w:p>
    <w:p w14:paraId="5F387487" w14:textId="77777777" w:rsidR="002E7200" w:rsidRPr="002E7200" w:rsidRDefault="002E7200" w:rsidP="002E7200">
      <w:r w:rsidRPr="002E7200">
        <w:t>Conflict has been an historic, not an exception, part of human history and it has taken many shapes, from interpersonal quarrels to major wars. Having an insight into the roots of conflict is of great significance to formulate appropriate prevention and resolution strategies. The selected readings from Peace and Conflict Studies: A Reader offer diverse perspectives on violence, its causes, and the potential for peace. In this think piece, the author consistently criticizes the causes of conflict by looking at the attention given to the psychological, ideological and structural dimensions of conflict.</w:t>
      </w:r>
    </w:p>
    <w:p w14:paraId="13DB4878" w14:textId="77777777" w:rsidR="002E7200" w:rsidRPr="002E7200" w:rsidRDefault="002E7200" w:rsidP="002E7200">
      <w:pPr>
        <w:pStyle w:val="Heading1"/>
        <w:rPr>
          <w:rFonts w:eastAsia="Times New Roman"/>
        </w:rPr>
      </w:pPr>
      <w:r w:rsidRPr="002E7200">
        <w:rPr>
          <w:rFonts w:eastAsia="Times New Roman"/>
        </w:rPr>
        <w:t>The Nature of Violence and Its Role in Conflict</w:t>
      </w:r>
    </w:p>
    <w:p w14:paraId="5E77ECDF" w14:textId="77777777" w:rsidR="002E7200" w:rsidRPr="002E7200" w:rsidRDefault="002E7200" w:rsidP="002E7200">
      <w:r w:rsidRPr="002E7200">
        <w:t>Violence is seen by Hannah Arendt in Chapter 15, On Violence, as being conceptually different from power, although violence can be considered a form of power. According to Arendt, violence differs from power, in that the former is not based on agreement and legitimacy whereas the latter is undermined by power (Arendt, 2012). This is a key understanding of where conflicts start and how they can come about, in the cases where governing structures lose their influence, or fail to attend the needs of the population. Most often, breakdowns in governance precede the escalation of violence which results in widespread discontent and eventually leads to conflict.</w:t>
      </w:r>
    </w:p>
    <w:p w14:paraId="39C71994" w14:textId="77777777" w:rsidR="002E7200" w:rsidRPr="002E7200" w:rsidRDefault="002E7200" w:rsidP="002E7200">
      <w:r w:rsidRPr="002E7200">
        <w:t>This is further contextualized in Chapter 16 of the Geneva Declaration on Armed Violence and Development: armed violence is linked to underdevelopment. It underlines the fact that economic distinctions, lack of access to basic resources and political disorder have been linked with armed violence (Geneva Declaration, 2012). This simply highlights a very important root cause of conflict—structural violence. From a practical point of view, therefore, direct violence is imminent and contactable while structural violence rests with systemic oppression and marginalization, hidden in social and economic inequalities.</w:t>
      </w:r>
    </w:p>
    <w:p w14:paraId="262D1231" w14:textId="77777777" w:rsidR="002E7200" w:rsidRPr="002E7200" w:rsidRDefault="002E7200" w:rsidP="002E7200">
      <w:pPr>
        <w:pStyle w:val="Heading1"/>
        <w:rPr>
          <w:rFonts w:eastAsia="Times New Roman"/>
        </w:rPr>
      </w:pPr>
      <w:r w:rsidRPr="002E7200">
        <w:rPr>
          <w:rFonts w:eastAsia="Times New Roman"/>
        </w:rPr>
        <w:t>Psychological and Sociological Contributions to Understanding Conflict</w:t>
      </w:r>
    </w:p>
    <w:p w14:paraId="2A1FA9F5" w14:textId="77777777" w:rsidR="002E7200" w:rsidRPr="002E7200" w:rsidRDefault="002E7200" w:rsidP="002E7200">
      <w:r w:rsidRPr="002E7200">
        <w:t xml:space="preserve">The origins of conflict (letter to Sigmund Freud, 30 July 1932 and (Chapter 20)) are psychologically conceived. In his reply to Einstein, Freud claims that humans have an instinctive aggression we tend to fight over in conflict (Freud, 2012). However, he also recognizes the part played by cultural of social structures in directing or lessening this inclination. On the contrary, </w:t>
      </w:r>
      <w:r w:rsidRPr="002E7200">
        <w:lastRenderedPageBreak/>
        <w:t>Einstein was hopeful such reduction in the war would occur through international cooperation and education (Einstein, 2012).</w:t>
      </w:r>
    </w:p>
    <w:p w14:paraId="1BC7F2C6" w14:textId="77777777" w:rsidR="002E7200" w:rsidRPr="002E7200" w:rsidRDefault="002E7200" w:rsidP="002E7200">
      <w:r w:rsidRPr="002E7200">
        <w:t xml:space="preserve">United Nations Educational, Scientific and Cultural Organization (UNESCO) (Chapter 21) 2012 puts forth the Seville Statement on Violence that challenges deterministic views of human aggression, considering humans are ‘not biologically preprogrammed for violence’ (UNESCO, 2012). This is a key flip in the fight on the roots of war but just not from inborn humanity but instead from social and political framework and ideologies that spark fire of violence. This is consistent with </w:t>
      </w:r>
      <w:proofErr w:type="spellStart"/>
      <w:r w:rsidRPr="002E7200">
        <w:t>Webel</w:t>
      </w:r>
      <w:proofErr w:type="spellEnd"/>
      <w:r w:rsidRPr="002E7200">
        <w:t xml:space="preserve"> and </w:t>
      </w:r>
      <w:proofErr w:type="spellStart"/>
      <w:r w:rsidRPr="002E7200">
        <w:t>Sotakova’s</w:t>
      </w:r>
      <w:proofErr w:type="spellEnd"/>
      <w:r w:rsidRPr="002E7200">
        <w:t xml:space="preserve"> insight in Psychological Contributions to Understanding of Peace and Conflict (Chapter 22) that cognitive biases, group identity, and historic previous grievances facilitate the perpetuation of conflicts (</w:t>
      </w:r>
      <w:proofErr w:type="spellStart"/>
      <w:r w:rsidRPr="002E7200">
        <w:t>Webel</w:t>
      </w:r>
      <w:proofErr w:type="spellEnd"/>
      <w:r w:rsidRPr="002E7200">
        <w:t xml:space="preserve"> &amp; </w:t>
      </w:r>
      <w:proofErr w:type="spellStart"/>
      <w:r w:rsidRPr="002E7200">
        <w:t>Sotakova</w:t>
      </w:r>
      <w:proofErr w:type="spellEnd"/>
      <w:r w:rsidRPr="002E7200">
        <w:t>, 2012).</w:t>
      </w:r>
    </w:p>
    <w:p w14:paraId="60B95671" w14:textId="77777777" w:rsidR="002E7200" w:rsidRPr="002E7200" w:rsidRDefault="002E7200" w:rsidP="002E7200">
      <w:pPr>
        <w:pStyle w:val="Heading1"/>
        <w:rPr>
          <w:rFonts w:eastAsia="Times New Roman"/>
        </w:rPr>
      </w:pPr>
      <w:r w:rsidRPr="002E7200">
        <w:rPr>
          <w:rFonts w:eastAsia="Times New Roman"/>
        </w:rPr>
        <w:t>The Role of Development in Conflict Prevention</w:t>
      </w:r>
    </w:p>
    <w:p w14:paraId="413615F3" w14:textId="77777777" w:rsidR="002E7200" w:rsidRPr="002E7200" w:rsidRDefault="002E7200" w:rsidP="002E7200">
      <w:r w:rsidRPr="002E7200">
        <w:t>The chapters 17 and 18, authored by the World Health Organization serve as evidence based examples regarding how development can become a tool of violence prevention. The WHO puts emphasis on preventing violence and its impact on reducing violence in Preventing Violence and Reducing Its Impact, WHO (2012a). The findings imply that conflict does not emerge from predisposition of an individual or a culture but is simultaneously affected by systemic conditions that do not provide opportunities and generate resentment.</w:t>
      </w:r>
    </w:p>
    <w:p w14:paraId="52F4F081" w14:textId="77777777" w:rsidR="002E7200" w:rsidRPr="002E7200" w:rsidRDefault="002E7200" w:rsidP="002E7200">
      <w:r w:rsidRPr="002E7200">
        <w:t xml:space="preserve">As with Violence Prevention: The Evidence, a similar case is presented for preventive interventions (e.g. reduction of access to weapons, improvement of social welfare, and education aimed at violence reduction) (WHO, 2012b). By </w:t>
      </w:r>
      <w:proofErr w:type="gramStart"/>
      <w:r w:rsidRPr="002E7200">
        <w:t>these policy recommendation</w:t>
      </w:r>
      <w:proofErr w:type="gramEnd"/>
      <w:r w:rsidRPr="002E7200">
        <w:t>, the role of the structural changes in reducing conflicts is emphasized and thus the peacebuilding efforts must not limit (or confine) to diplomatic negotiations, but should also tackle the issues of the causes behind such tensions like poverty, inequality, and social injustice.</w:t>
      </w:r>
    </w:p>
    <w:p w14:paraId="19BB6DEA" w14:textId="77777777" w:rsidR="002E7200" w:rsidRPr="002E7200" w:rsidRDefault="002E7200" w:rsidP="002E7200">
      <w:pPr>
        <w:pStyle w:val="Heading1"/>
        <w:rPr>
          <w:rFonts w:eastAsia="Times New Roman"/>
        </w:rPr>
      </w:pPr>
      <w:r w:rsidRPr="002E7200">
        <w:rPr>
          <w:rFonts w:eastAsia="Times New Roman"/>
        </w:rPr>
        <w:t>Terrorism and the Construction of Conflict Narratives</w:t>
      </w:r>
    </w:p>
    <w:p w14:paraId="467476CF" w14:textId="77777777" w:rsidR="002E7200" w:rsidRPr="002E7200" w:rsidRDefault="002E7200" w:rsidP="002E7200">
      <w:r w:rsidRPr="002E7200">
        <w:t xml:space="preserve">In Noam Chomsky’s The Evil Scourge of Terrorism (Chapter 23), the alum rounds out the book by critically analyzing how terrorism is framed in political discourse. Chomsky (2012) points out how label of “terrorism” is selectively used in accord with geopolitical interest, affecting perceptions and policy responses. Without this perspective, this is how conflicts are constructed </w:t>
      </w:r>
      <w:r w:rsidRPr="002E7200">
        <w:lastRenderedPageBreak/>
        <w:t>and continue. What is at issue here is that the agents of the international conflict resolution processes have often portrayed certain groups as threats, whereas others have remained outside their purview for completely arbitrary reasons — and even when state-sponsored violence is at play.</w:t>
      </w:r>
    </w:p>
    <w:p w14:paraId="7CFEC401" w14:textId="77777777" w:rsidR="002E7200" w:rsidRPr="002E7200" w:rsidRDefault="002E7200" w:rsidP="002E7200">
      <w:r w:rsidRPr="002E7200">
        <w:t xml:space="preserve">But Chomsky’s analysis also makes the point that ideology drives what fuels conflicts. Political rhetoric that is based on fear and enmity causes the ‘other’ to be </w:t>
      </w:r>
      <w:proofErr w:type="spellStart"/>
      <w:r w:rsidRPr="002E7200">
        <w:t>dehumanised</w:t>
      </w:r>
      <w:proofErr w:type="spellEnd"/>
      <w:r w:rsidRPr="002E7200">
        <w:t xml:space="preserve"> and violence appears to justify itself or be even necessary. Along this ideological dimension of conflict, Arendt’s argument is that power uses violence as an instrument to maintain control (Arendt, 2012).</w:t>
      </w:r>
    </w:p>
    <w:p w14:paraId="54B24E47" w14:textId="77777777" w:rsidR="002E7200" w:rsidRPr="002E7200" w:rsidRDefault="002E7200" w:rsidP="002E7200">
      <w:pPr>
        <w:pStyle w:val="Heading1"/>
        <w:rPr>
          <w:rFonts w:eastAsia="Times New Roman"/>
        </w:rPr>
      </w:pPr>
      <w:r w:rsidRPr="002E7200">
        <w:rPr>
          <w:rFonts w:eastAsia="Times New Roman"/>
        </w:rPr>
        <w:t>Towards Conflict Resolution and Peacebuilding</w:t>
      </w:r>
    </w:p>
    <w:p w14:paraId="5771D3A2" w14:textId="77777777" w:rsidR="002E7200" w:rsidRPr="002E7200" w:rsidRDefault="002E7200" w:rsidP="002E7200">
      <w:r w:rsidRPr="002E7200">
        <w:t>Looking at the roots of the conflict, the readings convey that peace can be achieved through proactive steps. One of the techniques to tackling a conflict is promoting education, addressing structural violence and cross cultural dialogue. The international cooperation vision of Einstein (2012), combined with the view of Arendt on the legitimacy of power above coercion and the instruction of the more peaceful world lessons, are important that are valuable lessons (Arendt, 2012; Einstein 2012).</w:t>
      </w:r>
    </w:p>
    <w:p w14:paraId="44D0BF86" w14:textId="77777777" w:rsidR="002E7200" w:rsidRPr="002E7200" w:rsidRDefault="002E7200" w:rsidP="002E7200">
      <w:r w:rsidRPr="002E7200">
        <w:t>Besides, the WHO’s recommendations emphasize the requirement of holistic approaches, that is, approaches that combine economic, social, and psychological interventions (WHO, 2012a; 2012b). This view rejects deterministic attitudes toward violence as depriving the capacity at the cultural level to promote transformation (UNESCO, 2012). Together, these perspectives take a stance for moving away from reactive and toward preventative strategies of conflict.</w:t>
      </w:r>
    </w:p>
    <w:p w14:paraId="17505112" w14:textId="77777777" w:rsidR="002E7200" w:rsidRPr="002E7200" w:rsidRDefault="002E7200" w:rsidP="002E7200">
      <w:pPr>
        <w:pStyle w:val="Heading1"/>
        <w:rPr>
          <w:rFonts w:eastAsia="Times New Roman"/>
        </w:rPr>
      </w:pPr>
      <w:r w:rsidRPr="002E7200">
        <w:rPr>
          <w:rFonts w:eastAsia="Times New Roman"/>
        </w:rPr>
        <w:t>Conclusion</w:t>
      </w:r>
    </w:p>
    <w:p w14:paraId="7F42EDC3" w14:textId="77777777" w:rsidR="002E7200" w:rsidRDefault="002E7200" w:rsidP="00487DF3">
      <w:pPr>
        <w:rPr>
          <w:rFonts w:cstheme="majorBidi"/>
          <w:b/>
          <w:bCs/>
          <w:color w:val="000000" w:themeColor="text1"/>
          <w:sz w:val="28"/>
          <w:szCs w:val="28"/>
        </w:rPr>
      </w:pPr>
      <w:r w:rsidRPr="002E7200">
        <w:t xml:space="preserve">Political, economic, psychological and ideological structures are among the roots of conflicts. All of this combines with Arendt’s distinction between power and violence, Freud and Einstein’s understanding of the human aggression, Chomsky’s analysis of the ways terrorists are viewed, as well as the WHO’s focus on development to provide a more complex picture of what leads to conflict and how it can be averted. In addressing the quick and pathologic causes of violence, and not just the structural ones, a more sustainable path to peace can be constituted. </w:t>
      </w:r>
      <w:r>
        <w:br w:type="page"/>
      </w:r>
    </w:p>
    <w:p w14:paraId="45A843F5" w14:textId="77777777" w:rsidR="002E7200" w:rsidRPr="002E7200" w:rsidRDefault="002E7200" w:rsidP="002E7200">
      <w:pPr>
        <w:pStyle w:val="Heading1"/>
        <w:rPr>
          <w:rFonts w:eastAsia="Times New Roman"/>
        </w:rPr>
      </w:pPr>
      <w:r w:rsidRPr="002E7200">
        <w:rPr>
          <w:rFonts w:eastAsia="Times New Roman"/>
        </w:rPr>
        <w:lastRenderedPageBreak/>
        <w:t>References</w:t>
      </w:r>
    </w:p>
    <w:p w14:paraId="6343DA0E" w14:textId="77777777" w:rsidR="002E7200" w:rsidRPr="002E7200" w:rsidRDefault="002E7200" w:rsidP="002E7200">
      <w:r w:rsidRPr="002E7200">
        <w:t xml:space="preserve">Arendt, H. (2012). </w:t>
      </w:r>
      <w:r w:rsidRPr="002E7200">
        <w:rPr>
          <w:i/>
          <w:iCs/>
        </w:rPr>
        <w:t>On Violence</w:t>
      </w:r>
      <w:r w:rsidRPr="002E7200">
        <w:t xml:space="preserve">. In C. </w:t>
      </w:r>
      <w:proofErr w:type="spellStart"/>
      <w:r w:rsidRPr="002E7200">
        <w:t>Webel</w:t>
      </w:r>
      <w:proofErr w:type="spellEnd"/>
      <w:r w:rsidRPr="002E7200">
        <w:t xml:space="preserve"> &amp; J. Johansen (Eds.), </w:t>
      </w:r>
      <w:r w:rsidRPr="002E7200">
        <w:rPr>
          <w:i/>
          <w:iCs/>
        </w:rPr>
        <w:t>Peace and Conflict Studies: A Reader</w:t>
      </w:r>
      <w:r w:rsidRPr="002E7200">
        <w:t>. Routledge.</w:t>
      </w:r>
    </w:p>
    <w:p w14:paraId="3D1132F0" w14:textId="77777777" w:rsidR="002E7200" w:rsidRPr="002E7200" w:rsidRDefault="002E7200" w:rsidP="002E7200">
      <w:r w:rsidRPr="002E7200">
        <w:t xml:space="preserve">Chomsky, N. (2012). </w:t>
      </w:r>
      <w:r w:rsidRPr="002E7200">
        <w:rPr>
          <w:i/>
          <w:iCs/>
        </w:rPr>
        <w:t>The Evil Scourge of Terrorism: Reality, Construction, Remedy</w:t>
      </w:r>
      <w:r w:rsidRPr="002E7200">
        <w:t xml:space="preserve">. In C. </w:t>
      </w:r>
      <w:proofErr w:type="spellStart"/>
      <w:r w:rsidRPr="002E7200">
        <w:t>Webel</w:t>
      </w:r>
      <w:proofErr w:type="spellEnd"/>
      <w:r w:rsidRPr="002E7200">
        <w:t xml:space="preserve"> &amp; J. Johansen (Eds.), </w:t>
      </w:r>
      <w:r w:rsidRPr="002E7200">
        <w:rPr>
          <w:i/>
          <w:iCs/>
        </w:rPr>
        <w:t>Peace and Conflict Studies: A Reader</w:t>
      </w:r>
      <w:r w:rsidRPr="002E7200">
        <w:t>. Routledge.</w:t>
      </w:r>
    </w:p>
    <w:p w14:paraId="57DBF196" w14:textId="77777777" w:rsidR="002E7200" w:rsidRPr="002E7200" w:rsidRDefault="002E7200" w:rsidP="002E7200">
      <w:r w:rsidRPr="002E7200">
        <w:t xml:space="preserve">Einstein, A. (2012). </w:t>
      </w:r>
      <w:r w:rsidRPr="002E7200">
        <w:rPr>
          <w:i/>
          <w:iCs/>
        </w:rPr>
        <w:t>Letter to Sigmund Freud, 30 July 1932</w:t>
      </w:r>
      <w:r w:rsidRPr="002E7200">
        <w:t xml:space="preserve">. In C. </w:t>
      </w:r>
      <w:proofErr w:type="spellStart"/>
      <w:r w:rsidRPr="002E7200">
        <w:t>Webel</w:t>
      </w:r>
      <w:proofErr w:type="spellEnd"/>
      <w:r w:rsidRPr="002E7200">
        <w:t xml:space="preserve"> &amp; J. Johansen (Eds.), </w:t>
      </w:r>
      <w:r w:rsidRPr="002E7200">
        <w:rPr>
          <w:i/>
          <w:iCs/>
        </w:rPr>
        <w:t>Peace and Conflict Studies: A Reader</w:t>
      </w:r>
      <w:r w:rsidRPr="002E7200">
        <w:t>. Routledge.</w:t>
      </w:r>
    </w:p>
    <w:p w14:paraId="2BCFDD83" w14:textId="77777777" w:rsidR="002E7200" w:rsidRPr="002E7200" w:rsidRDefault="002E7200" w:rsidP="002E7200">
      <w:r w:rsidRPr="002E7200">
        <w:t xml:space="preserve">Freud, S. (2012). </w:t>
      </w:r>
      <w:r w:rsidRPr="002E7200">
        <w:rPr>
          <w:i/>
          <w:iCs/>
        </w:rPr>
        <w:t xml:space="preserve">Why </w:t>
      </w:r>
      <w:proofErr w:type="gramStart"/>
      <w:r w:rsidRPr="002E7200">
        <w:rPr>
          <w:i/>
          <w:iCs/>
        </w:rPr>
        <w:t>War?</w:t>
      </w:r>
      <w:r w:rsidRPr="002E7200">
        <w:t>.</w:t>
      </w:r>
      <w:proofErr w:type="gramEnd"/>
      <w:r w:rsidRPr="002E7200">
        <w:t xml:space="preserve"> In C. </w:t>
      </w:r>
      <w:proofErr w:type="spellStart"/>
      <w:r w:rsidRPr="002E7200">
        <w:t>Webel</w:t>
      </w:r>
      <w:proofErr w:type="spellEnd"/>
      <w:r w:rsidRPr="002E7200">
        <w:t xml:space="preserve"> &amp; J. Johansen (Eds.), </w:t>
      </w:r>
      <w:r w:rsidRPr="002E7200">
        <w:rPr>
          <w:i/>
          <w:iCs/>
        </w:rPr>
        <w:t>Peace and Conflict Studies: A Reader</w:t>
      </w:r>
      <w:r w:rsidRPr="002E7200">
        <w:t>. Routledge.</w:t>
      </w:r>
    </w:p>
    <w:p w14:paraId="6071B225" w14:textId="77777777" w:rsidR="002E7200" w:rsidRPr="002E7200" w:rsidRDefault="002E7200" w:rsidP="002E7200">
      <w:r w:rsidRPr="002E7200">
        <w:t xml:space="preserve">Geneva Declaration. (2012). </w:t>
      </w:r>
      <w:r w:rsidRPr="002E7200">
        <w:rPr>
          <w:i/>
          <w:iCs/>
        </w:rPr>
        <w:t>Geneva Declaration on Armed Violence and Development</w:t>
      </w:r>
      <w:r w:rsidRPr="002E7200">
        <w:t xml:space="preserve">. In C. </w:t>
      </w:r>
      <w:proofErr w:type="spellStart"/>
      <w:r w:rsidRPr="002E7200">
        <w:t>Webel</w:t>
      </w:r>
      <w:proofErr w:type="spellEnd"/>
      <w:r w:rsidRPr="002E7200">
        <w:t xml:space="preserve"> &amp; J. Johansen (Eds.), </w:t>
      </w:r>
      <w:r w:rsidRPr="002E7200">
        <w:rPr>
          <w:i/>
          <w:iCs/>
        </w:rPr>
        <w:t>Peace and Conflict Studies: A Reader</w:t>
      </w:r>
      <w:r w:rsidRPr="002E7200">
        <w:t>. Routledge.</w:t>
      </w:r>
    </w:p>
    <w:p w14:paraId="04CC2131" w14:textId="77777777" w:rsidR="002E7200" w:rsidRPr="002E7200" w:rsidRDefault="002E7200" w:rsidP="002E7200">
      <w:r w:rsidRPr="002E7200">
        <w:t xml:space="preserve">UNESCO. (2012). </w:t>
      </w:r>
      <w:r w:rsidRPr="002E7200">
        <w:rPr>
          <w:i/>
          <w:iCs/>
        </w:rPr>
        <w:t>The Seville Statement on Violence</w:t>
      </w:r>
      <w:r w:rsidRPr="002E7200">
        <w:t xml:space="preserve">. In C. </w:t>
      </w:r>
      <w:proofErr w:type="spellStart"/>
      <w:r w:rsidRPr="002E7200">
        <w:t>Webel</w:t>
      </w:r>
      <w:proofErr w:type="spellEnd"/>
      <w:r w:rsidRPr="002E7200">
        <w:t xml:space="preserve"> &amp; J. Johansen (Eds.), </w:t>
      </w:r>
      <w:r w:rsidRPr="002E7200">
        <w:rPr>
          <w:i/>
          <w:iCs/>
        </w:rPr>
        <w:t>Peace and Conflict Studies: A Reader</w:t>
      </w:r>
      <w:r w:rsidRPr="002E7200">
        <w:t>. Routledge.</w:t>
      </w:r>
    </w:p>
    <w:p w14:paraId="26220FEC" w14:textId="77777777" w:rsidR="002E7200" w:rsidRPr="002E7200" w:rsidRDefault="002E7200" w:rsidP="002E7200">
      <w:proofErr w:type="spellStart"/>
      <w:r w:rsidRPr="002E7200">
        <w:t>Webel</w:t>
      </w:r>
      <w:proofErr w:type="spellEnd"/>
      <w:r w:rsidRPr="002E7200">
        <w:t xml:space="preserve">, C. P., &amp; </w:t>
      </w:r>
      <w:proofErr w:type="spellStart"/>
      <w:r w:rsidRPr="002E7200">
        <w:t>Sotakova</w:t>
      </w:r>
      <w:proofErr w:type="spellEnd"/>
      <w:r w:rsidRPr="002E7200">
        <w:t xml:space="preserve">, V. (2012). </w:t>
      </w:r>
      <w:r w:rsidRPr="002E7200">
        <w:rPr>
          <w:i/>
          <w:iCs/>
        </w:rPr>
        <w:t>Psychological Contributions to Understanding Peace and Conflict</w:t>
      </w:r>
      <w:r w:rsidRPr="002E7200">
        <w:t xml:space="preserve">. In C. </w:t>
      </w:r>
      <w:proofErr w:type="spellStart"/>
      <w:r w:rsidRPr="002E7200">
        <w:t>Webel</w:t>
      </w:r>
      <w:proofErr w:type="spellEnd"/>
      <w:r w:rsidRPr="002E7200">
        <w:t xml:space="preserve"> &amp; J. Johansen (Eds.), </w:t>
      </w:r>
      <w:r w:rsidRPr="002E7200">
        <w:rPr>
          <w:i/>
          <w:iCs/>
        </w:rPr>
        <w:t>Peace and Conflict Studies: A Reader</w:t>
      </w:r>
      <w:r w:rsidRPr="002E7200">
        <w:t>. Routledge.</w:t>
      </w:r>
    </w:p>
    <w:p w14:paraId="03C99047" w14:textId="77777777" w:rsidR="002E7200" w:rsidRPr="002E7200" w:rsidRDefault="002E7200" w:rsidP="002E7200">
      <w:r w:rsidRPr="002E7200">
        <w:t xml:space="preserve">WHO. (2012a). </w:t>
      </w:r>
      <w:r w:rsidRPr="002E7200">
        <w:rPr>
          <w:i/>
          <w:iCs/>
        </w:rPr>
        <w:t>Preventing Violence and Reducing Its Impact: How Development Agencies Can Help</w:t>
      </w:r>
      <w:r w:rsidRPr="002E7200">
        <w:t xml:space="preserve">. In C. </w:t>
      </w:r>
      <w:proofErr w:type="spellStart"/>
      <w:r w:rsidRPr="002E7200">
        <w:t>Webel</w:t>
      </w:r>
      <w:proofErr w:type="spellEnd"/>
      <w:r w:rsidRPr="002E7200">
        <w:t xml:space="preserve"> &amp; J. Johansen (Eds.), </w:t>
      </w:r>
      <w:r w:rsidRPr="002E7200">
        <w:rPr>
          <w:i/>
          <w:iCs/>
        </w:rPr>
        <w:t>Peace and Conflict Studies: A Reader</w:t>
      </w:r>
      <w:r w:rsidRPr="002E7200">
        <w:t>. Routledge.</w:t>
      </w:r>
    </w:p>
    <w:p w14:paraId="66B0A877" w14:textId="77777777" w:rsidR="002E7200" w:rsidRPr="002E7200" w:rsidRDefault="002E7200" w:rsidP="002E7200">
      <w:r w:rsidRPr="002E7200">
        <w:t xml:space="preserve">WHO. (2012b). </w:t>
      </w:r>
      <w:r w:rsidRPr="002E7200">
        <w:rPr>
          <w:i/>
          <w:iCs/>
        </w:rPr>
        <w:t>Violence Prevention: The Evidence</w:t>
      </w:r>
      <w:r w:rsidRPr="002E7200">
        <w:t xml:space="preserve">. In C. </w:t>
      </w:r>
      <w:proofErr w:type="spellStart"/>
      <w:r w:rsidRPr="002E7200">
        <w:t>Webel</w:t>
      </w:r>
      <w:proofErr w:type="spellEnd"/>
      <w:r w:rsidRPr="002E7200">
        <w:t xml:space="preserve"> &amp; J. Johansen (Eds.), </w:t>
      </w:r>
      <w:r w:rsidRPr="002E7200">
        <w:rPr>
          <w:i/>
          <w:iCs/>
        </w:rPr>
        <w:t>Peace and Conflict Studies: A Reader</w:t>
      </w:r>
      <w:r w:rsidRPr="002E7200">
        <w:t>. Routledge.</w:t>
      </w:r>
    </w:p>
    <w:p w14:paraId="223BD1AC" w14:textId="77777777" w:rsidR="00CF247B" w:rsidRDefault="00CF247B"/>
    <w:sectPr w:rsidR="00CF24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BEC55E2"/>
    <w:multiLevelType w:val="multilevel"/>
    <w:tmpl w:val="39ACF4D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5862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200"/>
    <w:rsid w:val="001B28FA"/>
    <w:rsid w:val="00236968"/>
    <w:rsid w:val="002E7200"/>
    <w:rsid w:val="003960D2"/>
    <w:rsid w:val="00487DF3"/>
    <w:rsid w:val="00697B85"/>
    <w:rsid w:val="006F3FAA"/>
    <w:rsid w:val="00A4755E"/>
    <w:rsid w:val="00CF247B"/>
    <w:rsid w:val="00F91EA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716EE"/>
  <w15:docId w15:val="{91BA0A50-97FA-6042-BA91-64F3D6044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FAA"/>
    <w:pPr>
      <w:spacing w:after="160" w:line="360" w:lineRule="auto"/>
    </w:pPr>
    <w:rPr>
      <w:rFonts w:asciiTheme="majorBidi" w:hAnsiTheme="majorBidi" w:cs="SimSun"/>
      <w:kern w:val="2"/>
      <w:sz w:val="24"/>
      <w14:ligatures w14:val="standardContextual"/>
    </w:rPr>
  </w:style>
  <w:style w:type="paragraph" w:styleId="Heading1">
    <w:name w:val="heading 1"/>
    <w:basedOn w:val="Normal"/>
    <w:next w:val="Normal"/>
    <w:link w:val="Heading1Char"/>
    <w:uiPriority w:val="9"/>
    <w:qFormat/>
    <w:rsid w:val="003960D2"/>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3960D2"/>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3960D2"/>
    <w:pPr>
      <w:keepNext/>
      <w:keepLines/>
      <w:spacing w:before="200"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3960D2"/>
    <w:pPr>
      <w:keepNext/>
      <w:keepLines/>
      <w:spacing w:before="200" w:after="0"/>
      <w:outlineLvl w:val="3"/>
    </w:pPr>
    <w:rPr>
      <w:rFonts w:eastAsiaTheme="majorEastAsia" w:cstheme="majorBidi"/>
      <w:b/>
      <w:bCs/>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0D2"/>
    <w:rPr>
      <w:rFonts w:asciiTheme="majorBidi" w:eastAsiaTheme="majorEastAsia" w:hAnsiTheme="majorBidi" w:cstheme="majorBidi"/>
      <w:b/>
      <w:bCs/>
      <w:color w:val="000000" w:themeColor="text1"/>
      <w:sz w:val="28"/>
      <w:szCs w:val="28"/>
    </w:rPr>
  </w:style>
  <w:style w:type="character" w:customStyle="1" w:styleId="Heading2Char">
    <w:name w:val="Heading 2 Char"/>
    <w:basedOn w:val="DefaultParagraphFont"/>
    <w:link w:val="Heading2"/>
    <w:uiPriority w:val="9"/>
    <w:rsid w:val="003960D2"/>
    <w:rPr>
      <w:rFonts w:asciiTheme="majorBidi" w:eastAsiaTheme="majorEastAsia" w:hAnsiTheme="majorBidi" w:cstheme="majorBidi"/>
      <w:b/>
      <w:bCs/>
      <w:color w:val="000000" w:themeColor="text1"/>
      <w:sz w:val="26"/>
      <w:szCs w:val="26"/>
    </w:rPr>
  </w:style>
  <w:style w:type="character" w:customStyle="1" w:styleId="Heading3Char">
    <w:name w:val="Heading 3 Char"/>
    <w:basedOn w:val="DefaultParagraphFont"/>
    <w:link w:val="Heading3"/>
    <w:uiPriority w:val="9"/>
    <w:rsid w:val="003960D2"/>
    <w:rPr>
      <w:rFonts w:asciiTheme="majorBidi" w:eastAsiaTheme="majorEastAsia" w:hAnsiTheme="majorBidi" w:cstheme="majorBidi"/>
      <w:b/>
      <w:bCs/>
      <w:i/>
      <w:sz w:val="24"/>
    </w:rPr>
  </w:style>
  <w:style w:type="character" w:customStyle="1" w:styleId="Heading4Char">
    <w:name w:val="Heading 4 Char"/>
    <w:basedOn w:val="DefaultParagraphFont"/>
    <w:link w:val="Heading4"/>
    <w:uiPriority w:val="9"/>
    <w:semiHidden/>
    <w:rsid w:val="003960D2"/>
    <w:rPr>
      <w:rFonts w:asciiTheme="majorBidi" w:eastAsiaTheme="majorEastAsia" w:hAnsiTheme="majorBidi" w:cstheme="majorBidi"/>
      <w:b/>
      <w:bCs/>
      <w:i/>
      <w:iCs/>
      <w:sz w:val="24"/>
      <w:u w:val="single"/>
    </w:rPr>
  </w:style>
  <w:style w:type="paragraph" w:styleId="Title">
    <w:name w:val="Title"/>
    <w:basedOn w:val="Normal"/>
    <w:next w:val="Normal"/>
    <w:link w:val="TitleChar"/>
    <w:uiPriority w:val="10"/>
    <w:qFormat/>
    <w:rsid w:val="00697B85"/>
    <w:pPr>
      <w:pBdr>
        <w:bottom w:val="single" w:sz="4" w:space="1" w:color="auto"/>
      </w:pBdr>
      <w:spacing w:line="240" w:lineRule="auto"/>
      <w:contextualSpacing/>
    </w:pPr>
    <w:rPr>
      <w:rFonts w:eastAsiaTheme="majorEastAsia" w:cstheme="majorBidi"/>
      <w:b/>
      <w:spacing w:val="5"/>
      <w:sz w:val="52"/>
      <w:szCs w:val="52"/>
    </w:rPr>
  </w:style>
  <w:style w:type="character" w:customStyle="1" w:styleId="TitleChar">
    <w:name w:val="Title Char"/>
    <w:basedOn w:val="DefaultParagraphFont"/>
    <w:link w:val="Title"/>
    <w:uiPriority w:val="10"/>
    <w:rsid w:val="00697B85"/>
    <w:rPr>
      <w:rFonts w:asciiTheme="majorBidi" w:eastAsiaTheme="majorEastAsia" w:hAnsiTheme="majorBidi" w:cstheme="majorBidi"/>
      <w:b/>
      <w:spacing w:val="5"/>
      <w:sz w:val="52"/>
      <w:szCs w:val="52"/>
      <w:lang w:val="en-GB"/>
    </w:rPr>
  </w:style>
  <w:style w:type="paragraph" w:styleId="NormalWeb">
    <w:name w:val="Normal (Web)"/>
    <w:basedOn w:val="Normal"/>
    <w:uiPriority w:val="99"/>
    <w:unhideWhenUsed/>
    <w:qFormat/>
    <w:rsid w:val="00A4755E"/>
    <w:pPr>
      <w:spacing w:before="100" w:beforeAutospacing="1" w:after="100" w:afterAutospacing="1" w:line="480" w:lineRule="auto"/>
    </w:pPr>
    <w:rPr>
      <w:rFonts w:ascii="Times New Roman" w:eastAsia="Times New Roman" w:hAnsi="Times New Roman" w:cs="Times New Roman"/>
      <w:kern w:val="0"/>
      <w:szCs w:val="24"/>
      <w14:ligatures w14:val="none"/>
    </w:rPr>
  </w:style>
  <w:style w:type="character" w:styleId="Strong">
    <w:name w:val="Strong"/>
    <w:basedOn w:val="DefaultParagraphFont"/>
    <w:uiPriority w:val="22"/>
    <w:qFormat/>
    <w:rsid w:val="002E7200"/>
    <w:rPr>
      <w:b/>
      <w:bCs/>
    </w:rPr>
  </w:style>
  <w:style w:type="character" w:styleId="Emphasis">
    <w:name w:val="Emphasis"/>
    <w:basedOn w:val="DefaultParagraphFont"/>
    <w:uiPriority w:val="20"/>
    <w:qFormat/>
    <w:rsid w:val="002E72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3994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1258</Words>
  <Characters>7172</Characters>
  <Application>Microsoft Office Word</Application>
  <DocSecurity>0</DocSecurity>
  <Lines>59</Lines>
  <Paragraphs>16</Paragraphs>
  <ScaleCrop>false</ScaleCrop>
  <Company/>
  <LinksUpToDate>false</LinksUpToDate>
  <CharactersWithSpaces>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Affan Abbasi</dc:creator>
  <cp:lastModifiedBy>Ibrahim Mohamed Mohamed Hussein Mohamed (2132801)</cp:lastModifiedBy>
  <cp:revision>2</cp:revision>
  <dcterms:created xsi:type="dcterms:W3CDTF">2025-03-16T13:50:00Z</dcterms:created>
  <dcterms:modified xsi:type="dcterms:W3CDTF">2025-03-16T13:50:00Z</dcterms:modified>
</cp:coreProperties>
</file>