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85B1A9" w14:textId="34F87549" w:rsidR="310D1437" w:rsidRDefault="310D1437" w:rsidP="2AACF162">
      <w:pPr>
        <w:spacing w:line="360" w:lineRule="auto"/>
        <w:rPr>
          <w:rFonts w:ascii="Arial" w:eastAsia="Arial" w:hAnsi="Arial" w:cs="Arial"/>
          <w:sz w:val="24"/>
          <w:szCs w:val="24"/>
        </w:rPr>
      </w:pPr>
    </w:p>
    <w:p w14:paraId="3AB835DB" w14:textId="47F6DF36" w:rsidR="00A54F23" w:rsidRDefault="00A54F23" w:rsidP="2AACF162">
      <w:pPr>
        <w:spacing w:line="360" w:lineRule="auto"/>
        <w:rPr>
          <w:rFonts w:ascii="Arial" w:eastAsia="Arial" w:hAnsi="Arial" w:cs="Arial"/>
          <w:sz w:val="24"/>
          <w:szCs w:val="24"/>
        </w:rPr>
      </w:pPr>
    </w:p>
    <w:p w14:paraId="64DDED7C" w14:textId="30ECAA34" w:rsidR="00A54F23" w:rsidRDefault="00A54F23" w:rsidP="2AACF162">
      <w:pPr>
        <w:spacing w:line="360" w:lineRule="auto"/>
        <w:rPr>
          <w:rFonts w:ascii="Arial" w:eastAsia="Arial" w:hAnsi="Arial" w:cs="Arial"/>
          <w:sz w:val="24"/>
          <w:szCs w:val="24"/>
        </w:rPr>
      </w:pPr>
    </w:p>
    <w:p w14:paraId="024A65E9" w14:textId="7B344706" w:rsidR="00A54F23" w:rsidRDefault="00A54F23" w:rsidP="2AACF162">
      <w:pPr>
        <w:spacing w:line="360" w:lineRule="auto"/>
        <w:rPr>
          <w:rFonts w:ascii="Arial" w:eastAsia="Arial" w:hAnsi="Arial" w:cs="Arial"/>
          <w:sz w:val="24"/>
          <w:szCs w:val="24"/>
        </w:rPr>
      </w:pPr>
    </w:p>
    <w:p w14:paraId="1F95B7E8" w14:textId="4DBCFA19" w:rsidR="00A54F23" w:rsidRDefault="00A54F23" w:rsidP="2AACF162">
      <w:pPr>
        <w:spacing w:line="360" w:lineRule="auto"/>
        <w:rPr>
          <w:rFonts w:ascii="Arial" w:eastAsia="Arial" w:hAnsi="Arial" w:cs="Arial"/>
          <w:sz w:val="24"/>
          <w:szCs w:val="24"/>
        </w:rPr>
      </w:pPr>
    </w:p>
    <w:p w14:paraId="65D38179" w14:textId="77777777" w:rsidR="00A54F23" w:rsidRDefault="00A54F23" w:rsidP="2AACF162">
      <w:pPr>
        <w:spacing w:line="360" w:lineRule="auto"/>
        <w:rPr>
          <w:rFonts w:ascii="Arial" w:eastAsia="Arial" w:hAnsi="Arial" w:cs="Arial"/>
          <w:sz w:val="24"/>
          <w:szCs w:val="24"/>
        </w:rPr>
      </w:pPr>
    </w:p>
    <w:p w14:paraId="123F020E" w14:textId="6D411938" w:rsidR="310D1437" w:rsidRDefault="310D1437" w:rsidP="2AACF162">
      <w:pPr>
        <w:spacing w:line="360" w:lineRule="auto"/>
        <w:rPr>
          <w:rFonts w:ascii="Arial" w:eastAsia="Arial" w:hAnsi="Arial" w:cs="Arial"/>
          <w:sz w:val="24"/>
          <w:szCs w:val="24"/>
        </w:rPr>
      </w:pPr>
    </w:p>
    <w:p w14:paraId="0D7E451B" w14:textId="4B06BA3C" w:rsidR="310D1437" w:rsidRPr="00A54F23" w:rsidRDefault="310D1437" w:rsidP="00A54F23">
      <w:pPr>
        <w:spacing w:line="360" w:lineRule="auto"/>
        <w:jc w:val="center"/>
        <w:rPr>
          <w:rFonts w:ascii="Arial" w:hAnsi="Arial" w:cs="Arial"/>
          <w:sz w:val="24"/>
          <w:szCs w:val="24"/>
        </w:rPr>
      </w:pPr>
    </w:p>
    <w:p w14:paraId="668658ED" w14:textId="36F8787E" w:rsidR="310D1437" w:rsidRPr="00A54F23" w:rsidRDefault="2AACF162" w:rsidP="00A54F23">
      <w:pPr>
        <w:spacing w:line="360" w:lineRule="auto"/>
        <w:jc w:val="center"/>
        <w:rPr>
          <w:rFonts w:ascii="Arial" w:hAnsi="Arial" w:cs="Arial"/>
          <w:sz w:val="24"/>
          <w:szCs w:val="24"/>
        </w:rPr>
      </w:pPr>
      <w:r w:rsidRPr="00A54F23">
        <w:rPr>
          <w:rFonts w:ascii="Arial" w:hAnsi="Arial" w:cs="Arial"/>
          <w:sz w:val="24"/>
          <w:szCs w:val="24"/>
        </w:rPr>
        <w:t>PUBLIC LAW</w:t>
      </w:r>
    </w:p>
    <w:p w14:paraId="21837BE6" w14:textId="3BDF0C3A" w:rsidR="310D1437" w:rsidRPr="00A54F23" w:rsidRDefault="2AACF162" w:rsidP="00A54F23">
      <w:pPr>
        <w:spacing w:line="360" w:lineRule="auto"/>
        <w:jc w:val="center"/>
        <w:rPr>
          <w:rFonts w:ascii="Arial" w:hAnsi="Arial" w:cs="Arial"/>
          <w:sz w:val="24"/>
          <w:szCs w:val="24"/>
        </w:rPr>
      </w:pPr>
      <w:r w:rsidRPr="00A54F23">
        <w:rPr>
          <w:rFonts w:ascii="Arial" w:hAnsi="Arial" w:cs="Arial"/>
          <w:sz w:val="24"/>
          <w:szCs w:val="24"/>
        </w:rPr>
        <w:t>Student name</w:t>
      </w:r>
      <w:r w:rsidR="00127072">
        <w:rPr>
          <w:rFonts w:ascii="Arial" w:hAnsi="Arial" w:cs="Arial"/>
          <w:sz w:val="24"/>
          <w:szCs w:val="24"/>
        </w:rPr>
        <w:t>: Carmen Elena Ciobanu</w:t>
      </w:r>
    </w:p>
    <w:p w14:paraId="35057C7C" w14:textId="77366C93" w:rsidR="310D1437" w:rsidRPr="00A54F23" w:rsidRDefault="2AACF162" w:rsidP="00127072">
      <w:pPr>
        <w:spacing w:line="360" w:lineRule="auto"/>
        <w:jc w:val="center"/>
        <w:rPr>
          <w:rFonts w:ascii="Arial" w:hAnsi="Arial" w:cs="Arial"/>
          <w:sz w:val="24"/>
          <w:szCs w:val="24"/>
        </w:rPr>
      </w:pPr>
      <w:r w:rsidRPr="00A54F23">
        <w:rPr>
          <w:rFonts w:ascii="Arial" w:hAnsi="Arial" w:cs="Arial"/>
          <w:sz w:val="24"/>
          <w:szCs w:val="24"/>
        </w:rPr>
        <w:t>Student id</w:t>
      </w:r>
      <w:r w:rsidR="00127072">
        <w:rPr>
          <w:rFonts w:ascii="Arial" w:hAnsi="Arial" w:cs="Arial"/>
          <w:sz w:val="24"/>
          <w:szCs w:val="24"/>
        </w:rPr>
        <w:t>: 2217115</w:t>
      </w:r>
    </w:p>
    <w:p w14:paraId="3B00FABB" w14:textId="06A4DD4B" w:rsidR="310D1437" w:rsidRPr="00A54F23" w:rsidRDefault="2AACF162" w:rsidP="00A54F23">
      <w:pPr>
        <w:spacing w:line="360" w:lineRule="auto"/>
        <w:jc w:val="center"/>
        <w:rPr>
          <w:rFonts w:ascii="Arial" w:hAnsi="Arial" w:cs="Arial"/>
          <w:sz w:val="24"/>
          <w:szCs w:val="24"/>
        </w:rPr>
      </w:pPr>
      <w:r w:rsidRPr="00A54F23">
        <w:rPr>
          <w:rFonts w:ascii="Arial" w:hAnsi="Arial" w:cs="Arial"/>
          <w:sz w:val="24"/>
          <w:szCs w:val="24"/>
        </w:rPr>
        <w:t>Lecturer</w:t>
      </w:r>
      <w:r w:rsidR="00127072">
        <w:rPr>
          <w:rFonts w:ascii="Arial" w:hAnsi="Arial" w:cs="Arial"/>
          <w:sz w:val="24"/>
          <w:szCs w:val="24"/>
        </w:rPr>
        <w:t>: Zita Draper</w:t>
      </w:r>
    </w:p>
    <w:p w14:paraId="0199EE0D" w14:textId="7487C64D" w:rsidR="310D1437" w:rsidRPr="00A54F23" w:rsidRDefault="2AACF162" w:rsidP="00A54F23">
      <w:pPr>
        <w:spacing w:line="360" w:lineRule="auto"/>
        <w:jc w:val="center"/>
        <w:rPr>
          <w:rFonts w:ascii="Arial" w:hAnsi="Arial" w:cs="Arial"/>
          <w:sz w:val="24"/>
          <w:szCs w:val="24"/>
        </w:rPr>
      </w:pPr>
      <w:r w:rsidRPr="00A54F23">
        <w:rPr>
          <w:rFonts w:ascii="Arial" w:hAnsi="Arial" w:cs="Arial"/>
          <w:sz w:val="24"/>
          <w:szCs w:val="24"/>
        </w:rPr>
        <w:t>Submission date</w:t>
      </w:r>
      <w:r w:rsidR="00127072">
        <w:rPr>
          <w:rFonts w:ascii="Arial" w:hAnsi="Arial" w:cs="Arial"/>
          <w:sz w:val="24"/>
          <w:szCs w:val="24"/>
        </w:rPr>
        <w:t>: 10/03/23</w:t>
      </w:r>
      <w:bookmarkStart w:id="0" w:name="_GoBack"/>
      <w:bookmarkEnd w:id="0"/>
    </w:p>
    <w:p w14:paraId="29BEE56F" w14:textId="3E6129EC" w:rsidR="310D1437" w:rsidRDefault="310D1437" w:rsidP="2AACF162">
      <w:pPr>
        <w:spacing w:line="360" w:lineRule="auto"/>
        <w:rPr>
          <w:rFonts w:ascii="Arial" w:eastAsia="Arial" w:hAnsi="Arial" w:cs="Arial"/>
          <w:sz w:val="24"/>
          <w:szCs w:val="24"/>
        </w:rPr>
      </w:pPr>
      <w:r w:rsidRPr="2AACF162">
        <w:rPr>
          <w:rFonts w:ascii="Arial" w:eastAsia="Arial" w:hAnsi="Arial" w:cs="Arial"/>
          <w:sz w:val="24"/>
          <w:szCs w:val="24"/>
        </w:rPr>
        <w:br w:type="page"/>
      </w:r>
    </w:p>
    <w:p w14:paraId="2E649CE4" w14:textId="77777777" w:rsidR="00E22D51" w:rsidRPr="00DF5328" w:rsidRDefault="00E22D51" w:rsidP="00E22D51">
      <w:pPr>
        <w:pStyle w:val="Heading1"/>
        <w:rPr>
          <w:rFonts w:ascii="Arial" w:hAnsi="Arial" w:cs="Arial"/>
          <w:b/>
          <w:bCs/>
          <w:color w:val="auto"/>
          <w:sz w:val="24"/>
          <w:szCs w:val="24"/>
        </w:rPr>
      </w:pPr>
      <w:r w:rsidRPr="00DF5328">
        <w:rPr>
          <w:rFonts w:ascii="Arial" w:hAnsi="Arial" w:cs="Arial"/>
          <w:b/>
          <w:bCs/>
          <w:color w:val="auto"/>
          <w:sz w:val="24"/>
          <w:szCs w:val="24"/>
        </w:rPr>
        <w:lastRenderedPageBreak/>
        <w:t>Bill of rights and its potential impact on individual’s ability to protect their rights</w:t>
      </w:r>
    </w:p>
    <w:p w14:paraId="5E5832FF" w14:textId="77777777" w:rsidR="00DF5328" w:rsidRPr="00DF5328" w:rsidRDefault="00DF5328" w:rsidP="00DF5328">
      <w:pPr>
        <w:spacing w:line="360" w:lineRule="auto"/>
        <w:ind w:firstLine="720"/>
        <w:jc w:val="both"/>
        <w:rPr>
          <w:rFonts w:ascii="Arial" w:hAnsi="Arial" w:cs="Arial"/>
          <w:sz w:val="24"/>
          <w:szCs w:val="24"/>
        </w:rPr>
      </w:pPr>
      <w:bookmarkStart w:id="1" w:name="_Toc569462981"/>
      <w:r w:rsidRPr="00DF5328">
        <w:rPr>
          <w:rFonts w:ascii="Arial" w:hAnsi="Arial" w:cs="Arial"/>
          <w:sz w:val="24"/>
          <w:szCs w:val="24"/>
        </w:rPr>
        <w:t xml:space="preserve">The proposed Bill of Rights Bill by the United Kingdom's government has sparked a significant amount of controversy and debate. Concerns have been expressed about the bill's effects on the rule of law and people's capacity to defend their human rights because it would supersede the Human Rights Act of 1998. Many contend that the adoption of such legislation could jeopardise the nation's adherence to international standards pertaining to human rights and possibly restrict access to judicial remedies for those whose rights have been infringed. Some have also voiced worries about the potential for the new law to be used as a weapon for political convenience rather than a method for defending human rights. These problems emphasise how crucial it is to comprehend the consequences of suggested amendments to the law governing human rights. It is essential to consider the potential impact on the rule of law and individual rights, as well as the broader implications for human rights protection in the UK. </w:t>
      </w:r>
    </w:p>
    <w:p w14:paraId="78A95A51" w14:textId="77777777" w:rsidR="00DF5328" w:rsidRPr="00DF5328" w:rsidRDefault="00DF5328" w:rsidP="00DF5328">
      <w:pPr>
        <w:spacing w:line="360" w:lineRule="auto"/>
        <w:ind w:firstLine="720"/>
        <w:jc w:val="both"/>
        <w:rPr>
          <w:rFonts w:ascii="Arial" w:hAnsi="Arial" w:cs="Arial"/>
          <w:sz w:val="24"/>
          <w:szCs w:val="24"/>
        </w:rPr>
      </w:pPr>
      <w:r w:rsidRPr="00DF5328">
        <w:rPr>
          <w:rFonts w:ascii="Arial" w:hAnsi="Arial" w:cs="Arial"/>
          <w:sz w:val="24"/>
          <w:szCs w:val="24"/>
        </w:rPr>
        <w:t>In light of this, the Bill of Rights Bill (2021) is a piece of legislation that the British government has proposed to replace and rescind the Human Rights Act of 1998. Concerns about the bill's potential impact on the UK's defence of the rule of law and human rights have led to debate and criticism. The Human Rights Act of 1998 transposes the European Convention on Human Rights (ECHR) into English law. The European Convention on Human Rights (ECHR), a treaty between nations, outlines a number of fundamental human rights, including the right to life, the freedom from slavery and abuse, the freedom of expression and assembly, and the right to a fair trial (Human Rights Act 1998).</w:t>
      </w:r>
    </w:p>
    <w:p w14:paraId="13FAD508" w14:textId="77777777" w:rsidR="00DF5328" w:rsidRPr="00DF5328" w:rsidRDefault="00DF5328" w:rsidP="00DF5328">
      <w:pPr>
        <w:spacing w:line="360" w:lineRule="auto"/>
        <w:ind w:firstLine="720"/>
        <w:jc w:val="both"/>
        <w:rPr>
          <w:rFonts w:ascii="Arial" w:hAnsi="Arial" w:cs="Arial"/>
          <w:sz w:val="24"/>
          <w:szCs w:val="24"/>
        </w:rPr>
      </w:pPr>
      <w:r w:rsidRPr="00DF5328">
        <w:rPr>
          <w:rFonts w:ascii="Arial" w:hAnsi="Arial" w:cs="Arial"/>
          <w:color w:val="252525"/>
          <w:sz w:val="24"/>
          <w:szCs w:val="24"/>
        </w:rPr>
        <w:t>The Human Rights Act of 1998, in accordance with the Office of the United Nations High Commissioner for Human Rights 2020, offers a legal foundation for people to defend their human rights in UK courts without having to go to the European Court of Human Rights. Additionally, it mandates that public officials uphold and honour human rights in all of their decisions and actions. The act was used to question a broad variety of government laws and procedures, including immigration laws, anti-terrorism measures, and the treatment of inmates, and as a result, it has had a major effect on UK law. Additionally, it has been applied to defend minority liberties and combat prejudice.</w:t>
      </w:r>
      <w:r w:rsidRPr="00DF5328">
        <w:rPr>
          <w:rFonts w:ascii="Arial" w:hAnsi="Arial" w:cs="Arial"/>
          <w:sz w:val="24"/>
          <w:szCs w:val="24"/>
        </w:rPr>
        <w:t xml:space="preserve"> </w:t>
      </w:r>
      <w:r w:rsidRPr="00DF5328">
        <w:rPr>
          <w:rFonts w:ascii="Arial" w:hAnsi="Arial" w:cs="Arial"/>
          <w:color w:val="252525"/>
          <w:sz w:val="24"/>
          <w:szCs w:val="24"/>
        </w:rPr>
        <w:t xml:space="preserve">Nevertheless, the act has come under fire from some lawmakers and legal </w:t>
      </w:r>
      <w:r w:rsidRPr="00DF5328">
        <w:rPr>
          <w:rFonts w:ascii="Arial" w:hAnsi="Arial" w:cs="Arial"/>
          <w:color w:val="252525"/>
          <w:sz w:val="24"/>
          <w:szCs w:val="24"/>
        </w:rPr>
        <w:lastRenderedPageBreak/>
        <w:t>professionals who contend that it has weakened legislative authority and allowed judges to make decisions that ought to be made by elected officials. Others contend that the act should be maintained because it is crucial to safeguarding basic human rights.</w:t>
      </w:r>
    </w:p>
    <w:p w14:paraId="18CB5446" w14:textId="77777777" w:rsidR="00DF5328" w:rsidRPr="00DF5328" w:rsidRDefault="00DF5328" w:rsidP="00DF5328">
      <w:pPr>
        <w:spacing w:line="360" w:lineRule="auto"/>
        <w:ind w:firstLine="720"/>
        <w:jc w:val="both"/>
        <w:rPr>
          <w:rFonts w:ascii="Arial" w:hAnsi="Arial" w:cs="Arial"/>
          <w:sz w:val="24"/>
          <w:szCs w:val="24"/>
        </w:rPr>
      </w:pPr>
      <w:r w:rsidRPr="00DF5328">
        <w:rPr>
          <w:rFonts w:ascii="Arial" w:hAnsi="Arial" w:cs="Arial"/>
          <w:color w:val="252525"/>
          <w:sz w:val="24"/>
          <w:szCs w:val="24"/>
        </w:rPr>
        <w:t>The European Convention on Human Rights (ECHR) and the protection of basic freedoms and rights of humans are the primary goals of the Human Rights Act of 1998, also recognized as the Bill of Rights Act (Beatson et al., 2015). No matter their nation of origin, gender, race, or any other trait, everyone in the UK is entitled to these rights under the Act.</w:t>
      </w:r>
      <w:r w:rsidRPr="00DF5328">
        <w:rPr>
          <w:rFonts w:ascii="Arial" w:hAnsi="Arial" w:cs="Arial"/>
          <w:sz w:val="24"/>
          <w:szCs w:val="24"/>
        </w:rPr>
        <w:t xml:space="preserve"> </w:t>
      </w:r>
      <w:r w:rsidRPr="00DF5328">
        <w:rPr>
          <w:rFonts w:ascii="Arial" w:hAnsi="Arial" w:cs="Arial"/>
          <w:color w:val="252525"/>
          <w:sz w:val="24"/>
          <w:szCs w:val="24"/>
        </w:rPr>
        <w:t>The Act aims to promote a culture of regard for human rights in the UK, to require public agencies to act in line with the ECHR, and to give people a way to assert their rights in litigation. Additionally, the Act mandates that the UK government make sure that all new laws are in accordance with the ECHR (Ovey et al., 2016).</w:t>
      </w:r>
    </w:p>
    <w:p w14:paraId="4B6CB607" w14:textId="77777777" w:rsidR="00DF5328" w:rsidRPr="00DF5328" w:rsidRDefault="00DF5328" w:rsidP="00DF5328">
      <w:pPr>
        <w:spacing w:line="360" w:lineRule="auto"/>
        <w:ind w:firstLine="720"/>
        <w:jc w:val="both"/>
        <w:rPr>
          <w:rFonts w:ascii="Arial" w:hAnsi="Arial" w:cs="Arial"/>
          <w:sz w:val="24"/>
          <w:szCs w:val="24"/>
        </w:rPr>
      </w:pPr>
      <w:r w:rsidRPr="00DF5328">
        <w:rPr>
          <w:rFonts w:ascii="Arial" w:hAnsi="Arial" w:cs="Arial"/>
          <w:color w:val="252525"/>
          <w:sz w:val="24"/>
          <w:szCs w:val="24"/>
        </w:rPr>
        <w:t>Act in defending basic freedoms, especially given Brexit and the current debate over the UK's connection with both the European Union and the United States.</w:t>
      </w:r>
      <w:r w:rsidRPr="00DF5328">
        <w:rPr>
          <w:rFonts w:ascii="Arial" w:hAnsi="Arial" w:cs="Arial"/>
          <w:sz w:val="24"/>
          <w:szCs w:val="24"/>
        </w:rPr>
        <w:t xml:space="preserve"> </w:t>
      </w:r>
      <w:r w:rsidRPr="00DF5328">
        <w:rPr>
          <w:rFonts w:ascii="Arial" w:hAnsi="Arial" w:cs="Arial"/>
          <w:color w:val="252525"/>
          <w:sz w:val="24"/>
          <w:szCs w:val="24"/>
        </w:rPr>
        <w:t>A review of the Act was recommended in a Joint Committee on Human Rights report from 2020 in order to strengthen its safeguards and make sure it continues to play a crucial role in defending human rights in the UK (2020).</w:t>
      </w:r>
    </w:p>
    <w:p w14:paraId="24901804" w14:textId="77777777" w:rsidR="00DF5328" w:rsidRPr="00DF5328" w:rsidRDefault="00DF5328" w:rsidP="00DF5328">
      <w:pPr>
        <w:spacing w:line="360" w:lineRule="auto"/>
        <w:ind w:firstLine="720"/>
        <w:jc w:val="both"/>
        <w:rPr>
          <w:rFonts w:ascii="Arial" w:hAnsi="Arial" w:cs="Arial"/>
          <w:sz w:val="24"/>
          <w:szCs w:val="24"/>
        </w:rPr>
      </w:pPr>
      <w:r w:rsidRPr="00DF5328">
        <w:rPr>
          <w:rFonts w:ascii="Arial" w:hAnsi="Arial" w:cs="Arial"/>
          <w:color w:val="252525"/>
          <w:sz w:val="24"/>
          <w:szCs w:val="24"/>
        </w:rPr>
        <w:t>To safeguard and advance fundamental human rights and freedoms in the United Kingdom, the Human Rights Act of 1998 was established. The Act was enacted in response to complaints that the UK's current human rights laws were insufficient and out-of-date. The Act specifically aimed to allay worries that UK residents lacked a formal means of upholding their rights under the European Convention on Human Rights (ECHR) (Ovey et al., 2016).</w:t>
      </w:r>
      <w:r w:rsidRPr="00DF5328">
        <w:rPr>
          <w:rFonts w:ascii="Arial" w:hAnsi="Arial" w:cs="Arial"/>
          <w:sz w:val="24"/>
          <w:szCs w:val="24"/>
        </w:rPr>
        <w:t xml:space="preserve"> </w:t>
      </w:r>
      <w:r w:rsidRPr="00DF5328">
        <w:rPr>
          <w:rFonts w:ascii="Arial" w:hAnsi="Arial" w:cs="Arial"/>
          <w:color w:val="252525"/>
          <w:sz w:val="24"/>
          <w:szCs w:val="24"/>
        </w:rPr>
        <w:t>The Act was also meant to foster a culture of regard for human rights in the UK and guarantee that public bodies behave in line with the ECHR (Beatson et al., 2015). The Act gives people a way to challenge government entities if they think their rights have been violated and obliges public authorities to understand and implement the law in a way that is consistent with human rights principles.</w:t>
      </w:r>
    </w:p>
    <w:p w14:paraId="46F61364" w14:textId="77777777" w:rsidR="00DF5328" w:rsidRPr="00DF5328" w:rsidRDefault="00DF5328" w:rsidP="00DF5328">
      <w:pPr>
        <w:spacing w:line="360" w:lineRule="auto"/>
        <w:ind w:firstLine="720"/>
        <w:jc w:val="both"/>
        <w:rPr>
          <w:rFonts w:ascii="Arial" w:hAnsi="Arial" w:cs="Arial"/>
          <w:sz w:val="24"/>
          <w:szCs w:val="24"/>
        </w:rPr>
      </w:pPr>
      <w:r w:rsidRPr="00DF5328">
        <w:rPr>
          <w:rFonts w:ascii="Arial" w:hAnsi="Arial" w:cs="Arial"/>
          <w:color w:val="252525"/>
          <w:sz w:val="24"/>
          <w:szCs w:val="24"/>
        </w:rPr>
        <w:t>Following the Brexit vote, there were concerns that the UK's exit from the European Union would result in weakened human rights safeguards (Equality and Human Rights Commission (2020)).</w:t>
      </w:r>
      <w:r w:rsidRPr="00DF5328">
        <w:rPr>
          <w:rFonts w:ascii="Arial" w:hAnsi="Arial" w:cs="Arial"/>
          <w:sz w:val="24"/>
          <w:szCs w:val="24"/>
        </w:rPr>
        <w:t xml:space="preserve"> Although the government has reiterated its support for the Act, a 2020 demand for the Act to be reinforced to guard against risks to human </w:t>
      </w:r>
      <w:r w:rsidRPr="00DF5328">
        <w:rPr>
          <w:rFonts w:ascii="Arial" w:hAnsi="Arial" w:cs="Arial"/>
          <w:sz w:val="24"/>
          <w:szCs w:val="24"/>
        </w:rPr>
        <w:lastRenderedPageBreak/>
        <w:t>rights presented by technology innovations and other new issues was made by the UK's independent human rights agency.</w:t>
      </w:r>
    </w:p>
    <w:p w14:paraId="6952B72C" w14:textId="77777777" w:rsidR="00DF5328" w:rsidRPr="00DF5328" w:rsidRDefault="00DF5328" w:rsidP="00DF5328">
      <w:pPr>
        <w:spacing w:line="360" w:lineRule="auto"/>
        <w:ind w:firstLine="720"/>
        <w:jc w:val="both"/>
        <w:rPr>
          <w:rFonts w:ascii="Arial" w:hAnsi="Arial" w:cs="Arial"/>
          <w:sz w:val="24"/>
          <w:szCs w:val="24"/>
        </w:rPr>
      </w:pPr>
      <w:r w:rsidRPr="00DF5328">
        <w:rPr>
          <w:rFonts w:ascii="Arial" w:hAnsi="Arial" w:cs="Arial"/>
          <w:sz w:val="24"/>
          <w:szCs w:val="24"/>
        </w:rPr>
        <w:t xml:space="preserve">The proposed Bill of Rights Bill in the UK has been subject to continuing debates about its possible effect on human rights safeguards. The Human Rights Act of 1998, which presently includes the European Convention on Human Rights (ECHR) into UK law, would likely be repealed and replaced by the draft regulations, though the precise details of the proposal's proposal are still unknown (Beatson et al., 2015). </w:t>
      </w:r>
      <w:r w:rsidRPr="00DF5328">
        <w:rPr>
          <w:rFonts w:ascii="Arial" w:hAnsi="Arial" w:cs="Arial"/>
          <w:color w:val="252525"/>
          <w:sz w:val="24"/>
          <w:szCs w:val="24"/>
        </w:rPr>
        <w:t>Limiting the extent of UK human rights safeguards is one possible amendment to the bill. For instance, it has been proposed that the Bill contain a "British Bill of Rights" that places certain rights above others or specifies extra restrictions or exclusions to the general principles of human rights.</w:t>
      </w:r>
    </w:p>
    <w:p w14:paraId="2549F6A4" w14:textId="77777777" w:rsidR="00DF5328" w:rsidRPr="00DF5328" w:rsidRDefault="00DF5328" w:rsidP="00DF5328">
      <w:pPr>
        <w:spacing w:line="360" w:lineRule="auto"/>
        <w:ind w:firstLine="720"/>
        <w:jc w:val="both"/>
        <w:rPr>
          <w:rFonts w:ascii="Arial" w:hAnsi="Arial" w:cs="Arial"/>
          <w:sz w:val="24"/>
          <w:szCs w:val="24"/>
        </w:rPr>
      </w:pPr>
      <w:r w:rsidRPr="00DF5328">
        <w:rPr>
          <w:rFonts w:ascii="Arial" w:hAnsi="Arial" w:cs="Arial"/>
          <w:color w:val="252525"/>
          <w:sz w:val="24"/>
          <w:szCs w:val="24"/>
        </w:rPr>
        <w:t>Another possible change could be that the bill might make it harder for people to use UK tribunals to defend their human rights. The ability of people to defend their human rights may be significantly impacted if the bill contains sections that restrict the breadth of protections for individuals or that end up making it more challenging for them to file claims (BBC News, 2020).</w:t>
      </w:r>
      <w:r w:rsidRPr="00DF5328">
        <w:rPr>
          <w:rFonts w:ascii="Arial" w:hAnsi="Arial" w:cs="Arial"/>
          <w:sz w:val="24"/>
          <w:szCs w:val="24"/>
        </w:rPr>
        <w:t xml:space="preserve"> </w:t>
      </w:r>
      <w:r w:rsidRPr="00DF5328">
        <w:rPr>
          <w:rFonts w:ascii="Arial" w:hAnsi="Arial" w:cs="Arial"/>
          <w:color w:val="252525"/>
          <w:sz w:val="24"/>
          <w:szCs w:val="24"/>
        </w:rPr>
        <w:t>Overall, there are continuing discussions about and conjectures about the possible changes that the Bill of Rights Act might bring about. However, any modifications to the country's present human rights framework might result in a substantial impact on how well those rights are upheld there (Tomkins et al., 2017). The incorporation of the European Convention on Human Rights (ECHR) into UK legislation is a significant factor that is unlikely to change (Ovey et al., 2016).</w:t>
      </w:r>
    </w:p>
    <w:p w14:paraId="2187BB62" w14:textId="77777777" w:rsidR="00DF5328" w:rsidRPr="00DF5328" w:rsidRDefault="00DF5328" w:rsidP="00DF5328">
      <w:pPr>
        <w:spacing w:line="360" w:lineRule="auto"/>
        <w:ind w:firstLine="720"/>
        <w:jc w:val="both"/>
        <w:rPr>
          <w:rFonts w:ascii="Arial" w:hAnsi="Arial" w:cs="Arial"/>
          <w:sz w:val="24"/>
          <w:szCs w:val="24"/>
        </w:rPr>
      </w:pPr>
      <w:r w:rsidRPr="00DF5328">
        <w:rPr>
          <w:rFonts w:ascii="Arial" w:hAnsi="Arial" w:cs="Arial"/>
          <w:sz w:val="24"/>
          <w:szCs w:val="24"/>
        </w:rPr>
        <w:t xml:space="preserve"> The UK is a signatory to the ECHR, and leaving the Convention entirely would have significant implications for the country's international reputation and relationships with other countries (Human Rights Watch, (2020). Therefore, it is likely that the Bill would still incorporate the principles of the ECHR in some form. Additionally, it is unlikely that the Bill would significantly alter the basic framework of human rights protections in the UK. The UK has long been committed to protecting human rights, and any attempt to significantly weaken these protections would face significant opposition from civil society, legal professionals, and other stakeholders (The Guardian, (2020). There are various advantages of the new legislation.</w:t>
      </w:r>
    </w:p>
    <w:p w14:paraId="6F2C7537" w14:textId="77777777" w:rsidR="00DF5328" w:rsidRPr="00DF5328" w:rsidRDefault="00DF5328" w:rsidP="00DF5328">
      <w:pPr>
        <w:spacing w:line="360" w:lineRule="auto"/>
        <w:ind w:firstLine="720"/>
        <w:jc w:val="both"/>
        <w:rPr>
          <w:rFonts w:ascii="Arial" w:hAnsi="Arial" w:cs="Arial"/>
          <w:sz w:val="24"/>
          <w:szCs w:val="24"/>
        </w:rPr>
      </w:pPr>
      <w:r w:rsidRPr="00DF5328">
        <w:rPr>
          <w:rFonts w:ascii="Arial" w:hAnsi="Arial" w:cs="Arial"/>
          <w:color w:val="252525"/>
          <w:sz w:val="24"/>
          <w:szCs w:val="24"/>
        </w:rPr>
        <w:lastRenderedPageBreak/>
        <w:t>Increased clarity and certainty regarding the scope of human rights protections in the UK, the potential resolution of concerns regarding the place of the European Court of Human Rights in UK law, and greater mobility in the determination and execution of human rights law are all potential benefits of the new legislation (Klug et al., 2016).</w:t>
      </w:r>
    </w:p>
    <w:p w14:paraId="1799BE49" w14:textId="77777777" w:rsidR="00DF5328" w:rsidRPr="00DF5328" w:rsidRDefault="00DF5328" w:rsidP="00DF5328">
      <w:pPr>
        <w:spacing w:line="360" w:lineRule="auto"/>
        <w:ind w:firstLine="720"/>
        <w:jc w:val="both"/>
        <w:rPr>
          <w:rFonts w:ascii="Arial" w:hAnsi="Arial" w:cs="Arial"/>
          <w:sz w:val="24"/>
          <w:szCs w:val="24"/>
        </w:rPr>
      </w:pPr>
      <w:r w:rsidRPr="00DF5328">
        <w:rPr>
          <w:rFonts w:ascii="Arial" w:hAnsi="Arial" w:cs="Arial"/>
          <w:color w:val="252525"/>
          <w:sz w:val="24"/>
          <w:szCs w:val="24"/>
        </w:rPr>
        <w:t>The new legislation's drawbacks could include a potential erosion of the UK's human rights protections, especially if it includes weakened or more restrictive rights provisions, as well as potential inconsistencies with the UK's duties under international human rights law (Gilmore et al., 2015).  Concerns have also been raised regarding the possible effects of the alterations on the devolved governments in Scotland, Wales, and Northern Ireland. Beyond the planned Bill of Rights Bill, there have been numerous recommendations for reforming the UK's safeguards for human rights.</w:t>
      </w:r>
    </w:p>
    <w:p w14:paraId="0025C161" w14:textId="77777777" w:rsidR="00DF5328" w:rsidRPr="00DF5328" w:rsidRDefault="00DF5328" w:rsidP="00DF5328">
      <w:pPr>
        <w:spacing w:line="360" w:lineRule="auto"/>
        <w:ind w:firstLine="720"/>
        <w:jc w:val="both"/>
        <w:rPr>
          <w:rFonts w:ascii="Arial" w:hAnsi="Arial" w:cs="Arial"/>
          <w:sz w:val="24"/>
          <w:szCs w:val="24"/>
        </w:rPr>
      </w:pPr>
      <w:r w:rsidRPr="00DF5328">
        <w:rPr>
          <w:rFonts w:ascii="Arial" w:hAnsi="Arial" w:cs="Arial"/>
          <w:color w:val="252525"/>
          <w:sz w:val="24"/>
          <w:szCs w:val="24"/>
        </w:rPr>
        <w:t>These have included requests for a more thorough parliamentary review of human rights judgements, a stronger stress on economic and social rights, and more attention on the judiciary's role in interpreting and upholding human rights legislation (Mantouvalou et al., 2017). To guarantee that individual rights are successfully safeguarded and promoted at all tiers of government and society, some have also advocated for the creation of a UK-wide human rights council or other monitoring agency (Hoffman et al., 2016).</w:t>
      </w:r>
    </w:p>
    <w:p w14:paraId="437844F6" w14:textId="77777777" w:rsidR="00DF5328" w:rsidRPr="00DF5328" w:rsidRDefault="00DF5328" w:rsidP="00DF5328">
      <w:pPr>
        <w:spacing w:line="360" w:lineRule="auto"/>
        <w:ind w:firstLine="720"/>
        <w:jc w:val="both"/>
        <w:rPr>
          <w:rFonts w:ascii="Arial" w:hAnsi="Arial" w:cs="Arial"/>
          <w:sz w:val="24"/>
          <w:szCs w:val="24"/>
        </w:rPr>
      </w:pPr>
      <w:r w:rsidRPr="00DF5328">
        <w:rPr>
          <w:rFonts w:ascii="Arial" w:hAnsi="Arial" w:cs="Arial"/>
          <w:color w:val="252525"/>
          <w:sz w:val="24"/>
          <w:szCs w:val="24"/>
        </w:rPr>
        <w:t>In conclusion, there has been a lot of discussion about the planned Bill of Rights Amendment in the UK, with both proponents and opponents voicing their views.</w:t>
      </w:r>
      <w:r w:rsidRPr="00DF5328">
        <w:rPr>
          <w:rFonts w:ascii="Arial" w:hAnsi="Arial" w:cs="Arial"/>
          <w:sz w:val="24"/>
          <w:szCs w:val="24"/>
        </w:rPr>
        <w:t xml:space="preserve"> While the bill's potential advantages include greater parliamentary involvement and a focus on UK-specific human rights, there are concerns about potential damage to the rule of law and human rights protections. It is important to continue the discussion and consider alternative reform suggestions, such as greater focus on economic and social rights, the role of the judiciary in interpreting human rights law, and the establishment of a UK-wide human rights commission to ensure effective human rights protection across all levels of government and society.</w:t>
      </w:r>
    </w:p>
    <w:p w14:paraId="1CAC8F5D" w14:textId="77777777" w:rsidR="00A54F23" w:rsidRDefault="00A54F23">
      <w:pPr>
        <w:rPr>
          <w:rFonts w:ascii="Arial" w:eastAsiaTheme="majorEastAsia" w:hAnsi="Arial" w:cs="Arial"/>
          <w:b/>
          <w:bCs/>
          <w:sz w:val="24"/>
          <w:szCs w:val="24"/>
        </w:rPr>
      </w:pPr>
      <w:r>
        <w:rPr>
          <w:rFonts w:ascii="Arial" w:hAnsi="Arial" w:cs="Arial"/>
          <w:b/>
          <w:bCs/>
          <w:sz w:val="24"/>
          <w:szCs w:val="24"/>
        </w:rPr>
        <w:br w:type="page"/>
      </w:r>
    </w:p>
    <w:p w14:paraId="214C215A" w14:textId="22D33BDF" w:rsidR="310D1437" w:rsidRPr="00DF5328" w:rsidRDefault="2AACF162" w:rsidP="00E22D51">
      <w:pPr>
        <w:pStyle w:val="Heading1"/>
        <w:rPr>
          <w:rStyle w:val="Heading1Char"/>
          <w:rFonts w:ascii="Arial" w:hAnsi="Arial" w:cs="Arial"/>
          <w:b/>
          <w:bCs/>
          <w:color w:val="auto"/>
          <w:sz w:val="24"/>
          <w:szCs w:val="24"/>
        </w:rPr>
      </w:pPr>
      <w:r w:rsidRPr="00E22D51">
        <w:rPr>
          <w:rFonts w:ascii="Arial" w:hAnsi="Arial" w:cs="Arial"/>
          <w:b/>
          <w:bCs/>
          <w:color w:val="auto"/>
          <w:sz w:val="24"/>
          <w:szCs w:val="24"/>
        </w:rPr>
        <w:lastRenderedPageBreak/>
        <w:t>References</w:t>
      </w:r>
      <w:bookmarkEnd w:id="1"/>
    </w:p>
    <w:p w14:paraId="5169B74F" w14:textId="77777777" w:rsidR="00E22D51" w:rsidRPr="00E22D51" w:rsidRDefault="00E22D51" w:rsidP="00E22D51">
      <w:pPr>
        <w:pStyle w:val="NoSpacing"/>
        <w:spacing w:line="360" w:lineRule="auto"/>
        <w:ind w:left="720" w:hanging="720"/>
        <w:rPr>
          <w:rFonts w:ascii="Arial" w:hAnsi="Arial" w:cs="Arial"/>
          <w:sz w:val="24"/>
          <w:szCs w:val="24"/>
        </w:rPr>
      </w:pPr>
      <w:r w:rsidRPr="00E22D51">
        <w:rPr>
          <w:rFonts w:ascii="Arial" w:hAnsi="Arial" w:cs="Arial"/>
          <w:sz w:val="24"/>
          <w:szCs w:val="24"/>
        </w:rPr>
        <w:t xml:space="preserve">Beatson, J. (2015). The UK's Human Rights Act in its wider context. Public Law, 82-94. </w:t>
      </w:r>
    </w:p>
    <w:p w14:paraId="5FAA4011" w14:textId="77777777" w:rsidR="00E22D51" w:rsidRPr="00E22D51" w:rsidRDefault="00E22D51" w:rsidP="00E22D51">
      <w:pPr>
        <w:pStyle w:val="NoSpacing"/>
        <w:spacing w:line="360" w:lineRule="auto"/>
        <w:ind w:left="720" w:hanging="720"/>
        <w:rPr>
          <w:rFonts w:ascii="Arial" w:hAnsi="Arial" w:cs="Arial"/>
          <w:sz w:val="24"/>
          <w:szCs w:val="24"/>
        </w:rPr>
      </w:pPr>
      <w:r w:rsidRPr="00E22D51">
        <w:rPr>
          <w:rFonts w:ascii="Arial" w:hAnsi="Arial" w:cs="Arial"/>
          <w:sz w:val="24"/>
          <w:szCs w:val="24"/>
        </w:rPr>
        <w:t xml:space="preserve">Equality and Human Rights Commission. (2020). Annual Report and Accounts 2019-20. Retrieved from </w:t>
      </w:r>
      <w:hyperlink r:id="rId8">
        <w:r w:rsidRPr="00E22D51">
          <w:rPr>
            <w:rStyle w:val="Hyperlink"/>
            <w:rFonts w:ascii="Arial" w:hAnsi="Arial" w:cs="Arial"/>
            <w:color w:val="auto"/>
            <w:sz w:val="24"/>
            <w:szCs w:val="24"/>
            <w:u w:val="none"/>
          </w:rPr>
          <w:t>https://www.equalityhumanrights.com/sites/default/files/annual_report_and_accounts_2019-20_0.pdf</w:t>
        </w:r>
      </w:hyperlink>
      <w:r w:rsidRPr="00E22D51">
        <w:rPr>
          <w:rFonts w:ascii="Arial" w:hAnsi="Arial" w:cs="Arial"/>
          <w:sz w:val="24"/>
          <w:szCs w:val="24"/>
        </w:rPr>
        <w:t xml:space="preserve">. </w:t>
      </w:r>
    </w:p>
    <w:p w14:paraId="2168BB5F" w14:textId="77777777" w:rsidR="00E22D51" w:rsidRPr="00E22D51" w:rsidRDefault="00E22D51" w:rsidP="00E22D51">
      <w:pPr>
        <w:pStyle w:val="NoSpacing"/>
        <w:spacing w:line="360" w:lineRule="auto"/>
        <w:ind w:left="720" w:hanging="720"/>
        <w:rPr>
          <w:rFonts w:ascii="Arial" w:hAnsi="Arial" w:cs="Arial"/>
          <w:sz w:val="24"/>
          <w:szCs w:val="24"/>
        </w:rPr>
      </w:pPr>
      <w:r w:rsidRPr="00E22D51">
        <w:rPr>
          <w:rFonts w:ascii="Arial" w:hAnsi="Arial" w:cs="Arial"/>
          <w:sz w:val="24"/>
          <w:szCs w:val="24"/>
        </w:rPr>
        <w:t xml:space="preserve">Gilmore, S., &amp; Harvey, C. (2015). The UK Bill of Rights debate. Modern Law Review, 78(5), 749-772. </w:t>
      </w:r>
    </w:p>
    <w:p w14:paraId="49E8F444" w14:textId="77777777" w:rsidR="00E22D51" w:rsidRPr="00E22D51" w:rsidRDefault="00E22D51" w:rsidP="00E22D51">
      <w:pPr>
        <w:pStyle w:val="NoSpacing"/>
        <w:spacing w:line="360" w:lineRule="auto"/>
        <w:ind w:left="720" w:hanging="720"/>
        <w:rPr>
          <w:rFonts w:ascii="Arial" w:hAnsi="Arial" w:cs="Arial"/>
          <w:sz w:val="24"/>
          <w:szCs w:val="24"/>
        </w:rPr>
      </w:pPr>
      <w:r w:rsidRPr="00E22D51">
        <w:rPr>
          <w:rFonts w:ascii="Arial" w:hAnsi="Arial" w:cs="Arial"/>
          <w:sz w:val="24"/>
          <w:szCs w:val="24"/>
        </w:rPr>
        <w:t xml:space="preserve">Hoffman, M. (2016). Human rights and judicial review: the doctrine of proportionality in action. Oxford University Press. </w:t>
      </w:r>
    </w:p>
    <w:p w14:paraId="08EFBCDB" w14:textId="77777777" w:rsidR="00E22D51" w:rsidRPr="00E22D51" w:rsidRDefault="00E22D51" w:rsidP="00E22D51">
      <w:pPr>
        <w:pStyle w:val="NoSpacing"/>
        <w:spacing w:line="360" w:lineRule="auto"/>
        <w:ind w:left="720" w:hanging="720"/>
        <w:rPr>
          <w:rFonts w:ascii="Arial" w:hAnsi="Arial" w:cs="Arial"/>
          <w:sz w:val="24"/>
          <w:szCs w:val="24"/>
        </w:rPr>
      </w:pPr>
      <w:r w:rsidRPr="00E22D51">
        <w:rPr>
          <w:rFonts w:ascii="Arial" w:hAnsi="Arial" w:cs="Arial"/>
          <w:sz w:val="24"/>
          <w:szCs w:val="24"/>
        </w:rPr>
        <w:t xml:space="preserve">Human Rights Act 1998 (c. 42). (1998). UK Statute Law Database. Retrieved from </w:t>
      </w:r>
      <w:hyperlink r:id="rId9">
        <w:r w:rsidRPr="00E22D51">
          <w:rPr>
            <w:rStyle w:val="Hyperlink"/>
            <w:rFonts w:ascii="Arial" w:hAnsi="Arial" w:cs="Arial"/>
            <w:color w:val="auto"/>
            <w:sz w:val="24"/>
            <w:szCs w:val="24"/>
            <w:u w:val="none"/>
          </w:rPr>
          <w:t>https://www.legislation.gov.uk/ukpga/1998/42/contents</w:t>
        </w:r>
      </w:hyperlink>
      <w:r w:rsidRPr="00E22D51">
        <w:rPr>
          <w:rFonts w:ascii="Arial" w:hAnsi="Arial" w:cs="Arial"/>
          <w:sz w:val="24"/>
          <w:szCs w:val="24"/>
        </w:rPr>
        <w:t xml:space="preserve"> </w:t>
      </w:r>
    </w:p>
    <w:p w14:paraId="702CE377" w14:textId="77777777" w:rsidR="00E22D51" w:rsidRPr="00E22D51" w:rsidRDefault="00E22D51" w:rsidP="00E22D51">
      <w:pPr>
        <w:pStyle w:val="NoSpacing"/>
        <w:spacing w:line="360" w:lineRule="auto"/>
        <w:ind w:left="720" w:hanging="720"/>
        <w:rPr>
          <w:rFonts w:ascii="Arial" w:hAnsi="Arial" w:cs="Arial"/>
          <w:sz w:val="24"/>
          <w:szCs w:val="24"/>
        </w:rPr>
      </w:pPr>
      <w:r w:rsidRPr="00E22D51">
        <w:rPr>
          <w:rFonts w:ascii="Arial" w:hAnsi="Arial" w:cs="Arial"/>
          <w:sz w:val="24"/>
          <w:szCs w:val="24"/>
        </w:rPr>
        <w:t xml:space="preserve">Joint Committee on Human Rights. (2020). Human Rights in the UK: Annual Report 2019. Retrieved from </w:t>
      </w:r>
      <w:hyperlink r:id="rId10">
        <w:r w:rsidRPr="00E22D51">
          <w:rPr>
            <w:rStyle w:val="Hyperlink"/>
            <w:rFonts w:ascii="Arial" w:hAnsi="Arial" w:cs="Arial"/>
            <w:color w:val="auto"/>
            <w:sz w:val="24"/>
            <w:szCs w:val="24"/>
            <w:u w:val="none"/>
          </w:rPr>
          <w:t>https://publications.parliament.uk/pa/jt201920/jtselect/jtrights/521/521.pdf</w:t>
        </w:r>
      </w:hyperlink>
      <w:r w:rsidRPr="00E22D51">
        <w:rPr>
          <w:rFonts w:ascii="Arial" w:hAnsi="Arial" w:cs="Arial"/>
          <w:sz w:val="24"/>
          <w:szCs w:val="24"/>
        </w:rPr>
        <w:t xml:space="preserve">. </w:t>
      </w:r>
    </w:p>
    <w:p w14:paraId="051F3822" w14:textId="77777777" w:rsidR="00E22D51" w:rsidRPr="00E22D51" w:rsidRDefault="00E22D51" w:rsidP="00E22D51">
      <w:pPr>
        <w:pStyle w:val="NoSpacing"/>
        <w:spacing w:line="360" w:lineRule="auto"/>
        <w:ind w:left="720" w:hanging="720"/>
        <w:rPr>
          <w:rFonts w:ascii="Arial" w:hAnsi="Arial" w:cs="Arial"/>
          <w:sz w:val="24"/>
          <w:szCs w:val="24"/>
        </w:rPr>
      </w:pPr>
      <w:r w:rsidRPr="00E22D51">
        <w:rPr>
          <w:rFonts w:ascii="Arial" w:hAnsi="Arial" w:cs="Arial"/>
          <w:sz w:val="24"/>
          <w:szCs w:val="24"/>
        </w:rPr>
        <w:t xml:space="preserve">Klug, F. (2016). Human rights, the UK constitution, and the problem of replaceability. The Modern Law Review, 79(1), 1-29. </w:t>
      </w:r>
    </w:p>
    <w:p w14:paraId="19B9130C" w14:textId="77777777" w:rsidR="00E22D51" w:rsidRPr="00E22D51" w:rsidRDefault="00E22D51" w:rsidP="00E22D51">
      <w:pPr>
        <w:pStyle w:val="NoSpacing"/>
        <w:spacing w:line="360" w:lineRule="auto"/>
        <w:ind w:left="720" w:hanging="720"/>
        <w:rPr>
          <w:rFonts w:ascii="Arial" w:hAnsi="Arial" w:cs="Arial"/>
          <w:sz w:val="24"/>
          <w:szCs w:val="24"/>
        </w:rPr>
      </w:pPr>
      <w:r w:rsidRPr="00E22D51">
        <w:rPr>
          <w:rFonts w:ascii="Arial" w:hAnsi="Arial" w:cs="Arial"/>
          <w:sz w:val="24"/>
          <w:szCs w:val="24"/>
        </w:rPr>
        <w:t xml:space="preserve">Mantouvalou, V. (2017). 'Taking back control'? Human rights and Brexit. Industrial Law Journal, 46(2), 288-307. </w:t>
      </w:r>
    </w:p>
    <w:p w14:paraId="6C1C6AA7" w14:textId="77777777" w:rsidR="00E22D51" w:rsidRPr="00E22D51" w:rsidRDefault="00E22D51" w:rsidP="00E22D51">
      <w:pPr>
        <w:pStyle w:val="NoSpacing"/>
        <w:spacing w:line="360" w:lineRule="auto"/>
        <w:ind w:left="720" w:hanging="720"/>
        <w:rPr>
          <w:rFonts w:ascii="Arial" w:hAnsi="Arial" w:cs="Arial"/>
          <w:sz w:val="24"/>
          <w:szCs w:val="24"/>
        </w:rPr>
      </w:pPr>
      <w:r w:rsidRPr="00E22D51">
        <w:rPr>
          <w:rFonts w:ascii="Arial" w:hAnsi="Arial" w:cs="Arial"/>
          <w:sz w:val="24"/>
          <w:szCs w:val="24"/>
        </w:rPr>
        <w:t xml:space="preserve">O'Cinneide, C. (2017). Time to take social and economic rights seriously in the UK. European Human Rights Law Review, 3, 289-301. </w:t>
      </w:r>
    </w:p>
    <w:p w14:paraId="19348AD2" w14:textId="77777777" w:rsidR="00E22D51" w:rsidRPr="00E22D51" w:rsidRDefault="00E22D51" w:rsidP="00E22D51">
      <w:pPr>
        <w:pStyle w:val="NoSpacing"/>
        <w:spacing w:line="360" w:lineRule="auto"/>
        <w:ind w:left="720" w:hanging="720"/>
        <w:rPr>
          <w:rFonts w:ascii="Arial" w:hAnsi="Arial" w:cs="Arial"/>
          <w:sz w:val="24"/>
          <w:szCs w:val="24"/>
        </w:rPr>
      </w:pPr>
      <w:r w:rsidRPr="00E22D51">
        <w:rPr>
          <w:rFonts w:ascii="Arial" w:hAnsi="Arial" w:cs="Arial"/>
          <w:sz w:val="24"/>
          <w:szCs w:val="24"/>
        </w:rPr>
        <w:t xml:space="preserve">Office of the United Nations High Commissioner for Human Rights. (n.d.). The European Convention on Human Rights. Retrieved from </w:t>
      </w:r>
      <w:hyperlink r:id="rId11">
        <w:r w:rsidRPr="00E22D51">
          <w:rPr>
            <w:rStyle w:val="Hyperlink"/>
            <w:rFonts w:ascii="Arial" w:hAnsi="Arial" w:cs="Arial"/>
            <w:color w:val="auto"/>
            <w:sz w:val="24"/>
            <w:szCs w:val="24"/>
            <w:u w:val="none"/>
          </w:rPr>
          <w:t>https://www.ohchr.org/en/professionalinterest/pages/echr.aspx</w:t>
        </w:r>
      </w:hyperlink>
      <w:r w:rsidRPr="00E22D51">
        <w:rPr>
          <w:rFonts w:ascii="Arial" w:hAnsi="Arial" w:cs="Arial"/>
          <w:sz w:val="24"/>
          <w:szCs w:val="24"/>
        </w:rPr>
        <w:t xml:space="preserve"> </w:t>
      </w:r>
    </w:p>
    <w:p w14:paraId="0FBE6166" w14:textId="77777777" w:rsidR="00E22D51" w:rsidRPr="00E22D51" w:rsidRDefault="00E22D51" w:rsidP="00E22D51">
      <w:pPr>
        <w:pStyle w:val="NoSpacing"/>
        <w:spacing w:line="360" w:lineRule="auto"/>
        <w:ind w:left="720" w:hanging="720"/>
        <w:rPr>
          <w:rFonts w:ascii="Arial" w:hAnsi="Arial" w:cs="Arial"/>
          <w:sz w:val="24"/>
          <w:szCs w:val="24"/>
        </w:rPr>
      </w:pPr>
      <w:r w:rsidRPr="00E22D51">
        <w:rPr>
          <w:rFonts w:ascii="Arial" w:hAnsi="Arial" w:cs="Arial"/>
          <w:sz w:val="24"/>
          <w:szCs w:val="24"/>
        </w:rPr>
        <w:t xml:space="preserve"> Ovey, C., &amp; White, R. (2016). The Human Rights Act 1998: A practical guide. Bloomsbury Publishing. </w:t>
      </w:r>
    </w:p>
    <w:p w14:paraId="15AB47FF" w14:textId="77777777" w:rsidR="00E22D51" w:rsidRPr="00E22D51" w:rsidRDefault="00E22D51" w:rsidP="00E22D51">
      <w:pPr>
        <w:pStyle w:val="NoSpacing"/>
        <w:spacing w:line="360" w:lineRule="auto"/>
        <w:ind w:left="720" w:hanging="720"/>
        <w:rPr>
          <w:rFonts w:ascii="Arial" w:hAnsi="Arial" w:cs="Arial"/>
          <w:sz w:val="24"/>
          <w:szCs w:val="24"/>
        </w:rPr>
      </w:pPr>
      <w:r w:rsidRPr="00E22D51">
        <w:rPr>
          <w:rFonts w:ascii="Arial" w:hAnsi="Arial" w:cs="Arial"/>
          <w:sz w:val="24"/>
          <w:szCs w:val="24"/>
        </w:rPr>
        <w:t xml:space="preserve">The Human Rights Act 1998. (n.d.). Liberty. Retrieved from </w:t>
      </w:r>
      <w:hyperlink r:id="rId12">
        <w:r w:rsidRPr="00E22D51">
          <w:rPr>
            <w:rStyle w:val="Hyperlink"/>
            <w:rFonts w:ascii="Arial" w:hAnsi="Arial" w:cs="Arial"/>
            <w:color w:val="auto"/>
            <w:sz w:val="24"/>
            <w:szCs w:val="24"/>
            <w:u w:val="none"/>
          </w:rPr>
          <w:t>https://www.libertyhumanrights.org.uk/human-rights/what-are-human-rights/human-rights-act-1998/</w:t>
        </w:r>
      </w:hyperlink>
      <w:r w:rsidRPr="00E22D51">
        <w:rPr>
          <w:rFonts w:ascii="Arial" w:hAnsi="Arial" w:cs="Arial"/>
          <w:sz w:val="24"/>
          <w:szCs w:val="24"/>
        </w:rPr>
        <w:t xml:space="preserve"> </w:t>
      </w:r>
    </w:p>
    <w:p w14:paraId="66F5AF1E" w14:textId="77777777" w:rsidR="00E22D51" w:rsidRPr="00E22D51" w:rsidRDefault="00E22D51" w:rsidP="00E22D51">
      <w:pPr>
        <w:pStyle w:val="NoSpacing"/>
        <w:spacing w:line="360" w:lineRule="auto"/>
        <w:ind w:left="720" w:hanging="720"/>
        <w:rPr>
          <w:rFonts w:ascii="Arial" w:hAnsi="Arial" w:cs="Arial"/>
          <w:sz w:val="24"/>
          <w:szCs w:val="24"/>
        </w:rPr>
      </w:pPr>
      <w:r w:rsidRPr="00E22D51">
        <w:rPr>
          <w:rFonts w:ascii="Arial" w:hAnsi="Arial" w:cs="Arial"/>
          <w:sz w:val="24"/>
          <w:szCs w:val="24"/>
        </w:rPr>
        <w:t>Tomkins, A. (2017). The UK's Bill of Rights proposals: Assessing the options. Parliamentary Affairs, 70(3), 491-508.</w:t>
      </w:r>
    </w:p>
    <w:p w14:paraId="65EBF4FD" w14:textId="76AE0BC8" w:rsidR="310D1437" w:rsidRDefault="310D1437" w:rsidP="2AACF162">
      <w:pPr>
        <w:spacing w:line="360" w:lineRule="auto"/>
        <w:rPr>
          <w:rFonts w:ascii="Arial" w:eastAsia="Arial" w:hAnsi="Arial" w:cs="Arial"/>
          <w:sz w:val="24"/>
          <w:szCs w:val="24"/>
        </w:rPr>
      </w:pPr>
    </w:p>
    <w:sectPr w:rsidR="310D1437">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EDC065" w14:textId="77777777" w:rsidR="0076396F" w:rsidRDefault="0076396F" w:rsidP="00E22D51">
      <w:pPr>
        <w:spacing w:after="0" w:line="240" w:lineRule="auto"/>
      </w:pPr>
      <w:r>
        <w:separator/>
      </w:r>
    </w:p>
  </w:endnote>
  <w:endnote w:type="continuationSeparator" w:id="0">
    <w:p w14:paraId="39735DDC" w14:textId="77777777" w:rsidR="0076396F" w:rsidRDefault="0076396F" w:rsidP="00E22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0547053"/>
      <w:docPartObj>
        <w:docPartGallery w:val="Page Numbers (Bottom of Page)"/>
        <w:docPartUnique/>
      </w:docPartObj>
    </w:sdtPr>
    <w:sdtEndPr>
      <w:rPr>
        <w:rFonts w:ascii="Arial" w:hAnsi="Arial" w:cs="Arial"/>
        <w:noProof/>
        <w:sz w:val="24"/>
        <w:szCs w:val="24"/>
      </w:rPr>
    </w:sdtEndPr>
    <w:sdtContent>
      <w:p w14:paraId="5DF51382" w14:textId="6A4E2A4F" w:rsidR="00E22D51" w:rsidRPr="00E22D51" w:rsidRDefault="00E22D51">
        <w:pPr>
          <w:pStyle w:val="Footer"/>
          <w:jc w:val="center"/>
          <w:rPr>
            <w:rFonts w:ascii="Arial" w:hAnsi="Arial" w:cs="Arial"/>
            <w:sz w:val="24"/>
            <w:szCs w:val="24"/>
          </w:rPr>
        </w:pPr>
        <w:r w:rsidRPr="00E22D51">
          <w:rPr>
            <w:rFonts w:ascii="Arial" w:hAnsi="Arial" w:cs="Arial"/>
            <w:sz w:val="24"/>
            <w:szCs w:val="24"/>
          </w:rPr>
          <w:fldChar w:fldCharType="begin"/>
        </w:r>
        <w:r w:rsidRPr="00E22D51">
          <w:rPr>
            <w:rFonts w:ascii="Arial" w:hAnsi="Arial" w:cs="Arial"/>
            <w:sz w:val="24"/>
            <w:szCs w:val="24"/>
          </w:rPr>
          <w:instrText xml:space="preserve"> PAGE   \* MERGEFORMAT </w:instrText>
        </w:r>
        <w:r w:rsidRPr="00E22D51">
          <w:rPr>
            <w:rFonts w:ascii="Arial" w:hAnsi="Arial" w:cs="Arial"/>
            <w:sz w:val="24"/>
            <w:szCs w:val="24"/>
          </w:rPr>
          <w:fldChar w:fldCharType="separate"/>
        </w:r>
        <w:r w:rsidR="00127072">
          <w:rPr>
            <w:rFonts w:ascii="Arial" w:hAnsi="Arial" w:cs="Arial"/>
            <w:noProof/>
            <w:sz w:val="24"/>
            <w:szCs w:val="24"/>
          </w:rPr>
          <w:t>2</w:t>
        </w:r>
        <w:r w:rsidRPr="00E22D51">
          <w:rPr>
            <w:rFonts w:ascii="Arial" w:hAnsi="Arial" w:cs="Arial"/>
            <w:noProof/>
            <w:sz w:val="24"/>
            <w:szCs w:val="24"/>
          </w:rPr>
          <w:fldChar w:fldCharType="end"/>
        </w:r>
      </w:p>
    </w:sdtContent>
  </w:sdt>
  <w:p w14:paraId="0FE3204D" w14:textId="77777777" w:rsidR="00E22D51" w:rsidRDefault="00E22D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D33D2B" w14:textId="77777777" w:rsidR="0076396F" w:rsidRDefault="0076396F" w:rsidP="00E22D51">
      <w:pPr>
        <w:spacing w:after="0" w:line="240" w:lineRule="auto"/>
      </w:pPr>
      <w:r>
        <w:separator/>
      </w:r>
    </w:p>
  </w:footnote>
  <w:footnote w:type="continuationSeparator" w:id="0">
    <w:p w14:paraId="3FA31887" w14:textId="77777777" w:rsidR="0076396F" w:rsidRDefault="0076396F" w:rsidP="00E22D51">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kGRJ3zXwZAjIqX" int2:id="ImvZEMGp">
      <int2:state int2:value="Rejected" int2:type="AugLoop_Text_Critique"/>
    </int2:textHash>
    <int2:textHash int2:hashCode="/F/yRL+Lz7tIkk" int2:id="yNCQOi7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5529B6"/>
    <w:multiLevelType w:val="hybridMultilevel"/>
    <w:tmpl w:val="6A0007F6"/>
    <w:lvl w:ilvl="0" w:tplc="C23032DE">
      <w:start w:val="1"/>
      <w:numFmt w:val="bullet"/>
      <w:lvlText w:val=""/>
      <w:lvlJc w:val="left"/>
      <w:pPr>
        <w:ind w:left="720" w:hanging="360"/>
      </w:pPr>
      <w:rPr>
        <w:rFonts w:ascii="Symbol" w:hAnsi="Symbol" w:hint="default"/>
      </w:rPr>
    </w:lvl>
    <w:lvl w:ilvl="1" w:tplc="F3F80E56">
      <w:start w:val="1"/>
      <w:numFmt w:val="bullet"/>
      <w:lvlText w:val="o"/>
      <w:lvlJc w:val="left"/>
      <w:pPr>
        <w:ind w:left="1440" w:hanging="360"/>
      </w:pPr>
      <w:rPr>
        <w:rFonts w:ascii="Courier New" w:hAnsi="Courier New" w:hint="default"/>
      </w:rPr>
    </w:lvl>
    <w:lvl w:ilvl="2" w:tplc="783ADFAE">
      <w:start w:val="1"/>
      <w:numFmt w:val="bullet"/>
      <w:lvlText w:val=""/>
      <w:lvlJc w:val="left"/>
      <w:pPr>
        <w:ind w:left="2160" w:hanging="360"/>
      </w:pPr>
      <w:rPr>
        <w:rFonts w:ascii="Wingdings" w:hAnsi="Wingdings" w:hint="default"/>
      </w:rPr>
    </w:lvl>
    <w:lvl w:ilvl="3" w:tplc="C97892EC">
      <w:start w:val="1"/>
      <w:numFmt w:val="bullet"/>
      <w:lvlText w:val=""/>
      <w:lvlJc w:val="left"/>
      <w:pPr>
        <w:ind w:left="2880" w:hanging="360"/>
      </w:pPr>
      <w:rPr>
        <w:rFonts w:ascii="Symbol" w:hAnsi="Symbol" w:hint="default"/>
      </w:rPr>
    </w:lvl>
    <w:lvl w:ilvl="4" w:tplc="DE8AD972">
      <w:start w:val="1"/>
      <w:numFmt w:val="bullet"/>
      <w:lvlText w:val="o"/>
      <w:lvlJc w:val="left"/>
      <w:pPr>
        <w:ind w:left="3600" w:hanging="360"/>
      </w:pPr>
      <w:rPr>
        <w:rFonts w:ascii="Courier New" w:hAnsi="Courier New" w:hint="default"/>
      </w:rPr>
    </w:lvl>
    <w:lvl w:ilvl="5" w:tplc="6E3443A0">
      <w:start w:val="1"/>
      <w:numFmt w:val="bullet"/>
      <w:lvlText w:val=""/>
      <w:lvlJc w:val="left"/>
      <w:pPr>
        <w:ind w:left="4320" w:hanging="360"/>
      </w:pPr>
      <w:rPr>
        <w:rFonts w:ascii="Wingdings" w:hAnsi="Wingdings" w:hint="default"/>
      </w:rPr>
    </w:lvl>
    <w:lvl w:ilvl="6" w:tplc="DAFA4D72">
      <w:start w:val="1"/>
      <w:numFmt w:val="bullet"/>
      <w:lvlText w:val=""/>
      <w:lvlJc w:val="left"/>
      <w:pPr>
        <w:ind w:left="5040" w:hanging="360"/>
      </w:pPr>
      <w:rPr>
        <w:rFonts w:ascii="Symbol" w:hAnsi="Symbol" w:hint="default"/>
      </w:rPr>
    </w:lvl>
    <w:lvl w:ilvl="7" w:tplc="97808016">
      <w:start w:val="1"/>
      <w:numFmt w:val="bullet"/>
      <w:lvlText w:val="o"/>
      <w:lvlJc w:val="left"/>
      <w:pPr>
        <w:ind w:left="5760" w:hanging="360"/>
      </w:pPr>
      <w:rPr>
        <w:rFonts w:ascii="Courier New" w:hAnsi="Courier New" w:hint="default"/>
      </w:rPr>
    </w:lvl>
    <w:lvl w:ilvl="8" w:tplc="465EE740">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CA44"/>
    <w:rsid w:val="00127072"/>
    <w:rsid w:val="004C69A5"/>
    <w:rsid w:val="004ECA44"/>
    <w:rsid w:val="0076396F"/>
    <w:rsid w:val="00A54F23"/>
    <w:rsid w:val="00DF5328"/>
    <w:rsid w:val="00E22D51"/>
    <w:rsid w:val="28EE4151"/>
    <w:rsid w:val="2AACF162"/>
    <w:rsid w:val="310D14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EC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310D1437"/>
    <w:rPr>
      <w:lang w:val="en-GB"/>
    </w:rPr>
  </w:style>
  <w:style w:type="paragraph" w:styleId="Heading1">
    <w:name w:val="heading 1"/>
    <w:basedOn w:val="Normal"/>
    <w:next w:val="Normal"/>
    <w:link w:val="Heading1Char"/>
    <w:uiPriority w:val="9"/>
    <w:qFormat/>
    <w:rsid w:val="310D14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310D14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310D1437"/>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310D143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310D143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310D1437"/>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310D1437"/>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310D1437"/>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310D1437"/>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310D1437"/>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310D1437"/>
    <w:rPr>
      <w:rFonts w:eastAsiaTheme="minorEastAsia"/>
      <w:color w:val="5A5A5A"/>
    </w:rPr>
  </w:style>
  <w:style w:type="paragraph" w:styleId="Quote">
    <w:name w:val="Quote"/>
    <w:basedOn w:val="Normal"/>
    <w:next w:val="Normal"/>
    <w:link w:val="QuoteChar"/>
    <w:uiPriority w:val="29"/>
    <w:qFormat/>
    <w:rsid w:val="310D1437"/>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310D1437"/>
    <w:pPr>
      <w:spacing w:before="360" w:after="360"/>
      <w:ind w:left="864" w:right="864"/>
      <w:jc w:val="center"/>
    </w:pPr>
    <w:rPr>
      <w:i/>
      <w:iCs/>
      <w:color w:val="4472C4" w:themeColor="accent1"/>
    </w:rPr>
  </w:style>
  <w:style w:type="paragraph" w:styleId="ListParagraph">
    <w:name w:val="List Paragraph"/>
    <w:basedOn w:val="Normal"/>
    <w:uiPriority w:val="34"/>
    <w:qFormat/>
    <w:rsid w:val="310D1437"/>
    <w:pPr>
      <w:ind w:left="720"/>
      <w:contextualSpacing/>
    </w:pPr>
  </w:style>
  <w:style w:type="character" w:customStyle="1" w:styleId="Heading1Char">
    <w:name w:val="Heading 1 Char"/>
    <w:basedOn w:val="DefaultParagraphFont"/>
    <w:link w:val="Heading1"/>
    <w:uiPriority w:val="9"/>
    <w:rsid w:val="310D1437"/>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310D1437"/>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310D1437"/>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310D1437"/>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310D1437"/>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310D1437"/>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310D1437"/>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310D1437"/>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310D1437"/>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310D1437"/>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310D1437"/>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310D1437"/>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310D1437"/>
    <w:rPr>
      <w:i/>
      <w:iCs/>
      <w:noProof w:val="0"/>
      <w:color w:val="4472C4" w:themeColor="accent1"/>
      <w:lang w:val="en-GB"/>
    </w:rPr>
  </w:style>
  <w:style w:type="paragraph" w:styleId="TOC1">
    <w:name w:val="toc 1"/>
    <w:basedOn w:val="Normal"/>
    <w:next w:val="Normal"/>
    <w:uiPriority w:val="39"/>
    <w:unhideWhenUsed/>
    <w:rsid w:val="310D1437"/>
    <w:pPr>
      <w:spacing w:after="100"/>
    </w:pPr>
  </w:style>
  <w:style w:type="paragraph" w:styleId="TOC2">
    <w:name w:val="toc 2"/>
    <w:basedOn w:val="Normal"/>
    <w:next w:val="Normal"/>
    <w:uiPriority w:val="39"/>
    <w:unhideWhenUsed/>
    <w:rsid w:val="310D1437"/>
    <w:pPr>
      <w:spacing w:after="100"/>
      <w:ind w:left="220"/>
    </w:pPr>
  </w:style>
  <w:style w:type="paragraph" w:styleId="TOC3">
    <w:name w:val="toc 3"/>
    <w:basedOn w:val="Normal"/>
    <w:next w:val="Normal"/>
    <w:uiPriority w:val="39"/>
    <w:unhideWhenUsed/>
    <w:rsid w:val="310D1437"/>
    <w:pPr>
      <w:spacing w:after="100"/>
      <w:ind w:left="440"/>
    </w:pPr>
  </w:style>
  <w:style w:type="paragraph" w:styleId="TOC4">
    <w:name w:val="toc 4"/>
    <w:basedOn w:val="Normal"/>
    <w:next w:val="Normal"/>
    <w:uiPriority w:val="39"/>
    <w:unhideWhenUsed/>
    <w:rsid w:val="310D1437"/>
    <w:pPr>
      <w:spacing w:after="100"/>
      <w:ind w:left="660"/>
    </w:pPr>
  </w:style>
  <w:style w:type="paragraph" w:styleId="TOC5">
    <w:name w:val="toc 5"/>
    <w:basedOn w:val="Normal"/>
    <w:next w:val="Normal"/>
    <w:uiPriority w:val="39"/>
    <w:unhideWhenUsed/>
    <w:rsid w:val="310D1437"/>
    <w:pPr>
      <w:spacing w:after="100"/>
      <w:ind w:left="880"/>
    </w:pPr>
  </w:style>
  <w:style w:type="paragraph" w:styleId="TOC6">
    <w:name w:val="toc 6"/>
    <w:basedOn w:val="Normal"/>
    <w:next w:val="Normal"/>
    <w:uiPriority w:val="39"/>
    <w:unhideWhenUsed/>
    <w:rsid w:val="310D1437"/>
    <w:pPr>
      <w:spacing w:after="100"/>
      <w:ind w:left="1100"/>
    </w:pPr>
  </w:style>
  <w:style w:type="paragraph" w:styleId="TOC7">
    <w:name w:val="toc 7"/>
    <w:basedOn w:val="Normal"/>
    <w:next w:val="Normal"/>
    <w:uiPriority w:val="39"/>
    <w:unhideWhenUsed/>
    <w:rsid w:val="310D1437"/>
    <w:pPr>
      <w:spacing w:after="100"/>
      <w:ind w:left="1320"/>
    </w:pPr>
  </w:style>
  <w:style w:type="paragraph" w:styleId="TOC8">
    <w:name w:val="toc 8"/>
    <w:basedOn w:val="Normal"/>
    <w:next w:val="Normal"/>
    <w:uiPriority w:val="39"/>
    <w:unhideWhenUsed/>
    <w:rsid w:val="310D1437"/>
    <w:pPr>
      <w:spacing w:after="100"/>
      <w:ind w:left="1540"/>
    </w:pPr>
  </w:style>
  <w:style w:type="paragraph" w:styleId="TOC9">
    <w:name w:val="toc 9"/>
    <w:basedOn w:val="Normal"/>
    <w:next w:val="Normal"/>
    <w:uiPriority w:val="39"/>
    <w:unhideWhenUsed/>
    <w:rsid w:val="310D1437"/>
    <w:pPr>
      <w:spacing w:after="100"/>
      <w:ind w:left="1760"/>
    </w:pPr>
  </w:style>
  <w:style w:type="paragraph" w:styleId="EndnoteText">
    <w:name w:val="endnote text"/>
    <w:basedOn w:val="Normal"/>
    <w:link w:val="EndnoteTextChar"/>
    <w:uiPriority w:val="99"/>
    <w:semiHidden/>
    <w:unhideWhenUsed/>
    <w:rsid w:val="310D1437"/>
    <w:pPr>
      <w:spacing w:after="0"/>
    </w:pPr>
    <w:rPr>
      <w:sz w:val="20"/>
      <w:szCs w:val="20"/>
    </w:rPr>
  </w:style>
  <w:style w:type="character" w:customStyle="1" w:styleId="EndnoteTextChar">
    <w:name w:val="Endnote Text Char"/>
    <w:basedOn w:val="DefaultParagraphFont"/>
    <w:link w:val="EndnoteText"/>
    <w:uiPriority w:val="99"/>
    <w:semiHidden/>
    <w:rsid w:val="310D1437"/>
    <w:rPr>
      <w:noProof w:val="0"/>
      <w:sz w:val="20"/>
      <w:szCs w:val="20"/>
      <w:lang w:val="en-GB"/>
    </w:rPr>
  </w:style>
  <w:style w:type="paragraph" w:styleId="Footer">
    <w:name w:val="footer"/>
    <w:basedOn w:val="Normal"/>
    <w:link w:val="FooterChar"/>
    <w:uiPriority w:val="99"/>
    <w:unhideWhenUsed/>
    <w:rsid w:val="310D1437"/>
    <w:pPr>
      <w:tabs>
        <w:tab w:val="center" w:pos="4680"/>
        <w:tab w:val="right" w:pos="9360"/>
      </w:tabs>
      <w:spacing w:after="0"/>
    </w:pPr>
  </w:style>
  <w:style w:type="character" w:customStyle="1" w:styleId="FooterChar">
    <w:name w:val="Footer Char"/>
    <w:basedOn w:val="DefaultParagraphFont"/>
    <w:link w:val="Footer"/>
    <w:uiPriority w:val="99"/>
    <w:rsid w:val="310D1437"/>
    <w:rPr>
      <w:noProof w:val="0"/>
      <w:lang w:val="en-GB"/>
    </w:rPr>
  </w:style>
  <w:style w:type="paragraph" w:styleId="FootnoteText">
    <w:name w:val="footnote text"/>
    <w:basedOn w:val="Normal"/>
    <w:link w:val="FootnoteTextChar"/>
    <w:uiPriority w:val="99"/>
    <w:semiHidden/>
    <w:unhideWhenUsed/>
    <w:rsid w:val="310D1437"/>
    <w:pPr>
      <w:spacing w:after="0"/>
    </w:pPr>
    <w:rPr>
      <w:sz w:val="20"/>
      <w:szCs w:val="20"/>
    </w:rPr>
  </w:style>
  <w:style w:type="character" w:customStyle="1" w:styleId="FootnoteTextChar">
    <w:name w:val="Footnote Text Char"/>
    <w:basedOn w:val="DefaultParagraphFont"/>
    <w:link w:val="FootnoteText"/>
    <w:uiPriority w:val="99"/>
    <w:semiHidden/>
    <w:rsid w:val="310D1437"/>
    <w:rPr>
      <w:noProof w:val="0"/>
      <w:sz w:val="20"/>
      <w:szCs w:val="20"/>
      <w:lang w:val="en-GB"/>
    </w:rPr>
  </w:style>
  <w:style w:type="paragraph" w:styleId="Header">
    <w:name w:val="header"/>
    <w:basedOn w:val="Normal"/>
    <w:link w:val="HeaderChar"/>
    <w:uiPriority w:val="99"/>
    <w:unhideWhenUsed/>
    <w:rsid w:val="310D1437"/>
    <w:pPr>
      <w:tabs>
        <w:tab w:val="center" w:pos="4680"/>
        <w:tab w:val="right" w:pos="9360"/>
      </w:tabs>
      <w:spacing w:after="0"/>
    </w:pPr>
  </w:style>
  <w:style w:type="character" w:customStyle="1" w:styleId="HeaderChar">
    <w:name w:val="Header Char"/>
    <w:basedOn w:val="DefaultParagraphFont"/>
    <w:link w:val="Header"/>
    <w:uiPriority w:val="99"/>
    <w:rsid w:val="310D1437"/>
    <w:rPr>
      <w:noProof w:val="0"/>
      <w:lang w:val="en-GB"/>
    </w:rPr>
  </w:style>
  <w:style w:type="character" w:styleId="Hyperlink">
    <w:name w:val="Hyperlink"/>
    <w:basedOn w:val="DefaultParagraphFont"/>
    <w:uiPriority w:val="99"/>
    <w:unhideWhenUsed/>
    <w:rPr>
      <w:color w:val="0563C1" w:themeColor="hyperlink"/>
      <w:u w:val="single"/>
    </w:rPr>
  </w:style>
  <w:style w:type="paragraph" w:styleId="NoSpacing">
    <w:name w:val="No Spacing"/>
    <w:uiPriority w:val="1"/>
    <w:qFormat/>
    <w:rsid w:val="00E22D51"/>
    <w:pPr>
      <w:spacing w:after="0" w:line="240" w:lineRule="auto"/>
    </w:pPr>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310D1437"/>
    <w:rPr>
      <w:lang w:val="en-GB"/>
    </w:rPr>
  </w:style>
  <w:style w:type="paragraph" w:styleId="Heading1">
    <w:name w:val="heading 1"/>
    <w:basedOn w:val="Normal"/>
    <w:next w:val="Normal"/>
    <w:link w:val="Heading1Char"/>
    <w:uiPriority w:val="9"/>
    <w:qFormat/>
    <w:rsid w:val="310D14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310D14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310D1437"/>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310D143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310D143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310D1437"/>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310D1437"/>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310D1437"/>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310D1437"/>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310D1437"/>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310D1437"/>
    <w:rPr>
      <w:rFonts w:eastAsiaTheme="minorEastAsia"/>
      <w:color w:val="5A5A5A"/>
    </w:rPr>
  </w:style>
  <w:style w:type="paragraph" w:styleId="Quote">
    <w:name w:val="Quote"/>
    <w:basedOn w:val="Normal"/>
    <w:next w:val="Normal"/>
    <w:link w:val="QuoteChar"/>
    <w:uiPriority w:val="29"/>
    <w:qFormat/>
    <w:rsid w:val="310D1437"/>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310D1437"/>
    <w:pPr>
      <w:spacing w:before="360" w:after="360"/>
      <w:ind w:left="864" w:right="864"/>
      <w:jc w:val="center"/>
    </w:pPr>
    <w:rPr>
      <w:i/>
      <w:iCs/>
      <w:color w:val="4472C4" w:themeColor="accent1"/>
    </w:rPr>
  </w:style>
  <w:style w:type="paragraph" w:styleId="ListParagraph">
    <w:name w:val="List Paragraph"/>
    <w:basedOn w:val="Normal"/>
    <w:uiPriority w:val="34"/>
    <w:qFormat/>
    <w:rsid w:val="310D1437"/>
    <w:pPr>
      <w:ind w:left="720"/>
      <w:contextualSpacing/>
    </w:pPr>
  </w:style>
  <w:style w:type="character" w:customStyle="1" w:styleId="Heading1Char">
    <w:name w:val="Heading 1 Char"/>
    <w:basedOn w:val="DefaultParagraphFont"/>
    <w:link w:val="Heading1"/>
    <w:uiPriority w:val="9"/>
    <w:rsid w:val="310D1437"/>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310D1437"/>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310D1437"/>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310D1437"/>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310D1437"/>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310D1437"/>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310D1437"/>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310D1437"/>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310D1437"/>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310D1437"/>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310D1437"/>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310D1437"/>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310D1437"/>
    <w:rPr>
      <w:i/>
      <w:iCs/>
      <w:noProof w:val="0"/>
      <w:color w:val="4472C4" w:themeColor="accent1"/>
      <w:lang w:val="en-GB"/>
    </w:rPr>
  </w:style>
  <w:style w:type="paragraph" w:styleId="TOC1">
    <w:name w:val="toc 1"/>
    <w:basedOn w:val="Normal"/>
    <w:next w:val="Normal"/>
    <w:uiPriority w:val="39"/>
    <w:unhideWhenUsed/>
    <w:rsid w:val="310D1437"/>
    <w:pPr>
      <w:spacing w:after="100"/>
    </w:pPr>
  </w:style>
  <w:style w:type="paragraph" w:styleId="TOC2">
    <w:name w:val="toc 2"/>
    <w:basedOn w:val="Normal"/>
    <w:next w:val="Normal"/>
    <w:uiPriority w:val="39"/>
    <w:unhideWhenUsed/>
    <w:rsid w:val="310D1437"/>
    <w:pPr>
      <w:spacing w:after="100"/>
      <w:ind w:left="220"/>
    </w:pPr>
  </w:style>
  <w:style w:type="paragraph" w:styleId="TOC3">
    <w:name w:val="toc 3"/>
    <w:basedOn w:val="Normal"/>
    <w:next w:val="Normal"/>
    <w:uiPriority w:val="39"/>
    <w:unhideWhenUsed/>
    <w:rsid w:val="310D1437"/>
    <w:pPr>
      <w:spacing w:after="100"/>
      <w:ind w:left="440"/>
    </w:pPr>
  </w:style>
  <w:style w:type="paragraph" w:styleId="TOC4">
    <w:name w:val="toc 4"/>
    <w:basedOn w:val="Normal"/>
    <w:next w:val="Normal"/>
    <w:uiPriority w:val="39"/>
    <w:unhideWhenUsed/>
    <w:rsid w:val="310D1437"/>
    <w:pPr>
      <w:spacing w:after="100"/>
      <w:ind w:left="660"/>
    </w:pPr>
  </w:style>
  <w:style w:type="paragraph" w:styleId="TOC5">
    <w:name w:val="toc 5"/>
    <w:basedOn w:val="Normal"/>
    <w:next w:val="Normal"/>
    <w:uiPriority w:val="39"/>
    <w:unhideWhenUsed/>
    <w:rsid w:val="310D1437"/>
    <w:pPr>
      <w:spacing w:after="100"/>
      <w:ind w:left="880"/>
    </w:pPr>
  </w:style>
  <w:style w:type="paragraph" w:styleId="TOC6">
    <w:name w:val="toc 6"/>
    <w:basedOn w:val="Normal"/>
    <w:next w:val="Normal"/>
    <w:uiPriority w:val="39"/>
    <w:unhideWhenUsed/>
    <w:rsid w:val="310D1437"/>
    <w:pPr>
      <w:spacing w:after="100"/>
      <w:ind w:left="1100"/>
    </w:pPr>
  </w:style>
  <w:style w:type="paragraph" w:styleId="TOC7">
    <w:name w:val="toc 7"/>
    <w:basedOn w:val="Normal"/>
    <w:next w:val="Normal"/>
    <w:uiPriority w:val="39"/>
    <w:unhideWhenUsed/>
    <w:rsid w:val="310D1437"/>
    <w:pPr>
      <w:spacing w:after="100"/>
      <w:ind w:left="1320"/>
    </w:pPr>
  </w:style>
  <w:style w:type="paragraph" w:styleId="TOC8">
    <w:name w:val="toc 8"/>
    <w:basedOn w:val="Normal"/>
    <w:next w:val="Normal"/>
    <w:uiPriority w:val="39"/>
    <w:unhideWhenUsed/>
    <w:rsid w:val="310D1437"/>
    <w:pPr>
      <w:spacing w:after="100"/>
      <w:ind w:left="1540"/>
    </w:pPr>
  </w:style>
  <w:style w:type="paragraph" w:styleId="TOC9">
    <w:name w:val="toc 9"/>
    <w:basedOn w:val="Normal"/>
    <w:next w:val="Normal"/>
    <w:uiPriority w:val="39"/>
    <w:unhideWhenUsed/>
    <w:rsid w:val="310D1437"/>
    <w:pPr>
      <w:spacing w:after="100"/>
      <w:ind w:left="1760"/>
    </w:pPr>
  </w:style>
  <w:style w:type="paragraph" w:styleId="EndnoteText">
    <w:name w:val="endnote text"/>
    <w:basedOn w:val="Normal"/>
    <w:link w:val="EndnoteTextChar"/>
    <w:uiPriority w:val="99"/>
    <w:semiHidden/>
    <w:unhideWhenUsed/>
    <w:rsid w:val="310D1437"/>
    <w:pPr>
      <w:spacing w:after="0"/>
    </w:pPr>
    <w:rPr>
      <w:sz w:val="20"/>
      <w:szCs w:val="20"/>
    </w:rPr>
  </w:style>
  <w:style w:type="character" w:customStyle="1" w:styleId="EndnoteTextChar">
    <w:name w:val="Endnote Text Char"/>
    <w:basedOn w:val="DefaultParagraphFont"/>
    <w:link w:val="EndnoteText"/>
    <w:uiPriority w:val="99"/>
    <w:semiHidden/>
    <w:rsid w:val="310D1437"/>
    <w:rPr>
      <w:noProof w:val="0"/>
      <w:sz w:val="20"/>
      <w:szCs w:val="20"/>
      <w:lang w:val="en-GB"/>
    </w:rPr>
  </w:style>
  <w:style w:type="paragraph" w:styleId="Footer">
    <w:name w:val="footer"/>
    <w:basedOn w:val="Normal"/>
    <w:link w:val="FooterChar"/>
    <w:uiPriority w:val="99"/>
    <w:unhideWhenUsed/>
    <w:rsid w:val="310D1437"/>
    <w:pPr>
      <w:tabs>
        <w:tab w:val="center" w:pos="4680"/>
        <w:tab w:val="right" w:pos="9360"/>
      </w:tabs>
      <w:spacing w:after="0"/>
    </w:pPr>
  </w:style>
  <w:style w:type="character" w:customStyle="1" w:styleId="FooterChar">
    <w:name w:val="Footer Char"/>
    <w:basedOn w:val="DefaultParagraphFont"/>
    <w:link w:val="Footer"/>
    <w:uiPriority w:val="99"/>
    <w:rsid w:val="310D1437"/>
    <w:rPr>
      <w:noProof w:val="0"/>
      <w:lang w:val="en-GB"/>
    </w:rPr>
  </w:style>
  <w:style w:type="paragraph" w:styleId="FootnoteText">
    <w:name w:val="footnote text"/>
    <w:basedOn w:val="Normal"/>
    <w:link w:val="FootnoteTextChar"/>
    <w:uiPriority w:val="99"/>
    <w:semiHidden/>
    <w:unhideWhenUsed/>
    <w:rsid w:val="310D1437"/>
    <w:pPr>
      <w:spacing w:after="0"/>
    </w:pPr>
    <w:rPr>
      <w:sz w:val="20"/>
      <w:szCs w:val="20"/>
    </w:rPr>
  </w:style>
  <w:style w:type="character" w:customStyle="1" w:styleId="FootnoteTextChar">
    <w:name w:val="Footnote Text Char"/>
    <w:basedOn w:val="DefaultParagraphFont"/>
    <w:link w:val="FootnoteText"/>
    <w:uiPriority w:val="99"/>
    <w:semiHidden/>
    <w:rsid w:val="310D1437"/>
    <w:rPr>
      <w:noProof w:val="0"/>
      <w:sz w:val="20"/>
      <w:szCs w:val="20"/>
      <w:lang w:val="en-GB"/>
    </w:rPr>
  </w:style>
  <w:style w:type="paragraph" w:styleId="Header">
    <w:name w:val="header"/>
    <w:basedOn w:val="Normal"/>
    <w:link w:val="HeaderChar"/>
    <w:uiPriority w:val="99"/>
    <w:unhideWhenUsed/>
    <w:rsid w:val="310D1437"/>
    <w:pPr>
      <w:tabs>
        <w:tab w:val="center" w:pos="4680"/>
        <w:tab w:val="right" w:pos="9360"/>
      </w:tabs>
      <w:spacing w:after="0"/>
    </w:pPr>
  </w:style>
  <w:style w:type="character" w:customStyle="1" w:styleId="HeaderChar">
    <w:name w:val="Header Char"/>
    <w:basedOn w:val="DefaultParagraphFont"/>
    <w:link w:val="Header"/>
    <w:uiPriority w:val="99"/>
    <w:rsid w:val="310D1437"/>
    <w:rPr>
      <w:noProof w:val="0"/>
      <w:lang w:val="en-GB"/>
    </w:rPr>
  </w:style>
  <w:style w:type="character" w:styleId="Hyperlink">
    <w:name w:val="Hyperlink"/>
    <w:basedOn w:val="DefaultParagraphFont"/>
    <w:uiPriority w:val="99"/>
    <w:unhideWhenUsed/>
    <w:rPr>
      <w:color w:val="0563C1" w:themeColor="hyperlink"/>
      <w:u w:val="single"/>
    </w:rPr>
  </w:style>
  <w:style w:type="paragraph" w:styleId="NoSpacing">
    <w:name w:val="No Spacing"/>
    <w:uiPriority w:val="1"/>
    <w:qFormat/>
    <w:rsid w:val="00E22D51"/>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qualityhumanrights.com/sites/default/files/annual_report_and_accounts_2019-20_0.pdf"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libertyhumanrights.org.uk/human-rights/what-are-human-rights/human-rights-act-1998/" TargetMode="External"/><Relationship Id="rId2" Type="http://schemas.openxmlformats.org/officeDocument/2006/relationships/styles" Target="styles.xml"/><Relationship Id="rId16"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ohchr.org/en/professionalinterest/pages/echr.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publications.parliament.uk/pa/jt201920/jtselect/jtrights/521/521.pdf" TargetMode="External"/><Relationship Id="rId4" Type="http://schemas.openxmlformats.org/officeDocument/2006/relationships/settings" Target="settings.xml"/><Relationship Id="rId9" Type="http://schemas.openxmlformats.org/officeDocument/2006/relationships/hyperlink" Target="https://www.legislation.gov.uk/ukpga/1998/42/content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1789</Words>
  <Characters>10198</Characters>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2023-03-10T14:06:00Z</dcterms:created>
  <dcterms:modified xsi:type="dcterms:W3CDTF">2023-03-10T14:06:00Z</dcterms:modified>
</cp:coreProperties>
</file>