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6FDB" w:rsidRDefault="00416FDB" w:rsidP="00AC5D3D">
      <w:pPr>
        <w:spacing w:after="0" w:line="360" w:lineRule="auto"/>
        <w:rPr>
          <w:rFonts w:ascii="Times New Roman" w:eastAsia="Times New Roman" w:hAnsi="Times New Roman" w:cs="Times New Roman"/>
          <w:b/>
          <w:sz w:val="40"/>
        </w:rPr>
      </w:pPr>
    </w:p>
    <w:p w:rsidR="00AC5D3D" w:rsidRDefault="00C4403E" w:rsidP="00AC5D3D">
      <w:pPr>
        <w:spacing w:after="0" w:line="360" w:lineRule="auto"/>
        <w:jc w:val="center"/>
        <w:rPr>
          <w:rFonts w:ascii="Times New Roman" w:eastAsia="Times New Roman" w:hAnsi="Times New Roman" w:cs="Times New Roman"/>
          <w:b/>
          <w:sz w:val="40"/>
        </w:rPr>
      </w:pPr>
      <w:r>
        <w:rPr>
          <w:noProof/>
        </w:rPr>
        <w:drawing>
          <wp:inline distT="0" distB="0" distL="0" distR="0" wp14:anchorId="008B7183" wp14:editId="008E70C1">
            <wp:extent cx="2051484" cy="8223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54896" cy="823693"/>
                    </a:xfrm>
                    <a:prstGeom prst="rect">
                      <a:avLst/>
                    </a:prstGeom>
                    <a:noFill/>
                  </pic:spPr>
                </pic:pic>
              </a:graphicData>
            </a:graphic>
          </wp:inline>
        </w:drawing>
      </w:r>
    </w:p>
    <w:p w:rsidR="00AC5D3D" w:rsidRDefault="00AC5D3D">
      <w:pPr>
        <w:spacing w:after="0" w:line="360" w:lineRule="auto"/>
        <w:jc w:val="center"/>
        <w:rPr>
          <w:rFonts w:ascii="Times New Roman" w:eastAsia="Times New Roman" w:hAnsi="Times New Roman" w:cs="Times New Roman"/>
          <w:b/>
          <w:sz w:val="40"/>
        </w:rPr>
      </w:pPr>
    </w:p>
    <w:p w:rsidR="00AC5D3D" w:rsidRDefault="00AC5D3D" w:rsidP="00AC5D3D">
      <w:pPr>
        <w:spacing w:after="0" w:line="360" w:lineRule="auto"/>
        <w:rPr>
          <w:rFonts w:ascii="Times New Roman" w:eastAsia="Times New Roman" w:hAnsi="Times New Roman" w:cs="Times New Roman"/>
          <w:b/>
          <w:sz w:val="40"/>
        </w:rPr>
      </w:pPr>
    </w:p>
    <w:p w:rsidR="00AC5D3D" w:rsidRDefault="00AC5D3D" w:rsidP="00AC5D3D">
      <w:pPr>
        <w:spacing w:after="0" w:line="360" w:lineRule="auto"/>
        <w:rPr>
          <w:rFonts w:ascii="Times New Roman" w:eastAsia="Times New Roman" w:hAnsi="Times New Roman" w:cs="Times New Roman"/>
          <w:b/>
          <w:sz w:val="40"/>
        </w:rPr>
      </w:pPr>
    </w:p>
    <w:p w:rsidR="00416FDB" w:rsidRDefault="00AC5D3D">
      <w:pPr>
        <w:spacing w:after="0" w:line="360" w:lineRule="auto"/>
        <w:jc w:val="center"/>
        <w:rPr>
          <w:rFonts w:ascii="Times New Roman" w:eastAsia="Times New Roman" w:hAnsi="Times New Roman" w:cs="Times New Roman"/>
          <w:b/>
          <w:sz w:val="40"/>
        </w:rPr>
      </w:pPr>
      <w:r>
        <w:rPr>
          <w:rFonts w:ascii="Times New Roman" w:eastAsia="Times New Roman" w:hAnsi="Times New Roman" w:cs="Times New Roman"/>
          <w:b/>
          <w:sz w:val="40"/>
        </w:rPr>
        <w:t xml:space="preserve">Module </w:t>
      </w:r>
      <w:r>
        <w:rPr>
          <w:rFonts w:ascii="Times New Roman" w:eastAsia="Times New Roman" w:hAnsi="Times New Roman" w:cs="Times New Roman"/>
          <w:b/>
          <w:sz w:val="40"/>
        </w:rPr>
        <w:tab/>
        <w:t>Code: LCBB4002</w:t>
      </w:r>
    </w:p>
    <w:p w:rsidR="00416FDB" w:rsidRDefault="00AC5D3D">
      <w:pPr>
        <w:spacing w:after="0" w:line="360" w:lineRule="auto"/>
        <w:jc w:val="center"/>
        <w:rPr>
          <w:rFonts w:ascii="Times New Roman" w:eastAsia="Times New Roman" w:hAnsi="Times New Roman" w:cs="Times New Roman"/>
          <w:b/>
          <w:sz w:val="40"/>
        </w:rPr>
      </w:pPr>
      <w:r>
        <w:rPr>
          <w:rFonts w:ascii="Times New Roman" w:eastAsia="Times New Roman" w:hAnsi="Times New Roman" w:cs="Times New Roman"/>
          <w:b/>
          <w:sz w:val="40"/>
        </w:rPr>
        <w:t>Module Title:</w:t>
      </w:r>
      <w:r>
        <w:rPr>
          <w:rFonts w:ascii="Times New Roman" w:eastAsia="Times New Roman" w:hAnsi="Times New Roman" w:cs="Times New Roman"/>
          <w:sz w:val="40"/>
        </w:rPr>
        <w:t xml:space="preserve"> </w:t>
      </w:r>
      <w:r>
        <w:rPr>
          <w:rFonts w:ascii="Times New Roman" w:eastAsia="Times New Roman" w:hAnsi="Times New Roman" w:cs="Times New Roman"/>
          <w:b/>
          <w:sz w:val="40"/>
        </w:rPr>
        <w:t>Community Engagement</w:t>
      </w:r>
    </w:p>
    <w:p w:rsidR="00416FDB" w:rsidRDefault="00AC5D3D">
      <w:pPr>
        <w:spacing w:after="0" w:line="360" w:lineRule="auto"/>
        <w:jc w:val="center"/>
        <w:rPr>
          <w:rFonts w:ascii="Times New Roman" w:eastAsia="Times New Roman" w:hAnsi="Times New Roman" w:cs="Times New Roman"/>
          <w:b/>
          <w:sz w:val="40"/>
        </w:rPr>
      </w:pPr>
      <w:r>
        <w:rPr>
          <w:rFonts w:ascii="Times New Roman" w:eastAsia="Times New Roman" w:hAnsi="Times New Roman" w:cs="Times New Roman"/>
          <w:b/>
          <w:sz w:val="40"/>
        </w:rPr>
        <w:t>Assignment Title: Assessment 1 Community Engagement</w:t>
      </w:r>
    </w:p>
    <w:p w:rsidR="00416FDB" w:rsidRDefault="00416FDB">
      <w:pPr>
        <w:spacing w:after="0" w:line="360" w:lineRule="auto"/>
        <w:jc w:val="center"/>
        <w:rPr>
          <w:rFonts w:ascii="Times New Roman" w:eastAsia="Times New Roman" w:hAnsi="Times New Roman" w:cs="Times New Roman"/>
          <w:b/>
          <w:sz w:val="40"/>
        </w:rPr>
      </w:pPr>
    </w:p>
    <w:p w:rsidR="00416FDB" w:rsidRDefault="00416FDB">
      <w:pPr>
        <w:spacing w:after="0" w:line="360" w:lineRule="auto"/>
        <w:jc w:val="center"/>
        <w:rPr>
          <w:rFonts w:ascii="Times New Roman" w:eastAsia="Times New Roman" w:hAnsi="Times New Roman" w:cs="Times New Roman"/>
          <w:b/>
          <w:sz w:val="40"/>
        </w:rPr>
      </w:pPr>
    </w:p>
    <w:p w:rsidR="00416FDB" w:rsidRDefault="00416FDB">
      <w:pPr>
        <w:spacing w:after="0" w:line="360" w:lineRule="auto"/>
        <w:ind w:left="720"/>
        <w:rPr>
          <w:rFonts w:ascii="Times New Roman" w:eastAsia="Times New Roman" w:hAnsi="Times New Roman" w:cs="Times New Roman"/>
          <w:b/>
          <w:sz w:val="40"/>
        </w:rPr>
      </w:pPr>
    </w:p>
    <w:p w:rsidR="00AC5D3D" w:rsidRDefault="00AC5D3D">
      <w:pPr>
        <w:spacing w:after="0" w:line="360" w:lineRule="auto"/>
        <w:ind w:left="720"/>
        <w:rPr>
          <w:rFonts w:ascii="Times New Roman" w:eastAsia="Times New Roman" w:hAnsi="Times New Roman" w:cs="Times New Roman"/>
          <w:b/>
          <w:sz w:val="40"/>
        </w:rPr>
      </w:pPr>
    </w:p>
    <w:p w:rsidR="00AC5D3D" w:rsidRDefault="00AC5D3D">
      <w:pPr>
        <w:spacing w:after="0" w:line="360" w:lineRule="auto"/>
        <w:ind w:left="720"/>
        <w:rPr>
          <w:rFonts w:ascii="Times New Roman" w:eastAsia="Times New Roman" w:hAnsi="Times New Roman" w:cs="Times New Roman"/>
          <w:b/>
          <w:sz w:val="40"/>
        </w:rPr>
      </w:pPr>
    </w:p>
    <w:p w:rsidR="00AC5D3D" w:rsidRDefault="00AC5D3D">
      <w:pPr>
        <w:spacing w:after="0" w:line="360" w:lineRule="auto"/>
        <w:ind w:left="720"/>
        <w:rPr>
          <w:rFonts w:ascii="Times New Roman" w:eastAsia="Times New Roman" w:hAnsi="Times New Roman" w:cs="Times New Roman"/>
          <w:b/>
          <w:sz w:val="40"/>
        </w:rPr>
      </w:pPr>
    </w:p>
    <w:p w:rsidR="00AC5D3D" w:rsidRDefault="00AC5D3D">
      <w:pPr>
        <w:spacing w:after="0" w:line="360" w:lineRule="auto"/>
        <w:ind w:left="720"/>
        <w:rPr>
          <w:rFonts w:ascii="Times New Roman" w:eastAsia="Times New Roman" w:hAnsi="Times New Roman" w:cs="Times New Roman"/>
          <w:b/>
          <w:sz w:val="40"/>
        </w:rPr>
      </w:pPr>
    </w:p>
    <w:p w:rsidR="00AC5D3D" w:rsidRDefault="00AC5D3D">
      <w:pPr>
        <w:spacing w:after="0" w:line="360" w:lineRule="auto"/>
        <w:ind w:left="720"/>
        <w:rPr>
          <w:rFonts w:ascii="Times New Roman" w:eastAsia="Times New Roman" w:hAnsi="Times New Roman" w:cs="Times New Roman"/>
          <w:b/>
          <w:sz w:val="40"/>
        </w:rPr>
      </w:pPr>
    </w:p>
    <w:p w:rsidR="00AC5D3D" w:rsidRDefault="00AC5D3D">
      <w:pPr>
        <w:spacing w:after="0" w:line="360" w:lineRule="auto"/>
        <w:ind w:left="720"/>
        <w:rPr>
          <w:rFonts w:ascii="Times New Roman" w:eastAsia="Times New Roman" w:hAnsi="Times New Roman" w:cs="Times New Roman"/>
          <w:b/>
          <w:sz w:val="40"/>
        </w:rPr>
      </w:pPr>
    </w:p>
    <w:p w:rsidR="00AC5D3D" w:rsidRDefault="00AC5D3D">
      <w:pPr>
        <w:spacing w:after="0" w:line="360" w:lineRule="auto"/>
        <w:ind w:left="720"/>
        <w:rPr>
          <w:rFonts w:ascii="Times New Roman" w:eastAsia="Times New Roman" w:hAnsi="Times New Roman" w:cs="Times New Roman"/>
          <w:b/>
          <w:sz w:val="40"/>
        </w:rPr>
      </w:pPr>
      <w:bookmarkStart w:id="0" w:name="_GoBack"/>
      <w:bookmarkEnd w:id="0"/>
    </w:p>
    <w:p w:rsidR="00AC5D3D" w:rsidRDefault="00AC5D3D">
      <w:pPr>
        <w:spacing w:after="0" w:line="360" w:lineRule="auto"/>
        <w:ind w:left="720"/>
        <w:rPr>
          <w:rFonts w:ascii="Times New Roman" w:eastAsia="Times New Roman" w:hAnsi="Times New Roman" w:cs="Times New Roman"/>
          <w:b/>
          <w:sz w:val="40"/>
        </w:rPr>
      </w:pPr>
    </w:p>
    <w:p w:rsidR="00416FDB" w:rsidRPr="00AC5D3D" w:rsidRDefault="00AC5D3D" w:rsidP="00AC5D3D">
      <w:pPr>
        <w:spacing w:after="0" w:line="360" w:lineRule="auto"/>
        <w:rPr>
          <w:rFonts w:ascii="Times New Roman" w:eastAsia="Times New Roman" w:hAnsi="Times New Roman" w:cs="Times New Roman"/>
          <w:b/>
          <w:sz w:val="28"/>
          <w:szCs w:val="28"/>
        </w:rPr>
      </w:pPr>
      <w:r w:rsidRPr="00AC5D3D">
        <w:rPr>
          <w:rFonts w:ascii="Times New Roman" w:eastAsia="Times New Roman" w:hAnsi="Times New Roman" w:cs="Times New Roman"/>
          <w:b/>
          <w:sz w:val="28"/>
          <w:szCs w:val="28"/>
        </w:rPr>
        <w:t>Student Name: Elena Ivanova Goranova</w:t>
      </w:r>
    </w:p>
    <w:p w:rsidR="00AC5D3D" w:rsidRPr="00AC5D3D" w:rsidRDefault="00AC5D3D" w:rsidP="00AC5D3D">
      <w:pPr>
        <w:spacing w:after="0" w:line="360" w:lineRule="auto"/>
        <w:rPr>
          <w:rFonts w:ascii="Times New Roman" w:eastAsia="Times New Roman" w:hAnsi="Times New Roman" w:cs="Times New Roman"/>
          <w:sz w:val="28"/>
          <w:szCs w:val="28"/>
        </w:rPr>
      </w:pPr>
      <w:r w:rsidRPr="00AC5D3D">
        <w:rPr>
          <w:rFonts w:ascii="Times New Roman" w:eastAsia="Times New Roman" w:hAnsi="Times New Roman" w:cs="Times New Roman"/>
          <w:b/>
          <w:sz w:val="28"/>
          <w:szCs w:val="28"/>
        </w:rPr>
        <w:t>Student ID: 2122365</w:t>
      </w:r>
      <w:r w:rsidRPr="00AC5D3D">
        <w:rPr>
          <w:rFonts w:ascii="Times New Roman" w:eastAsia="Times New Roman" w:hAnsi="Times New Roman" w:cs="Times New Roman"/>
          <w:sz w:val="28"/>
          <w:szCs w:val="28"/>
        </w:rPr>
        <w:t xml:space="preserve"> </w:t>
      </w:r>
    </w:p>
    <w:p w:rsidR="00416FDB" w:rsidRDefault="00AC5D3D">
      <w:pPr>
        <w:keepNext/>
        <w:keepLines/>
        <w:spacing w:before="400" w:after="120"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lastRenderedPageBreak/>
        <w:t>Introduction</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A community is a collaborative body of people living in geographically the same location, sharing similar norms, values, sometimes religion and customs. It is a place where individuals are interdependent on each other, and together they are capable of handling issues affecting one or all of them belonging there. In order to make the community support progressive living, a healthy and effective strategy of engaging each individual must be planned for and executed. This very Community Engagement strategy would form a strong bond within the community to effectuate transformation into the existing orthodox practices to mobilise the thinking pattern among them (Bracic, 2018). Whenever the community faces a problem the most effective way to solve that is by approaching the problem from a wholesome perspective. Among the several issues that can disrupt healthy living, the problem regarding solidarity and citizenship would be discussed here. A brief discussion of the issue along with suggestions for practising the same in the best way will be provided under the first subheading. Thereafter, the need for active participation of each member, the role of the stakeholders, and various methods through which people can be engaged in community meetings would be detailed. </w:t>
      </w:r>
    </w:p>
    <w:p w:rsidR="00416FDB" w:rsidRDefault="00AC5D3D">
      <w:pPr>
        <w:keepNext/>
        <w:keepLines/>
        <w:spacing w:before="400" w:after="120"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t>Discussion</w:t>
      </w:r>
    </w:p>
    <w:p w:rsidR="00416FDB" w:rsidRDefault="00AC5D3D">
      <w:pPr>
        <w:keepNext/>
        <w:keepLines/>
        <w:spacing w:before="360" w:after="12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The Project Narrative and the Best Practices</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Effective participation in various kinds of community programmes helps people to understand the need to live on collaborative terms, help others when needed, withstand the negative forces, and ask for help during challenging times. It also prepares an individual to deal with the problems existing in bigger communities with the practical knowledge of partnering with other community members and the ability to provide beneficial resources at times. Smaller communities like a certain society living in a complex consisting of a few buildings interconnected with some basic necessities like water, electricity, and such are the representation of the larger world communities where real challenges demand active participation to actually solve real problems (Kroese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2021). The project concerned solidarity and citizenship, on the basis of which the essay is being written, is exercised in a small society, situated in the city of London, the UK. Each of the members is provided with the best knowledge on the topic and are requested to take part in weekly meetings where the understanding and the viewpoints formed out of the knowledge provided would be discussed and critically analysed. Helping the members sink into understanding the nature of humanity, being shared and standing on the collective effort of people was the main agenda of this project. However, the target participants were requested to take part in the meetings, not forced, for, the very core social virtue of solidarity is the self's willingness to participate in collaborative meetings. The active willingness to solve societal injustice puts a wholesome approach to eradicating social inequality. The willingness only forms out of the acceptance of the varied and unpredictable natures of humans and the understanding of the norms and rights prescribed for humanity. Solidarity is accepting that a single effort done for the sake of one particular </w:t>
      </w:r>
      <w:r>
        <w:rPr>
          <w:rFonts w:ascii="Times New Roman" w:eastAsia="Times New Roman" w:hAnsi="Times New Roman" w:cs="Times New Roman"/>
          <w:sz w:val="24"/>
        </w:rPr>
        <w:lastRenderedPageBreak/>
        <w:t>individual or a society would affect the others and thereby making a wise judgement and taking mature decisions at times is of utmost necessity (Schwiertz and Schwenken, 2020).</w:t>
      </w:r>
    </w:p>
    <w:p w:rsidR="00416FDB" w:rsidRDefault="00AC5D3D">
      <w:pPr>
        <w:keepNext/>
        <w:keepLines/>
        <w:spacing w:before="360" w:after="12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Stakeholders’ active participation and benefits</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Stakeholders, here the participants, can build a mature society by actively participating in the respective meetings arranged for, with the purpose of spreading awareness on the benefits of becoming a trustworthy person for the society. By participating in each programme, the members can enhance their knowledge and simultaneously build a sustaining and cooperative relationship with each other. The purpose of the meetings and the collaborative work is to build a bond that addresses the universal issues affecting the well-being of people and serves the common good of society (Weinberg, 2021). The participating members can help each other understand the benefits of undertaking a community agenda and diversifying the necessary works on the basis of the ability and special quality of the members. The meetings are to be arranged in a consecutive manner and the members must reflect on and share their experiences of the works in the following. This way the learning to approach a certain problem with a suitable solution, forming a critical judgement over the hindrances they face, and wholesome development of the society, as well as the members, would take place. Since the services are performed voluntarily, the humanitarian reach and approach would develop to a great extent which would be beneficial for the larger communities and age-old problems of the world. The world is undoubtedly in need of humanitarian care for a bunch of orthodox problems that have been unattended for a long time (Pratt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2020). The volunteers who willingly devote their time and energy to such issues despite their busy lives are inspiring and the procedure through which the problems of the community are approached and solved sets the path for other communities to attend to similar problems and fosters relationships among the communities. The value of solidarity is engulfed in the determination and commitment to bring a sustainable change which would benefit every individual irrespective of their active participation. The essence of the community is building a society where there is no ill feeling against each other and everybody is benefitted from the perspective of humanity (Lee </w:t>
      </w:r>
      <w:r>
        <w:rPr>
          <w:rFonts w:ascii="Times New Roman" w:eastAsia="Times New Roman" w:hAnsi="Times New Roman" w:cs="Times New Roman"/>
          <w:i/>
          <w:sz w:val="24"/>
        </w:rPr>
        <w:t>et al.</w:t>
      </w:r>
      <w:r>
        <w:rPr>
          <w:rFonts w:ascii="Times New Roman" w:eastAsia="Times New Roman" w:hAnsi="Times New Roman" w:cs="Times New Roman"/>
          <w:sz w:val="24"/>
        </w:rPr>
        <w:t>, 2020).</w:t>
      </w:r>
    </w:p>
    <w:p w:rsidR="00416FDB" w:rsidRDefault="00AC5D3D">
      <w:pPr>
        <w:keepNext/>
        <w:keepLines/>
        <w:spacing w:before="360" w:after="12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The Methods for Promoting Community Participation and Collaboration and setting the ground for engaging the stakeholders</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Despite the capabilities of the volunteers and their humanitarian approach toward the whole community, there is a need for active participation of each of the members of the community to make a real difference in situational living. The more people come forward, the better the world would become. There are a few ways through which active collaboration can be promoted and community engagement can be levelled up (Madon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2018). From passive methods to active, both one-way and two-way engaging procedures, the various ways to nurture the human souls can be effective in their most unique way. </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different levels of stakeholders' engaging processes include issuing relevant information with the help of T.V., news, traditional media, and social media to people living together in communities. Although this is </w:t>
      </w:r>
      <w:r>
        <w:rPr>
          <w:rFonts w:ascii="Times New Roman" w:eastAsia="Times New Roman" w:hAnsi="Times New Roman" w:cs="Times New Roman"/>
          <w:sz w:val="24"/>
        </w:rPr>
        <w:lastRenderedPageBreak/>
        <w:t xml:space="preserve">a one-way approach and the people are provided with freedom of choice, this can be effective, considering the level of urgency and relevance of the matter. As it is seen at the time of the Covid-19 emergency, social media platforms were effectively used to share much-needed information and help each other (Mughal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2021). With the temporary halt in physical meetings, the virtual community built through social media channels came to aid in saving millions of people from depression and loneliness. A qualitative analysis showed that there were lots of people who actively participated in making the virtual community helpful and this is the primary reason why so many people benefited. </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Another approach to making a stakeholder engagement in the matters of community is by consulting him/her on a certain issue or asking for approval over a certain initiative. It involves the person being aware of the issues and the solution-oriented measures taken by the voluntary authority. By way of interaction and participation, the person, only being approached for approval or feedback, gets engaged in the betterment of the community. This also encourages a sense of belongingness to the society in the person which leads him/her to further participate in the upcoming problems that may occur at any time.</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stakeholder can be further engaged by pressing the issues and motivating further if he/she had shown interest while being approached for a consultation or feedback (Tembo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2021). This is preparing the stakeholder for active participation. The person who gets involved in an issue and shows ample concern and can suggest effective measures for the solution can be involved in planning the course of action by which the issue can be addressed, pointing out the substantial reasons behind the emerging issue, asking for solutions and feedback from the community members. The implementation of the protective measures can be planned according to the active and concerned stakeholders and evaluated on the basis of their experience. The assessment of the whole procedure must be done through proper analysis and critical evaluation of the feedback from the whole community. </w:t>
      </w:r>
    </w:p>
    <w:p w:rsidR="00416FDB" w:rsidRDefault="00AC5D3D">
      <w:pPr>
        <w:keepNext/>
        <w:keepLines/>
        <w:spacing w:before="360" w:after="12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Various Modalities of Projects and Approaches in concern of Educating the Community Members</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nature of the projects and approaches undertaken in order to make the community a suitable place supporting progressive living often varies from project to project. Thereby it is necessary to scale the standards to achieve the desired outcome (O'Brien, 2020). The projects can be segmented on the basis of the approach they present and demand into three broad sections. </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first modality can be defined as a transactional project. The community projects that approach a one-way method by providing services to the community members are said to be transactional projects. The projects include providing voluntary services like a free consultation, giving donations and distributing clothes or necessary items and so on. This way the much-needed support to the needy people generates a sense of togetherness and dependency among each other. The educational purpose of such projects is to teach the community the need for taking care of each other and providing supports when needed (Ryan </w:t>
      </w:r>
      <w:r>
        <w:rPr>
          <w:rFonts w:ascii="Times New Roman" w:eastAsia="Times New Roman" w:hAnsi="Times New Roman" w:cs="Times New Roman"/>
          <w:i/>
          <w:sz w:val="24"/>
        </w:rPr>
        <w:t>et al.</w:t>
      </w:r>
      <w:r>
        <w:rPr>
          <w:rFonts w:ascii="Times New Roman" w:eastAsia="Times New Roman" w:hAnsi="Times New Roman" w:cs="Times New Roman"/>
          <w:sz w:val="24"/>
        </w:rPr>
        <w:t>, 2020).</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Transitional projects, another type of community project, build a more defined prospect of problem-solving and community engagement (Nikolaeva </w:t>
      </w:r>
      <w:r>
        <w:rPr>
          <w:rFonts w:ascii="Times New Roman" w:eastAsia="Times New Roman" w:hAnsi="Times New Roman" w:cs="Times New Roman"/>
          <w:i/>
          <w:sz w:val="24"/>
        </w:rPr>
        <w:t>et al.</w:t>
      </w:r>
      <w:r>
        <w:rPr>
          <w:rFonts w:ascii="Times New Roman" w:eastAsia="Times New Roman" w:hAnsi="Times New Roman" w:cs="Times New Roman"/>
          <w:sz w:val="24"/>
        </w:rPr>
        <w:t>, 2019). The projects demand participation from both the project initiator and the general community people. The initiator approaches the people in the way of consultation and asks them for innovative ways, and thus involves them directly in the project. However, some do/cannot share their viewpoint. In this aspect, these people are asked to give feedback on the whole procedure that is being conducted throughout the project. This way, each person is made involved in the project, directly or indirectly by the means of collaboration and consultation (</w:t>
      </w:r>
      <w:r>
        <w:rPr>
          <w:rFonts w:ascii="Times New Roman" w:eastAsia="Times New Roman" w:hAnsi="Times New Roman" w:cs="Times New Roman"/>
          <w:color w:val="222222"/>
          <w:sz w:val="24"/>
        </w:rPr>
        <w:t xml:space="preserve">Rochester </w:t>
      </w:r>
      <w:r>
        <w:rPr>
          <w:rFonts w:ascii="Times New Roman" w:eastAsia="Times New Roman" w:hAnsi="Times New Roman" w:cs="Times New Roman"/>
          <w:i/>
          <w:color w:val="222222"/>
          <w:sz w:val="24"/>
        </w:rPr>
        <w:t>et al</w:t>
      </w:r>
      <w:r>
        <w:rPr>
          <w:rFonts w:ascii="Times New Roman" w:eastAsia="Times New Roman" w:hAnsi="Times New Roman" w:cs="Times New Roman"/>
          <w:color w:val="222222"/>
          <w:sz w:val="24"/>
        </w:rPr>
        <w:t>., 2012)</w:t>
      </w:r>
      <w:r>
        <w:rPr>
          <w:rFonts w:ascii="Times New Roman" w:eastAsia="Times New Roman" w:hAnsi="Times New Roman" w:cs="Times New Roman"/>
          <w:sz w:val="24"/>
        </w:rPr>
        <w:t>.</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most effective among the modalities of projects, transformational projects ask for direct and active cooperation from almost all the members belonging to the community. The purpose of this kind of project is to scrutinise an issue from the depth of its origin and to introduce vital, noteworthy changes (Reynolds and Sariola, 2018). The project concerning solidarity and citizenship demands the collaboration of every individual belonging to the community. The issues should be dealt with by every individual for it is one of the core values that every human being grows up with.</w:t>
      </w:r>
    </w:p>
    <w:p w:rsidR="00416FDB" w:rsidRDefault="00AC5D3D">
      <w:pPr>
        <w:keepNext/>
        <w:keepLines/>
        <w:spacing w:before="400" w:after="120"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t>Conclusion</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At the end of the essay, the conclusion may be drawn in favour of active participation in community problems and practising a solution-oriented approach for the betterment of the community. While dealing with small issues, the participants develop a progressive viewpoint according to which life would be made beautiful. The practices also prepare them for the substantial problems which are part and parcel of the bigger society that is the society of mankind. The rigorous exercises take the members to the depth of the problems and find the root cause. The findings are presented in front of the community and the people are engaged by either means of consulting them for the solutions or taking their valuable feedback. However, there are gaps in the procedure that must be addressed to make it fool proof.</w:t>
      </w:r>
    </w:p>
    <w:p w:rsidR="00416FDB" w:rsidRDefault="00AC5D3D">
      <w:pPr>
        <w:keepNext/>
        <w:keepLines/>
        <w:spacing w:before="360" w:after="12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Recommendations for Scheduling the next programme</w:t>
      </w:r>
    </w:p>
    <w:p w:rsidR="00416FDB" w:rsidRDefault="00AC5D3D">
      <w:pPr>
        <w:keepNext/>
        <w:keepLines/>
        <w:spacing w:before="360" w:after="12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By evaluating the nature of the presently arranged programmes, here are some recommendations to modify the future events for approaching the issues in a more effective way. The managerial team of the events must make sure that the concerned issue is critically analysed in order to be presented in front of the members so that the problems might appear clearly and they find it easier to form and present their views (Bezyak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2020). The problem, if itself not clear regarding how much harm it can offer, to what extent it would affect the living or how grave the impact would be on the youth, would not be solved forever. </w:t>
      </w:r>
    </w:p>
    <w:p w:rsidR="00416FDB" w:rsidRDefault="00416FDB">
      <w:pPr>
        <w:spacing w:after="0" w:line="360" w:lineRule="auto"/>
        <w:jc w:val="both"/>
        <w:rPr>
          <w:rFonts w:ascii="Times New Roman" w:eastAsia="Times New Roman" w:hAnsi="Times New Roman" w:cs="Times New Roman"/>
          <w:sz w:val="24"/>
        </w:rPr>
      </w:pPr>
    </w:p>
    <w:p w:rsidR="00416FDB" w:rsidRDefault="00AC5D3D">
      <w:pPr>
        <w:keepNext/>
        <w:keepLines/>
        <w:spacing w:before="400" w:after="120"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lastRenderedPageBreak/>
        <w:t>References</w:t>
      </w:r>
    </w:p>
    <w:p w:rsidR="00416FDB" w:rsidRDefault="00AC5D3D">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color w:val="222222"/>
          <w:sz w:val="24"/>
          <w:shd w:val="clear" w:color="auto" w:fill="FFFFFF"/>
        </w:rPr>
        <w:t xml:space="preserve">Bezyak, J.L., Sabella, S., Hammel, J., McDonald, K., Jones, R.A. and Barton, D., 2020. Community participation and public transportation barriers experienced by people with disabilities. </w:t>
      </w:r>
      <w:r>
        <w:rPr>
          <w:rFonts w:ascii="Times New Roman" w:eastAsia="Times New Roman" w:hAnsi="Times New Roman" w:cs="Times New Roman"/>
          <w:i/>
          <w:color w:val="222222"/>
          <w:sz w:val="24"/>
          <w:shd w:val="clear" w:color="auto" w:fill="FFFFFF"/>
        </w:rPr>
        <w:t>Disability and rehabilitation, 42</w:t>
      </w:r>
      <w:r>
        <w:rPr>
          <w:rFonts w:ascii="Times New Roman" w:eastAsia="Times New Roman" w:hAnsi="Times New Roman" w:cs="Times New Roman"/>
          <w:color w:val="222222"/>
          <w:sz w:val="24"/>
          <w:shd w:val="clear" w:color="auto" w:fill="FFFFFF"/>
        </w:rPr>
        <w:t>(23), pp.3275-3283.</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Bracic, A., 2018. For better science: The benefits of community engagement in research. </w:t>
      </w:r>
      <w:r>
        <w:rPr>
          <w:rFonts w:ascii="Times New Roman" w:eastAsia="Times New Roman" w:hAnsi="Times New Roman" w:cs="Times New Roman"/>
          <w:i/>
          <w:color w:val="222222"/>
          <w:sz w:val="24"/>
          <w:shd w:val="clear" w:color="auto" w:fill="FFFFFF"/>
        </w:rPr>
        <w:t>PS: Political Science &amp; Politics</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51</w:t>
      </w:r>
      <w:r>
        <w:rPr>
          <w:rFonts w:ascii="Times New Roman" w:eastAsia="Times New Roman" w:hAnsi="Times New Roman" w:cs="Times New Roman"/>
          <w:color w:val="222222"/>
          <w:sz w:val="24"/>
          <w:shd w:val="clear" w:color="auto" w:fill="FFFFFF"/>
        </w:rPr>
        <w:t>(3), pp.550-553.</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Kroese, K., Porter, K., Surridge, H. and Tembo, D., 2021. Challenges and solutions: surveying researchers on what type of community engagement and involvement activities are feasible in low and middle income countries during the COVID-19 pandemic. </w:t>
      </w:r>
      <w:r>
        <w:rPr>
          <w:rFonts w:ascii="Times New Roman" w:eastAsia="Times New Roman" w:hAnsi="Times New Roman" w:cs="Times New Roman"/>
          <w:i/>
          <w:color w:val="222222"/>
          <w:sz w:val="24"/>
          <w:shd w:val="clear" w:color="auto" w:fill="FFFFFF"/>
        </w:rPr>
        <w:t>BMJ open, 11</w:t>
      </w:r>
      <w:r>
        <w:rPr>
          <w:rFonts w:ascii="Times New Roman" w:eastAsia="Times New Roman" w:hAnsi="Times New Roman" w:cs="Times New Roman"/>
          <w:color w:val="222222"/>
          <w:sz w:val="24"/>
          <w:shd w:val="clear" w:color="auto" w:fill="FFFFFF"/>
        </w:rPr>
        <w:t>(10), p.e052135.</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Lee, L., Currie, V., Saied, N. and Wright, L., 2020. Journey to hope, self-expression and community engagement: Youth-led arts-based participatory action research. </w:t>
      </w:r>
      <w:r>
        <w:rPr>
          <w:rFonts w:ascii="Times New Roman" w:eastAsia="Times New Roman" w:hAnsi="Times New Roman" w:cs="Times New Roman"/>
          <w:i/>
          <w:color w:val="222222"/>
          <w:sz w:val="24"/>
          <w:shd w:val="clear" w:color="auto" w:fill="FFFFFF"/>
        </w:rPr>
        <w:t>Children and Youth Services Review, 109</w:t>
      </w:r>
      <w:r>
        <w:rPr>
          <w:rFonts w:ascii="Times New Roman" w:eastAsia="Times New Roman" w:hAnsi="Times New Roman" w:cs="Times New Roman"/>
          <w:color w:val="222222"/>
          <w:sz w:val="24"/>
          <w:shd w:val="clear" w:color="auto" w:fill="FFFFFF"/>
        </w:rPr>
        <w:t>, p.104581.</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Madon, S., Malecela, M.N., Mashoto, K., Donohue, R., Mubyazi, G. and Michael, E., 2018. The role of community participation for sustainable integrated neglected tropical diseases and water, sanitation and hygiene intervention programs: A pilot project in Tanzania. </w:t>
      </w:r>
      <w:r>
        <w:rPr>
          <w:rFonts w:ascii="Times New Roman" w:eastAsia="Times New Roman" w:hAnsi="Times New Roman" w:cs="Times New Roman"/>
          <w:i/>
          <w:color w:val="222222"/>
          <w:sz w:val="24"/>
          <w:shd w:val="clear" w:color="auto" w:fill="FFFFFF"/>
        </w:rPr>
        <w:t>Social Science &amp; Medicine, 202</w:t>
      </w:r>
      <w:r>
        <w:rPr>
          <w:rFonts w:ascii="Times New Roman" w:eastAsia="Times New Roman" w:hAnsi="Times New Roman" w:cs="Times New Roman"/>
          <w:color w:val="222222"/>
          <w:sz w:val="24"/>
          <w:shd w:val="clear" w:color="auto" w:fill="FFFFFF"/>
        </w:rPr>
        <w:t>, pp.28-37.</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Mughal, R., Thomson, L., Daykin, N. and Chatterjee, H., 2021. Rapid evidence review of community engagement in the UK During the COVID-19 pandemic: How can community assets redress health inequities?.</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Nikolaeva, A., Adey, P., Cresswell, T., Lee, J.Y., Nóvoa, A. and Temenos, C., 2019. Commoning mobility: Towards a new politics of mobility transitions. </w:t>
      </w:r>
      <w:r>
        <w:rPr>
          <w:rFonts w:ascii="Times New Roman" w:eastAsia="Times New Roman" w:hAnsi="Times New Roman" w:cs="Times New Roman"/>
          <w:i/>
          <w:color w:val="222222"/>
          <w:sz w:val="24"/>
          <w:shd w:val="clear" w:color="auto" w:fill="FFFFFF"/>
        </w:rPr>
        <w:t>Transactions of the Institute of British Geographers, 44</w:t>
      </w:r>
      <w:r>
        <w:rPr>
          <w:rFonts w:ascii="Times New Roman" w:eastAsia="Times New Roman" w:hAnsi="Times New Roman" w:cs="Times New Roman"/>
          <w:color w:val="222222"/>
          <w:sz w:val="24"/>
          <w:shd w:val="clear" w:color="auto" w:fill="FFFFFF"/>
        </w:rPr>
        <w:t>(2), pp.346-360.</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O'Brien, M., 2020. 'Holding the door open'for continuing education in the UK: Strategies for survival until its time comes again. </w:t>
      </w:r>
      <w:r>
        <w:rPr>
          <w:rFonts w:ascii="Times New Roman" w:eastAsia="Times New Roman" w:hAnsi="Times New Roman" w:cs="Times New Roman"/>
          <w:i/>
          <w:color w:val="222222"/>
          <w:sz w:val="24"/>
          <w:shd w:val="clear" w:color="auto" w:fill="FFFFFF"/>
        </w:rPr>
        <w:t>Widening Participation and Lifelong Learning, 22</w:t>
      </w:r>
      <w:r>
        <w:rPr>
          <w:rFonts w:ascii="Times New Roman" w:eastAsia="Times New Roman" w:hAnsi="Times New Roman" w:cs="Times New Roman"/>
          <w:color w:val="222222"/>
          <w:sz w:val="24"/>
          <w:shd w:val="clear" w:color="auto" w:fill="FFFFFF"/>
        </w:rPr>
        <w:t>(1), pp.146-157.</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Pratt, B., Cheah, P.Y. and Marsh, V., 2020. Solidarity and community engagement in global health research.</w:t>
      </w:r>
      <w:r>
        <w:rPr>
          <w:rFonts w:ascii="Times New Roman" w:eastAsia="Times New Roman" w:hAnsi="Times New Roman" w:cs="Times New Roman"/>
          <w:i/>
          <w:color w:val="222222"/>
          <w:sz w:val="24"/>
          <w:shd w:val="clear" w:color="auto" w:fill="FFFFFF"/>
        </w:rPr>
        <w:t xml:space="preserve"> The American Journal of Bioethics, 20</w:t>
      </w:r>
      <w:r>
        <w:rPr>
          <w:rFonts w:ascii="Times New Roman" w:eastAsia="Times New Roman" w:hAnsi="Times New Roman" w:cs="Times New Roman"/>
          <w:color w:val="222222"/>
          <w:sz w:val="24"/>
          <w:shd w:val="clear" w:color="auto" w:fill="FFFFFF"/>
        </w:rPr>
        <w:t>(5), pp.43-56.</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Reynolds, L. and Sariola, S., 2018. The ethics and politics of community engagement in global health research.</w:t>
      </w:r>
      <w:r>
        <w:rPr>
          <w:rFonts w:ascii="Times New Roman" w:eastAsia="Times New Roman" w:hAnsi="Times New Roman" w:cs="Times New Roman"/>
          <w:i/>
          <w:color w:val="222222"/>
          <w:sz w:val="24"/>
          <w:shd w:val="clear" w:color="auto" w:fill="FFFFFF"/>
        </w:rPr>
        <w:t xml:space="preserve"> Critical Public Health, 28</w:t>
      </w:r>
      <w:r>
        <w:rPr>
          <w:rFonts w:ascii="Times New Roman" w:eastAsia="Times New Roman" w:hAnsi="Times New Roman" w:cs="Times New Roman"/>
          <w:color w:val="222222"/>
          <w:sz w:val="24"/>
          <w:shd w:val="clear" w:color="auto" w:fill="FFFFFF"/>
        </w:rPr>
        <w:t>(3), pp.257-268.</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rPr>
        <w:t>Rochester, C., Ellis Paine, A., Howlett, S. 2012. Volunteering and Society in the 21st Century. Palgrave: Macmillan</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Ryan, B., Johnston, K.A., Taylor, M. and McAndrew, R., 2020. Community engagement for disaster preparedness: A systematic literature review.</w:t>
      </w:r>
      <w:r>
        <w:rPr>
          <w:rFonts w:ascii="Times New Roman" w:eastAsia="Times New Roman" w:hAnsi="Times New Roman" w:cs="Times New Roman"/>
          <w:i/>
          <w:color w:val="222222"/>
          <w:sz w:val="24"/>
          <w:shd w:val="clear" w:color="auto" w:fill="FFFFFF"/>
        </w:rPr>
        <w:t xml:space="preserve"> International journal of disaster risk reduction, 49</w:t>
      </w:r>
      <w:r>
        <w:rPr>
          <w:rFonts w:ascii="Times New Roman" w:eastAsia="Times New Roman" w:hAnsi="Times New Roman" w:cs="Times New Roman"/>
          <w:color w:val="222222"/>
          <w:sz w:val="24"/>
          <w:shd w:val="clear" w:color="auto" w:fill="FFFFFF"/>
        </w:rPr>
        <w:t>, p.101655.</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Schwiertz, H. and Schwenken, H., 2020. Introduction: inclusive solidarity and citizenship along migratory routes in Europe and the Americas. </w:t>
      </w:r>
      <w:r>
        <w:rPr>
          <w:rFonts w:ascii="Times New Roman" w:eastAsia="Times New Roman" w:hAnsi="Times New Roman" w:cs="Times New Roman"/>
          <w:i/>
          <w:color w:val="222222"/>
          <w:sz w:val="24"/>
          <w:shd w:val="clear" w:color="auto" w:fill="FFFFFF"/>
        </w:rPr>
        <w:t>Citizenship Studies</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24</w:t>
      </w:r>
      <w:r>
        <w:rPr>
          <w:rFonts w:ascii="Times New Roman" w:eastAsia="Times New Roman" w:hAnsi="Times New Roman" w:cs="Times New Roman"/>
          <w:color w:val="222222"/>
          <w:sz w:val="24"/>
          <w:shd w:val="clear" w:color="auto" w:fill="FFFFFF"/>
        </w:rPr>
        <w:t>(4), pp.405-423.</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Tembo, D., Hickey, G., Montenegro, C., Chandler, D., Nelson, E., Porter, K., Dikomitis, L., Chambers, M., Chimbari, M., Mumba, N. and Beresford, P., 2021. Effective engagement and involvement with community stakeholders in the co-production of global health research. </w:t>
      </w:r>
      <w:r>
        <w:rPr>
          <w:rFonts w:ascii="Times New Roman" w:eastAsia="Times New Roman" w:hAnsi="Times New Roman" w:cs="Times New Roman"/>
          <w:i/>
          <w:color w:val="222222"/>
          <w:sz w:val="24"/>
          <w:shd w:val="clear" w:color="auto" w:fill="FFFFFF"/>
        </w:rPr>
        <w:t>bmj</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372</w:t>
      </w:r>
      <w:r>
        <w:rPr>
          <w:rFonts w:ascii="Times New Roman" w:eastAsia="Times New Roman" w:hAnsi="Times New Roman" w:cs="Times New Roman"/>
          <w:color w:val="222222"/>
          <w:sz w:val="24"/>
          <w:shd w:val="clear" w:color="auto" w:fill="FFFFFF"/>
        </w:rPr>
        <w:t>.</w:t>
      </w:r>
    </w:p>
    <w:p w:rsidR="00416FDB" w:rsidRDefault="00AC5D3D">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lastRenderedPageBreak/>
        <w:t xml:space="preserve">Weinberg, J., 2021. Who’s listening to whom? The UK House of Lords and evidence-based policy-making on citizenship education. </w:t>
      </w:r>
      <w:r>
        <w:rPr>
          <w:rFonts w:ascii="Times New Roman" w:eastAsia="Times New Roman" w:hAnsi="Times New Roman" w:cs="Times New Roman"/>
          <w:i/>
          <w:color w:val="222222"/>
          <w:sz w:val="24"/>
          <w:shd w:val="clear" w:color="auto" w:fill="FFFFFF"/>
        </w:rPr>
        <w:t>Journal of Education Policy</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36</w:t>
      </w:r>
      <w:r>
        <w:rPr>
          <w:rFonts w:ascii="Times New Roman" w:eastAsia="Times New Roman" w:hAnsi="Times New Roman" w:cs="Times New Roman"/>
          <w:color w:val="222222"/>
          <w:sz w:val="24"/>
          <w:shd w:val="clear" w:color="auto" w:fill="FFFFFF"/>
        </w:rPr>
        <w:t>(4), pp.576-599.</w:t>
      </w:r>
    </w:p>
    <w:sectPr w:rsidR="00416FDB" w:rsidSect="00AC5D3D">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useFELayout/>
    <w:compatSetting w:name="compatibilityMode" w:uri="http://schemas.microsoft.com/office/word" w:val="12"/>
  </w:compat>
  <w:rsids>
    <w:rsidRoot w:val="00416FDB"/>
    <w:rsid w:val="00416FDB"/>
    <w:rsid w:val="00AC5D3D"/>
    <w:rsid w:val="00C4403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B574A99-2389-4F3A-B98B-0A7E4303D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2390</Words>
  <Characters>13625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cp:revision>
  <dcterms:created xsi:type="dcterms:W3CDTF">2022-08-29T14:46:00Z</dcterms:created>
  <dcterms:modified xsi:type="dcterms:W3CDTF">2022-08-29T15:17:00Z</dcterms:modified>
</cp:coreProperties>
</file>