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55EDF" w14:textId="3B9E4D59" w:rsidR="001E3578" w:rsidRDefault="001E3578"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Cher miles</w:t>
      </w:r>
      <w:r w:rsidR="00666AD5">
        <w:rPr>
          <w:rFonts w:ascii="Arial" w:eastAsia="Times New Roman" w:hAnsi="Arial" w:cs="Arial"/>
          <w:b/>
          <w:bCs/>
          <w:kern w:val="0"/>
          <w:sz w:val="32"/>
          <w:szCs w:val="32"/>
          <w:lang w:eastAsia="en-GB"/>
          <w14:ligatures w14:val="none"/>
        </w:rPr>
        <w:t xml:space="preserve"> -2</w:t>
      </w:r>
      <w:r w:rsidR="005457E0">
        <w:rPr>
          <w:rFonts w:ascii="Arial" w:eastAsia="Times New Roman" w:hAnsi="Arial" w:cs="Arial"/>
          <w:b/>
          <w:bCs/>
          <w:kern w:val="0"/>
          <w:sz w:val="32"/>
          <w:szCs w:val="32"/>
          <w:lang w:eastAsia="en-GB"/>
          <w14:ligatures w14:val="none"/>
        </w:rPr>
        <w:t>440437</w:t>
      </w:r>
    </w:p>
    <w:p w14:paraId="5A633954" w14:textId="31A27A08" w:rsidR="001E3578" w:rsidRDefault="001E3578"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Module:</w:t>
      </w:r>
    </w:p>
    <w:p w14:paraId="78C38AA4" w14:textId="0C0E98D9" w:rsidR="001E3578" w:rsidRDefault="001E3578"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Lecture:</w:t>
      </w:r>
    </w:p>
    <w:p w14:paraId="55DBB741" w14:textId="77777777" w:rsidR="001E3578" w:rsidRDefault="001E3578"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45DC931" w14:textId="77777777" w:rsidR="001E3578" w:rsidRDefault="001E3578"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3BB97F69" w14:textId="4EBAE2CD" w:rsidR="00B6388D" w:rsidRPr="001E3578" w:rsidRDefault="00B6388D" w:rsidP="00B6388D">
      <w:pPr>
        <w:spacing w:before="100" w:beforeAutospacing="1" w:after="100" w:afterAutospacing="1" w:line="240" w:lineRule="auto"/>
        <w:outlineLvl w:val="1"/>
        <w:rPr>
          <w:rFonts w:ascii="Arial" w:eastAsia="Times New Roman" w:hAnsi="Arial" w:cs="Arial"/>
          <w:b/>
          <w:bCs/>
          <w:kern w:val="0"/>
          <w:sz w:val="40"/>
          <w:szCs w:val="40"/>
          <w:lang w:eastAsia="en-GB"/>
          <w14:ligatures w14:val="none"/>
        </w:rPr>
      </w:pPr>
      <w:r w:rsidRPr="001E3578">
        <w:rPr>
          <w:rFonts w:ascii="Arial" w:eastAsia="Times New Roman" w:hAnsi="Arial" w:cs="Arial"/>
          <w:b/>
          <w:bCs/>
          <w:kern w:val="0"/>
          <w:sz w:val="40"/>
          <w:szCs w:val="40"/>
          <w:lang w:eastAsia="en-GB"/>
          <w14:ligatures w14:val="none"/>
        </w:rPr>
        <w:t>Annotated Bibliography</w:t>
      </w:r>
    </w:p>
    <w:p w14:paraId="5659C62B" w14:textId="77777777"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1. Erikson’s Psychosocial Theory</w:t>
      </w:r>
    </w:p>
    <w:p w14:paraId="4D145675" w14:textId="2F8C40DD"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Erikson, E.H. (1963)</w:t>
      </w:r>
      <w:r>
        <w:rPr>
          <w:rFonts w:ascii="Arial" w:eastAsia="Times New Roman" w:hAnsi="Arial" w:cs="Arial"/>
          <w:kern w:val="0"/>
          <w:sz w:val="28"/>
          <w:szCs w:val="28"/>
          <w:lang w:eastAsia="en-GB"/>
          <w14:ligatures w14:val="none"/>
        </w:rPr>
        <w:t>.</w:t>
      </w:r>
      <w:r w:rsidRPr="00B6388D">
        <w:rPr>
          <w:rFonts w:ascii="Arial" w:eastAsia="Times New Roman" w:hAnsi="Arial" w:cs="Arial"/>
          <w:kern w:val="0"/>
          <w:sz w:val="28"/>
          <w:szCs w:val="28"/>
          <w:lang w:eastAsia="en-GB"/>
          <w14:ligatures w14:val="none"/>
        </w:rPr>
        <w:t xml:space="preserve"> </w:t>
      </w:r>
      <w:r w:rsidRPr="00B6388D">
        <w:rPr>
          <w:rFonts w:ascii="Arial" w:eastAsia="Times New Roman" w:hAnsi="Arial" w:cs="Arial"/>
          <w:i/>
          <w:iCs/>
          <w:kern w:val="0"/>
          <w:sz w:val="28"/>
          <w:szCs w:val="28"/>
          <w:lang w:eastAsia="en-GB"/>
          <w14:ligatures w14:val="none"/>
        </w:rPr>
        <w:t>Childhood and society</w:t>
      </w:r>
      <w:r w:rsidRPr="00B6388D">
        <w:rPr>
          <w:rFonts w:ascii="Arial" w:eastAsia="Times New Roman" w:hAnsi="Arial" w:cs="Arial"/>
          <w:kern w:val="0"/>
          <w:sz w:val="28"/>
          <w:szCs w:val="28"/>
          <w:lang w:eastAsia="en-GB"/>
          <w14:ligatures w14:val="none"/>
        </w:rPr>
        <w:t xml:space="preserve">. 2nd </w:t>
      </w:r>
      <w:proofErr w:type="spellStart"/>
      <w:r w:rsidRPr="00B6388D">
        <w:rPr>
          <w:rFonts w:ascii="Arial" w:eastAsia="Times New Roman" w:hAnsi="Arial" w:cs="Arial"/>
          <w:kern w:val="0"/>
          <w:sz w:val="28"/>
          <w:szCs w:val="28"/>
          <w:lang w:eastAsia="en-GB"/>
          <w14:ligatures w14:val="none"/>
        </w:rPr>
        <w:t>edn</w:t>
      </w:r>
      <w:proofErr w:type="spellEnd"/>
      <w:r w:rsidRPr="00B6388D">
        <w:rPr>
          <w:rFonts w:ascii="Arial" w:eastAsia="Times New Roman" w:hAnsi="Arial" w:cs="Arial"/>
          <w:kern w:val="0"/>
          <w:sz w:val="28"/>
          <w:szCs w:val="28"/>
          <w:lang w:eastAsia="en-GB"/>
          <w14:ligatures w14:val="none"/>
        </w:rPr>
        <w:t>. New York: Norton.</w:t>
      </w:r>
    </w:p>
    <w:p w14:paraId="5E7A8AB7" w14:textId="77777777" w:rsidR="00711FBC" w:rsidRDefault="00B6388D" w:rsidP="00B6388D">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Summary:</w:t>
      </w:r>
    </w:p>
    <w:p w14:paraId="6B32D6CA" w14:textId="77777777" w:rsidR="00CD5B11" w:rsidRPr="00CD5B11" w:rsidRDefault="00CD5B11" w:rsidP="00CD5B11">
      <w:pPr>
        <w:spacing w:after="0" w:line="240" w:lineRule="auto"/>
        <w:rPr>
          <w:rFonts w:ascii="Arial" w:eastAsia="Times New Roman" w:hAnsi="Arial" w:cs="Arial"/>
          <w:kern w:val="0"/>
          <w:lang w:eastAsia="en-GB"/>
          <w14:ligatures w14:val="none"/>
        </w:rPr>
      </w:pPr>
      <w:r w:rsidRPr="00CD5B11">
        <w:rPr>
          <w:rFonts w:ascii="Arial" w:eastAsia="Times New Roman" w:hAnsi="Arial" w:cs="Arial"/>
          <w:kern w:val="0"/>
          <w:lang w:eastAsia="en-GB"/>
          <w14:ligatures w14:val="none"/>
        </w:rPr>
        <w:t xml:space="preserve">Erikson’s theory explains development across the whole lifespan, not just childhood. He identified eight stages, and each stage has a conflict that a person needs to resolve. In older adulthood, the key stage is one of </w:t>
      </w:r>
      <w:r w:rsidRPr="00CD5B11">
        <w:rPr>
          <w:rFonts w:ascii="Arial" w:eastAsia="Times New Roman" w:hAnsi="Arial" w:cs="Arial"/>
          <w:i/>
          <w:iCs/>
          <w:kern w:val="0"/>
          <w:lang w:eastAsia="en-GB"/>
          <w14:ligatures w14:val="none"/>
        </w:rPr>
        <w:t>integrity versus despair</w:t>
      </w:r>
      <w:r w:rsidRPr="00CD5B11">
        <w:rPr>
          <w:rFonts w:ascii="Arial" w:eastAsia="Times New Roman" w:hAnsi="Arial" w:cs="Arial"/>
          <w:kern w:val="0"/>
          <w:lang w:eastAsia="en-GB"/>
          <w14:ligatures w14:val="none"/>
        </w:rPr>
        <w:t>. This is when individuals reflect on their life and either feel a sense of fulfilment (integrity) or regret (despair). Erikson believed that social relationships and life experiences play a significant role in shaping how people perceive themselves as they age. The theory shows that development continues throughout life, and that ageing is not just about decline but also about psychological growth.</w:t>
      </w:r>
    </w:p>
    <w:p w14:paraId="1C0CF226" w14:textId="77777777" w:rsidR="00CD5B11" w:rsidRDefault="00CD5B11" w:rsidP="00B6388D">
      <w:pPr>
        <w:spacing w:before="100" w:beforeAutospacing="1" w:after="100" w:afterAutospacing="1" w:line="240" w:lineRule="auto"/>
        <w:rPr>
          <w:rFonts w:ascii="Arial" w:eastAsia="Times New Roman" w:hAnsi="Arial" w:cs="Arial"/>
          <w:b/>
          <w:bCs/>
          <w:kern w:val="0"/>
          <w:sz w:val="28"/>
          <w:szCs w:val="28"/>
          <w:lang w:eastAsia="en-GB"/>
          <w14:ligatures w14:val="none"/>
        </w:rPr>
      </w:pPr>
    </w:p>
    <w:p w14:paraId="2A9DDC36" w14:textId="3E14F707" w:rsidR="00B6388D" w:rsidRPr="001B7788" w:rsidRDefault="00B6388D" w:rsidP="00B6388D">
      <w:pPr>
        <w:spacing w:before="100" w:beforeAutospacing="1" w:after="100" w:afterAutospacing="1" w:line="240" w:lineRule="auto"/>
        <w:rPr>
          <w:rFonts w:ascii="Arial" w:hAnsi="Arial" w:cs="Arial"/>
          <w:spacing w:val="8"/>
          <w:sz w:val="23"/>
          <w:szCs w:val="23"/>
          <w:shd w:val="clear" w:color="auto" w:fill="FFFFFF"/>
        </w:rPr>
      </w:pP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595AF7">
        <w:rPr>
          <w:rFonts w:ascii="Arial" w:hAnsi="Arial" w:cs="Arial"/>
          <w:spacing w:val="8"/>
          <w:sz w:val="23"/>
          <w:szCs w:val="23"/>
          <w:shd w:val="clear" w:color="auto" w:fill="FFFFFF"/>
        </w:rPr>
        <w:t xml:space="preserve">This theory may be helpful in health and social care when dealing with older persons. For instance, carers could facilitate people’s life review through </w:t>
      </w:r>
      <w:r w:rsidR="00624F54">
        <w:rPr>
          <w:rFonts w:ascii="Arial" w:hAnsi="Arial" w:cs="Arial"/>
          <w:spacing w:val="8"/>
          <w:sz w:val="23"/>
          <w:szCs w:val="23"/>
          <w:shd w:val="clear" w:color="auto" w:fill="FFFFFF"/>
        </w:rPr>
        <w:t>activities such as talking with</w:t>
      </w:r>
      <w:r w:rsidR="00595AF7">
        <w:rPr>
          <w:rFonts w:ascii="Arial" w:hAnsi="Arial" w:cs="Arial"/>
          <w:spacing w:val="8"/>
          <w:sz w:val="23"/>
          <w:szCs w:val="23"/>
          <w:shd w:val="clear" w:color="auto" w:fill="FFFFFF"/>
        </w:rPr>
        <w:t xml:space="preserve"> them about the past or creating life story books. This can help men and women feel valued and improve their mental well-being. One caveat is that Erikson’s stages can come across as </w:t>
      </w:r>
      <w:r w:rsidR="00624F54">
        <w:rPr>
          <w:rFonts w:ascii="Arial" w:hAnsi="Arial" w:cs="Arial"/>
          <w:spacing w:val="8"/>
          <w:sz w:val="23"/>
          <w:szCs w:val="23"/>
          <w:shd w:val="clear" w:color="auto" w:fill="FFFFFF"/>
        </w:rPr>
        <w:t>fixed</w:t>
      </w:r>
      <w:r w:rsidR="00595AF7">
        <w:rPr>
          <w:rFonts w:ascii="Arial" w:hAnsi="Arial" w:cs="Arial"/>
          <w:spacing w:val="8"/>
          <w:sz w:val="23"/>
          <w:szCs w:val="23"/>
          <w:shd w:val="clear" w:color="auto" w:fill="FFFFFF"/>
        </w:rPr>
        <w:t>, and not everyone moves in the same direction. Other older adults don’t necessarily feel full integrity or despair, but something in between. As a result, professionals shouldn’t rigidly apply the theory but will instead address each person’s experiences.</w:t>
      </w:r>
    </w:p>
    <w:p w14:paraId="0515C961" w14:textId="18A10B64" w:rsidR="00B6388D" w:rsidRPr="00B6388D" w:rsidRDefault="00B6388D" w:rsidP="00B6388D">
      <w:pPr>
        <w:spacing w:after="0" w:line="240" w:lineRule="auto"/>
        <w:rPr>
          <w:rFonts w:ascii="Arial" w:eastAsia="Times New Roman" w:hAnsi="Arial" w:cs="Arial"/>
          <w:kern w:val="0"/>
          <w:sz w:val="28"/>
          <w:szCs w:val="28"/>
          <w:lang w:eastAsia="en-GB"/>
          <w14:ligatures w14:val="none"/>
        </w:rPr>
      </w:pPr>
    </w:p>
    <w:p w14:paraId="41650CB0" w14:textId="77777777" w:rsidR="005457E0" w:rsidRDefault="005457E0"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31C21D14" w14:textId="77777777" w:rsidR="005457E0" w:rsidRDefault="005457E0"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2FDB45D6" w14:textId="5CA49A59"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lastRenderedPageBreak/>
        <w:t>2. Havighurst’s Activity Theory</w:t>
      </w:r>
    </w:p>
    <w:p w14:paraId="0A12F40B" w14:textId="3DF8D5B5"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 xml:space="preserve">Havighurst, R.J. (1961) ‘Successful </w:t>
      </w:r>
      <w:r w:rsidR="004274A6">
        <w:rPr>
          <w:rFonts w:ascii="Arial" w:eastAsia="Times New Roman" w:hAnsi="Arial" w:cs="Arial"/>
          <w:kern w:val="0"/>
          <w:sz w:val="28"/>
          <w:szCs w:val="28"/>
          <w:lang w:eastAsia="en-GB"/>
          <w14:ligatures w14:val="none"/>
        </w:rPr>
        <w:t>ageing</w:t>
      </w:r>
      <w:r w:rsidRPr="00B6388D">
        <w:rPr>
          <w:rFonts w:ascii="Arial" w:eastAsia="Times New Roman" w:hAnsi="Arial" w:cs="Arial"/>
          <w:kern w:val="0"/>
          <w:sz w:val="28"/>
          <w:szCs w:val="28"/>
          <w:lang w:eastAsia="en-GB"/>
          <w14:ligatures w14:val="none"/>
        </w:rPr>
        <w:t xml:space="preserve">’, </w:t>
      </w:r>
      <w:r w:rsidRPr="00B6388D">
        <w:rPr>
          <w:rFonts w:ascii="Arial" w:eastAsia="Times New Roman" w:hAnsi="Arial" w:cs="Arial"/>
          <w:i/>
          <w:iCs/>
          <w:kern w:val="0"/>
          <w:sz w:val="28"/>
          <w:szCs w:val="28"/>
          <w:lang w:eastAsia="en-GB"/>
          <w14:ligatures w14:val="none"/>
        </w:rPr>
        <w:t>The Gerontologist</w:t>
      </w:r>
      <w:r w:rsidRPr="00B6388D">
        <w:rPr>
          <w:rFonts w:ascii="Arial" w:eastAsia="Times New Roman" w:hAnsi="Arial" w:cs="Arial"/>
          <w:kern w:val="0"/>
          <w:sz w:val="28"/>
          <w:szCs w:val="28"/>
          <w:lang w:eastAsia="en-GB"/>
          <w14:ligatures w14:val="none"/>
        </w:rPr>
        <w:t>, 1(1), pp. 8–13.</w:t>
      </w:r>
    </w:p>
    <w:p w14:paraId="22C4292E" w14:textId="77777777" w:rsidR="008A2FA5" w:rsidRDefault="00B6388D" w:rsidP="00B6388D">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Summary:</w:t>
      </w:r>
    </w:p>
    <w:p w14:paraId="343AC86D" w14:textId="77777777" w:rsidR="008A2FA5" w:rsidRPr="008A2FA5" w:rsidRDefault="008A2FA5" w:rsidP="008A2FA5">
      <w:pPr>
        <w:spacing w:after="0" w:line="240" w:lineRule="auto"/>
        <w:rPr>
          <w:rFonts w:ascii="Arial" w:eastAsia="Times New Roman" w:hAnsi="Arial" w:cs="Arial"/>
          <w:kern w:val="0"/>
          <w:lang w:eastAsia="en-GB"/>
          <w14:ligatures w14:val="none"/>
        </w:rPr>
      </w:pPr>
      <w:r w:rsidRPr="008A2FA5">
        <w:rPr>
          <w:rFonts w:ascii="Arial" w:eastAsia="Times New Roman" w:hAnsi="Arial" w:cs="Arial"/>
          <w:kern w:val="0"/>
          <w:lang w:eastAsia="en-GB"/>
          <w14:ligatures w14:val="none"/>
        </w:rPr>
        <w:t>According to Havighurst's Activity Theory, successful aging is achieved through continued activity and engagement. Older adults need to engage with life, engage with others, and participate in their communities, not be disconnected. The theory suggests that people who stay active tend to be happier and more satisfied in their lives. That throws into doubt previous beliefs, including disengagement theory, which proposed that withdrawal was a natural part of ageing</w:t>
      </w:r>
    </w:p>
    <w:p w14:paraId="6A123ACF" w14:textId="77777777" w:rsidR="00A819BD" w:rsidRPr="00A819BD" w:rsidRDefault="00B6388D" w:rsidP="00A819BD">
      <w:pPr>
        <w:rPr>
          <w:rFonts w:ascii="Times New Roman" w:eastAsia="Times New Roman" w:hAnsi="Times New Roman" w:cs="Times New Roman"/>
          <w:kern w:val="0"/>
          <w:lang w:eastAsia="en-GB"/>
          <w14:ligatures w14:val="none"/>
        </w:rPr>
      </w:pPr>
      <w:r w:rsidRPr="00B6388D">
        <w:rPr>
          <w:rFonts w:ascii="Arial" w:eastAsia="Times New Roman" w:hAnsi="Arial" w:cs="Arial"/>
          <w:kern w:val="0"/>
          <w:sz w:val="28"/>
          <w:szCs w:val="28"/>
          <w:lang w:eastAsia="en-GB"/>
          <w14:ligatures w14:val="none"/>
        </w:rPr>
        <w:br/>
      </w: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A819BD" w:rsidRPr="001422EC">
        <w:rPr>
          <w:rFonts w:ascii="Arial" w:eastAsia="Times New Roman" w:hAnsi="Arial" w:cs="Arial"/>
          <w:kern w:val="0"/>
          <w:lang w:eastAsia="en-GB"/>
          <w14:ligatures w14:val="none"/>
        </w:rPr>
        <w:t>This theory applies very much in care settings, which underpins my assertion about keeping older adults engaged in meaningful activities. For instance, care homes offer group activities, exercise sessions, and social occasions to improve wellbeing. Such practices decrease isolation and enhance mental and physical health. But the theory overlooks the fact that some older adults may be unable to remain active due to illness, disability, or limited resources. It may render people feeling they are “failing” for not being active. As a result, care workers must modify activities to suit everyone’s strengths and preferences rather than presume the extreme activity of any one individual.</w:t>
      </w:r>
    </w:p>
    <w:p w14:paraId="10B3DB66" w14:textId="586715D4" w:rsidR="00B6388D" w:rsidRPr="00B6388D" w:rsidRDefault="00B6388D" w:rsidP="00A819BD">
      <w:pPr>
        <w:spacing w:before="100" w:beforeAutospacing="1" w:after="100" w:afterAutospacing="1" w:line="240" w:lineRule="auto"/>
        <w:rPr>
          <w:rFonts w:ascii="Arial" w:eastAsia="Times New Roman" w:hAnsi="Arial" w:cs="Arial"/>
          <w:kern w:val="0"/>
          <w:sz w:val="28"/>
          <w:szCs w:val="28"/>
          <w:lang w:eastAsia="en-GB"/>
          <w14:ligatures w14:val="none"/>
        </w:rPr>
      </w:pPr>
    </w:p>
    <w:p w14:paraId="5EF48F46" w14:textId="77777777"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3. Bowlby’s Attachment Theory</w:t>
      </w:r>
    </w:p>
    <w:p w14:paraId="67296B9C" w14:textId="77777777"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 xml:space="preserve">Bowlby, J. (1988) </w:t>
      </w:r>
      <w:r w:rsidRPr="00B6388D">
        <w:rPr>
          <w:rFonts w:ascii="Arial" w:eastAsia="Times New Roman" w:hAnsi="Arial" w:cs="Arial"/>
          <w:i/>
          <w:iCs/>
          <w:kern w:val="0"/>
          <w:sz w:val="28"/>
          <w:szCs w:val="28"/>
          <w:lang w:eastAsia="en-GB"/>
          <w14:ligatures w14:val="none"/>
        </w:rPr>
        <w:t>A secure base: Parent-child attachment and healthy human development</w:t>
      </w:r>
      <w:r w:rsidRPr="00B6388D">
        <w:rPr>
          <w:rFonts w:ascii="Arial" w:eastAsia="Times New Roman" w:hAnsi="Arial" w:cs="Arial"/>
          <w:kern w:val="0"/>
          <w:sz w:val="28"/>
          <w:szCs w:val="28"/>
          <w:lang w:eastAsia="en-GB"/>
          <w14:ligatures w14:val="none"/>
        </w:rPr>
        <w:t>. New York: Basic Books.</w:t>
      </w:r>
    </w:p>
    <w:p w14:paraId="6B3BB438" w14:textId="77777777" w:rsidR="00DB54ED" w:rsidRPr="00DB54ED" w:rsidRDefault="00B6388D" w:rsidP="00DB54ED">
      <w:pPr>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Summary:</w:t>
      </w:r>
      <w:r w:rsidRPr="00B6388D">
        <w:rPr>
          <w:rFonts w:ascii="Arial" w:eastAsia="Times New Roman" w:hAnsi="Arial" w:cs="Arial"/>
          <w:kern w:val="0"/>
          <w:sz w:val="28"/>
          <w:szCs w:val="28"/>
          <w:lang w:eastAsia="en-GB"/>
          <w14:ligatures w14:val="none"/>
        </w:rPr>
        <w:br/>
      </w:r>
      <w:r w:rsidR="00DB54ED" w:rsidRPr="0052771E">
        <w:rPr>
          <w:rFonts w:ascii="Arial" w:eastAsia="Times New Roman" w:hAnsi="Arial" w:cs="Arial"/>
          <w:kern w:val="0"/>
          <w:lang w:eastAsia="en-GB"/>
          <w14:ligatures w14:val="none"/>
        </w:rPr>
        <w:t>Attachment theory details how relationships established with caregivers in early life can shape relationships later. According to Bowlby, such early attachment patterns create “internal working models” that guide our self-perception and how we perceive and treat others. When grown, one can have secure or insecure attachment styles, which can influence emotional well-being in general and relationships in particular. For instance, securely attached people often trust and cope effectively with stress, whereas those with insecure attachment may experience anxiety or loneliness.</w:t>
      </w:r>
    </w:p>
    <w:p w14:paraId="3B123130" w14:textId="6C7DAD7F"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p>
    <w:p w14:paraId="7ADE40C6" w14:textId="77777777" w:rsidR="00C76272" w:rsidRPr="00C76272" w:rsidRDefault="00B6388D" w:rsidP="00C76272">
      <w:pPr>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lastRenderedPageBreak/>
        <w:t>Critical comment (relevance to health and social care):</w:t>
      </w:r>
      <w:r w:rsidRPr="00B6388D">
        <w:rPr>
          <w:rFonts w:ascii="Arial" w:eastAsia="Times New Roman" w:hAnsi="Arial" w:cs="Arial"/>
          <w:kern w:val="0"/>
          <w:sz w:val="28"/>
          <w:szCs w:val="28"/>
          <w:lang w:eastAsia="en-GB"/>
          <w14:ligatures w14:val="none"/>
        </w:rPr>
        <w:br/>
      </w:r>
      <w:r w:rsidR="00C76272" w:rsidRPr="001B7788">
        <w:rPr>
          <w:rFonts w:ascii="Arial" w:eastAsia="Times New Roman" w:hAnsi="Arial" w:cs="Arial"/>
          <w:kern w:val="0"/>
          <w:lang w:eastAsia="en-GB"/>
          <w14:ligatures w14:val="none"/>
        </w:rPr>
        <w:t>This theory is useful for older adults, particularly those who spend time in care homes or hospitals. Transitioning into care can be very stressful, and attachment theory can help to establish why some people will feel anxious or upset. When carers view this from this perspective, they can build relationships and trust through consistent kindness. This can reassure older adults that they are safe and secure. Attachment styles, however, are not always static and can change over time. That means professionals shouldn’t put labels on people but should focus on meeting their current emotional needs.</w:t>
      </w:r>
    </w:p>
    <w:p w14:paraId="4A88012E" w14:textId="3B67D6EE" w:rsidR="00B6388D" w:rsidRPr="00B6388D" w:rsidRDefault="00B6388D" w:rsidP="00CD3067">
      <w:pPr>
        <w:spacing w:before="100" w:beforeAutospacing="1" w:after="100" w:afterAutospacing="1" w:line="240" w:lineRule="auto"/>
        <w:rPr>
          <w:rFonts w:ascii="Arial" w:eastAsia="Times New Roman" w:hAnsi="Arial" w:cs="Arial"/>
          <w:kern w:val="0"/>
          <w:sz w:val="28"/>
          <w:szCs w:val="28"/>
          <w:lang w:eastAsia="en-GB"/>
          <w14:ligatures w14:val="none"/>
        </w:rPr>
      </w:pPr>
    </w:p>
    <w:p w14:paraId="5EA2133B" w14:textId="77777777"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4. Positive Psychology and Healthy Ageing</w:t>
      </w:r>
    </w:p>
    <w:p w14:paraId="0AC8B041" w14:textId="77777777"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 xml:space="preserve">Bauger, L. and Bongaardt, R. (2017) ‘Structural developmental psychology and health promotion in the third age’, </w:t>
      </w:r>
      <w:r w:rsidRPr="00B6388D">
        <w:rPr>
          <w:rFonts w:ascii="Arial" w:eastAsia="Times New Roman" w:hAnsi="Arial" w:cs="Arial"/>
          <w:i/>
          <w:iCs/>
          <w:kern w:val="0"/>
          <w:sz w:val="28"/>
          <w:szCs w:val="28"/>
          <w:lang w:eastAsia="en-GB"/>
          <w14:ligatures w14:val="none"/>
        </w:rPr>
        <w:t>Health Promotion International</w:t>
      </w:r>
      <w:r w:rsidRPr="00B6388D">
        <w:rPr>
          <w:rFonts w:ascii="Arial" w:eastAsia="Times New Roman" w:hAnsi="Arial" w:cs="Arial"/>
          <w:kern w:val="0"/>
          <w:sz w:val="28"/>
          <w:szCs w:val="28"/>
          <w:lang w:eastAsia="en-GB"/>
          <w14:ligatures w14:val="none"/>
        </w:rPr>
        <w:t>, 33(4), pp. 686–694.</w:t>
      </w:r>
    </w:p>
    <w:p w14:paraId="3CFB6796" w14:textId="77777777" w:rsidR="00561924" w:rsidRPr="00561924" w:rsidRDefault="00B6388D" w:rsidP="00561924">
      <w:pPr>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Summary:</w:t>
      </w:r>
      <w:r w:rsidRPr="00B6388D">
        <w:rPr>
          <w:rFonts w:ascii="Arial" w:eastAsia="Times New Roman" w:hAnsi="Arial" w:cs="Arial"/>
          <w:kern w:val="0"/>
          <w:sz w:val="28"/>
          <w:szCs w:val="28"/>
          <w:lang w:eastAsia="en-GB"/>
          <w14:ligatures w14:val="none"/>
        </w:rPr>
        <w:br/>
      </w:r>
      <w:r w:rsidR="00561924" w:rsidRPr="001B7788">
        <w:rPr>
          <w:rFonts w:ascii="Arial" w:eastAsia="Times New Roman" w:hAnsi="Arial" w:cs="Arial"/>
          <w:kern w:val="0"/>
          <w:lang w:eastAsia="en-GB"/>
          <w14:ligatures w14:val="none"/>
        </w:rPr>
        <w:t>In this resource, I will refer to positive psychology regarding aging. Rather than focusing on decline, it examines strengths, resilience, and well-being in later life. “Healthy ageing” means preserving independence, possessing a sense of purpose, and continuing to grow as an individual. They argue that older adults can still develop psychologically and find meaning in life, even when facing challenges.</w:t>
      </w:r>
    </w:p>
    <w:p w14:paraId="04E1E87F" w14:textId="77777777" w:rsidR="009B3C49" w:rsidRDefault="009B3C49" w:rsidP="00CB5555">
      <w:pPr>
        <w:rPr>
          <w:rFonts w:ascii="Arial" w:eastAsia="Times New Roman" w:hAnsi="Arial" w:cs="Arial"/>
          <w:kern w:val="0"/>
          <w:sz w:val="28"/>
          <w:szCs w:val="28"/>
          <w:lang w:eastAsia="en-GB"/>
          <w14:ligatures w14:val="none"/>
        </w:rPr>
      </w:pPr>
    </w:p>
    <w:p w14:paraId="62C58A92" w14:textId="7036E451" w:rsidR="00CB5555" w:rsidRPr="00CB5555" w:rsidRDefault="00B6388D" w:rsidP="00CB5555">
      <w:pPr>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CB5555" w:rsidRPr="001B7788">
        <w:rPr>
          <w:rFonts w:ascii="Arial" w:eastAsia="Times New Roman" w:hAnsi="Arial" w:cs="Arial"/>
          <w:kern w:val="0"/>
          <w:lang w:eastAsia="en-GB"/>
          <w14:ligatures w14:val="none"/>
        </w:rPr>
        <w:t>In Health and Social Care, positive psychology can be a highly beneficial approach to a strengths-based perspective. Rather than merely examining an individual’s illness or limitations, it encourages wellbeing and independence. This was one example of the importance of care workers in social support for older adults, as they encourage hobbies, foster social contact, and assist when it comes time to set goals. That helps you improve your confidence and quality of life.</w:t>
      </w:r>
    </w:p>
    <w:p w14:paraId="4F61DE9A" w14:textId="77777777" w:rsidR="00CB5555" w:rsidRPr="00CB5555" w:rsidRDefault="00CB5555" w:rsidP="00CB5555">
      <w:pPr>
        <w:spacing w:after="0" w:line="240" w:lineRule="auto"/>
        <w:rPr>
          <w:rFonts w:ascii="Times New Roman" w:eastAsia="Times New Roman" w:hAnsi="Times New Roman" w:cs="Times New Roman"/>
          <w:kern w:val="0"/>
          <w:lang w:eastAsia="en-GB"/>
          <w14:ligatures w14:val="none"/>
        </w:rPr>
      </w:pPr>
      <w:r w:rsidRPr="001B7788">
        <w:rPr>
          <w:rFonts w:ascii="Arial" w:eastAsia="Times New Roman" w:hAnsi="Arial" w:cs="Arial"/>
          <w:kern w:val="0"/>
          <w:lang w:eastAsia="en-GB"/>
          <w14:ligatures w14:val="none"/>
        </w:rPr>
        <w:t xml:space="preserve">But the theory may at times neglect the actual challenges that accompany ageing, such as chronic illness or physical decline. Therefore, the approach </w:t>
      </w:r>
      <w:proofErr w:type="gramStart"/>
      <w:r w:rsidRPr="001B7788">
        <w:rPr>
          <w:rFonts w:ascii="Arial" w:eastAsia="Times New Roman" w:hAnsi="Arial" w:cs="Arial"/>
          <w:kern w:val="0"/>
          <w:lang w:eastAsia="en-GB"/>
          <w14:ligatures w14:val="none"/>
        </w:rPr>
        <w:t>has to</w:t>
      </w:r>
      <w:proofErr w:type="gramEnd"/>
      <w:r w:rsidRPr="001B7788">
        <w:rPr>
          <w:rFonts w:ascii="Arial" w:eastAsia="Times New Roman" w:hAnsi="Arial" w:cs="Arial"/>
          <w:kern w:val="0"/>
          <w:lang w:eastAsia="en-GB"/>
          <w14:ligatures w14:val="none"/>
        </w:rPr>
        <w:t xml:space="preserve"> be balanced with realistic support for health needs</w:t>
      </w:r>
      <w:r w:rsidRPr="00CB5555">
        <w:rPr>
          <w:rFonts w:ascii="Times New Roman" w:eastAsia="Times New Roman" w:hAnsi="Times New Roman" w:cs="Times New Roman"/>
          <w:kern w:val="0"/>
          <w:lang w:eastAsia="en-GB"/>
          <w14:ligatures w14:val="none"/>
        </w:rPr>
        <w:t>.</w:t>
      </w:r>
    </w:p>
    <w:p w14:paraId="37FE26D9" w14:textId="78A5926F" w:rsidR="00B6388D" w:rsidRPr="00B6388D" w:rsidRDefault="00B6388D" w:rsidP="00CB5555">
      <w:pPr>
        <w:pStyle w:val="w7sjnrxzl6krnffuzhqe"/>
        <w:shd w:val="clear" w:color="auto" w:fill="FFFFFF"/>
        <w:spacing w:before="0" w:beforeAutospacing="0" w:after="150" w:afterAutospacing="0"/>
        <w:textAlignment w:val="baseline"/>
        <w:rPr>
          <w:rFonts w:ascii="Arial" w:hAnsi="Arial" w:cs="Arial"/>
          <w:sz w:val="28"/>
          <w:szCs w:val="28"/>
        </w:rPr>
      </w:pPr>
    </w:p>
    <w:p w14:paraId="5BC86A6A" w14:textId="77777777" w:rsidR="009B3C49" w:rsidRDefault="009B3C49" w:rsidP="00B6388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734466B9" w14:textId="77777777" w:rsidR="009B3C49" w:rsidRDefault="009B3C49" w:rsidP="00B6388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2829FFED" w14:textId="3C390A14" w:rsidR="00B6388D" w:rsidRDefault="00B6388D" w:rsidP="00B6388D">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lastRenderedPageBreak/>
        <w:t>Conclusion</w:t>
      </w:r>
    </w:p>
    <w:p w14:paraId="02DD3EC3" w14:textId="7F754ADA" w:rsidR="008520A6" w:rsidRPr="008520A6" w:rsidRDefault="008520A6" w:rsidP="008520A6">
      <w:pPr>
        <w:pStyle w:val="Heading2"/>
        <w:spacing w:before="120" w:after="120"/>
        <w:rPr>
          <w:rFonts w:ascii="Times New Roman" w:eastAsia="Times New Roman" w:hAnsi="Times New Roman" w:cs="Times New Roman"/>
          <w:b/>
          <w:bCs/>
          <w:color w:val="auto"/>
          <w:kern w:val="0"/>
          <w:sz w:val="36"/>
          <w:szCs w:val="36"/>
          <w:lang w:eastAsia="en-GB"/>
          <w14:ligatures w14:val="none"/>
        </w:rPr>
      </w:pPr>
      <w:r w:rsidRPr="001B7788">
        <w:rPr>
          <w:rFonts w:ascii="Arial" w:eastAsia="Times New Roman" w:hAnsi="Arial" w:cs="Arial"/>
          <w:color w:val="auto"/>
          <w:kern w:val="0"/>
          <w:sz w:val="24"/>
          <w:szCs w:val="24"/>
          <w:lang w:eastAsia="en-GB"/>
          <w14:ligatures w14:val="none"/>
        </w:rPr>
        <w:t xml:space="preserve">All in all, these theories offer different ways of understanding adult development and well-being. While Erikson has examined emotional development throughout adulthood, Havighurst discusses staying active, Bowlby examines relationships, and positive psychology studies strengths and resilience. In health and social care, such theories could support practitioners in delivering better (more </w:t>
      </w:r>
      <w:r w:rsidR="001B7788">
        <w:rPr>
          <w:rFonts w:ascii="Arial" w:eastAsia="Times New Roman" w:hAnsi="Arial" w:cs="Arial"/>
          <w:color w:val="auto"/>
          <w:kern w:val="0"/>
          <w:sz w:val="24"/>
          <w:szCs w:val="24"/>
          <w:lang w:eastAsia="en-GB"/>
          <w14:ligatures w14:val="none"/>
        </w:rPr>
        <w:t>person-centred</w:t>
      </w:r>
      <w:r w:rsidRPr="001B7788">
        <w:rPr>
          <w:rFonts w:ascii="Arial" w:eastAsia="Times New Roman" w:hAnsi="Arial" w:cs="Arial"/>
          <w:color w:val="auto"/>
          <w:kern w:val="0"/>
          <w:sz w:val="24"/>
          <w:szCs w:val="24"/>
          <w:lang w:eastAsia="en-GB"/>
          <w14:ligatures w14:val="none"/>
        </w:rPr>
        <w:t xml:space="preserve">) support. But you should bear in mind that no single theory provides a complete answer to </w:t>
      </w:r>
      <w:r w:rsidR="001B7788">
        <w:rPr>
          <w:rFonts w:ascii="Arial" w:eastAsia="Times New Roman" w:hAnsi="Arial" w:cs="Arial"/>
          <w:color w:val="auto"/>
          <w:kern w:val="0"/>
          <w:sz w:val="24"/>
          <w:szCs w:val="24"/>
          <w:lang w:eastAsia="en-GB"/>
          <w14:ligatures w14:val="none"/>
        </w:rPr>
        <w:t>ageing</w:t>
      </w:r>
      <w:r w:rsidRPr="001B7788">
        <w:rPr>
          <w:rFonts w:ascii="Arial" w:eastAsia="Times New Roman" w:hAnsi="Arial" w:cs="Arial"/>
          <w:color w:val="auto"/>
          <w:kern w:val="0"/>
          <w:sz w:val="24"/>
          <w:szCs w:val="24"/>
          <w:lang w:eastAsia="en-GB"/>
          <w14:ligatures w14:val="none"/>
        </w:rPr>
        <w:t>, and that they should be combined and used flexibly depending on everyone’s needs.</w:t>
      </w:r>
    </w:p>
    <w:p w14:paraId="34342D58" w14:textId="7CBD699F" w:rsidR="00CC55FB" w:rsidRPr="00B6388D" w:rsidRDefault="00CC55FB" w:rsidP="00B6388D">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3CCA52B4" w14:textId="77777777" w:rsidR="00B6388D" w:rsidRPr="00B6388D" w:rsidRDefault="00B6388D" w:rsidP="00B6388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B6388D">
        <w:rPr>
          <w:rFonts w:ascii="Arial" w:eastAsia="Times New Roman" w:hAnsi="Arial" w:cs="Arial"/>
          <w:b/>
          <w:bCs/>
          <w:kern w:val="0"/>
          <w:sz w:val="32"/>
          <w:szCs w:val="32"/>
          <w:lang w:eastAsia="en-GB"/>
          <w14:ligatures w14:val="none"/>
        </w:rPr>
        <w:t>Improving Psychological Wellbeing in Older Adults Using Activity Theory</w:t>
      </w:r>
    </w:p>
    <w:p w14:paraId="38D39BCF" w14:textId="77777777" w:rsid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Introduction</w:t>
      </w:r>
    </w:p>
    <w:p w14:paraId="6ECBD7E5" w14:textId="441B2261" w:rsidR="00E61C69" w:rsidRPr="000522B3" w:rsidRDefault="000522B3" w:rsidP="00E61C69">
      <w:pPr>
        <w:pStyle w:val="Heading2"/>
        <w:spacing w:before="120" w:after="120"/>
        <w:rPr>
          <w:rFonts w:ascii="Arial" w:eastAsia="Times New Roman" w:hAnsi="Arial" w:cs="Arial"/>
          <w:b/>
          <w:bCs/>
          <w:color w:val="auto"/>
          <w:kern w:val="0"/>
          <w:sz w:val="24"/>
          <w:szCs w:val="24"/>
          <w:lang w:eastAsia="en-GB"/>
          <w14:ligatures w14:val="none"/>
        </w:rPr>
      </w:pPr>
      <w:r w:rsidRPr="000522B3">
        <w:rPr>
          <w:rFonts w:ascii="Arial" w:hAnsi="Arial" w:cs="Arial"/>
          <w:spacing w:val="8"/>
          <w:sz w:val="24"/>
          <w:szCs w:val="24"/>
          <w:shd w:val="clear" w:color="auto" w:fill="FFFFFF"/>
        </w:rPr>
        <w:t>.</w:t>
      </w:r>
      <w:r w:rsidRPr="000522B3">
        <w:rPr>
          <w:rFonts w:ascii="Arial" w:eastAsia="Times New Roman" w:hAnsi="Arial" w:cs="Arial"/>
          <w:color w:val="auto"/>
          <w:kern w:val="0"/>
          <w:sz w:val="24"/>
          <w:szCs w:val="24"/>
          <w:lang w:eastAsia="en-GB"/>
          <w14:ligatures w14:val="none"/>
        </w:rPr>
        <w:t xml:space="preserve"> Psychological</w:t>
      </w:r>
      <w:r w:rsidR="00E61C69" w:rsidRPr="000522B3">
        <w:rPr>
          <w:rFonts w:ascii="Arial" w:eastAsia="Times New Roman" w:hAnsi="Arial" w:cs="Arial"/>
          <w:color w:val="auto"/>
          <w:kern w:val="0"/>
          <w:sz w:val="24"/>
          <w:szCs w:val="24"/>
          <w:lang w:eastAsia="en-GB"/>
          <w14:ligatures w14:val="none"/>
        </w:rPr>
        <w:t xml:space="preserve"> well-being is a significant component of health for older adults, particularly older adults residing in residential care homes. Many individuals experience loneliness, loss of independence, and reduced social interaction, which can adversely affect mental health. Robert J. Havighurst’s Activity Theory is one such theory that can help solve these problems. This report will outline how Activity Theory can be used in a care home setting to improve wellbeing, provide a specific example of a situation, and discuss the difficulties professionals may encounter when using this method.</w:t>
      </w:r>
    </w:p>
    <w:p w14:paraId="61CEB655" w14:textId="77777777" w:rsidR="00A86D65" w:rsidRDefault="00B6388D" w:rsidP="003C031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 xml:space="preserve">Applying Activity Theory in Residential </w:t>
      </w:r>
      <w:r w:rsidR="00A86D65">
        <w:rPr>
          <w:rFonts w:ascii="Arial" w:eastAsia="Times New Roman" w:hAnsi="Arial" w:cs="Arial"/>
          <w:b/>
          <w:bCs/>
          <w:kern w:val="0"/>
          <w:sz w:val="28"/>
          <w:szCs w:val="28"/>
          <w:lang w:eastAsia="en-GB"/>
          <w14:ligatures w14:val="none"/>
        </w:rPr>
        <w:t>Care.</w:t>
      </w:r>
    </w:p>
    <w:p w14:paraId="54FE13FF" w14:textId="77777777" w:rsidR="008350C1" w:rsidRDefault="00A86D65" w:rsidP="008350C1">
      <w:pPr>
        <w:spacing w:before="100" w:beforeAutospacing="1"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kern w:val="0"/>
          <w:sz w:val="28"/>
          <w:szCs w:val="28"/>
          <w:lang w:eastAsia="en-GB"/>
          <w14:ligatures w14:val="none"/>
        </w:rPr>
        <w:t xml:space="preserve"> </w:t>
      </w:r>
      <w:r w:rsidRPr="00A86D65">
        <w:rPr>
          <w:rFonts w:ascii="Arial" w:eastAsia="Times New Roman" w:hAnsi="Arial" w:cs="Arial"/>
          <w:kern w:val="0"/>
          <w:lang w:eastAsia="en-GB"/>
          <w14:ligatures w14:val="none"/>
        </w:rPr>
        <w:t>Activity</w:t>
      </w:r>
      <w:r w:rsidR="00AD151E" w:rsidRPr="00A86D65">
        <w:rPr>
          <w:rFonts w:ascii="Arial" w:eastAsia="Times New Roman" w:hAnsi="Arial" w:cs="Arial"/>
          <w:kern w:val="0"/>
          <w:lang w:eastAsia="en-GB"/>
          <w14:ligatures w14:val="none"/>
        </w:rPr>
        <w:t xml:space="preserve"> Theory indicates that older people are generally reported to experience greater life satisfaction when they are active and engaged socially (Havighurst, 1961). This theory runs counter to the perception that aging leads to withdrawal and supports ongoing engagement in purposeful pursuits. In a social care environment, this theory could be activated by promoting activities that everyone can engage in, based on what they are comfortable with and willing to do. These could be in group settings (arts and crafts; music) or for casual exercise. </w:t>
      </w:r>
      <w:r w:rsidR="00C5118D" w:rsidRPr="00A86D65">
        <w:rPr>
          <w:rFonts w:ascii="Arial" w:eastAsia="Times New Roman" w:hAnsi="Arial" w:cs="Arial"/>
          <w:kern w:val="0"/>
          <w:lang w:eastAsia="en-GB"/>
          <w14:ligatures w14:val="none"/>
        </w:rPr>
        <w:t>Practising</w:t>
      </w:r>
      <w:r w:rsidR="00AD151E" w:rsidRPr="00A86D65">
        <w:rPr>
          <w:rFonts w:ascii="Arial" w:eastAsia="Times New Roman" w:hAnsi="Arial" w:cs="Arial"/>
          <w:kern w:val="0"/>
          <w:lang w:eastAsia="en-GB"/>
          <w14:ligatures w14:val="none"/>
        </w:rPr>
        <w:t xml:space="preserve"> such </w:t>
      </w:r>
      <w:r>
        <w:rPr>
          <w:rFonts w:ascii="Arial" w:eastAsia="Times New Roman" w:hAnsi="Arial" w:cs="Arial"/>
          <w:kern w:val="0"/>
          <w:lang w:eastAsia="en-GB"/>
          <w14:ligatures w14:val="none"/>
        </w:rPr>
        <w:t>behaviour</w:t>
      </w:r>
      <w:r w:rsidR="00AD151E" w:rsidRPr="00A86D65">
        <w:rPr>
          <w:rFonts w:ascii="Arial" w:eastAsia="Times New Roman" w:hAnsi="Arial" w:cs="Arial"/>
          <w:kern w:val="0"/>
          <w:lang w:eastAsia="en-GB"/>
          <w14:ligatures w14:val="none"/>
        </w:rPr>
        <w:t xml:space="preserve"> helps retain an identity and direction, which are necessary for positive psychology. Also, social interaction is fundamental to Activity Theory. Care staff can support this by arranging group discussions, shared meals, or buddy systems that foster relationships among residents. Previous findings have found that older adults who participate more frequently in social activities report better mental health and less isolation (Bauger and Bongaardt, 2017). It is also critical to have </w:t>
      </w:r>
      <w:r w:rsidR="00DD633F" w:rsidRPr="00A86D65">
        <w:rPr>
          <w:rFonts w:ascii="Arial" w:eastAsia="Times New Roman" w:hAnsi="Arial" w:cs="Arial"/>
          <w:kern w:val="0"/>
          <w:lang w:eastAsia="en-GB"/>
          <w14:ligatures w14:val="none"/>
        </w:rPr>
        <w:t>person-centred</w:t>
      </w:r>
      <w:r w:rsidR="00AD151E" w:rsidRPr="00A86D65">
        <w:rPr>
          <w:rFonts w:ascii="Arial" w:eastAsia="Times New Roman" w:hAnsi="Arial" w:cs="Arial"/>
          <w:kern w:val="0"/>
          <w:lang w:eastAsia="en-GB"/>
          <w14:ligatures w14:val="none"/>
        </w:rPr>
        <w:t xml:space="preserve"> programs and activities. This means that these should be tailored to each person’s special interests, life story, and capabilities – not the norm – to all residents. All these factors together are meant to ensure activities are productive and fun, fostering participation and positive outcomes.</w:t>
      </w:r>
    </w:p>
    <w:p w14:paraId="02AC385D" w14:textId="61715CB2" w:rsidR="00B6388D" w:rsidRPr="008350C1" w:rsidRDefault="00B6388D" w:rsidP="008350C1">
      <w:pPr>
        <w:spacing w:before="100" w:beforeAutospacing="1" w:after="100" w:afterAutospacing="1" w:line="240" w:lineRule="auto"/>
        <w:outlineLvl w:val="2"/>
        <w:rPr>
          <w:rFonts w:ascii="Arial" w:eastAsia="Times New Roman" w:hAnsi="Arial" w:cs="Arial"/>
          <w:b/>
          <w:bCs/>
          <w:kern w:val="0"/>
          <w:lang w:eastAsia="en-GB"/>
          <w14:ligatures w14:val="none"/>
        </w:rPr>
      </w:pPr>
      <w:r w:rsidRPr="00B6388D">
        <w:rPr>
          <w:rFonts w:ascii="Arial" w:eastAsia="Times New Roman" w:hAnsi="Arial" w:cs="Arial"/>
          <w:b/>
          <w:bCs/>
          <w:kern w:val="0"/>
          <w:sz w:val="28"/>
          <w:szCs w:val="28"/>
          <w:lang w:eastAsia="en-GB"/>
          <w14:ligatures w14:val="none"/>
        </w:rPr>
        <w:lastRenderedPageBreak/>
        <w:t>Case Scenario Example</w:t>
      </w:r>
    </w:p>
    <w:p w14:paraId="023AF78F" w14:textId="77777777" w:rsidR="004274A6" w:rsidRDefault="00E049AF" w:rsidP="008350C1">
      <w:pPr>
        <w:spacing w:before="120" w:after="120" w:line="240" w:lineRule="auto"/>
        <w:outlineLvl w:val="1"/>
        <w:rPr>
          <w:rFonts w:ascii="Arial" w:eastAsia="Times New Roman" w:hAnsi="Arial" w:cs="Arial"/>
          <w:kern w:val="0"/>
          <w:lang w:eastAsia="en-GB"/>
          <w14:ligatures w14:val="none"/>
        </w:rPr>
      </w:pPr>
      <w:r w:rsidRPr="00E049AF">
        <w:rPr>
          <w:rFonts w:ascii="Arial" w:eastAsia="Times New Roman" w:hAnsi="Arial" w:cs="Arial"/>
          <w:kern w:val="0"/>
          <w:lang w:eastAsia="en-GB"/>
          <w14:ligatures w14:val="none"/>
        </w:rPr>
        <w:t>For instance, if you have an 82-year-old resident named Mary, she has recently been placed in a care home following her partner’s death. She has withdrawn and spent nearly all day alone since she moved in. She does not enjoy anything social, and her mood has noticeably declined. Using Activity Theory (Havighurst, 1961), carers will proceed to investigate Mary’s previous interests. They find out that she used to have a passion for gardening and socialising with friends. Staff then set her up with a small group of gardeners in the care home, gently prompting her to join. Mary is initially reluctant, but with persuasion and encouragement, she begins to attend sessions. As the weeks go on, she begins to associate with other residents and engage in the activity. Over time, she becomes more involved in helping organise the gardening group. As a result, her mood improves, and she becomes more socially engaged. This example shows the application of Activity Theory, while helping to sustain individuals’ roles and social connections, and the supporting roles it plays for psychological well-being</w:t>
      </w:r>
    </w:p>
    <w:p w14:paraId="16C2CDC9" w14:textId="77777777" w:rsidR="004274A6" w:rsidRDefault="004274A6" w:rsidP="008350C1">
      <w:pPr>
        <w:spacing w:before="120" w:after="120" w:line="240" w:lineRule="auto"/>
        <w:outlineLvl w:val="1"/>
        <w:rPr>
          <w:rFonts w:ascii="Arial" w:eastAsia="Times New Roman" w:hAnsi="Arial" w:cs="Arial"/>
          <w:kern w:val="0"/>
          <w:lang w:eastAsia="en-GB"/>
          <w14:ligatures w14:val="none"/>
        </w:rPr>
      </w:pPr>
    </w:p>
    <w:p w14:paraId="75FBF4BF" w14:textId="2B37CD11" w:rsidR="00B6388D" w:rsidRPr="008350C1" w:rsidRDefault="00B6388D" w:rsidP="008350C1">
      <w:pPr>
        <w:spacing w:before="120" w:after="120" w:line="240" w:lineRule="auto"/>
        <w:outlineLvl w:val="1"/>
        <w:rPr>
          <w:rFonts w:ascii="Arial" w:eastAsia="Times New Roman" w:hAnsi="Arial" w:cs="Arial"/>
          <w:kern w:val="0"/>
          <w:lang w:eastAsia="en-GB"/>
          <w14:ligatures w14:val="none"/>
        </w:rPr>
      </w:pPr>
      <w:r w:rsidRPr="00B6388D">
        <w:rPr>
          <w:rFonts w:ascii="Arial" w:eastAsia="Times New Roman" w:hAnsi="Arial" w:cs="Arial"/>
          <w:b/>
          <w:bCs/>
          <w:kern w:val="0"/>
          <w:sz w:val="28"/>
          <w:szCs w:val="28"/>
          <w:lang w:eastAsia="en-GB"/>
          <w14:ligatures w14:val="none"/>
        </w:rPr>
        <w:t>Challenges in Applying Activity Theory</w:t>
      </w:r>
    </w:p>
    <w:p w14:paraId="46549A32" w14:textId="77777777" w:rsidR="00984B07" w:rsidRPr="00984B07" w:rsidRDefault="00984B07" w:rsidP="00984B07">
      <w:pPr>
        <w:spacing w:before="120" w:after="120" w:line="240" w:lineRule="auto"/>
        <w:outlineLvl w:val="1"/>
        <w:rPr>
          <w:rFonts w:ascii="Arial" w:eastAsia="Times New Roman" w:hAnsi="Arial" w:cs="Arial"/>
          <w:kern w:val="0"/>
          <w:lang w:eastAsia="en-GB"/>
          <w14:ligatures w14:val="none"/>
        </w:rPr>
      </w:pPr>
      <w:r w:rsidRPr="00984B07">
        <w:rPr>
          <w:rFonts w:ascii="Arial" w:eastAsia="Times New Roman" w:hAnsi="Arial" w:cs="Arial"/>
          <w:kern w:val="0"/>
          <w:lang w:eastAsia="en-GB"/>
          <w14:ligatures w14:val="none"/>
        </w:rPr>
        <w:t>Activity theory has its merits but also presents challenges when applied in practice. One major factor is that not all residents are physically or cognitively able to take part in activities. For example, those with impaired mobility, chronic illness, or conditions like dementia may struggle to participate in group activities. As Activity Theory assumes that staying active is always possible and beneficial (Havighurst, 1961), this assumption is one of its limitations.</w:t>
      </w:r>
    </w:p>
    <w:p w14:paraId="156A6A1A" w14:textId="77777777" w:rsidR="00984B07" w:rsidRPr="00B6388D" w:rsidRDefault="00984B07"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3C3E5235" w14:textId="77777777" w:rsid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Strategies to Overcome Challenges</w:t>
      </w:r>
    </w:p>
    <w:p w14:paraId="217FE9D5" w14:textId="602B2DCA" w:rsidR="00F505AA" w:rsidRPr="00F505AA" w:rsidRDefault="00F505AA" w:rsidP="00F505AA">
      <w:pPr>
        <w:spacing w:before="120" w:after="120" w:line="240" w:lineRule="auto"/>
        <w:outlineLvl w:val="1"/>
        <w:rPr>
          <w:rFonts w:ascii="Arial" w:eastAsia="Times New Roman" w:hAnsi="Arial" w:cs="Arial"/>
          <w:kern w:val="0"/>
          <w:lang w:eastAsia="en-GB"/>
          <w14:ligatures w14:val="none"/>
        </w:rPr>
      </w:pPr>
      <w:r w:rsidRPr="00F505AA">
        <w:rPr>
          <w:rFonts w:ascii="Arial" w:eastAsia="Times New Roman" w:hAnsi="Arial" w:cs="Arial"/>
          <w:kern w:val="0"/>
          <w:lang w:eastAsia="en-GB"/>
          <w14:ligatures w14:val="none"/>
        </w:rPr>
        <w:t xml:space="preserve">Care provision personnel should adopt a </w:t>
      </w:r>
      <w:r w:rsidRPr="00DD633F">
        <w:rPr>
          <w:rFonts w:ascii="Arial" w:eastAsia="Times New Roman" w:hAnsi="Arial" w:cs="Arial"/>
          <w:kern w:val="0"/>
          <w:lang w:eastAsia="en-GB"/>
          <w14:ligatures w14:val="none"/>
        </w:rPr>
        <w:t>person-centred</w:t>
      </w:r>
      <w:r w:rsidRPr="00F505AA">
        <w:rPr>
          <w:rFonts w:ascii="Arial" w:eastAsia="Times New Roman" w:hAnsi="Arial" w:cs="Arial"/>
          <w:kern w:val="0"/>
          <w:lang w:eastAsia="en-GB"/>
          <w14:ligatures w14:val="none"/>
        </w:rPr>
        <w:t xml:space="preserve"> approach to overcome this problem. By the nature of the work, activities need to be oriented towards the individual needs and abilities of each resident. For example, if a resident cannot participate in physical activities, they might be given alternatives such as listening to music, storytelling, or sensory-based activities. Individual support could be invaluable for anyone who feels anxious or lacks confidence in a group. It’s important to build trust; some residents may need time to feel comfortable engaging with others. And it can be beneficial to involve family members in care planning to gain insight into the resident's interests and preferences. This approach can be used to provide meaningful activities and increase the likelihood of involvement.</w:t>
      </w:r>
    </w:p>
    <w:p w14:paraId="24BD4FD6" w14:textId="75B8E3DE"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Conclusion</w:t>
      </w:r>
    </w:p>
    <w:p w14:paraId="06A1A5B0" w14:textId="10188C4D" w:rsidR="003A04D9" w:rsidRPr="003A04D9" w:rsidRDefault="003A04D9" w:rsidP="003A04D9">
      <w:pPr>
        <w:spacing w:before="120" w:after="120" w:line="240" w:lineRule="auto"/>
        <w:outlineLvl w:val="1"/>
        <w:rPr>
          <w:rFonts w:ascii="Arial" w:eastAsia="Times New Roman" w:hAnsi="Arial" w:cs="Arial"/>
          <w:kern w:val="0"/>
          <w:lang w:eastAsia="en-GB"/>
          <w14:ligatures w14:val="none"/>
        </w:rPr>
      </w:pPr>
      <w:r w:rsidRPr="003A04D9">
        <w:rPr>
          <w:rFonts w:ascii="Arial" w:eastAsia="Times New Roman" w:hAnsi="Arial" w:cs="Arial"/>
          <w:kern w:val="0"/>
          <w:lang w:eastAsia="en-GB"/>
          <w14:ligatures w14:val="none"/>
        </w:rPr>
        <w:t xml:space="preserve">Activity Theory provides a theoretical basis for the psychological well-being of older people in residential care. By advocating active engagement, social interaction, and meaningful activities, caregivers can help alleviate loneliness and improve quality of life (Havighurst, 1961). Yet one also needs to acknowledge the theory's weaknesses and ensure that activities are adjusted to suit individual needs. A flexible, </w:t>
      </w:r>
      <w:r w:rsidRPr="00DD633F">
        <w:rPr>
          <w:rFonts w:ascii="Arial" w:eastAsia="Times New Roman" w:hAnsi="Arial" w:cs="Arial"/>
          <w:kern w:val="0"/>
          <w:lang w:eastAsia="en-GB"/>
          <w14:ligatures w14:val="none"/>
        </w:rPr>
        <w:t>person-centred</w:t>
      </w:r>
      <w:r w:rsidRPr="003A04D9">
        <w:rPr>
          <w:rFonts w:ascii="Arial" w:eastAsia="Times New Roman" w:hAnsi="Arial" w:cs="Arial"/>
          <w:kern w:val="0"/>
          <w:lang w:eastAsia="en-GB"/>
          <w14:ligatures w14:val="none"/>
        </w:rPr>
        <w:t xml:space="preserve"> approach is key to implementing this theory in practice.</w:t>
      </w:r>
    </w:p>
    <w:p w14:paraId="2C814E89" w14:textId="6E1CEFD7" w:rsidR="00B6388D" w:rsidRPr="00B6388D" w:rsidRDefault="00B6388D" w:rsidP="00B6388D">
      <w:pPr>
        <w:spacing w:after="0" w:line="240" w:lineRule="auto"/>
        <w:rPr>
          <w:rFonts w:ascii="Arial" w:eastAsia="Times New Roman" w:hAnsi="Arial" w:cs="Arial"/>
          <w:kern w:val="0"/>
          <w:sz w:val="28"/>
          <w:szCs w:val="28"/>
          <w:lang w:eastAsia="en-GB"/>
          <w14:ligatures w14:val="none"/>
        </w:rPr>
      </w:pPr>
    </w:p>
    <w:p w14:paraId="77AEA147" w14:textId="77777777" w:rsidR="00B6388D" w:rsidRPr="00B6388D" w:rsidRDefault="00B6388D" w:rsidP="00B6388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List</w:t>
      </w:r>
    </w:p>
    <w:p w14:paraId="016E13E3" w14:textId="77777777" w:rsidR="00B6388D" w:rsidRPr="008350C1" w:rsidRDefault="00B6388D" w:rsidP="00B6388D">
      <w:pPr>
        <w:spacing w:before="100" w:beforeAutospacing="1" w:after="100" w:afterAutospacing="1" w:line="240" w:lineRule="auto"/>
        <w:rPr>
          <w:rFonts w:ascii="Arial" w:eastAsia="Times New Roman" w:hAnsi="Arial" w:cs="Arial"/>
          <w:kern w:val="0"/>
          <w:sz w:val="22"/>
          <w:szCs w:val="22"/>
          <w:lang w:eastAsia="en-GB"/>
          <w14:ligatures w14:val="none"/>
        </w:rPr>
      </w:pPr>
      <w:r w:rsidRPr="008350C1">
        <w:rPr>
          <w:rFonts w:ascii="Arial" w:eastAsia="Times New Roman" w:hAnsi="Arial" w:cs="Arial"/>
          <w:kern w:val="0"/>
          <w:sz w:val="22"/>
          <w:szCs w:val="22"/>
          <w:lang w:eastAsia="en-GB"/>
          <w14:ligatures w14:val="none"/>
        </w:rPr>
        <w:t xml:space="preserve">Bauger, L. and Bongaardt, R. (2017) ‘Structural developmental psychology and health promotion in the third age’, </w:t>
      </w:r>
      <w:r w:rsidRPr="008350C1">
        <w:rPr>
          <w:rFonts w:ascii="Arial" w:eastAsia="Times New Roman" w:hAnsi="Arial" w:cs="Arial"/>
          <w:i/>
          <w:iCs/>
          <w:kern w:val="0"/>
          <w:sz w:val="22"/>
          <w:szCs w:val="22"/>
          <w:lang w:eastAsia="en-GB"/>
          <w14:ligatures w14:val="none"/>
        </w:rPr>
        <w:t>Health Promotion International</w:t>
      </w:r>
      <w:r w:rsidRPr="008350C1">
        <w:rPr>
          <w:rFonts w:ascii="Arial" w:eastAsia="Times New Roman" w:hAnsi="Arial" w:cs="Arial"/>
          <w:kern w:val="0"/>
          <w:sz w:val="22"/>
          <w:szCs w:val="22"/>
          <w:lang w:eastAsia="en-GB"/>
          <w14:ligatures w14:val="none"/>
        </w:rPr>
        <w:t>, 33(4), pp. 686–694.</w:t>
      </w:r>
    </w:p>
    <w:p w14:paraId="76FD9EF0" w14:textId="3D0D8CCC" w:rsidR="00B6388D" w:rsidRPr="00B6388D" w:rsidRDefault="00B6388D" w:rsidP="00B6388D">
      <w:pPr>
        <w:spacing w:before="100" w:beforeAutospacing="1" w:after="100" w:afterAutospacing="1" w:line="240" w:lineRule="auto"/>
        <w:rPr>
          <w:rFonts w:ascii="Arial" w:eastAsia="Times New Roman" w:hAnsi="Arial" w:cs="Arial"/>
          <w:kern w:val="0"/>
          <w:sz w:val="28"/>
          <w:szCs w:val="28"/>
          <w:lang w:eastAsia="en-GB"/>
          <w14:ligatures w14:val="none"/>
        </w:rPr>
      </w:pPr>
      <w:r w:rsidRPr="008350C1">
        <w:rPr>
          <w:rFonts w:ascii="Arial" w:eastAsia="Times New Roman" w:hAnsi="Arial" w:cs="Arial"/>
          <w:kern w:val="0"/>
          <w:sz w:val="22"/>
          <w:szCs w:val="22"/>
          <w:lang w:eastAsia="en-GB"/>
          <w14:ligatures w14:val="none"/>
        </w:rPr>
        <w:t xml:space="preserve">Havighurst, R.J. (1961) ‘Successful </w:t>
      </w:r>
      <w:r w:rsidR="00666AD5">
        <w:rPr>
          <w:rFonts w:ascii="Arial" w:eastAsia="Times New Roman" w:hAnsi="Arial" w:cs="Arial"/>
          <w:kern w:val="0"/>
          <w:sz w:val="22"/>
          <w:szCs w:val="22"/>
          <w:lang w:eastAsia="en-GB"/>
          <w14:ligatures w14:val="none"/>
        </w:rPr>
        <w:t>ageing</w:t>
      </w:r>
      <w:r w:rsidRPr="008350C1">
        <w:rPr>
          <w:rFonts w:ascii="Arial" w:eastAsia="Times New Roman" w:hAnsi="Arial" w:cs="Arial"/>
          <w:kern w:val="0"/>
          <w:sz w:val="22"/>
          <w:szCs w:val="22"/>
          <w:lang w:eastAsia="en-GB"/>
          <w14:ligatures w14:val="none"/>
        </w:rPr>
        <w:t xml:space="preserve">’, </w:t>
      </w:r>
      <w:r w:rsidRPr="008350C1">
        <w:rPr>
          <w:rFonts w:ascii="Arial" w:eastAsia="Times New Roman" w:hAnsi="Arial" w:cs="Arial"/>
          <w:i/>
          <w:iCs/>
          <w:kern w:val="0"/>
          <w:sz w:val="22"/>
          <w:szCs w:val="22"/>
          <w:lang w:eastAsia="en-GB"/>
          <w14:ligatures w14:val="none"/>
        </w:rPr>
        <w:t>The Gerontologist</w:t>
      </w:r>
      <w:r w:rsidRPr="008350C1">
        <w:rPr>
          <w:rFonts w:ascii="Arial" w:eastAsia="Times New Roman" w:hAnsi="Arial" w:cs="Arial"/>
          <w:kern w:val="0"/>
          <w:sz w:val="22"/>
          <w:szCs w:val="22"/>
          <w:lang w:eastAsia="en-GB"/>
          <w14:ligatures w14:val="none"/>
        </w:rPr>
        <w:t>, 1(1), pp. 8–13</w:t>
      </w:r>
      <w:r w:rsidRPr="00B6388D">
        <w:rPr>
          <w:rFonts w:ascii="Arial" w:eastAsia="Times New Roman" w:hAnsi="Arial" w:cs="Arial"/>
          <w:kern w:val="0"/>
          <w:sz w:val="28"/>
          <w:szCs w:val="28"/>
          <w:lang w:eastAsia="en-GB"/>
          <w14:ligatures w14:val="none"/>
        </w:rPr>
        <w:t>.</w:t>
      </w:r>
    </w:p>
    <w:p w14:paraId="12FE6756" w14:textId="1F508EBD" w:rsidR="00704D25" w:rsidRDefault="00704D25"/>
    <w:sectPr w:rsidR="00704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2D7C9" w14:textId="77777777" w:rsidR="00DF0AFC" w:rsidRDefault="00DF0AFC" w:rsidP="0052771E">
      <w:pPr>
        <w:spacing w:after="0" w:line="240" w:lineRule="auto"/>
      </w:pPr>
      <w:r>
        <w:separator/>
      </w:r>
    </w:p>
  </w:endnote>
  <w:endnote w:type="continuationSeparator" w:id="0">
    <w:p w14:paraId="1ED7F4F0" w14:textId="77777777" w:rsidR="00DF0AFC" w:rsidRDefault="00DF0AFC" w:rsidP="00527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993FD" w14:textId="77777777" w:rsidR="00DF0AFC" w:rsidRDefault="00DF0AFC" w:rsidP="0052771E">
      <w:pPr>
        <w:spacing w:after="0" w:line="240" w:lineRule="auto"/>
      </w:pPr>
      <w:r>
        <w:separator/>
      </w:r>
    </w:p>
  </w:footnote>
  <w:footnote w:type="continuationSeparator" w:id="0">
    <w:p w14:paraId="2F0A93EF" w14:textId="77777777" w:rsidR="00DF0AFC" w:rsidRDefault="00DF0AFC" w:rsidP="00527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8D"/>
    <w:rsid w:val="000522B3"/>
    <w:rsid w:val="000573BF"/>
    <w:rsid w:val="000E378D"/>
    <w:rsid w:val="001422EC"/>
    <w:rsid w:val="001B7788"/>
    <w:rsid w:val="001E3578"/>
    <w:rsid w:val="002A331C"/>
    <w:rsid w:val="002C01F5"/>
    <w:rsid w:val="002D20A0"/>
    <w:rsid w:val="0032786A"/>
    <w:rsid w:val="003A04D9"/>
    <w:rsid w:val="003A14F5"/>
    <w:rsid w:val="003C0317"/>
    <w:rsid w:val="00401A8C"/>
    <w:rsid w:val="00417050"/>
    <w:rsid w:val="004274A6"/>
    <w:rsid w:val="00455A70"/>
    <w:rsid w:val="004613CF"/>
    <w:rsid w:val="0052771E"/>
    <w:rsid w:val="00541EBE"/>
    <w:rsid w:val="005457E0"/>
    <w:rsid w:val="00561924"/>
    <w:rsid w:val="00595AF7"/>
    <w:rsid w:val="005F61FC"/>
    <w:rsid w:val="00606D54"/>
    <w:rsid w:val="00624F54"/>
    <w:rsid w:val="00666AD5"/>
    <w:rsid w:val="006F0183"/>
    <w:rsid w:val="00704D25"/>
    <w:rsid w:val="00711FBC"/>
    <w:rsid w:val="007A356D"/>
    <w:rsid w:val="00800DB3"/>
    <w:rsid w:val="008350C1"/>
    <w:rsid w:val="008520A6"/>
    <w:rsid w:val="008A2FA5"/>
    <w:rsid w:val="009370CE"/>
    <w:rsid w:val="00984B07"/>
    <w:rsid w:val="009B3C49"/>
    <w:rsid w:val="009F4DAB"/>
    <w:rsid w:val="00A819BD"/>
    <w:rsid w:val="00A86D65"/>
    <w:rsid w:val="00AD151E"/>
    <w:rsid w:val="00AD765D"/>
    <w:rsid w:val="00B40E68"/>
    <w:rsid w:val="00B6388D"/>
    <w:rsid w:val="00C5118D"/>
    <w:rsid w:val="00C76272"/>
    <w:rsid w:val="00C76A74"/>
    <w:rsid w:val="00C85A66"/>
    <w:rsid w:val="00CB283F"/>
    <w:rsid w:val="00CB5555"/>
    <w:rsid w:val="00CC55FB"/>
    <w:rsid w:val="00CC5692"/>
    <w:rsid w:val="00CD3067"/>
    <w:rsid w:val="00CD5B11"/>
    <w:rsid w:val="00DB54ED"/>
    <w:rsid w:val="00DD633F"/>
    <w:rsid w:val="00DF0AFC"/>
    <w:rsid w:val="00E049AF"/>
    <w:rsid w:val="00E61C69"/>
    <w:rsid w:val="00E622DE"/>
    <w:rsid w:val="00EA0654"/>
    <w:rsid w:val="00F50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B193"/>
  <w15:chartTrackingRefBased/>
  <w15:docId w15:val="{ED375FE0-2BFE-4AF3-9425-E0E7F0DEF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88D"/>
    <w:rPr>
      <w:rFonts w:eastAsiaTheme="majorEastAsia" w:cstheme="majorBidi"/>
      <w:color w:val="272727" w:themeColor="text1" w:themeTint="D8"/>
    </w:rPr>
  </w:style>
  <w:style w:type="paragraph" w:styleId="Title">
    <w:name w:val="Title"/>
    <w:basedOn w:val="Normal"/>
    <w:next w:val="Normal"/>
    <w:link w:val="TitleChar"/>
    <w:uiPriority w:val="10"/>
    <w:qFormat/>
    <w:rsid w:val="00B63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88D"/>
    <w:pPr>
      <w:spacing w:before="160"/>
      <w:jc w:val="center"/>
    </w:pPr>
    <w:rPr>
      <w:i/>
      <w:iCs/>
      <w:color w:val="404040" w:themeColor="text1" w:themeTint="BF"/>
    </w:rPr>
  </w:style>
  <w:style w:type="character" w:customStyle="1" w:styleId="QuoteChar">
    <w:name w:val="Quote Char"/>
    <w:basedOn w:val="DefaultParagraphFont"/>
    <w:link w:val="Quote"/>
    <w:uiPriority w:val="29"/>
    <w:rsid w:val="00B6388D"/>
    <w:rPr>
      <w:i/>
      <w:iCs/>
      <w:color w:val="404040" w:themeColor="text1" w:themeTint="BF"/>
    </w:rPr>
  </w:style>
  <w:style w:type="paragraph" w:styleId="ListParagraph">
    <w:name w:val="List Paragraph"/>
    <w:basedOn w:val="Normal"/>
    <w:uiPriority w:val="34"/>
    <w:qFormat/>
    <w:rsid w:val="00B6388D"/>
    <w:pPr>
      <w:ind w:left="720"/>
      <w:contextualSpacing/>
    </w:pPr>
  </w:style>
  <w:style w:type="character" w:styleId="IntenseEmphasis">
    <w:name w:val="Intense Emphasis"/>
    <w:basedOn w:val="DefaultParagraphFont"/>
    <w:uiPriority w:val="21"/>
    <w:qFormat/>
    <w:rsid w:val="00B6388D"/>
    <w:rPr>
      <w:i/>
      <w:iCs/>
      <w:color w:val="0F4761" w:themeColor="accent1" w:themeShade="BF"/>
    </w:rPr>
  </w:style>
  <w:style w:type="paragraph" w:styleId="IntenseQuote">
    <w:name w:val="Intense Quote"/>
    <w:basedOn w:val="Normal"/>
    <w:next w:val="Normal"/>
    <w:link w:val="IntenseQuoteChar"/>
    <w:uiPriority w:val="30"/>
    <w:qFormat/>
    <w:rsid w:val="00B63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88D"/>
    <w:rPr>
      <w:i/>
      <w:iCs/>
      <w:color w:val="0F4761" w:themeColor="accent1" w:themeShade="BF"/>
    </w:rPr>
  </w:style>
  <w:style w:type="character" w:styleId="IntenseReference">
    <w:name w:val="Intense Reference"/>
    <w:basedOn w:val="DefaultParagraphFont"/>
    <w:uiPriority w:val="32"/>
    <w:qFormat/>
    <w:rsid w:val="00B6388D"/>
    <w:rPr>
      <w:b/>
      <w:bCs/>
      <w:smallCaps/>
      <w:color w:val="0F4761" w:themeColor="accent1" w:themeShade="BF"/>
      <w:spacing w:val="5"/>
    </w:rPr>
  </w:style>
  <w:style w:type="paragraph" w:customStyle="1" w:styleId="w7sjnrxzl6krnffuzhqe">
    <w:name w:val="w7sjnrxzl6krnffuzhqe"/>
    <w:basedOn w:val="Normal"/>
    <w:rsid w:val="00401A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27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71E"/>
  </w:style>
  <w:style w:type="paragraph" w:styleId="Footer">
    <w:name w:val="footer"/>
    <w:basedOn w:val="Normal"/>
    <w:link w:val="FooterChar"/>
    <w:uiPriority w:val="99"/>
    <w:unhideWhenUsed/>
    <w:rsid w:val="00527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225</TotalTime>
  <Pages>6</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cher miles</cp:lastModifiedBy>
  <cp:revision>55</cp:revision>
  <dcterms:created xsi:type="dcterms:W3CDTF">2026-04-11T15:38:00Z</dcterms:created>
  <dcterms:modified xsi:type="dcterms:W3CDTF">2026-04-13T20:07:00Z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fa649821-3206-4820-8b69-df40675aad01</vt:lpwstr>
  </property>
</Properties>
</file>