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F9EDD" w14:textId="77777777" w:rsidR="002500E8" w:rsidRPr="00D24CEE" w:rsidRDefault="00D24CEE" w:rsidP="00D24CEE">
      <w:r w:rsidRPr="00D24CEE">
        <w:t>1.1</w:t>
      </w:r>
    </w:p>
    <w:p w14:paraId="6A6E5056" w14:textId="77777777" w:rsidR="00D24CEE" w:rsidRPr="00D24CEE" w:rsidRDefault="00D24CEE" w:rsidP="00D24CEE">
      <w:r w:rsidRPr="00D24CEE">
        <w:t xml:space="preserve">The labour market is where skilled and experienced employees are bought by organisations (CIPD, 2025). Within the labour market, organisations compete for the best talent. This presents a significant challenge, with 64% of recruiters reporting difficulty attracting candidates, and an approximately 3 in 10 employees leave their employer to join other organisations per year in the UK (CIPD, 2024a; CIPD, 2024b). To understand and address this issue, </w:t>
      </w:r>
      <w:proofErr w:type="spellStart"/>
      <w:r w:rsidRPr="00D24CEE">
        <w:t>ParcelCare</w:t>
      </w:r>
      <w:proofErr w:type="spellEnd"/>
      <w:r w:rsidRPr="00D24CEE">
        <w:t xml:space="preserve"> must first ask why candidates and employees are being lured away to competitors. This is done through first identifying competitors in the delivery sector, then conducting a competitor analysis, evaluating how the attraction capability of competitors compares to </w:t>
      </w:r>
      <w:proofErr w:type="spellStart"/>
      <w:r w:rsidRPr="00D24CEE">
        <w:t>ParcelCare’s</w:t>
      </w:r>
      <w:proofErr w:type="spellEnd"/>
      <w:r w:rsidRPr="00D24CEE">
        <w:t xml:space="preserve"> attraction capability (Bergen &amp; </w:t>
      </w:r>
      <w:proofErr w:type="spellStart"/>
      <w:r w:rsidRPr="00D24CEE">
        <w:t>Peteraf</w:t>
      </w:r>
      <w:proofErr w:type="spellEnd"/>
      <w:r w:rsidRPr="00D24CEE">
        <w:t xml:space="preserve">, 2002). Once completed, </w:t>
      </w:r>
      <w:proofErr w:type="spellStart"/>
      <w:r w:rsidRPr="00D24CEE">
        <w:t>ParcelCare</w:t>
      </w:r>
      <w:proofErr w:type="spellEnd"/>
      <w:r w:rsidRPr="00D24CEE">
        <w:t xml:space="preserve"> can extract insights to facilitate strategic decision-making, align its own attraction practices to compete with those of labour market competitors, and strengthen its employer brand.</w:t>
      </w:r>
      <w:r w:rsidRPr="00D24CEE">
        <w:br/>
        <w:t>Employer branding is a marketing-based approach that aids attraction and retention; similar to the consumer brand model. It involves proactive management of the organisation's public image, as perceived by current and prospective employees (</w:t>
      </w:r>
      <w:proofErr w:type="spellStart"/>
      <w:r w:rsidRPr="00D24CEE">
        <w:t>Rampl</w:t>
      </w:r>
      <w:proofErr w:type="spellEnd"/>
      <w:r w:rsidRPr="00D24CEE">
        <w:t xml:space="preserve"> &amp; Kenning, 2014). The concept of employer of choice has gained prominence in literature and media, and being considered an employer of choice would greatly benefit </w:t>
      </w:r>
      <w:proofErr w:type="spellStart"/>
      <w:r w:rsidRPr="00D24CEE">
        <w:t>ParcelCare’s</w:t>
      </w:r>
      <w:proofErr w:type="spellEnd"/>
      <w:r w:rsidRPr="00D24CEE">
        <w:t xml:space="preserve"> employer brand (Bhatnagar &amp; Srivastava, 2008). Employer branding is made up of functional attributes, including pay, development opportunities and flexible working, alongside symbolic attributes and brand personality traits, such as, sincerity, excitement, sophistication, ruggedness, and competence (CIPD, 2024c; </w:t>
      </w:r>
      <w:proofErr w:type="spellStart"/>
      <w:r w:rsidRPr="00D24CEE">
        <w:t>Rampl</w:t>
      </w:r>
      <w:proofErr w:type="spellEnd"/>
      <w:r w:rsidRPr="00D24CEE">
        <w:t xml:space="preserve"> &amp; Kenning, 2014). </w:t>
      </w:r>
      <w:r w:rsidRPr="00D24CEE">
        <w:br/>
        <w:t xml:space="preserve">Functional attributes include instrumental and tangible benefits that can be directly compared with those of competitors. Brand personality traits on the other hand, are an indication of organisational values and culture, and can foster positive emotions which facilitate employee engagement (CIPD, 2024a; Hosseini et al., 2022). When viewed through the lens of social-identity theory, prospective employees may assess their suitability to an organisation based on the brand personality traits, and be most attracted to those that have the traits that they self-identify with. Similarly, current employees may adopt the brand personality traits and values into their own self-concept (Apt &amp; </w:t>
      </w:r>
      <w:proofErr w:type="spellStart"/>
      <w:r w:rsidRPr="00D24CEE">
        <w:t>Büttgen</w:t>
      </w:r>
      <w:proofErr w:type="spellEnd"/>
      <w:r w:rsidRPr="00D24CEE">
        <w:t xml:space="preserve">, 2016; </w:t>
      </w:r>
      <w:proofErr w:type="spellStart"/>
      <w:r w:rsidRPr="00D24CEE">
        <w:t>Rampl</w:t>
      </w:r>
      <w:proofErr w:type="spellEnd"/>
      <w:r w:rsidRPr="00D24CEE">
        <w:t xml:space="preserve"> &amp; Kenning, 2014; Tajfel &amp; Turner, 1976).</w:t>
      </w:r>
    </w:p>
    <w:p w14:paraId="250CDB18" w14:textId="77777777" w:rsidR="00D24CEE" w:rsidRPr="00D24CEE" w:rsidRDefault="00D24CEE" w:rsidP="00D24CEE"/>
    <w:p w14:paraId="793DF81D" w14:textId="77777777" w:rsidR="00D24CEE" w:rsidRPr="00D24CEE" w:rsidRDefault="00D24CEE" w:rsidP="00D24CEE">
      <w:r w:rsidRPr="00D24CEE">
        <w:t>1.2</w:t>
      </w:r>
    </w:p>
    <w:p w14:paraId="59646CEA" w14:textId="77777777" w:rsidR="00D24CEE" w:rsidRPr="00D24CEE" w:rsidRDefault="00D24CEE" w:rsidP="00D24CEE">
      <w:r w:rsidRPr="00D24CEE">
        <w:t>The conditions of the labour market can be distinguished into two categories; ‘tight’ or ‘loose’. Tight is used to describe the labour market when there are more jobs than job seekers, which poses a challenge for recruitment due to the amount of vacancies to fill, but particularly as well because skill shortages are common. On the contrary, a loose labour market is characterised by there being a surplus of job seekers but very few open vacancies (CIPD, 2025; Taylor, 2019; Taylor &amp; Woodhams, 2022). The tightening and loosening of the labour market can be influenced by an array of macroeconomic factors, including economic downturn or growth, demographic changes, political changes such as immigration policies or investment in skills, technological or legislative changes, and international events (Taylor &amp; Woodhams, 2022; Pilbeam &amp; Corbridge, 2010). Labour market conditions can be measured by looking at the unemployment-to-vacancy ratio, with a lower ratio implying tightness and a higher ratio implying looseness (ONS, 2025). </w:t>
      </w:r>
    </w:p>
    <w:p w14:paraId="7CB33AED" w14:textId="77777777" w:rsidR="00D24CEE" w:rsidRPr="00D24CEE" w:rsidRDefault="00D24CEE" w:rsidP="00D24CEE">
      <w:r w:rsidRPr="00D24CEE">
        <w:lastRenderedPageBreak/>
        <w:t xml:space="preserve">For </w:t>
      </w:r>
      <w:proofErr w:type="spellStart"/>
      <w:r w:rsidRPr="00D24CEE">
        <w:t>ParcelCare</w:t>
      </w:r>
      <w:proofErr w:type="spellEnd"/>
      <w:r w:rsidRPr="00D24CEE">
        <w:t xml:space="preserve"> and other employers, a tight labour market means that there may be very few individuals with the required attributes to fill the vacancies. When this is the case, strategic efforts must be focused on outcompeting other organisations within the delivery sector for the best drivers, expanding job advertisement reach, and retaining existing staff. Skills shortages may mean that </w:t>
      </w:r>
      <w:proofErr w:type="spellStart"/>
      <w:r w:rsidRPr="00D24CEE">
        <w:t>ParcelCare</w:t>
      </w:r>
      <w:proofErr w:type="spellEnd"/>
      <w:r w:rsidRPr="00D24CEE">
        <w:t xml:space="preserve"> will have to take on and train unskilled individuals, which is very costly for organisations (Mckinnon et al., 2016; Taylor, 2019; Pilbeam &amp; Corbridge, 2010). At this time, recruitment costs are likely to increase, alongside payroll expenditure, as employees hold bargaining power due to the abundance of opportunities available elsewhere. </w:t>
      </w:r>
      <w:proofErr w:type="spellStart"/>
      <w:r w:rsidRPr="00D24CEE">
        <w:t>ParcelCare</w:t>
      </w:r>
      <w:proofErr w:type="spellEnd"/>
      <w:r w:rsidRPr="00D24CEE">
        <w:t xml:space="preserve"> may decide to increase reward in an effort to retain staff (Taylor, 2019). A loose labour market, on the other hand, is an opportunity for </w:t>
      </w:r>
      <w:proofErr w:type="spellStart"/>
      <w:r w:rsidRPr="00D24CEE">
        <w:t>ParcelCare</w:t>
      </w:r>
      <w:proofErr w:type="spellEnd"/>
      <w:r w:rsidRPr="00D24CEE">
        <w:t xml:space="preserve"> to be more selective in their recruitment, as there will be a larger quantity of high-quality candidates actively seeking work. With the freedom to apply more scrutiny to the resourcing process, productivity can increase, not only due to the influx of better talent into the organisation, but through the performance efforts of the existing workforce, motivated by job scarcity and reduced mobility opportunities (Taylor, 2019). </w:t>
      </w:r>
    </w:p>
    <w:p w14:paraId="02E881D9" w14:textId="77777777" w:rsidR="00D24CEE" w:rsidRPr="00D24CEE" w:rsidRDefault="00D24CEE" w:rsidP="00D24CEE"/>
    <w:p w14:paraId="2CCA1D1A" w14:textId="77777777" w:rsidR="00D24CEE" w:rsidRPr="00D24CEE" w:rsidRDefault="00D24CEE" w:rsidP="00D24CEE">
      <w:r>
        <w:t>2.1</w:t>
      </w:r>
    </w:p>
    <w:p w14:paraId="60CB3BEC" w14:textId="77777777" w:rsidR="00D24CEE" w:rsidRPr="00D24CEE" w:rsidRDefault="00D24CEE" w:rsidP="00D24CEE">
      <w:r w:rsidRPr="00D24CEE">
        <w:t>Workforce planning is the systematic process of aligning workforce supply against the workforce demand to meet the current and future needs of the organisation. It involves looking at the headcount and capability of current employees, and figuring out to what extent recruitment, development and structural reorganisation is needed for current and future business endeavours (CIPD, 2025; Taylor &amp; Woodhams, 2022). Without workforce planning, organisations may risk facing an increasing workload without the necessary workforce to deliver the desired results, which can result in unnecessary costs and pressures, and wasted opportunities (Gibson, 2021). A lack of workforce planning can look reactive; hiring only to backfill leavers, or urgently when new work lands, leaving little time for careful selection. Effective workforce planning is proactive, future-focused and rational; it allows organisations to respond to changing demand, anticipate and mitigate turnover, control quality and improve productivity (Gibson, 2021; CIPD, 2025). </w:t>
      </w:r>
    </w:p>
    <w:p w14:paraId="6FC6B688" w14:textId="77777777" w:rsidR="00D24CEE" w:rsidRPr="00D24CEE" w:rsidRDefault="00D24CEE" w:rsidP="00D24CEE">
      <w:r w:rsidRPr="00D24CEE">
        <w:t>Effective workforce planning can produce several beneficial outcomes for organisations. Costs of labour can be reduced in lieu of flexibility and efficient deployment, and further savings and gains can be acquired through targeting inefficiencies and improving productivity and output quality. Customer needs can be better met as workforce planning is designed to respond to these demands. Development opportunities can be strategically distributed to the right people, improving organisational capability in a way that truly makes a difference. Finally, as workforce planning allocates the workload in an efficient and sustainable way, it can improve employees’ work-life balance thus increasing retention (Taylor, 2025). </w:t>
      </w:r>
    </w:p>
    <w:p w14:paraId="35556B87" w14:textId="77777777" w:rsidR="00D24CEE" w:rsidRPr="00D24CEE" w:rsidRDefault="00D24CEE" w:rsidP="00D24CEE">
      <w:r w:rsidRPr="00D24CEE">
        <w:t xml:space="preserve">As part of the delivery sector, operations for </w:t>
      </w:r>
      <w:proofErr w:type="spellStart"/>
      <w:r w:rsidRPr="00D24CEE">
        <w:t>ParcelCare</w:t>
      </w:r>
      <w:proofErr w:type="spellEnd"/>
      <w:r w:rsidRPr="00D24CEE">
        <w:t xml:space="preserve"> are characterised by seasonal peaks, where the workload increases, then drops off again in line with the festive season (Allen et al., 2018; </w:t>
      </w:r>
      <w:proofErr w:type="spellStart"/>
      <w:r w:rsidRPr="00D24CEE">
        <w:t>Fedex</w:t>
      </w:r>
      <w:proofErr w:type="spellEnd"/>
      <w:r w:rsidRPr="00D24CEE">
        <w:t xml:space="preserve"> Newsroom, 2024; Borucka, 2023). The greater dependence on e-commerce during the Covid-19 pandemic perfectly illustrates how demand can change dramatically (</w:t>
      </w:r>
      <w:proofErr w:type="spellStart"/>
      <w:r w:rsidRPr="00D24CEE">
        <w:t>Zenezini</w:t>
      </w:r>
      <w:proofErr w:type="spellEnd"/>
      <w:r w:rsidRPr="00D24CEE">
        <w:t xml:space="preserve">, 2023). Effective workforce planning would ensure that the workforce is equipped with the numbers and capability to meet customer needs, without overworking the employees and placing additional pressure on the organisation. Being prepared to effectively deal with sudden changes in demand can foster a </w:t>
      </w:r>
      <w:r w:rsidRPr="00D24CEE">
        <w:lastRenderedPageBreak/>
        <w:t>reputation of reliability amongst stakeholders, and develops operational resilience to future challenges.</w:t>
      </w:r>
    </w:p>
    <w:p w14:paraId="290AF814" w14:textId="77777777" w:rsidR="00D24CEE" w:rsidRPr="00D24CEE" w:rsidRDefault="00D24CEE" w:rsidP="00D24CEE"/>
    <w:p w14:paraId="24DBEF88" w14:textId="77777777" w:rsidR="00D24CEE" w:rsidRPr="00D24CEE" w:rsidRDefault="00D24CEE" w:rsidP="00D24CEE">
      <w:r w:rsidRPr="00D24CEE">
        <w:t>2.2</w:t>
      </w:r>
    </w:p>
    <w:p w14:paraId="24810D33" w14:textId="77777777" w:rsidR="00D24CEE" w:rsidRPr="00D24CEE" w:rsidRDefault="00D24CEE" w:rsidP="00D24CEE">
      <w:r w:rsidRPr="00D24CEE">
        <w:t xml:space="preserve">Effective workforce planning begins with forecasting, to enable the move from reactive to proactive, and shift focus to the future. Demand and supply forecasting involves identifying what tasks will need doing, what individual job roles will be needed to complete these tasks, and what skills will the workforce need to possess. This involves working closely with senior management and considering their judgement and expertise, looking back at past trends and estimating future supply, to conduct an audit of the current workforce in order to establish the skills gap in order to implement a plan (Pilbeam &amp; Corbridge, 2010; Taylor &amp; Woodhams, 2022). It may also be useful to incorporate the future budget, and work out what the organisation can actually afford in terms of recruitment and expansion. This technique relies on the use of metrics such as headcounts, wage costs, turnover and absence averages, and skills </w:t>
      </w:r>
      <w:proofErr w:type="gramStart"/>
      <w:r w:rsidRPr="00D24CEE">
        <w:t>matrices,</w:t>
      </w:r>
      <w:proofErr w:type="gramEnd"/>
      <w:r w:rsidRPr="00D24CEE">
        <w:t xml:space="preserve"> therefore the effectiveness of this method would be limited to the quality of the data collection within </w:t>
      </w:r>
      <w:proofErr w:type="spellStart"/>
      <w:r w:rsidRPr="00D24CEE">
        <w:t>ParcelCare</w:t>
      </w:r>
      <w:proofErr w:type="spellEnd"/>
      <w:r w:rsidRPr="00D24CEE">
        <w:t xml:space="preserve"> (Taylor &amp; Woodhams, 2022). </w:t>
      </w:r>
    </w:p>
    <w:p w14:paraId="05E41A5F" w14:textId="77777777" w:rsidR="00D24CEE" w:rsidRPr="00D24CEE" w:rsidRDefault="00D24CEE" w:rsidP="00D24CEE">
      <w:r w:rsidRPr="00D24CEE">
        <w:t xml:space="preserve">While supply and demand forecasting supports operational planning, and sophisticated models may account for trends in absence and turnover, it fails to consider the implications of broader macroeconomic volatility, the fluctuating labour market, industry trends and upcoming regulatory changes. Scenario planning is a technique that considers several key unknowns from the external environment that may have an impact on the organisation (Pilbeam &amp; Corbridge, 2010; Goldberg, 2024). These unknowns can be identified using horizon-scanning techniques such as PESTLE (Marmol et al., 2015). Scenario planning can be used for stress-testing, and to challenge assumptions that the future will look like the present. This would be beneficial for </w:t>
      </w:r>
      <w:proofErr w:type="spellStart"/>
      <w:r w:rsidRPr="00D24CEE">
        <w:t>ParcelCare</w:t>
      </w:r>
      <w:proofErr w:type="spellEnd"/>
      <w:r w:rsidRPr="00D24CEE">
        <w:t>, given the unprecedented reliance on delivery services alongside workforce volatility experienced during the Covid-19 pandemic (</w:t>
      </w:r>
      <w:proofErr w:type="spellStart"/>
      <w:r w:rsidRPr="00D24CEE">
        <w:t>Zenezini</w:t>
      </w:r>
      <w:proofErr w:type="spellEnd"/>
      <w:r w:rsidRPr="00D24CEE">
        <w:t>, 2023). Adoption of scenario planning allows organisations to strategically position themselves ahead of competitors in the face of industrial adversity, as demonstrated by Shell’s use of scenario planning to anticipate oil market shifts (Goldberg, 2024). </w:t>
      </w:r>
    </w:p>
    <w:p w14:paraId="1AD474DF" w14:textId="77777777" w:rsidR="00D24CEE" w:rsidRDefault="00D24CEE" w:rsidP="00D24CEE">
      <w:r w:rsidRPr="00D24CEE">
        <w:t>Succession planning is a strategic workforce planning mechanism that targets the internal labour market, and mitigates future dysfunctional turnover. Succession planning supports workforce planning by identifying high performing or high potential employees that could potentially serve as replacement for senior or business-critical roles in the event that they leave the business or get promoted (Taylor, 2025; Pilbeam &amp; Corbridge, 2010; George, 2024). The process involves assessing the current capabilities of the ‘successors’, identifying the skills they will need for their intended role, and developing them to get to that point. It serves as a contingency plan that reduces disruption, and can also support retention through opportunities for career progression and development. However, the downside to succession planning is that it can be perceived as bias or favouritism when implemented poorly without formal assessment and bro</w:t>
      </w:r>
      <w:r>
        <w:t>ad talent pools (Taylor, 2025).</w:t>
      </w:r>
    </w:p>
    <w:p w14:paraId="639457FD" w14:textId="77777777" w:rsidR="00D24CEE" w:rsidRPr="00D24CEE" w:rsidRDefault="00D24CEE" w:rsidP="00D24CEE"/>
    <w:p w14:paraId="4D0081F7" w14:textId="77777777" w:rsidR="00D24CEE" w:rsidRPr="00D24CEE" w:rsidRDefault="00D24CEE" w:rsidP="00D24CEE">
      <w:r w:rsidRPr="00D24CEE">
        <w:t>2.3</w:t>
      </w:r>
    </w:p>
    <w:p w14:paraId="2786C0A4" w14:textId="77777777" w:rsidR="00D24CEE" w:rsidRPr="00D24CEE" w:rsidRDefault="00D24CEE" w:rsidP="00D24CEE">
      <w:r w:rsidRPr="00D24CEE">
        <w:lastRenderedPageBreak/>
        <w:t>Referral schemes where current employees share vacancies amongst their social group is a method of recruitment that is utilised among some firms. This is a low-effort and cost effective method of recruitment, that can work well for retention as the employee will likely provide detailed information about the role that would not typically be included in a typical job advertisement, giving a realistic job preview, which can facilitate retention (Schlachter &amp; Pieper, 2019). There is debate whether this method promotes diversity or is inherently anti-diverse. It can contribute to a culture of nepotism, and conflicts of interest can arise, but on the other hand, is an effective method of targeting marginalised groups (CIPD, 2024). </w:t>
      </w:r>
    </w:p>
    <w:p w14:paraId="77991A3C" w14:textId="77777777" w:rsidR="00D24CEE" w:rsidRPr="00D24CEE" w:rsidRDefault="00D24CEE" w:rsidP="00D24CEE">
      <w:r w:rsidRPr="00D24CEE">
        <w:t>Talent banks are a recruitment method, whereby the CV’s of previous applications and enquirers are retained for future vacancies. This method of recruitment is low-cost and has a shorter time-to-hire compared to relying on recurrent online advertisements as they are pre-shortlisted, but has a few downsides. Applicant CVs may be stored for such a long time that when the vacancy opens up, the candidates may have lost interest or found other employment, meaning that this method may not have a high success rate when applied. Furthermore, when a candidate is approached by the organisation, the reversal of traditional roles may raise expectations of job success, favourable treatment and perceptions of negotiation strength from the candidate (Pilbeam &amp; Corbridge, 2010). </w:t>
      </w:r>
    </w:p>
    <w:p w14:paraId="479054A6" w14:textId="77777777" w:rsidR="00D24CEE" w:rsidRPr="00D24CEE" w:rsidRDefault="00D24CEE" w:rsidP="00D24CEE">
      <w:r w:rsidRPr="00D24CEE">
        <w:t>Psychometric testing is a selection method that utilises standardised testing of ability or aptitude to assess candidate suitability for roles. Tests are designed by psychologists who have expertise in the area of work, and the results can indicate high predictive validity for job performance. As every candidate is subject to an identical test, it facilitates fairness and equal opportunity. However, poorly designed tests can inadvertently put some groups at a disadvantage. It is important that tests are administered and analysed by certified personnel, and psychometric testing should not be used as the sole basis for selection decisions (CIPD, 2024; Pilbeam &amp; Corbridge, 2010). </w:t>
      </w:r>
    </w:p>
    <w:p w14:paraId="070C5108" w14:textId="77777777" w:rsidR="00D24CEE" w:rsidRPr="00D24CEE" w:rsidRDefault="00D24CEE" w:rsidP="00D24CEE">
      <w:r w:rsidRPr="00D24CEE">
        <w:t xml:space="preserve">Work sample exercises are a selection technique where a scenario is set up in which a candidate can demonstrate their competency in a required task. This offers insight beyond what is retrievable in an interview, as employers can assess whether the candidate does in fact possess the ability to carry out the role, rather than just taking their word for it (Pilbeam &amp; Corbridge, 2010). In the case of </w:t>
      </w:r>
      <w:proofErr w:type="spellStart"/>
      <w:r w:rsidRPr="00D24CEE">
        <w:t>ParcelCare</w:t>
      </w:r>
      <w:proofErr w:type="spellEnd"/>
      <w:r w:rsidRPr="00D24CEE">
        <w:t xml:space="preserve">, this might look like a test drive following GPS instructions. Work sample exercises have been found to be accurate predictors of performance when compared with other selection methods, and can also be leveraged to discern the extent to which they will require further training, in turn aiding selection decision-making (Pilbeam &amp; Corbridge, 2010; Picardi, 2020; CIPD, 2024). Work sample exercises can be costly and difficult to execute. It requires logistical resources such as equipment and space to </w:t>
      </w:r>
      <w:proofErr w:type="gramStart"/>
      <w:r w:rsidRPr="00D24CEE">
        <w:t>perform,</w:t>
      </w:r>
      <w:proofErr w:type="gramEnd"/>
      <w:r w:rsidRPr="00D24CEE">
        <w:t xml:space="preserve"> therefore they are better applied after shortlisting (Picardi, 2020). </w:t>
      </w:r>
    </w:p>
    <w:p w14:paraId="7E8D4285" w14:textId="77777777" w:rsidR="00D24CEE" w:rsidRDefault="00D24CEE" w:rsidP="00D24CEE"/>
    <w:p w14:paraId="0C3DE560" w14:textId="77777777" w:rsidR="00D24CEE" w:rsidRPr="00D24CEE" w:rsidRDefault="00D24CEE" w:rsidP="00D24CEE">
      <w:r w:rsidRPr="00D24CEE">
        <w:t>3.1</w:t>
      </w:r>
    </w:p>
    <w:p w14:paraId="3D954D7F" w14:textId="77777777" w:rsidR="00D24CEE" w:rsidRPr="00D24CEE" w:rsidRDefault="00D24CEE" w:rsidP="00D24CEE">
      <w:r w:rsidRPr="00D24CEE">
        <w:t>When excessive turnover occurs, it is beneficial to assess any themes within exit interviews to reflect and identify areas for improvement. A key part of this is concluding whether each employee exit was an instance of avoidable, or unavoidable turnover, and whether each instance was influenced by push factors or pull factors. </w:t>
      </w:r>
    </w:p>
    <w:p w14:paraId="23CACEC4" w14:textId="77777777" w:rsidR="00D24CEE" w:rsidRPr="00D24CEE" w:rsidRDefault="00D24CEE" w:rsidP="00D24CEE">
      <w:r w:rsidRPr="00D24CEE">
        <w:lastRenderedPageBreak/>
        <w:t xml:space="preserve">Avoidable turnover is turnover that could have been prevented by the organisation if measures to enhance satisfaction were put in place; such as better pay, working conditions or advancement opportunities. It has been stated that 42% </w:t>
      </w:r>
      <w:r w:rsidR="00A40D49">
        <w:t>of turnover is avoidable but ig</w:t>
      </w:r>
      <w:r w:rsidRPr="00D24CEE">
        <w:t>nored. Examining the specific reason behind each instance of avoidable turnover is beneficial, as it can highlight organisational failures and issues that could be improved, and can be acted upon to prevent further turnover for the same reason (Morell et al., 2001; Tatel &amp; Wigert, 2024). Unavoidable turnover on the other hand, refers to exits beyond the control of the organisation, such as health decline or relocation. When the majority of the turnover is unavoidable, organisational efforts are best spent developing ways to manage the impact of turnover. Spending money on improvements may be ineffective when reasons for leaving are primarily personal (Morell et al., 2001). </w:t>
      </w:r>
    </w:p>
    <w:p w14:paraId="366AEF93" w14:textId="350E6503" w:rsidR="00D24CEE" w:rsidRPr="00D24CEE" w:rsidRDefault="00D24CEE" w:rsidP="00D24CEE">
      <w:r w:rsidRPr="00D24CEE">
        <w:t xml:space="preserve">When making the decision to leave an organisation, aside from personal circumstances, employees may be influenced by push or pull factors. Push factors refer to when an internal element of the job causes the employee to be unsatisfied with the role, ultimately driving them away from the organisation. These can include incompatibility with management style, toxic working environments, lack of recognition or opportunities for growth, or low salary (Mutanga et al., 2021; Torrington et al., 2020). Pull factors, on the other hand, are used in relation to what attracts employees into a new job. Pull factors provide an explanation as to why an employee may have jumped ship to a different role with a competitor. Competitors may be offering better salary and perks, better job security or flexibility, more growth opportunities, healthier working environments or better designed jobs that provide more mental challenge and satisfaction (Mutanga et al., 2021; Torrington et al., 2020). Understanding the difference between push and pull </w:t>
      </w:r>
      <w:proofErr w:type="gramStart"/>
      <w:r w:rsidRPr="00D24CEE">
        <w:t>factors, and</w:t>
      </w:r>
      <w:proofErr w:type="gramEnd"/>
      <w:r w:rsidRPr="00D24CEE">
        <w:t xml:space="preserve"> seeing how they apply to data extracted from exit interviews can highlight whether </w:t>
      </w:r>
      <w:r w:rsidRPr="008D4108">
        <w:rPr>
          <w:strike/>
        </w:rPr>
        <w:t>the organisation</w:t>
      </w:r>
      <w:r w:rsidRPr="00D24CEE">
        <w:t xml:space="preserve"> </w:t>
      </w:r>
      <w:proofErr w:type="spellStart"/>
      <w:r w:rsidR="008D4108">
        <w:rPr>
          <w:color w:val="EE0000"/>
        </w:rPr>
        <w:t>ParcelCare</w:t>
      </w:r>
      <w:proofErr w:type="spellEnd"/>
      <w:r w:rsidR="008D4108">
        <w:rPr>
          <w:color w:val="EE0000"/>
        </w:rPr>
        <w:t xml:space="preserve"> would need</w:t>
      </w:r>
      <w:r w:rsidR="008D4108" w:rsidRPr="008D4108">
        <w:rPr>
          <w:strike/>
          <w:color w:val="EE0000"/>
        </w:rPr>
        <w:t xml:space="preserve"> </w:t>
      </w:r>
      <w:r w:rsidRPr="008D4108">
        <w:rPr>
          <w:strike/>
        </w:rPr>
        <w:t>needs</w:t>
      </w:r>
      <w:r w:rsidRPr="00D24CEE">
        <w:t xml:space="preserve"> to focus retention strategy on improving satisfaction internally, or on competing externally. </w:t>
      </w:r>
    </w:p>
    <w:p w14:paraId="3F75A0FC" w14:textId="77777777" w:rsidR="00D24CEE" w:rsidRDefault="00D24CEE" w:rsidP="00D24CEE"/>
    <w:p w14:paraId="1EADC16F" w14:textId="77777777" w:rsidR="00D24CEE" w:rsidRPr="00D24CEE" w:rsidRDefault="00D24CEE" w:rsidP="00D24CEE">
      <w:r w:rsidRPr="00D24CEE">
        <w:t>3.2</w:t>
      </w:r>
    </w:p>
    <w:p w14:paraId="0AE289A8" w14:textId="77777777" w:rsidR="00D24CEE" w:rsidRPr="00D24CEE" w:rsidRDefault="00D24CEE" w:rsidP="00D24CEE">
      <w:r w:rsidRPr="00D24CEE">
        <w:t>Realistic job previews are an element of the attraction and recruitment stage of the employee lifecycle that serves to connect employers with candidates who are willing and capable of performing the job. This entails sharing information about the job that is honest, in the sense that it includes a balanced depiction of both the positive and negative details of the job (Earnest et al., 2011). The benefits of realistic job previews are that the information shared allows applicants to make an informed decision about the role, and enables applicants to self-withdraw if they perceive themselves to be unable to carry out the responsibilities of the role. This reduces voluntary turnover shortly after recruitment, as they come to the decision before onboarding. Additionally, realistic job previews are seen to foster trustworthiness, eliminate feelings of ambiguity and provide role-clarity; all of which have been linked to retention (Earnest et al., 2011). </w:t>
      </w:r>
    </w:p>
    <w:p w14:paraId="2FC7ACB4" w14:textId="77777777" w:rsidR="00D24CEE" w:rsidRPr="00D24CEE" w:rsidRDefault="00D24CEE" w:rsidP="00D24CEE">
      <w:r w:rsidRPr="00D24CEE">
        <w:t>The quality of induction is a make-or-break factor in employee retention, as approximately one in five new starters leave their job within the first three months, a trend commonly referred to as the ‘induction crisis’ (Leatherbarrow &amp; Fletcher, 2019). Effective inductions can mitigate feelings of isolation and confusion that may appear amongst new starters by providing clarity surrounding the rules and procedures, and introducing them to their key points of contact if they are experiencing issues (Leatherbarrow &amp; Fletcher, 2019). </w:t>
      </w:r>
    </w:p>
    <w:p w14:paraId="1A39317C" w14:textId="77777777" w:rsidR="00D24CEE" w:rsidRPr="00D24CEE" w:rsidRDefault="00D24CEE" w:rsidP="00D24CEE">
      <w:r w:rsidRPr="00D24CEE">
        <w:lastRenderedPageBreak/>
        <w:t>Job enrichment is a theory that focuses on job design that enhances motivation. Within the theory, it is suggested that the most ‘enriched’ jobs are the ones that produce high feelings of knowledge, meaning and responsibility (Drewery, 2019). In this case, knowledge refers to the degree to which the employee understands what their role entails and how to do it well. This highlights the importance of quality induction for new starters, and continuous training and development for existing employees. Meaning refers to whether the employee perceives their job to be worthwhile, important and valuable. This intrinsic motivation is experienced by employees who feel connected to their work or essential to the organisation. Finally, responsibility is evoked by high autonomy, roles where employees get the opportunity to make decisions without consulting management (Drewery, 2019). </w:t>
      </w:r>
    </w:p>
    <w:p w14:paraId="1F2C2F73" w14:textId="77777777" w:rsidR="00D24CEE" w:rsidRPr="00D24CEE" w:rsidRDefault="00D24CEE" w:rsidP="00D24CEE">
      <w:r w:rsidRPr="00D24CEE">
        <w:t>Reward is central to retention, whether it’s financial, non-financial or intrinsic. Feeling compensated for their time and effort, especially at competitive or above-market rates, signals investment from the organisation, and correlates with commitment and intention to stay, but non-financial rewards are also valuable as they can invoke feelings of gratitude, obligation and reciprocation from employees, resulting in loyalty towards their employers (Zhu &amp; Newman, 2022).</w:t>
      </w:r>
    </w:p>
    <w:p w14:paraId="7D251A9A" w14:textId="1D6B3F8C" w:rsidR="00D24CEE" w:rsidRPr="008D4108" w:rsidRDefault="00D24CEE" w:rsidP="00D24CEE">
      <w:pPr>
        <w:rPr>
          <w:color w:val="EE0000"/>
        </w:rPr>
      </w:pPr>
      <w:r w:rsidRPr="00D24CEE">
        <w:t>While all of these approaches can have positive effects on employee retention, they serve different purposes as they are implemented at different stages of the employee lifecycle. Realistic job previews are used as a preventative measure during the attraction stage, while inductions serve to build a foundation with new starters. Job enrichment and reward target existing employees, promoting retention by sparking feelings of commitment towards the organisation.</w:t>
      </w:r>
      <w:r w:rsidR="008D4108">
        <w:t xml:space="preserve"> </w:t>
      </w:r>
      <w:proofErr w:type="spellStart"/>
      <w:r w:rsidR="008D4108">
        <w:rPr>
          <w:color w:val="EE0000"/>
        </w:rPr>
        <w:t>ParcelCare</w:t>
      </w:r>
      <w:proofErr w:type="spellEnd"/>
      <w:r w:rsidR="008D4108">
        <w:rPr>
          <w:color w:val="EE0000"/>
        </w:rPr>
        <w:t xml:space="preserve"> would benefit from including elements of each technique in its retention strategy.</w:t>
      </w:r>
    </w:p>
    <w:p w14:paraId="137A7F42" w14:textId="77777777" w:rsidR="00D24CEE" w:rsidRPr="00D24CEE" w:rsidRDefault="00D24CEE" w:rsidP="00D24CEE"/>
    <w:p w14:paraId="5D70BD73" w14:textId="77777777" w:rsidR="00D24CEE" w:rsidRPr="00D24CEE" w:rsidRDefault="00D24CEE" w:rsidP="00D24CEE">
      <w:r>
        <w:t>3.3</w:t>
      </w:r>
    </w:p>
    <w:p w14:paraId="4920C0A4" w14:textId="77777777" w:rsidR="00D24CEE" w:rsidRPr="00D24CEE" w:rsidRDefault="00D24CEE" w:rsidP="00D24CEE">
      <w:r w:rsidRPr="00D24CEE">
        <w:t xml:space="preserve">Dysfunctional turnover is the voluntary departure of valuable employees who may have been posted in hard-to-fill jobs, as opposed to functional turnover, which is the exit of poor performing employees giving way for better talent to take their place. Dysfunctional turnover has a </w:t>
      </w:r>
      <w:r w:rsidR="00A40D49">
        <w:t>negative impact on organisation</w:t>
      </w:r>
      <w:r w:rsidRPr="00D24CEE">
        <w:t>s in several ways, exacerbated by tight labour market conditions and skills shortages (Taylor &amp; Woodhams, 2022; CIPD, 2025; Pilbeam &amp; Corbridge, 2010). </w:t>
      </w:r>
    </w:p>
    <w:p w14:paraId="088B2195" w14:textId="77777777" w:rsidR="00D24CEE" w:rsidRPr="00D24CEE" w:rsidRDefault="00D24CEE" w:rsidP="00D24CEE">
      <w:r w:rsidRPr="00D24CEE">
        <w:t>Employees who leave high-skilled or specialist roles were likely to have received investment from the organisation into their training and development. Their departure represents the loss of that expertise and firm-specific knowledge, and a reduced return on investment. Their replacement may require the same investment into their development to reach the same level of productivity as their predecessor. This is why some organisations may choose to stipulate a required period of continued employment, or repayment, following sponsorship of professional qualifications (Manchester, 2010). </w:t>
      </w:r>
    </w:p>
    <w:p w14:paraId="5C9407FA" w14:textId="39E9DF80" w:rsidR="00D24CEE" w:rsidRPr="00D24CEE" w:rsidRDefault="00D24CEE" w:rsidP="00D24CEE">
      <w:r w:rsidRPr="00D24CEE">
        <w:t xml:space="preserve">The loss of staff disrupts routines and diverts managerial attention, contributing to overall organisational disruption and weakened morale and team-stability, causing indirect costs to the business in terms of financial loss due to low productivity (Shaw, 2011; CIPD, 2025). More direct costs as a result of turnover manifest as administration costs, overtime or cover wages, and recruitment and onboarding costs (CIPD, 2025; Pilbeam &amp; Corbridge, 2010; Wallace &amp; Gaylor, 2012; </w:t>
      </w:r>
      <w:r w:rsidRPr="00D24CEE">
        <w:lastRenderedPageBreak/>
        <w:t xml:space="preserve">Torrington et al., 2020). It is estimated that the average cost of replacing an employee is £2,000 (Leatherbarrow &amp; Fletcher, 2019). Left unmanaged, dysfunctional turnover </w:t>
      </w:r>
      <w:proofErr w:type="gramStart"/>
      <w:r w:rsidRPr="008D4108">
        <w:rPr>
          <w:strike/>
        </w:rPr>
        <w:t>can</w:t>
      </w:r>
      <w:r w:rsidR="008D4108">
        <w:t xml:space="preserve"> </w:t>
      </w:r>
      <w:r w:rsidR="008D4108">
        <w:rPr>
          <w:color w:val="EE0000"/>
        </w:rPr>
        <w:t>could</w:t>
      </w:r>
      <w:proofErr w:type="gramEnd"/>
      <w:r w:rsidRPr="00D24CEE">
        <w:t xml:space="preserve"> pose both an operational and a financial risk</w:t>
      </w:r>
      <w:r w:rsidR="008D4108">
        <w:t xml:space="preserve"> </w:t>
      </w:r>
      <w:r w:rsidR="008D4108">
        <w:rPr>
          <w:color w:val="EE0000"/>
        </w:rPr>
        <w:t xml:space="preserve">to </w:t>
      </w:r>
      <w:proofErr w:type="spellStart"/>
      <w:r w:rsidR="008D4108">
        <w:rPr>
          <w:color w:val="EE0000"/>
        </w:rPr>
        <w:t>ParcelCare</w:t>
      </w:r>
      <w:proofErr w:type="spellEnd"/>
      <w:r w:rsidRPr="00D24CEE">
        <w:t>, highlighting the importance in prioritising proactive retention initiatives. </w:t>
      </w:r>
    </w:p>
    <w:p w14:paraId="3602DA29" w14:textId="77777777" w:rsidR="00D24CEE" w:rsidRDefault="00D24CEE" w:rsidP="00D24CEE"/>
    <w:p w14:paraId="267836A8" w14:textId="77777777" w:rsidR="00D24CEE" w:rsidRPr="00D24CEE" w:rsidRDefault="00D24CEE" w:rsidP="00D24CEE">
      <w:r w:rsidRPr="00D24CEE">
        <w:t>4.1</w:t>
      </w:r>
    </w:p>
    <w:p w14:paraId="6CD583C0" w14:textId="77777777" w:rsidR="00D24CEE" w:rsidRPr="00D24CEE" w:rsidRDefault="00D24CEE" w:rsidP="00D24CEE">
      <w:r w:rsidRPr="00D24CEE">
        <w:t xml:space="preserve">Permanent, full-time contracts enable </w:t>
      </w:r>
      <w:proofErr w:type="spellStart"/>
      <w:r w:rsidRPr="00D24CEE">
        <w:t>ParcelCare</w:t>
      </w:r>
      <w:proofErr w:type="spellEnd"/>
      <w:r w:rsidRPr="00D24CEE">
        <w:t xml:space="preserve"> to establish a baseline staffing level necessary to maintain day-to-day operations. The stability that comes with permanent and full-time work is attractive and has been seen to have positive effects on wellbeing and health when compared to other contract types with varying hours and schedules (Pirani &amp; Salvini, 2015). Improved wellbeing may result in lower absence averages and make for a safer and productive working environment. However, seasonal demands may require excessive overtime during peak periods, which in excess, can undermine the health benefits of stable work, and cause fatigue which has a knock on effect on absence, safety and productivity. </w:t>
      </w:r>
    </w:p>
    <w:p w14:paraId="562C49D8" w14:textId="77777777" w:rsidR="00D24CEE" w:rsidRPr="00D24CEE" w:rsidRDefault="00D24CEE" w:rsidP="00D24CEE">
      <w:r w:rsidRPr="00D24CEE">
        <w:t xml:space="preserve">Zero-hours contracts may be a viable option for </w:t>
      </w:r>
      <w:proofErr w:type="spellStart"/>
      <w:r w:rsidRPr="00D24CEE">
        <w:t>ParcelCare</w:t>
      </w:r>
      <w:proofErr w:type="spellEnd"/>
      <w:r w:rsidRPr="00D24CEE">
        <w:t xml:space="preserve"> to overcome peak demands in busier times of the year, without taking on permanent, full-time workers when there isn’t enough work to go around. Zero-hours contracts are common in the delivery sector, and workers are entitled to employment rights such as holiday pay and sick pay, but the employer is not obliged to give them minimum working hours (</w:t>
      </w:r>
      <w:proofErr w:type="spellStart"/>
      <w:r w:rsidRPr="00D24CEE">
        <w:t>Acas</w:t>
      </w:r>
      <w:proofErr w:type="spellEnd"/>
      <w:r w:rsidRPr="00D24CEE">
        <w:t>, 2024). Shifts can be offered or cancelled on short notice, and this makes them very suited to picking up extra work that full-time employees are not able to complete due to the flexible nature of the contract. However, zero-hours workers have the right to decline work without detriment, making their attendance unpredictable and possibly unreliable (</w:t>
      </w:r>
      <w:proofErr w:type="spellStart"/>
      <w:r w:rsidRPr="00D24CEE">
        <w:t>Acas</w:t>
      </w:r>
      <w:proofErr w:type="spellEnd"/>
      <w:r w:rsidRPr="00D24CEE">
        <w:t xml:space="preserve">, 2024).  </w:t>
      </w:r>
      <w:r w:rsidRPr="00D24CEE">
        <w:br/>
        <w:t xml:space="preserve">It is important for </w:t>
      </w:r>
      <w:proofErr w:type="spellStart"/>
      <w:r w:rsidRPr="00D24CEE">
        <w:t>ParcelCare</w:t>
      </w:r>
      <w:proofErr w:type="spellEnd"/>
      <w:r w:rsidRPr="00D24CEE">
        <w:t xml:space="preserve"> to note that the new Employment Rights Act (2025) lays out some changes regarding zero-hours contracts that are set to come into place in 2027; including the right to guaranteed working hours upon request, reasonable notice for shifts and compensation for cancelled shifts (</w:t>
      </w:r>
      <w:proofErr w:type="spellStart"/>
      <w:r w:rsidRPr="00D24CEE">
        <w:t>Acas</w:t>
      </w:r>
      <w:proofErr w:type="spellEnd"/>
      <w:r w:rsidRPr="00D24CEE">
        <w:t>, 2025). These legislative changes will impose tighter restrictions on zero-hours contracts, making them less flexible and potentially costly in practice. </w:t>
      </w:r>
    </w:p>
    <w:p w14:paraId="7C19CF4A" w14:textId="77777777" w:rsidR="00D24CEE" w:rsidRPr="00D24CEE" w:rsidRDefault="00D24CEE" w:rsidP="00D24CEE">
      <w:r w:rsidRPr="00D24CEE">
        <w:t xml:space="preserve">Utilising self-employed drivers may offer flexibility for </w:t>
      </w:r>
      <w:proofErr w:type="spellStart"/>
      <w:r w:rsidRPr="00D24CEE">
        <w:t>ParcelCare</w:t>
      </w:r>
      <w:proofErr w:type="spellEnd"/>
      <w:r w:rsidRPr="00D24CEE">
        <w:t xml:space="preserve"> during peak seasonal times. There is no requirement to provide minimum hours to self-employed drivers, allowing the workforce to expand or decrease according to demand. This avoids </w:t>
      </w:r>
      <w:proofErr w:type="spellStart"/>
      <w:r w:rsidRPr="00D24CEE">
        <w:t>overhiring</w:t>
      </w:r>
      <w:proofErr w:type="spellEnd"/>
      <w:r w:rsidRPr="00D24CEE">
        <w:t xml:space="preserve"> permanent, full-time employees when demand is not guaranteed. Within the delivery sector, it is common for self-employed drivers to be paid a piece rate, which </w:t>
      </w:r>
      <w:proofErr w:type="spellStart"/>
      <w:r w:rsidRPr="00D24CEE">
        <w:t>elimiates</w:t>
      </w:r>
      <w:proofErr w:type="spellEnd"/>
      <w:r w:rsidRPr="00D24CEE">
        <w:t xml:space="preserve"> costs for inactive time, and many even use their own vehicles, known as ‘life-style couriers’, meaning that they absorb all work-related costs (Moore &amp; Newsome, 2018; Hodder &amp; </w:t>
      </w:r>
      <w:proofErr w:type="spellStart"/>
      <w:r w:rsidRPr="00D24CEE">
        <w:t>Mustchin</w:t>
      </w:r>
      <w:proofErr w:type="spellEnd"/>
      <w:r w:rsidRPr="00D24CEE">
        <w:t xml:space="preserve">). Self-employed workers are not entitled to sick pay, holiday pay or pensions like direct workers are, however, there is an increasing risk of litigation surrounding self-employed delivery drivers. There have been several tribunal and even supreme court rulings where judges have looked beyond contractual labels and deemed couriers as ‘workers’ due to the control and monitoring that organisations exert over them within the delivery sector, leaving employers liable for holiday pay and other statutory protections (Moore et al., 2017; Moore &amp; Newsome, 2018; Uber BV v </w:t>
      </w:r>
      <w:proofErr w:type="spellStart"/>
      <w:r w:rsidRPr="00D24CEE">
        <w:t>Alsam</w:t>
      </w:r>
      <w:proofErr w:type="spellEnd"/>
      <w:r w:rsidRPr="00D24CEE">
        <w:t>, 2021).</w:t>
      </w:r>
    </w:p>
    <w:p w14:paraId="05323256" w14:textId="77777777" w:rsidR="00D24CEE" w:rsidRDefault="00D24CEE" w:rsidP="00D24CEE"/>
    <w:p w14:paraId="71C1C8CF" w14:textId="77777777" w:rsidR="00D24CEE" w:rsidRPr="00D24CEE" w:rsidRDefault="00D24CEE" w:rsidP="00D24CEE">
      <w:r>
        <w:t xml:space="preserve">4.2 </w:t>
      </w:r>
    </w:p>
    <w:p w14:paraId="3241968D" w14:textId="59C2DD38" w:rsidR="00D24CEE" w:rsidRPr="00D24CEE" w:rsidRDefault="00D24CEE" w:rsidP="00D24CEE">
      <w:r w:rsidRPr="00D24CEE">
        <w:t xml:space="preserve">Effective onboarding goes beyond basic induction tasks such as health and safety training and paperwork. While ensuring legislative compliance through the completion of statutory documents and essential health and safety training is a crucial part of onboarding, it is equally important that new starters are supported in getting to know the role, building relationships with their colleagues and understanding how the organisation works from day one, and throughout the first few months of their employment </w:t>
      </w:r>
      <w:r w:rsidR="008D4108">
        <w:rPr>
          <w:color w:val="EE0000"/>
        </w:rPr>
        <w:t xml:space="preserve">at </w:t>
      </w:r>
      <w:proofErr w:type="spellStart"/>
      <w:r w:rsidR="008D4108">
        <w:rPr>
          <w:color w:val="EE0000"/>
        </w:rPr>
        <w:t>ParcelCare</w:t>
      </w:r>
      <w:proofErr w:type="spellEnd"/>
      <w:r w:rsidR="008D4108">
        <w:rPr>
          <w:color w:val="EE0000"/>
        </w:rPr>
        <w:t xml:space="preserve"> </w:t>
      </w:r>
      <w:r w:rsidRPr="00D24CEE">
        <w:t>(McCartney, 2024). </w:t>
      </w:r>
    </w:p>
    <w:p w14:paraId="193961B0" w14:textId="77777777" w:rsidR="00D24CEE" w:rsidRPr="00D24CEE" w:rsidRDefault="00D24CEE" w:rsidP="00D24CEE">
      <w:r w:rsidRPr="00D24CEE">
        <w:t>The induction is the best time to inform the employee of organisational rules and procedures, whether it is in regard to probationary periods, absence, policies or complaints. The conditions of their employment should be reiterated and there should be a written statement for both parties to keep in their records. Health and safety training should be thorough, addressing emergency protocol and hazard reporting (</w:t>
      </w:r>
      <w:proofErr w:type="spellStart"/>
      <w:r w:rsidRPr="00D24CEE">
        <w:t>Acas</w:t>
      </w:r>
      <w:proofErr w:type="spellEnd"/>
      <w:r w:rsidRPr="00D24CEE">
        <w:t>, 2026). This sets clear expectations and makes employees aware of the channels to address any issues that they may face, which establishes professional standards and fosters trust and confidence.</w:t>
      </w:r>
    </w:p>
    <w:p w14:paraId="496554D5" w14:textId="7B165700" w:rsidR="00D24CEE" w:rsidRPr="00D24CEE" w:rsidRDefault="00D24CEE" w:rsidP="00D24CEE">
      <w:r w:rsidRPr="00D24CEE">
        <w:t>All employees are limited in their performance when they first join an organisation, as they adjust to their new environment, and learn new things. An effective onboarding experience that contains some degree of a training plan drastically reduces the time it takes for new employees to achieve full productivity and competence, which benefits the overall performance of</w:t>
      </w:r>
      <w:r w:rsidR="008D4108">
        <w:t xml:space="preserve"> </w:t>
      </w:r>
      <w:proofErr w:type="spellStart"/>
      <w:r w:rsidR="008D4108">
        <w:rPr>
          <w:color w:val="EE0000"/>
        </w:rPr>
        <w:t>ParcelCare</w:t>
      </w:r>
      <w:proofErr w:type="spellEnd"/>
      <w:r w:rsidRPr="00D24CEE">
        <w:t xml:space="preserve"> </w:t>
      </w:r>
      <w:r w:rsidRPr="008D4108">
        <w:rPr>
          <w:strike/>
        </w:rPr>
        <w:t xml:space="preserve">the company </w:t>
      </w:r>
      <w:r w:rsidRPr="00D24CEE">
        <w:t>(McCartney, 2024; Snell, 2020; Green, 2017).</w:t>
      </w:r>
    </w:p>
    <w:p w14:paraId="4F745C8C" w14:textId="77777777" w:rsidR="00D24CEE" w:rsidRPr="00D24CEE" w:rsidRDefault="00D24CEE" w:rsidP="00D24CEE">
      <w:r w:rsidRPr="00D24CEE">
        <w:t>A robust onboarding process has been found to reduce turnover, as the first six months of employment is when 86% of employees decide whether they will be staying with an organisation. It is important that the employee receives support and socialisation within this time to solidify the bond between them and the employer (Green, 2017; McCartney, 2024; Mosquera, 2025; Snell, 2020)</w:t>
      </w:r>
    </w:p>
    <w:p w14:paraId="3E0F59A6" w14:textId="77777777" w:rsidR="00D24CEE" w:rsidRPr="008D4108" w:rsidRDefault="00D24CEE" w:rsidP="00D24CEE">
      <w:pPr>
        <w:rPr>
          <w:color w:val="EE0000"/>
        </w:rPr>
      </w:pPr>
      <w:r w:rsidRPr="00D24CEE">
        <w:t>Evaluation is an integral part of the onboarding process, allowing opportunities for mutual feedback in probationary meetings and informal catch-ups, rather than solely evaluating the performance of the employee. This can help diagnose issues and highlight areas of improvement so that the onboarding process can be continually refined, but can also identify the strengths of the onboarding process (McCartney, 2024). </w:t>
      </w:r>
    </w:p>
    <w:p w14:paraId="6DEF19A2" w14:textId="77777777" w:rsidR="00D24CEE" w:rsidRDefault="00D24CEE" w:rsidP="00D24CEE"/>
    <w:p w14:paraId="08B73E03" w14:textId="77777777" w:rsidR="00846E8D" w:rsidRDefault="00D24CEE" w:rsidP="00846E8D">
      <w:pPr>
        <w:rPr>
          <w:rFonts w:cstheme="minorHAnsi"/>
        </w:rPr>
      </w:pPr>
      <w:r w:rsidRPr="00846E8D">
        <w:rPr>
          <w:rFonts w:cstheme="minorHAnsi"/>
        </w:rPr>
        <w:t>Bibliography</w:t>
      </w:r>
    </w:p>
    <w:p w14:paraId="76B28C88" w14:textId="77777777" w:rsidR="004B50D2" w:rsidRPr="004B50D2" w:rsidRDefault="004B50D2" w:rsidP="004B50D2">
      <w:pPr>
        <w:rPr>
          <w:rFonts w:cstheme="minorHAnsi"/>
          <w:color w:val="EE0000"/>
        </w:rPr>
      </w:pPr>
      <w:proofErr w:type="spellStart"/>
      <w:r w:rsidRPr="004B50D2">
        <w:rPr>
          <w:rFonts w:cstheme="minorHAnsi"/>
          <w:color w:val="EE0000"/>
        </w:rPr>
        <w:t>Acas</w:t>
      </w:r>
      <w:proofErr w:type="spellEnd"/>
      <w:r w:rsidRPr="004B50D2">
        <w:rPr>
          <w:rFonts w:cstheme="minorHAnsi"/>
          <w:color w:val="EE0000"/>
        </w:rPr>
        <w:t xml:space="preserve"> (2024) </w:t>
      </w:r>
      <w:r w:rsidRPr="004B50D2">
        <w:rPr>
          <w:rStyle w:val="Emphasis"/>
          <w:rFonts w:cstheme="minorHAnsi"/>
          <w:color w:val="EE0000"/>
        </w:rPr>
        <w:t>Zero-hours contracts</w:t>
      </w:r>
      <w:r w:rsidRPr="004B50D2">
        <w:rPr>
          <w:rFonts w:cstheme="minorHAnsi"/>
          <w:color w:val="EE0000"/>
        </w:rPr>
        <w:t xml:space="preserve">. [online] </w:t>
      </w:r>
      <w:proofErr w:type="spellStart"/>
      <w:r w:rsidRPr="004B50D2">
        <w:rPr>
          <w:rFonts w:cstheme="minorHAnsi"/>
          <w:color w:val="EE0000"/>
        </w:rPr>
        <w:t>Acas</w:t>
      </w:r>
      <w:proofErr w:type="spellEnd"/>
      <w:r w:rsidRPr="004B50D2">
        <w:rPr>
          <w:rFonts w:cstheme="minorHAnsi"/>
          <w:color w:val="EE0000"/>
        </w:rPr>
        <w:t xml:space="preserve">. Available at: </w:t>
      </w:r>
      <w:hyperlink r:id="rId4" w:tgtFrame="_new" w:history="1">
        <w:r w:rsidRPr="004B50D2">
          <w:rPr>
            <w:rStyle w:val="Hyperlink"/>
            <w:rFonts w:cstheme="minorHAnsi"/>
            <w:color w:val="EE0000"/>
          </w:rPr>
          <w:t>https://www.acas.org.uk/zero-hours-contracts</w:t>
        </w:r>
      </w:hyperlink>
      <w:r w:rsidRPr="004B50D2">
        <w:rPr>
          <w:rFonts w:cstheme="minorHAnsi"/>
          <w:color w:val="EE0000"/>
        </w:rPr>
        <w:t>.</w:t>
      </w:r>
    </w:p>
    <w:p w14:paraId="3AC63D9C" w14:textId="77777777" w:rsidR="004B50D2" w:rsidRPr="004B50D2" w:rsidRDefault="004B50D2" w:rsidP="004B50D2">
      <w:pPr>
        <w:pStyle w:val="NormalWeb"/>
        <w:rPr>
          <w:rFonts w:asciiTheme="minorHAnsi" w:hAnsiTheme="minorHAnsi" w:cstheme="minorHAnsi"/>
          <w:color w:val="EE0000"/>
          <w:sz w:val="22"/>
          <w:szCs w:val="22"/>
        </w:rPr>
      </w:pPr>
      <w:proofErr w:type="spellStart"/>
      <w:r w:rsidRPr="004B50D2">
        <w:rPr>
          <w:rFonts w:asciiTheme="minorHAnsi" w:hAnsiTheme="minorHAnsi" w:cstheme="minorHAnsi"/>
          <w:color w:val="EE0000"/>
          <w:sz w:val="22"/>
          <w:szCs w:val="22"/>
        </w:rPr>
        <w:t>Acas</w:t>
      </w:r>
      <w:proofErr w:type="spellEnd"/>
      <w:r w:rsidRPr="004B50D2">
        <w:rPr>
          <w:rFonts w:asciiTheme="minorHAnsi" w:hAnsiTheme="minorHAnsi" w:cstheme="minorHAnsi"/>
          <w:color w:val="EE0000"/>
          <w:sz w:val="22"/>
          <w:szCs w:val="22"/>
        </w:rPr>
        <w:t xml:space="preserve"> (2026) </w:t>
      </w:r>
      <w:r w:rsidRPr="004B50D2">
        <w:rPr>
          <w:rStyle w:val="Emphasis"/>
          <w:rFonts w:asciiTheme="minorHAnsi" w:hAnsiTheme="minorHAnsi" w:cstheme="minorHAnsi"/>
          <w:color w:val="EE0000"/>
          <w:sz w:val="22"/>
          <w:szCs w:val="22"/>
        </w:rPr>
        <w:t>Checklist for induction of new staff</w:t>
      </w:r>
      <w:r w:rsidRPr="004B50D2">
        <w:rPr>
          <w:rFonts w:asciiTheme="minorHAnsi" w:hAnsiTheme="minorHAnsi" w:cstheme="minorHAnsi"/>
          <w:color w:val="EE0000"/>
          <w:sz w:val="22"/>
          <w:szCs w:val="22"/>
        </w:rPr>
        <w:t xml:space="preserve">. [online] </w:t>
      </w:r>
      <w:proofErr w:type="spellStart"/>
      <w:r w:rsidRPr="004B50D2">
        <w:rPr>
          <w:rFonts w:asciiTheme="minorHAnsi" w:hAnsiTheme="minorHAnsi" w:cstheme="minorHAnsi"/>
          <w:color w:val="EE0000"/>
          <w:sz w:val="22"/>
          <w:szCs w:val="22"/>
        </w:rPr>
        <w:t>Acas</w:t>
      </w:r>
      <w:proofErr w:type="spellEnd"/>
      <w:r w:rsidRPr="004B50D2">
        <w:rPr>
          <w:rFonts w:asciiTheme="minorHAnsi" w:hAnsiTheme="minorHAnsi" w:cstheme="minorHAnsi"/>
          <w:color w:val="EE0000"/>
          <w:sz w:val="22"/>
          <w:szCs w:val="22"/>
        </w:rPr>
        <w:t xml:space="preserve">. Available at: </w:t>
      </w:r>
      <w:hyperlink r:id="rId5" w:tgtFrame="_new" w:history="1">
        <w:r w:rsidRPr="004B50D2">
          <w:rPr>
            <w:rStyle w:val="Hyperlink"/>
            <w:rFonts w:asciiTheme="minorHAnsi" w:hAnsiTheme="minorHAnsi" w:cstheme="minorHAnsi"/>
            <w:color w:val="EE0000"/>
            <w:sz w:val="22"/>
            <w:szCs w:val="22"/>
          </w:rPr>
          <w:t>https://www.acas.org.uk/template-checklist-for-induction-of-new-staff</w:t>
        </w:r>
      </w:hyperlink>
      <w:r w:rsidRPr="004B50D2">
        <w:rPr>
          <w:rFonts w:asciiTheme="minorHAnsi" w:hAnsiTheme="minorHAnsi" w:cstheme="minorHAnsi"/>
          <w:color w:val="EE0000"/>
          <w:sz w:val="22"/>
          <w:szCs w:val="22"/>
        </w:rPr>
        <w:t>.</w:t>
      </w:r>
    </w:p>
    <w:p w14:paraId="62365B6B" w14:textId="77777777" w:rsidR="004B50D2" w:rsidRPr="004B50D2" w:rsidRDefault="004B50D2" w:rsidP="004B50D2">
      <w:pPr>
        <w:pStyle w:val="NormalWeb"/>
        <w:rPr>
          <w:rFonts w:asciiTheme="minorHAnsi" w:hAnsiTheme="minorHAnsi" w:cstheme="minorHAnsi"/>
          <w:color w:val="EE0000"/>
          <w:sz w:val="22"/>
          <w:szCs w:val="22"/>
        </w:rPr>
      </w:pPr>
      <w:proofErr w:type="spellStart"/>
      <w:r w:rsidRPr="004B50D2">
        <w:rPr>
          <w:rFonts w:asciiTheme="minorHAnsi" w:hAnsiTheme="minorHAnsi" w:cstheme="minorHAnsi"/>
          <w:color w:val="EE0000"/>
          <w:sz w:val="22"/>
          <w:szCs w:val="22"/>
        </w:rPr>
        <w:t>Acas</w:t>
      </w:r>
      <w:proofErr w:type="spellEnd"/>
      <w:r w:rsidRPr="004B50D2">
        <w:rPr>
          <w:rFonts w:asciiTheme="minorHAnsi" w:hAnsiTheme="minorHAnsi" w:cstheme="minorHAnsi"/>
          <w:color w:val="EE0000"/>
          <w:sz w:val="22"/>
          <w:szCs w:val="22"/>
        </w:rPr>
        <w:t xml:space="preserve"> (2026) </w:t>
      </w:r>
      <w:r w:rsidRPr="004B50D2">
        <w:rPr>
          <w:rStyle w:val="Emphasis"/>
          <w:rFonts w:asciiTheme="minorHAnsi" w:hAnsiTheme="minorHAnsi" w:cstheme="minorHAnsi"/>
          <w:color w:val="EE0000"/>
          <w:sz w:val="22"/>
          <w:szCs w:val="22"/>
        </w:rPr>
        <w:t>Employment Rights Act 2025</w:t>
      </w:r>
      <w:r w:rsidRPr="004B50D2">
        <w:rPr>
          <w:rFonts w:asciiTheme="minorHAnsi" w:hAnsiTheme="minorHAnsi" w:cstheme="minorHAnsi"/>
          <w:color w:val="EE0000"/>
          <w:sz w:val="22"/>
          <w:szCs w:val="22"/>
        </w:rPr>
        <w:t xml:space="preserve">. [online] </w:t>
      </w:r>
      <w:proofErr w:type="spellStart"/>
      <w:r w:rsidRPr="004B50D2">
        <w:rPr>
          <w:rFonts w:asciiTheme="minorHAnsi" w:hAnsiTheme="minorHAnsi" w:cstheme="minorHAnsi"/>
          <w:color w:val="EE0000"/>
          <w:sz w:val="22"/>
          <w:szCs w:val="22"/>
        </w:rPr>
        <w:t>Acas</w:t>
      </w:r>
      <w:proofErr w:type="spellEnd"/>
      <w:r w:rsidRPr="004B50D2">
        <w:rPr>
          <w:rFonts w:asciiTheme="minorHAnsi" w:hAnsiTheme="minorHAnsi" w:cstheme="minorHAnsi"/>
          <w:color w:val="EE0000"/>
          <w:sz w:val="22"/>
          <w:szCs w:val="22"/>
        </w:rPr>
        <w:t xml:space="preserve">. Available at: </w:t>
      </w:r>
      <w:hyperlink r:id="rId6" w:tgtFrame="_new" w:history="1">
        <w:r w:rsidRPr="004B50D2">
          <w:rPr>
            <w:rStyle w:val="Hyperlink"/>
            <w:rFonts w:asciiTheme="minorHAnsi" w:hAnsiTheme="minorHAnsi" w:cstheme="minorHAnsi"/>
            <w:color w:val="EE0000"/>
            <w:sz w:val="22"/>
            <w:szCs w:val="22"/>
          </w:rPr>
          <w:t>https://www.acas.org.uk/employment-rights-act-2025</w:t>
        </w:r>
      </w:hyperlink>
      <w:r w:rsidRPr="004B50D2">
        <w:rPr>
          <w:rFonts w:asciiTheme="minorHAnsi" w:hAnsiTheme="minorHAnsi" w:cstheme="minorHAnsi"/>
          <w:color w:val="EE0000"/>
          <w:sz w:val="22"/>
          <w:szCs w:val="22"/>
        </w:rPr>
        <w:t>.</w:t>
      </w:r>
    </w:p>
    <w:p w14:paraId="5A5DF83A"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lastRenderedPageBreak/>
        <w:t xml:space="preserve">Allen, J. et al. (2018) ‘Understanding the impact of e-commerce on last-mile light goods vehicle activity in urban areas: The case of London’, </w:t>
      </w:r>
      <w:r w:rsidRPr="004B50D2">
        <w:rPr>
          <w:rStyle w:val="Emphasis"/>
          <w:rFonts w:asciiTheme="minorHAnsi" w:hAnsiTheme="minorHAnsi" w:cstheme="minorHAnsi"/>
          <w:color w:val="EE0000"/>
          <w:sz w:val="22"/>
          <w:szCs w:val="22"/>
        </w:rPr>
        <w:t>Transportation Research Part D: Transport and Environment</w:t>
      </w:r>
      <w:r w:rsidRPr="004B50D2">
        <w:rPr>
          <w:rFonts w:asciiTheme="minorHAnsi" w:hAnsiTheme="minorHAnsi" w:cstheme="minorHAnsi"/>
          <w:color w:val="EE0000"/>
          <w:sz w:val="22"/>
          <w:szCs w:val="22"/>
        </w:rPr>
        <w:t xml:space="preserve">, 61(Part B), pp.325–338. </w:t>
      </w:r>
      <w:proofErr w:type="gramStart"/>
      <w:r w:rsidRPr="004B50D2">
        <w:rPr>
          <w:rFonts w:asciiTheme="minorHAnsi" w:hAnsiTheme="minorHAnsi" w:cstheme="minorHAnsi"/>
          <w:color w:val="EE0000"/>
          <w:sz w:val="22"/>
          <w:szCs w:val="22"/>
        </w:rPr>
        <w:t>doi:10.1016/j.trd</w:t>
      </w:r>
      <w:proofErr w:type="gramEnd"/>
      <w:r w:rsidRPr="004B50D2">
        <w:rPr>
          <w:rFonts w:asciiTheme="minorHAnsi" w:hAnsiTheme="minorHAnsi" w:cstheme="minorHAnsi"/>
          <w:color w:val="EE0000"/>
          <w:sz w:val="22"/>
          <w:szCs w:val="22"/>
        </w:rPr>
        <w:t>.2017.07.020.</w:t>
      </w:r>
    </w:p>
    <w:p w14:paraId="6208B989"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App, S. and </w:t>
      </w:r>
      <w:proofErr w:type="spellStart"/>
      <w:r w:rsidRPr="004B50D2">
        <w:rPr>
          <w:rFonts w:asciiTheme="minorHAnsi" w:hAnsiTheme="minorHAnsi" w:cstheme="minorHAnsi"/>
          <w:color w:val="EE0000"/>
          <w:sz w:val="22"/>
          <w:szCs w:val="22"/>
        </w:rPr>
        <w:t>Büttgen</w:t>
      </w:r>
      <w:proofErr w:type="spellEnd"/>
      <w:r w:rsidRPr="004B50D2">
        <w:rPr>
          <w:rFonts w:asciiTheme="minorHAnsi" w:hAnsiTheme="minorHAnsi" w:cstheme="minorHAnsi"/>
          <w:color w:val="EE0000"/>
          <w:sz w:val="22"/>
          <w:szCs w:val="22"/>
        </w:rPr>
        <w:t xml:space="preserve">, M. (2016) ‘Lasting footprints of the employer brand: Can sustainable HRM lead to brand commitment?’, </w:t>
      </w:r>
      <w:r w:rsidRPr="004B50D2">
        <w:rPr>
          <w:rStyle w:val="Emphasis"/>
          <w:rFonts w:asciiTheme="minorHAnsi" w:hAnsiTheme="minorHAnsi" w:cstheme="minorHAnsi"/>
          <w:color w:val="EE0000"/>
          <w:sz w:val="22"/>
          <w:szCs w:val="22"/>
        </w:rPr>
        <w:t>Employee Relations</w:t>
      </w:r>
      <w:r w:rsidRPr="004B50D2">
        <w:rPr>
          <w:rFonts w:asciiTheme="minorHAnsi" w:hAnsiTheme="minorHAnsi" w:cstheme="minorHAnsi"/>
          <w:color w:val="EE0000"/>
          <w:sz w:val="22"/>
          <w:szCs w:val="22"/>
        </w:rPr>
        <w:t>, 38(5), pp.703–723. doi:10.1108/ER-06-2015-0122.</w:t>
      </w:r>
    </w:p>
    <w:p w14:paraId="03C2AF44"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Bergen, M. and Peteraf, M.A. (2002) ‘Competitor identification and competitor analysis: A broad-based managerial approach’, </w:t>
      </w:r>
      <w:r w:rsidRPr="004B50D2">
        <w:rPr>
          <w:rStyle w:val="Emphasis"/>
          <w:rFonts w:asciiTheme="minorHAnsi" w:hAnsiTheme="minorHAnsi" w:cstheme="minorHAnsi"/>
          <w:color w:val="EE0000"/>
          <w:sz w:val="22"/>
          <w:szCs w:val="22"/>
        </w:rPr>
        <w:t>Managerial and Decision Economics</w:t>
      </w:r>
      <w:r w:rsidRPr="004B50D2">
        <w:rPr>
          <w:rFonts w:asciiTheme="minorHAnsi" w:hAnsiTheme="minorHAnsi" w:cstheme="minorHAnsi"/>
          <w:color w:val="EE0000"/>
          <w:sz w:val="22"/>
          <w:szCs w:val="22"/>
        </w:rPr>
        <w:t>, 23(4–5), pp.157–169.</w:t>
      </w:r>
    </w:p>
    <w:p w14:paraId="5ECA65CB"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Bhatnagar, J. and Srivastava, P. (2008) ‘Strategy for staffing: Employer branding and person–organisation fit’, </w:t>
      </w:r>
      <w:r w:rsidRPr="004B50D2">
        <w:rPr>
          <w:rStyle w:val="Emphasis"/>
          <w:rFonts w:asciiTheme="minorHAnsi" w:hAnsiTheme="minorHAnsi" w:cstheme="minorHAnsi"/>
          <w:color w:val="EE0000"/>
          <w:sz w:val="22"/>
          <w:szCs w:val="22"/>
        </w:rPr>
        <w:t>Indian Journal of Industrial Relations</w:t>
      </w:r>
      <w:r w:rsidRPr="004B50D2">
        <w:rPr>
          <w:rFonts w:asciiTheme="minorHAnsi" w:hAnsiTheme="minorHAnsi" w:cstheme="minorHAnsi"/>
          <w:color w:val="EE0000"/>
          <w:sz w:val="22"/>
          <w:szCs w:val="22"/>
        </w:rPr>
        <w:t>, 44(1), pp.35–48.</w:t>
      </w:r>
    </w:p>
    <w:p w14:paraId="15B00F64"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Borucka, A. (2023) ‘Seasonal methods of demand forecasting in the supply chain as support for the company’s sustainable growth’, </w:t>
      </w:r>
      <w:r w:rsidRPr="004B50D2">
        <w:rPr>
          <w:rStyle w:val="Emphasis"/>
          <w:rFonts w:asciiTheme="minorHAnsi" w:hAnsiTheme="minorHAnsi" w:cstheme="minorHAnsi"/>
          <w:color w:val="EE0000"/>
          <w:sz w:val="22"/>
          <w:szCs w:val="22"/>
        </w:rPr>
        <w:t>Sustainability</w:t>
      </w:r>
      <w:r w:rsidRPr="004B50D2">
        <w:rPr>
          <w:rFonts w:asciiTheme="minorHAnsi" w:hAnsiTheme="minorHAnsi" w:cstheme="minorHAnsi"/>
          <w:color w:val="EE0000"/>
          <w:sz w:val="22"/>
          <w:szCs w:val="22"/>
        </w:rPr>
        <w:t>, 15(9), p.7399. doi:10.3390/su15097399.</w:t>
      </w:r>
    </w:p>
    <w:p w14:paraId="1E4B1F5C"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CIPD (2024) </w:t>
      </w:r>
      <w:r w:rsidRPr="004B50D2">
        <w:rPr>
          <w:rStyle w:val="Emphasis"/>
          <w:rFonts w:asciiTheme="minorHAnsi" w:hAnsiTheme="minorHAnsi" w:cstheme="minorHAnsi"/>
          <w:color w:val="EE0000"/>
          <w:sz w:val="22"/>
          <w:szCs w:val="22"/>
        </w:rPr>
        <w:t>Selection methods</w:t>
      </w:r>
      <w:r w:rsidRPr="004B50D2">
        <w:rPr>
          <w:rFonts w:asciiTheme="minorHAnsi" w:hAnsiTheme="minorHAnsi" w:cstheme="minorHAnsi"/>
          <w:color w:val="EE0000"/>
          <w:sz w:val="22"/>
          <w:szCs w:val="22"/>
        </w:rPr>
        <w:t xml:space="preserve">. [online] CIPD. Available at: </w:t>
      </w:r>
      <w:hyperlink r:id="rId7" w:tgtFrame="_new" w:history="1">
        <w:r w:rsidRPr="004B50D2">
          <w:rPr>
            <w:rStyle w:val="Hyperlink"/>
            <w:rFonts w:asciiTheme="minorHAnsi" w:hAnsiTheme="minorHAnsi" w:cstheme="minorHAnsi"/>
            <w:color w:val="EE0000"/>
            <w:sz w:val="22"/>
            <w:szCs w:val="22"/>
          </w:rPr>
          <w:t>https://www.cipd.org/uk/knowledge/factsheets/selection-factsheet/</w:t>
        </w:r>
      </w:hyperlink>
      <w:r w:rsidRPr="004B50D2">
        <w:rPr>
          <w:rFonts w:asciiTheme="minorHAnsi" w:hAnsiTheme="minorHAnsi" w:cstheme="minorHAnsi"/>
          <w:color w:val="EE0000"/>
          <w:sz w:val="22"/>
          <w:szCs w:val="22"/>
        </w:rPr>
        <w:t>.</w:t>
      </w:r>
    </w:p>
    <w:p w14:paraId="42FED075"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CIPD (2024a) </w:t>
      </w:r>
      <w:r w:rsidRPr="004B50D2">
        <w:rPr>
          <w:rStyle w:val="Emphasis"/>
          <w:rFonts w:asciiTheme="minorHAnsi" w:hAnsiTheme="minorHAnsi" w:cstheme="minorHAnsi"/>
          <w:color w:val="EE0000"/>
          <w:sz w:val="22"/>
          <w:szCs w:val="22"/>
        </w:rPr>
        <w:t>Resourcing and talent planning report 2024</w:t>
      </w:r>
      <w:r w:rsidRPr="004B50D2">
        <w:rPr>
          <w:rFonts w:asciiTheme="minorHAnsi" w:hAnsiTheme="minorHAnsi" w:cstheme="minorHAnsi"/>
          <w:color w:val="EE0000"/>
          <w:sz w:val="22"/>
          <w:szCs w:val="22"/>
        </w:rPr>
        <w:t xml:space="preserve">. London: CIPD. Available at: </w:t>
      </w:r>
      <w:hyperlink r:id="rId8" w:tgtFrame="_new" w:history="1">
        <w:r w:rsidRPr="004B50D2">
          <w:rPr>
            <w:rStyle w:val="Hyperlink"/>
            <w:rFonts w:asciiTheme="minorHAnsi" w:hAnsiTheme="minorHAnsi" w:cstheme="minorHAnsi"/>
            <w:color w:val="EE0000"/>
            <w:sz w:val="22"/>
            <w:szCs w:val="22"/>
          </w:rPr>
          <w:t>https://www.cipd.org/globalassets/media/knowledge/knowledge-hub/reports/2024-pdfs/8662-resource-and-talent-planning-2024-report-web.pdf</w:t>
        </w:r>
      </w:hyperlink>
      <w:r w:rsidRPr="004B50D2">
        <w:rPr>
          <w:rFonts w:asciiTheme="minorHAnsi" w:hAnsiTheme="minorHAnsi" w:cstheme="minorHAnsi"/>
          <w:color w:val="EE0000"/>
          <w:sz w:val="22"/>
          <w:szCs w:val="22"/>
        </w:rPr>
        <w:t>.</w:t>
      </w:r>
    </w:p>
    <w:p w14:paraId="448FEFA5"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CIPD (2024b) </w:t>
      </w:r>
      <w:r w:rsidRPr="004B50D2">
        <w:rPr>
          <w:rStyle w:val="Emphasis"/>
          <w:rFonts w:asciiTheme="minorHAnsi" w:hAnsiTheme="minorHAnsi" w:cstheme="minorHAnsi"/>
          <w:color w:val="EE0000"/>
          <w:sz w:val="22"/>
          <w:szCs w:val="22"/>
        </w:rPr>
        <w:t>Benchmarking employee turnover: What are the latest trends and insights?</w:t>
      </w:r>
      <w:r w:rsidRPr="004B50D2">
        <w:rPr>
          <w:rFonts w:asciiTheme="minorHAnsi" w:hAnsiTheme="minorHAnsi" w:cstheme="minorHAnsi"/>
          <w:color w:val="EE0000"/>
          <w:sz w:val="22"/>
          <w:szCs w:val="22"/>
        </w:rPr>
        <w:t xml:space="preserve"> [online] CIPD. Available at: </w:t>
      </w:r>
      <w:hyperlink r:id="rId9" w:tgtFrame="_new" w:history="1">
        <w:r w:rsidRPr="004B50D2">
          <w:rPr>
            <w:rStyle w:val="Hyperlink"/>
            <w:rFonts w:asciiTheme="minorHAnsi" w:hAnsiTheme="minorHAnsi" w:cstheme="minorHAnsi"/>
            <w:color w:val="EE0000"/>
            <w:sz w:val="22"/>
            <w:szCs w:val="22"/>
          </w:rPr>
          <w:t>https://www.cipd.org/uk/views-and-insights/thought-leadership/cipd-voice/benchmarking-employee-turnover/</w:t>
        </w:r>
      </w:hyperlink>
      <w:r w:rsidRPr="004B50D2">
        <w:rPr>
          <w:rFonts w:asciiTheme="minorHAnsi" w:hAnsiTheme="minorHAnsi" w:cstheme="minorHAnsi"/>
          <w:color w:val="EE0000"/>
          <w:sz w:val="22"/>
          <w:szCs w:val="22"/>
        </w:rPr>
        <w:t>.</w:t>
      </w:r>
    </w:p>
    <w:p w14:paraId="60E9704B"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CIPD (2024c) </w:t>
      </w:r>
      <w:r w:rsidRPr="004B50D2">
        <w:rPr>
          <w:rStyle w:val="Emphasis"/>
          <w:rFonts w:asciiTheme="minorHAnsi" w:hAnsiTheme="minorHAnsi" w:cstheme="minorHAnsi"/>
          <w:color w:val="EE0000"/>
          <w:sz w:val="22"/>
          <w:szCs w:val="22"/>
        </w:rPr>
        <w:t>Employer brand</w:t>
      </w:r>
      <w:r w:rsidRPr="004B50D2">
        <w:rPr>
          <w:rFonts w:asciiTheme="minorHAnsi" w:hAnsiTheme="minorHAnsi" w:cstheme="minorHAnsi"/>
          <w:color w:val="EE0000"/>
          <w:sz w:val="22"/>
          <w:szCs w:val="22"/>
        </w:rPr>
        <w:t xml:space="preserve">. [online] CIPD. Available at: </w:t>
      </w:r>
      <w:hyperlink r:id="rId10" w:tgtFrame="_new" w:history="1">
        <w:r w:rsidRPr="004B50D2">
          <w:rPr>
            <w:rStyle w:val="Hyperlink"/>
            <w:rFonts w:asciiTheme="minorHAnsi" w:hAnsiTheme="minorHAnsi" w:cstheme="minorHAnsi"/>
            <w:color w:val="EE0000"/>
            <w:sz w:val="22"/>
            <w:szCs w:val="22"/>
          </w:rPr>
          <w:t>https://www.cipd.org/uk/knowledge/factsheets/recruitment-brand-factsheet/</w:t>
        </w:r>
      </w:hyperlink>
      <w:r w:rsidRPr="004B50D2">
        <w:rPr>
          <w:rFonts w:asciiTheme="minorHAnsi" w:hAnsiTheme="minorHAnsi" w:cstheme="minorHAnsi"/>
          <w:color w:val="EE0000"/>
          <w:sz w:val="22"/>
          <w:szCs w:val="22"/>
        </w:rPr>
        <w:t>.</w:t>
      </w:r>
    </w:p>
    <w:p w14:paraId="7685E7E7"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CIPD (2025) </w:t>
      </w:r>
      <w:r w:rsidRPr="004B50D2">
        <w:rPr>
          <w:rStyle w:val="Emphasis"/>
          <w:rFonts w:asciiTheme="minorHAnsi" w:hAnsiTheme="minorHAnsi" w:cstheme="minorHAnsi"/>
          <w:color w:val="EE0000"/>
          <w:sz w:val="22"/>
          <w:szCs w:val="22"/>
        </w:rPr>
        <w:t>Employee turnover and retention</w:t>
      </w:r>
      <w:r w:rsidRPr="004B50D2">
        <w:rPr>
          <w:rFonts w:asciiTheme="minorHAnsi" w:hAnsiTheme="minorHAnsi" w:cstheme="minorHAnsi"/>
          <w:color w:val="EE0000"/>
          <w:sz w:val="22"/>
          <w:szCs w:val="22"/>
        </w:rPr>
        <w:t xml:space="preserve">. [online] CIPD. Available at: </w:t>
      </w:r>
      <w:hyperlink r:id="rId11" w:tgtFrame="_new" w:history="1">
        <w:r w:rsidRPr="004B50D2">
          <w:rPr>
            <w:rStyle w:val="Hyperlink"/>
            <w:rFonts w:asciiTheme="minorHAnsi" w:hAnsiTheme="minorHAnsi" w:cstheme="minorHAnsi"/>
            <w:color w:val="EE0000"/>
            <w:sz w:val="22"/>
            <w:szCs w:val="22"/>
          </w:rPr>
          <w:t>https://www.cipd.org/uk/knowledge/factsheets/turnover-retention-factsheet/</w:t>
        </w:r>
      </w:hyperlink>
      <w:r w:rsidRPr="004B50D2">
        <w:rPr>
          <w:rFonts w:asciiTheme="minorHAnsi" w:hAnsiTheme="minorHAnsi" w:cstheme="minorHAnsi"/>
          <w:color w:val="EE0000"/>
          <w:sz w:val="22"/>
          <w:szCs w:val="22"/>
        </w:rPr>
        <w:t>.</w:t>
      </w:r>
    </w:p>
    <w:p w14:paraId="0A1E7006"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CIPD (2025) </w:t>
      </w:r>
      <w:r w:rsidRPr="004B50D2">
        <w:rPr>
          <w:rStyle w:val="Emphasis"/>
          <w:rFonts w:asciiTheme="minorHAnsi" w:hAnsiTheme="minorHAnsi" w:cstheme="minorHAnsi"/>
          <w:color w:val="EE0000"/>
          <w:sz w:val="22"/>
          <w:szCs w:val="22"/>
        </w:rPr>
        <w:t>Understanding the economy and labour market</w:t>
      </w:r>
      <w:r w:rsidRPr="004B50D2">
        <w:rPr>
          <w:rFonts w:asciiTheme="minorHAnsi" w:hAnsiTheme="minorHAnsi" w:cstheme="minorHAnsi"/>
          <w:color w:val="EE0000"/>
          <w:sz w:val="22"/>
          <w:szCs w:val="22"/>
        </w:rPr>
        <w:t xml:space="preserve">. [online] CIPD. Available at: </w:t>
      </w:r>
      <w:hyperlink r:id="rId12" w:tgtFrame="_new" w:history="1">
        <w:r w:rsidRPr="004B50D2">
          <w:rPr>
            <w:rStyle w:val="Hyperlink"/>
            <w:rFonts w:asciiTheme="minorHAnsi" w:hAnsiTheme="minorHAnsi" w:cstheme="minorHAnsi"/>
            <w:color w:val="EE0000"/>
            <w:sz w:val="22"/>
            <w:szCs w:val="22"/>
          </w:rPr>
          <w:t>https://www.cipd.org/uk/knowledge/factsheets/economy-labour-market-factsheet/</w:t>
        </w:r>
      </w:hyperlink>
      <w:r w:rsidRPr="004B50D2">
        <w:rPr>
          <w:rFonts w:asciiTheme="minorHAnsi" w:hAnsiTheme="minorHAnsi" w:cstheme="minorHAnsi"/>
          <w:color w:val="EE0000"/>
          <w:sz w:val="22"/>
          <w:szCs w:val="22"/>
        </w:rPr>
        <w:t>.</w:t>
      </w:r>
    </w:p>
    <w:p w14:paraId="4CBC4742"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CIPD (2025) </w:t>
      </w:r>
      <w:r w:rsidRPr="004B50D2">
        <w:rPr>
          <w:rStyle w:val="Emphasis"/>
          <w:rFonts w:asciiTheme="minorHAnsi" w:hAnsiTheme="minorHAnsi" w:cstheme="minorHAnsi"/>
          <w:color w:val="EE0000"/>
          <w:sz w:val="22"/>
          <w:szCs w:val="22"/>
        </w:rPr>
        <w:t>Workforce planning</w:t>
      </w:r>
      <w:r w:rsidRPr="004B50D2">
        <w:rPr>
          <w:rFonts w:asciiTheme="minorHAnsi" w:hAnsiTheme="minorHAnsi" w:cstheme="minorHAnsi"/>
          <w:color w:val="EE0000"/>
          <w:sz w:val="22"/>
          <w:szCs w:val="22"/>
        </w:rPr>
        <w:t xml:space="preserve">. [online] CIPD. Available at: </w:t>
      </w:r>
      <w:hyperlink r:id="rId13" w:tgtFrame="_new" w:history="1">
        <w:r w:rsidRPr="004B50D2">
          <w:rPr>
            <w:rStyle w:val="Hyperlink"/>
            <w:rFonts w:asciiTheme="minorHAnsi" w:hAnsiTheme="minorHAnsi" w:cstheme="minorHAnsi"/>
            <w:color w:val="EE0000"/>
            <w:sz w:val="22"/>
            <w:szCs w:val="22"/>
          </w:rPr>
          <w:t>https://www.cipd.org/uk/knowledge/factsheets/workforce-planning-factsheet/</w:t>
        </w:r>
      </w:hyperlink>
      <w:r w:rsidRPr="004B50D2">
        <w:rPr>
          <w:rFonts w:asciiTheme="minorHAnsi" w:hAnsiTheme="minorHAnsi" w:cstheme="minorHAnsi"/>
          <w:color w:val="EE0000"/>
          <w:sz w:val="22"/>
          <w:szCs w:val="22"/>
        </w:rPr>
        <w:t>.</w:t>
      </w:r>
    </w:p>
    <w:p w14:paraId="6E0687D7"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Drewery, D. (2019) ‘Retaining contingent frontline staff through job enrichment: The case of seasonal student workers’, </w:t>
      </w:r>
      <w:r w:rsidRPr="004B50D2">
        <w:rPr>
          <w:rStyle w:val="Emphasis"/>
          <w:rFonts w:asciiTheme="minorHAnsi" w:hAnsiTheme="minorHAnsi" w:cstheme="minorHAnsi"/>
          <w:color w:val="EE0000"/>
          <w:sz w:val="22"/>
          <w:szCs w:val="22"/>
        </w:rPr>
        <w:t>Managing Sport and Leisure</w:t>
      </w:r>
      <w:r w:rsidRPr="004B50D2">
        <w:rPr>
          <w:rFonts w:asciiTheme="minorHAnsi" w:hAnsiTheme="minorHAnsi" w:cstheme="minorHAnsi"/>
          <w:color w:val="EE0000"/>
          <w:sz w:val="22"/>
          <w:szCs w:val="22"/>
        </w:rPr>
        <w:t>, 24(6), pp.387–399. doi:10.1080/23750472.2019.1684835.</w:t>
      </w:r>
    </w:p>
    <w:p w14:paraId="0B962D48"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Drury, P. (2016) ‘Employer branding’, </w:t>
      </w:r>
      <w:r w:rsidRPr="004B50D2">
        <w:rPr>
          <w:rStyle w:val="Emphasis"/>
          <w:rFonts w:asciiTheme="minorHAnsi" w:hAnsiTheme="minorHAnsi" w:cstheme="minorHAnsi"/>
          <w:color w:val="EE0000"/>
          <w:sz w:val="22"/>
          <w:szCs w:val="22"/>
        </w:rPr>
        <w:t>Human Resource Management International Digest</w:t>
      </w:r>
      <w:r w:rsidRPr="004B50D2">
        <w:rPr>
          <w:rFonts w:asciiTheme="minorHAnsi" w:hAnsiTheme="minorHAnsi" w:cstheme="minorHAnsi"/>
          <w:color w:val="EE0000"/>
          <w:sz w:val="22"/>
          <w:szCs w:val="22"/>
        </w:rPr>
        <w:t>, 24(3), pp.29–31. doi:10.1108/HRMID-02-2016-0015.</w:t>
      </w:r>
    </w:p>
    <w:p w14:paraId="1B53E578"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Earnest, D.R., Allen, D.G. and Landis, R.S. (2011) ‘Mechanisms linking realistic job previews with turnover: A meta-analytic path analysis’, </w:t>
      </w:r>
      <w:r w:rsidRPr="004B50D2">
        <w:rPr>
          <w:rStyle w:val="Emphasis"/>
          <w:rFonts w:asciiTheme="minorHAnsi" w:hAnsiTheme="minorHAnsi" w:cstheme="minorHAnsi"/>
          <w:color w:val="EE0000"/>
          <w:sz w:val="22"/>
          <w:szCs w:val="22"/>
        </w:rPr>
        <w:t>Personnel Psychology</w:t>
      </w:r>
      <w:r w:rsidRPr="004B50D2">
        <w:rPr>
          <w:rFonts w:asciiTheme="minorHAnsi" w:hAnsiTheme="minorHAnsi" w:cstheme="minorHAnsi"/>
          <w:color w:val="EE0000"/>
          <w:sz w:val="22"/>
          <w:szCs w:val="22"/>
        </w:rPr>
        <w:t>, 64(4), pp.865–897. doi:10.1111/j.1744-6570.2011.</w:t>
      </w:r>
      <w:proofErr w:type="gramStart"/>
      <w:r w:rsidRPr="004B50D2">
        <w:rPr>
          <w:rFonts w:asciiTheme="minorHAnsi" w:hAnsiTheme="minorHAnsi" w:cstheme="minorHAnsi"/>
          <w:color w:val="EE0000"/>
          <w:sz w:val="22"/>
          <w:szCs w:val="22"/>
        </w:rPr>
        <w:t>01230.x.</w:t>
      </w:r>
      <w:proofErr w:type="gramEnd"/>
    </w:p>
    <w:p w14:paraId="7C96FCEA"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lastRenderedPageBreak/>
        <w:t xml:space="preserve">FedEx Newsroom (2024) </w:t>
      </w:r>
      <w:r w:rsidRPr="004B50D2">
        <w:rPr>
          <w:rStyle w:val="Emphasis"/>
          <w:rFonts w:asciiTheme="minorHAnsi" w:hAnsiTheme="minorHAnsi" w:cstheme="minorHAnsi"/>
          <w:color w:val="EE0000"/>
          <w:sz w:val="22"/>
          <w:szCs w:val="22"/>
        </w:rPr>
        <w:t>UK parcel deliveries to hit 1.29bn this festive season, making the UK parcel market the busiest in Europe</w:t>
      </w:r>
      <w:r w:rsidRPr="004B50D2">
        <w:rPr>
          <w:rFonts w:asciiTheme="minorHAnsi" w:hAnsiTheme="minorHAnsi" w:cstheme="minorHAnsi"/>
          <w:color w:val="EE0000"/>
          <w:sz w:val="22"/>
          <w:szCs w:val="22"/>
        </w:rPr>
        <w:t xml:space="preserve">. [online] FedEx. Available at: </w:t>
      </w:r>
      <w:hyperlink r:id="rId14" w:tgtFrame="_new" w:history="1">
        <w:r w:rsidRPr="004B50D2">
          <w:rPr>
            <w:rStyle w:val="Hyperlink"/>
            <w:rFonts w:asciiTheme="minorHAnsi" w:hAnsiTheme="minorHAnsi" w:cstheme="minorHAnsi"/>
            <w:color w:val="EE0000"/>
            <w:sz w:val="22"/>
            <w:szCs w:val="22"/>
          </w:rPr>
          <w:t>https://newsroom.fedex.com/newsroom/europe-english/uk-parcel-deliveries-to-hit-1-29-bn-this-festive-season-making-the-uk-parcel-market-the-busiest-in-europe</w:t>
        </w:r>
      </w:hyperlink>
      <w:r w:rsidRPr="004B50D2">
        <w:rPr>
          <w:rFonts w:asciiTheme="minorHAnsi" w:hAnsiTheme="minorHAnsi" w:cstheme="minorHAnsi"/>
          <w:color w:val="EE0000"/>
          <w:sz w:val="22"/>
          <w:szCs w:val="22"/>
        </w:rPr>
        <w:t>.</w:t>
      </w:r>
    </w:p>
    <w:p w14:paraId="4771926C"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George, S. (2024) </w:t>
      </w:r>
      <w:r w:rsidRPr="004B50D2">
        <w:rPr>
          <w:rStyle w:val="Emphasis"/>
          <w:rFonts w:asciiTheme="minorHAnsi" w:hAnsiTheme="minorHAnsi" w:cstheme="minorHAnsi"/>
          <w:color w:val="EE0000"/>
          <w:sz w:val="22"/>
          <w:szCs w:val="22"/>
        </w:rPr>
        <w:t>Succession planning</w:t>
      </w:r>
      <w:r w:rsidRPr="004B50D2">
        <w:rPr>
          <w:rFonts w:asciiTheme="minorHAnsi" w:hAnsiTheme="minorHAnsi" w:cstheme="minorHAnsi"/>
          <w:color w:val="EE0000"/>
          <w:sz w:val="22"/>
          <w:szCs w:val="22"/>
        </w:rPr>
        <w:t xml:space="preserve">. [online] CIPD. Available at: </w:t>
      </w:r>
      <w:hyperlink r:id="rId15" w:tgtFrame="_new" w:history="1">
        <w:r w:rsidRPr="004B50D2">
          <w:rPr>
            <w:rStyle w:val="Hyperlink"/>
            <w:rFonts w:asciiTheme="minorHAnsi" w:hAnsiTheme="minorHAnsi" w:cstheme="minorHAnsi"/>
            <w:color w:val="EE0000"/>
            <w:sz w:val="22"/>
            <w:szCs w:val="22"/>
          </w:rPr>
          <w:t>https://www.cipd.org/uk/knowledge/factsheets/succession-planning-factsheet/</w:t>
        </w:r>
      </w:hyperlink>
      <w:r w:rsidRPr="004B50D2">
        <w:rPr>
          <w:rFonts w:asciiTheme="minorHAnsi" w:hAnsiTheme="minorHAnsi" w:cstheme="minorHAnsi"/>
          <w:color w:val="EE0000"/>
          <w:sz w:val="22"/>
          <w:szCs w:val="22"/>
        </w:rPr>
        <w:t>.</w:t>
      </w:r>
    </w:p>
    <w:p w14:paraId="6B0B04FC"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Gibson, A. (2021) </w:t>
      </w:r>
      <w:r w:rsidRPr="004B50D2">
        <w:rPr>
          <w:rStyle w:val="Emphasis"/>
          <w:rFonts w:asciiTheme="minorHAnsi" w:hAnsiTheme="minorHAnsi" w:cstheme="minorHAnsi"/>
          <w:color w:val="EE0000"/>
          <w:sz w:val="22"/>
          <w:szCs w:val="22"/>
        </w:rPr>
        <w:t>Agile workforce planning: How to align people with organizational strategy for improved performance</w:t>
      </w:r>
      <w:r w:rsidRPr="004B50D2">
        <w:rPr>
          <w:rFonts w:asciiTheme="minorHAnsi" w:hAnsiTheme="minorHAnsi" w:cstheme="minorHAnsi"/>
          <w:color w:val="EE0000"/>
          <w:sz w:val="22"/>
          <w:szCs w:val="22"/>
        </w:rPr>
        <w:t>. New York, NY: Kogan Page.</w:t>
      </w:r>
    </w:p>
    <w:p w14:paraId="20CB29E4"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Goldberg, E. (2024) ‘Scenario planning’, in </w:t>
      </w:r>
      <w:r w:rsidRPr="004B50D2">
        <w:rPr>
          <w:rStyle w:val="Emphasis"/>
          <w:rFonts w:asciiTheme="minorHAnsi" w:hAnsiTheme="minorHAnsi" w:cstheme="minorHAnsi"/>
          <w:color w:val="EE0000"/>
          <w:sz w:val="22"/>
          <w:szCs w:val="22"/>
        </w:rPr>
        <w:t>Oxford University Press eBooks</w:t>
      </w:r>
      <w:r w:rsidRPr="004B50D2">
        <w:rPr>
          <w:rFonts w:asciiTheme="minorHAnsi" w:hAnsiTheme="minorHAnsi" w:cstheme="minorHAnsi"/>
          <w:color w:val="EE0000"/>
          <w:sz w:val="22"/>
          <w:szCs w:val="22"/>
        </w:rPr>
        <w:t>, pp.282–299. doi:10.1093/</w:t>
      </w:r>
      <w:proofErr w:type="spellStart"/>
      <w:r w:rsidRPr="004B50D2">
        <w:rPr>
          <w:rFonts w:asciiTheme="minorHAnsi" w:hAnsiTheme="minorHAnsi" w:cstheme="minorHAnsi"/>
          <w:color w:val="EE0000"/>
          <w:sz w:val="22"/>
          <w:szCs w:val="22"/>
        </w:rPr>
        <w:t>oso</w:t>
      </w:r>
      <w:proofErr w:type="spellEnd"/>
      <w:r w:rsidRPr="004B50D2">
        <w:rPr>
          <w:rFonts w:asciiTheme="minorHAnsi" w:hAnsiTheme="minorHAnsi" w:cstheme="minorHAnsi"/>
          <w:color w:val="EE0000"/>
          <w:sz w:val="22"/>
          <w:szCs w:val="22"/>
        </w:rPr>
        <w:t>/9780197759745.003.0014.</w:t>
      </w:r>
    </w:p>
    <w:p w14:paraId="2D12CA80"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Green, M. (2017) </w:t>
      </w:r>
      <w:r w:rsidRPr="004B50D2">
        <w:rPr>
          <w:rStyle w:val="Emphasis"/>
          <w:rFonts w:asciiTheme="minorHAnsi" w:hAnsiTheme="minorHAnsi" w:cstheme="minorHAnsi"/>
          <w:color w:val="EE0000"/>
          <w:sz w:val="22"/>
          <w:szCs w:val="22"/>
        </w:rPr>
        <w:t>Healthcare hiring – getting new employees on board</w:t>
      </w:r>
      <w:r w:rsidRPr="004B50D2">
        <w:rPr>
          <w:rFonts w:asciiTheme="minorHAnsi" w:hAnsiTheme="minorHAnsi" w:cstheme="minorHAnsi"/>
          <w:color w:val="EE0000"/>
          <w:sz w:val="22"/>
          <w:szCs w:val="22"/>
        </w:rPr>
        <w:t xml:space="preserve">. [online] CIPD. Available at: </w:t>
      </w:r>
      <w:hyperlink r:id="rId16" w:tgtFrame="_new" w:history="1">
        <w:r w:rsidRPr="004B50D2">
          <w:rPr>
            <w:rStyle w:val="Hyperlink"/>
            <w:rFonts w:asciiTheme="minorHAnsi" w:hAnsiTheme="minorHAnsi" w:cstheme="minorHAnsi"/>
            <w:color w:val="EE0000"/>
            <w:sz w:val="22"/>
            <w:szCs w:val="22"/>
          </w:rPr>
          <w:t>https://www.cipd.org/en/knowledge/bitesize-research/healthcare-hiring/</w:t>
        </w:r>
      </w:hyperlink>
      <w:r w:rsidRPr="004B50D2">
        <w:rPr>
          <w:rFonts w:asciiTheme="minorHAnsi" w:hAnsiTheme="minorHAnsi" w:cstheme="minorHAnsi"/>
          <w:color w:val="EE0000"/>
          <w:sz w:val="22"/>
          <w:szCs w:val="22"/>
        </w:rPr>
        <w:t>.</w:t>
      </w:r>
    </w:p>
    <w:p w14:paraId="44EF4C98"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Green, M. (2019) </w:t>
      </w:r>
      <w:r w:rsidRPr="004B50D2">
        <w:rPr>
          <w:rStyle w:val="Emphasis"/>
          <w:rFonts w:asciiTheme="minorHAnsi" w:hAnsiTheme="minorHAnsi" w:cstheme="minorHAnsi"/>
          <w:color w:val="EE0000"/>
          <w:sz w:val="22"/>
          <w:szCs w:val="22"/>
        </w:rPr>
        <w:t>Proving the value of induction</w:t>
      </w:r>
      <w:r w:rsidRPr="004B50D2">
        <w:rPr>
          <w:rFonts w:asciiTheme="minorHAnsi" w:hAnsiTheme="minorHAnsi" w:cstheme="minorHAnsi"/>
          <w:color w:val="EE0000"/>
          <w:sz w:val="22"/>
          <w:szCs w:val="22"/>
        </w:rPr>
        <w:t xml:space="preserve">. [online] CIPD. Available at: </w:t>
      </w:r>
      <w:hyperlink r:id="rId17" w:tgtFrame="_new" w:history="1">
        <w:r w:rsidRPr="004B50D2">
          <w:rPr>
            <w:rStyle w:val="Hyperlink"/>
            <w:rFonts w:asciiTheme="minorHAnsi" w:hAnsiTheme="minorHAnsi" w:cstheme="minorHAnsi"/>
            <w:color w:val="EE0000"/>
            <w:sz w:val="22"/>
            <w:szCs w:val="22"/>
          </w:rPr>
          <w:t>https://www.cipd.org/en/knowledge/bitesize-research/value-induction/</w:t>
        </w:r>
      </w:hyperlink>
      <w:r w:rsidRPr="004B50D2">
        <w:rPr>
          <w:rFonts w:asciiTheme="minorHAnsi" w:hAnsiTheme="minorHAnsi" w:cstheme="minorHAnsi"/>
          <w:color w:val="EE0000"/>
          <w:sz w:val="22"/>
          <w:szCs w:val="22"/>
        </w:rPr>
        <w:t>.</w:t>
      </w:r>
    </w:p>
    <w:p w14:paraId="2B5A309F"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Hodder, A. and </w:t>
      </w:r>
      <w:proofErr w:type="spellStart"/>
      <w:r w:rsidRPr="004B50D2">
        <w:rPr>
          <w:rFonts w:asciiTheme="minorHAnsi" w:hAnsiTheme="minorHAnsi" w:cstheme="minorHAnsi"/>
          <w:color w:val="EE0000"/>
          <w:sz w:val="22"/>
          <w:szCs w:val="22"/>
        </w:rPr>
        <w:t>Mustchin</w:t>
      </w:r>
      <w:proofErr w:type="spellEnd"/>
      <w:r w:rsidRPr="004B50D2">
        <w:rPr>
          <w:rFonts w:asciiTheme="minorHAnsi" w:hAnsiTheme="minorHAnsi" w:cstheme="minorHAnsi"/>
          <w:color w:val="EE0000"/>
          <w:sz w:val="22"/>
          <w:szCs w:val="22"/>
        </w:rPr>
        <w:t xml:space="preserve">, S. (2024) </w:t>
      </w:r>
      <w:r w:rsidRPr="004B50D2">
        <w:rPr>
          <w:rStyle w:val="Emphasis"/>
          <w:rFonts w:asciiTheme="minorHAnsi" w:hAnsiTheme="minorHAnsi" w:cstheme="minorHAnsi"/>
          <w:color w:val="EE0000"/>
          <w:sz w:val="22"/>
          <w:szCs w:val="22"/>
        </w:rPr>
        <w:t>The value of industrial relations</w:t>
      </w:r>
      <w:r w:rsidRPr="004B50D2">
        <w:rPr>
          <w:rFonts w:asciiTheme="minorHAnsi" w:hAnsiTheme="minorHAnsi" w:cstheme="minorHAnsi"/>
          <w:color w:val="EE0000"/>
          <w:sz w:val="22"/>
          <w:szCs w:val="22"/>
        </w:rPr>
        <w:t>. Bristol: Policy Press.</w:t>
      </w:r>
    </w:p>
    <w:p w14:paraId="3E080F97" w14:textId="57D71CD3"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Hosseini, S.A. et al. (2022) ‘The effect of perceived corporate social responsibility and sustainable human resources on employee engagement with the moderating role of the employer brand’, </w:t>
      </w:r>
      <w:r w:rsidRPr="004B50D2">
        <w:rPr>
          <w:rStyle w:val="Emphasis"/>
          <w:rFonts w:asciiTheme="minorHAnsi" w:hAnsiTheme="minorHAnsi" w:cstheme="minorHAnsi"/>
          <w:color w:val="EE0000"/>
          <w:sz w:val="22"/>
          <w:szCs w:val="22"/>
        </w:rPr>
        <w:t>Employee Responsibilities and Rights Journal</w:t>
      </w:r>
      <w:r w:rsidRPr="004B50D2">
        <w:rPr>
          <w:rFonts w:asciiTheme="minorHAnsi" w:hAnsiTheme="minorHAnsi" w:cstheme="minorHAnsi"/>
          <w:color w:val="EE0000"/>
          <w:sz w:val="22"/>
          <w:szCs w:val="22"/>
        </w:rPr>
        <w:t>, 34, pp.16–? doi:10.1007/s10672-021-09376-0.</w:t>
      </w:r>
    </w:p>
    <w:p w14:paraId="564AE6CD"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International Test Commission (2013) </w:t>
      </w:r>
      <w:r w:rsidRPr="004B50D2">
        <w:rPr>
          <w:rStyle w:val="Emphasis"/>
          <w:rFonts w:asciiTheme="minorHAnsi" w:hAnsiTheme="minorHAnsi" w:cstheme="minorHAnsi"/>
          <w:color w:val="EE0000"/>
          <w:sz w:val="22"/>
          <w:szCs w:val="22"/>
        </w:rPr>
        <w:t>ITC guidelines on test use</w:t>
      </w:r>
      <w:r w:rsidRPr="004B50D2">
        <w:rPr>
          <w:rFonts w:asciiTheme="minorHAnsi" w:hAnsiTheme="minorHAnsi" w:cstheme="minorHAnsi"/>
          <w:color w:val="EE0000"/>
          <w:sz w:val="22"/>
          <w:szCs w:val="22"/>
        </w:rPr>
        <w:t xml:space="preserve">. [online] Available at: </w:t>
      </w:r>
      <w:hyperlink r:id="rId18" w:tgtFrame="_new" w:history="1">
        <w:r w:rsidRPr="004B50D2">
          <w:rPr>
            <w:rStyle w:val="Hyperlink"/>
            <w:rFonts w:asciiTheme="minorHAnsi" w:hAnsiTheme="minorHAnsi" w:cstheme="minorHAnsi"/>
            <w:color w:val="EE0000"/>
            <w:sz w:val="22"/>
            <w:szCs w:val="22"/>
          </w:rPr>
          <w:t>https://www.intestcom.org/files/guideline_test_use.pdf</w:t>
        </w:r>
      </w:hyperlink>
      <w:r w:rsidRPr="004B50D2">
        <w:rPr>
          <w:rFonts w:asciiTheme="minorHAnsi" w:hAnsiTheme="minorHAnsi" w:cstheme="minorHAnsi"/>
          <w:color w:val="EE0000"/>
          <w:sz w:val="22"/>
          <w:szCs w:val="22"/>
        </w:rPr>
        <w:t>.</w:t>
      </w:r>
    </w:p>
    <w:p w14:paraId="1285233D" w14:textId="68EC3F35"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Langer, M. et al. (2025) ‘A quasi-experimental investigation of differences between face-to-face and videoconference interviews in an actual selection process’, </w:t>
      </w:r>
      <w:r w:rsidRPr="004B50D2">
        <w:rPr>
          <w:rStyle w:val="Emphasis"/>
          <w:rFonts w:asciiTheme="minorHAnsi" w:hAnsiTheme="minorHAnsi" w:cstheme="minorHAnsi"/>
          <w:color w:val="EE0000"/>
          <w:sz w:val="22"/>
          <w:szCs w:val="22"/>
        </w:rPr>
        <w:t>Applied Psychology</w:t>
      </w:r>
      <w:r w:rsidRPr="004B50D2">
        <w:rPr>
          <w:rFonts w:asciiTheme="minorHAnsi" w:hAnsiTheme="minorHAnsi" w:cstheme="minorHAnsi"/>
          <w:color w:val="EE0000"/>
          <w:sz w:val="22"/>
          <w:szCs w:val="22"/>
        </w:rPr>
        <w:t>. doi:10.1111/apps.12558.</w:t>
      </w:r>
    </w:p>
    <w:p w14:paraId="18A589B1"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Leatherbarrow, C. and Fletcher, J. (2019) </w:t>
      </w:r>
      <w:r w:rsidRPr="004B50D2">
        <w:rPr>
          <w:rStyle w:val="Emphasis"/>
          <w:rFonts w:asciiTheme="minorHAnsi" w:hAnsiTheme="minorHAnsi" w:cstheme="minorHAnsi"/>
          <w:color w:val="EE0000"/>
          <w:sz w:val="22"/>
          <w:szCs w:val="22"/>
        </w:rPr>
        <w:t>Introduction to human resource management: A guide to HR in practice</w:t>
      </w:r>
      <w:r w:rsidRPr="004B50D2">
        <w:rPr>
          <w:rFonts w:asciiTheme="minorHAnsi" w:hAnsiTheme="minorHAnsi" w:cstheme="minorHAnsi"/>
          <w:color w:val="EE0000"/>
          <w:sz w:val="22"/>
          <w:szCs w:val="22"/>
        </w:rPr>
        <w:t>. 4th ed. London: Kogan Page.</w:t>
      </w:r>
    </w:p>
    <w:p w14:paraId="21A01D6D"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Manchester, C.F. (2010) ‘Investment in general human capital and turnover intention’, </w:t>
      </w:r>
      <w:r w:rsidRPr="004B50D2">
        <w:rPr>
          <w:rStyle w:val="Emphasis"/>
          <w:rFonts w:asciiTheme="minorHAnsi" w:hAnsiTheme="minorHAnsi" w:cstheme="minorHAnsi"/>
          <w:color w:val="EE0000"/>
          <w:sz w:val="22"/>
          <w:szCs w:val="22"/>
        </w:rPr>
        <w:t>American Economic Review</w:t>
      </w:r>
      <w:r w:rsidRPr="004B50D2">
        <w:rPr>
          <w:rFonts w:asciiTheme="minorHAnsi" w:hAnsiTheme="minorHAnsi" w:cstheme="minorHAnsi"/>
          <w:color w:val="EE0000"/>
          <w:sz w:val="22"/>
          <w:szCs w:val="22"/>
        </w:rPr>
        <w:t>, 100(2), pp.209–213. doi:10.1257/aer.100.2.209.</w:t>
      </w:r>
    </w:p>
    <w:p w14:paraId="16959513" w14:textId="057342C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Marmol, T. del et al. (2015) </w:t>
      </w:r>
      <w:r w:rsidRPr="004B50D2">
        <w:rPr>
          <w:rStyle w:val="Emphasis"/>
          <w:rFonts w:asciiTheme="minorHAnsi" w:hAnsiTheme="minorHAnsi" w:cstheme="minorHAnsi"/>
          <w:color w:val="EE0000"/>
          <w:sz w:val="22"/>
          <w:szCs w:val="22"/>
        </w:rPr>
        <w:t>PESTLE analysis</w:t>
      </w:r>
      <w:r w:rsidRPr="004B50D2">
        <w:rPr>
          <w:rFonts w:asciiTheme="minorHAnsi" w:hAnsiTheme="minorHAnsi" w:cstheme="minorHAnsi"/>
          <w:color w:val="EE0000"/>
          <w:sz w:val="22"/>
          <w:szCs w:val="22"/>
        </w:rPr>
        <w:t>. Lemaitre Publishing.</w:t>
      </w:r>
    </w:p>
    <w:p w14:paraId="0384AF68"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McCartney, C. (2024) </w:t>
      </w:r>
      <w:r w:rsidRPr="004B50D2">
        <w:rPr>
          <w:rStyle w:val="Emphasis"/>
          <w:rFonts w:asciiTheme="minorHAnsi" w:hAnsiTheme="minorHAnsi" w:cstheme="minorHAnsi"/>
          <w:color w:val="EE0000"/>
          <w:sz w:val="22"/>
          <w:szCs w:val="22"/>
        </w:rPr>
        <w:t>Induction</w:t>
      </w:r>
      <w:r w:rsidRPr="004B50D2">
        <w:rPr>
          <w:rFonts w:asciiTheme="minorHAnsi" w:hAnsiTheme="minorHAnsi" w:cstheme="minorHAnsi"/>
          <w:color w:val="EE0000"/>
          <w:sz w:val="22"/>
          <w:szCs w:val="22"/>
        </w:rPr>
        <w:t xml:space="preserve">. [online] CIPD. Available at: </w:t>
      </w:r>
      <w:hyperlink r:id="rId19" w:tgtFrame="_new" w:history="1">
        <w:r w:rsidRPr="004B50D2">
          <w:rPr>
            <w:rStyle w:val="Hyperlink"/>
            <w:rFonts w:asciiTheme="minorHAnsi" w:hAnsiTheme="minorHAnsi" w:cstheme="minorHAnsi"/>
            <w:color w:val="EE0000"/>
            <w:sz w:val="22"/>
            <w:szCs w:val="22"/>
          </w:rPr>
          <w:t>https://www.cipd.org/en/knowledge/factsheets/induction-factsheet/</w:t>
        </w:r>
      </w:hyperlink>
      <w:r w:rsidRPr="004B50D2">
        <w:rPr>
          <w:rFonts w:asciiTheme="minorHAnsi" w:hAnsiTheme="minorHAnsi" w:cstheme="minorHAnsi"/>
          <w:color w:val="EE0000"/>
          <w:sz w:val="22"/>
          <w:szCs w:val="22"/>
        </w:rPr>
        <w:t>.</w:t>
      </w:r>
    </w:p>
    <w:p w14:paraId="1449D06C"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McKinnon, A., </w:t>
      </w:r>
      <w:proofErr w:type="spellStart"/>
      <w:r w:rsidRPr="004B50D2">
        <w:rPr>
          <w:rFonts w:asciiTheme="minorHAnsi" w:hAnsiTheme="minorHAnsi" w:cstheme="minorHAnsi"/>
          <w:color w:val="EE0000"/>
          <w:sz w:val="22"/>
          <w:szCs w:val="22"/>
        </w:rPr>
        <w:t>Flöthmann</w:t>
      </w:r>
      <w:proofErr w:type="spellEnd"/>
      <w:r w:rsidRPr="004B50D2">
        <w:rPr>
          <w:rFonts w:asciiTheme="minorHAnsi" w:hAnsiTheme="minorHAnsi" w:cstheme="minorHAnsi"/>
          <w:color w:val="EE0000"/>
          <w:sz w:val="22"/>
          <w:szCs w:val="22"/>
        </w:rPr>
        <w:t xml:space="preserve">, C. and Hoberg, K. (2016) ‘Skills shortages in logistics: A global overview’, </w:t>
      </w:r>
      <w:r w:rsidRPr="004B50D2">
        <w:rPr>
          <w:rStyle w:val="Emphasis"/>
          <w:rFonts w:asciiTheme="minorHAnsi" w:hAnsiTheme="minorHAnsi" w:cstheme="minorHAnsi"/>
          <w:color w:val="EE0000"/>
          <w:sz w:val="22"/>
          <w:szCs w:val="22"/>
        </w:rPr>
        <w:t>Logistics and Transport Focus</w:t>
      </w:r>
      <w:r w:rsidRPr="004B50D2">
        <w:rPr>
          <w:rFonts w:asciiTheme="minorHAnsi" w:hAnsiTheme="minorHAnsi" w:cstheme="minorHAnsi"/>
          <w:color w:val="EE0000"/>
          <w:sz w:val="22"/>
          <w:szCs w:val="22"/>
        </w:rPr>
        <w:t>, 18(11), pp.34–36. (Accessed: 2 February 2026).</w:t>
      </w:r>
    </w:p>
    <w:p w14:paraId="6ECD7614"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Moore, S. and Newsome, K. (2018) ‘Paying for free delivery: Dependent self-employment as a measure of precarity in parcel delivery’, </w:t>
      </w:r>
      <w:r w:rsidRPr="004B50D2">
        <w:rPr>
          <w:rStyle w:val="Emphasis"/>
          <w:rFonts w:asciiTheme="minorHAnsi" w:hAnsiTheme="minorHAnsi" w:cstheme="minorHAnsi"/>
          <w:color w:val="EE0000"/>
          <w:sz w:val="22"/>
          <w:szCs w:val="22"/>
        </w:rPr>
        <w:t>Work, Employment and Society</w:t>
      </w:r>
      <w:r w:rsidRPr="004B50D2">
        <w:rPr>
          <w:rFonts w:asciiTheme="minorHAnsi" w:hAnsiTheme="minorHAnsi" w:cstheme="minorHAnsi"/>
          <w:color w:val="EE0000"/>
          <w:sz w:val="22"/>
          <w:szCs w:val="22"/>
        </w:rPr>
        <w:t>, 32(3), pp.475–492. doi:10.1177/0950017018755664.</w:t>
      </w:r>
    </w:p>
    <w:p w14:paraId="429D25D4"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lastRenderedPageBreak/>
        <w:t xml:space="preserve">Moore, S. et al. (2017) </w:t>
      </w:r>
      <w:r w:rsidRPr="004B50D2">
        <w:rPr>
          <w:rStyle w:val="Emphasis"/>
          <w:rFonts w:asciiTheme="minorHAnsi" w:hAnsiTheme="minorHAnsi" w:cstheme="minorHAnsi"/>
          <w:color w:val="EE0000"/>
          <w:sz w:val="22"/>
          <w:szCs w:val="22"/>
        </w:rPr>
        <w:t>Non-standard contracts and the national living wage: A report for the Low Pay Commission</w:t>
      </w:r>
      <w:r w:rsidRPr="004B50D2">
        <w:rPr>
          <w:rFonts w:asciiTheme="minorHAnsi" w:hAnsiTheme="minorHAnsi" w:cstheme="minorHAnsi"/>
          <w:color w:val="EE0000"/>
          <w:sz w:val="22"/>
          <w:szCs w:val="22"/>
        </w:rPr>
        <w:t>.</w:t>
      </w:r>
      <w:r w:rsidRPr="004B50D2">
        <w:rPr>
          <w:rFonts w:asciiTheme="minorHAnsi" w:hAnsiTheme="minorHAnsi" w:cstheme="minorHAnsi"/>
          <w:color w:val="EE0000"/>
          <w:sz w:val="22"/>
          <w:szCs w:val="22"/>
        </w:rPr>
        <w:br/>
      </w:r>
    </w:p>
    <w:p w14:paraId="08FE98EE" w14:textId="65066D54"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Morrell, K., Loan-Clarke, J. and Wilkinson, A. (2001) ‘</w:t>
      </w:r>
      <w:proofErr w:type="spellStart"/>
      <w:r w:rsidRPr="004B50D2">
        <w:rPr>
          <w:rFonts w:asciiTheme="minorHAnsi" w:hAnsiTheme="minorHAnsi" w:cstheme="minorHAnsi"/>
          <w:color w:val="EE0000"/>
          <w:sz w:val="22"/>
          <w:szCs w:val="22"/>
        </w:rPr>
        <w:t>Unweaving</w:t>
      </w:r>
      <w:proofErr w:type="spellEnd"/>
      <w:r w:rsidRPr="004B50D2">
        <w:rPr>
          <w:rFonts w:asciiTheme="minorHAnsi" w:hAnsiTheme="minorHAnsi" w:cstheme="minorHAnsi"/>
          <w:color w:val="EE0000"/>
          <w:sz w:val="22"/>
          <w:szCs w:val="22"/>
        </w:rPr>
        <w:t xml:space="preserve"> leaving: The use of models in the management of employee turnover’, </w:t>
      </w:r>
      <w:r w:rsidRPr="004B50D2">
        <w:rPr>
          <w:rStyle w:val="Emphasis"/>
          <w:rFonts w:asciiTheme="minorHAnsi" w:hAnsiTheme="minorHAnsi" w:cstheme="minorHAnsi"/>
          <w:color w:val="EE0000"/>
          <w:sz w:val="22"/>
          <w:szCs w:val="22"/>
        </w:rPr>
        <w:t>International Journal of Management Reviews</w:t>
      </w:r>
      <w:r w:rsidRPr="004B50D2">
        <w:rPr>
          <w:rFonts w:asciiTheme="minorHAnsi" w:hAnsiTheme="minorHAnsi" w:cstheme="minorHAnsi"/>
          <w:color w:val="EE0000"/>
          <w:sz w:val="22"/>
          <w:szCs w:val="22"/>
        </w:rPr>
        <w:t>, 3(3), pp.219–244. doi:10.1111/1468-2370.00065.</w:t>
      </w:r>
    </w:p>
    <w:p w14:paraId="2A3DA227" w14:textId="6B683F56"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Mosquera, P. and Soares, M.E. (2025) ‘Onboarding: A key to employee retention and workplace well-being’, </w:t>
      </w:r>
      <w:r w:rsidRPr="004B50D2">
        <w:rPr>
          <w:rStyle w:val="Emphasis"/>
          <w:rFonts w:asciiTheme="minorHAnsi" w:hAnsiTheme="minorHAnsi" w:cstheme="minorHAnsi"/>
          <w:color w:val="EE0000"/>
          <w:sz w:val="22"/>
          <w:szCs w:val="22"/>
        </w:rPr>
        <w:t>Review of Managerial Science</w:t>
      </w:r>
      <w:r w:rsidRPr="004B50D2">
        <w:rPr>
          <w:rFonts w:asciiTheme="minorHAnsi" w:hAnsiTheme="minorHAnsi" w:cstheme="minorHAnsi"/>
          <w:color w:val="EE0000"/>
          <w:sz w:val="22"/>
          <w:szCs w:val="22"/>
        </w:rPr>
        <w:t>. doi:10.1007/s11846-025-00864-3.</w:t>
      </w:r>
      <w:r w:rsidRPr="004B50D2">
        <w:rPr>
          <w:rFonts w:asciiTheme="minorHAnsi" w:hAnsiTheme="minorHAnsi" w:cstheme="minorHAnsi"/>
          <w:color w:val="EE0000"/>
          <w:sz w:val="22"/>
          <w:szCs w:val="22"/>
        </w:rPr>
        <w:br/>
      </w:r>
    </w:p>
    <w:p w14:paraId="198274C8"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Mutanga, J. et al. (2021) ‘Exploring push and pull factors for talent development and retention: Implications for practice’, </w:t>
      </w:r>
      <w:r w:rsidRPr="004B50D2">
        <w:rPr>
          <w:rStyle w:val="Emphasis"/>
          <w:rFonts w:asciiTheme="minorHAnsi" w:hAnsiTheme="minorHAnsi" w:cstheme="minorHAnsi"/>
          <w:color w:val="EE0000"/>
          <w:sz w:val="22"/>
          <w:szCs w:val="22"/>
        </w:rPr>
        <w:t>Development and Learning in Organizations: An International Journal</w:t>
      </w:r>
      <w:r w:rsidRPr="004B50D2">
        <w:rPr>
          <w:rFonts w:asciiTheme="minorHAnsi" w:hAnsiTheme="minorHAnsi" w:cstheme="minorHAnsi"/>
          <w:color w:val="EE0000"/>
          <w:sz w:val="22"/>
          <w:szCs w:val="22"/>
        </w:rPr>
        <w:t>, ahead-of-print. doi:10.1108/DLO-12-2020-0246.</w:t>
      </w:r>
    </w:p>
    <w:p w14:paraId="3CC6E27D" w14:textId="5DE66973"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ONS (2025) </w:t>
      </w:r>
      <w:r w:rsidRPr="004B50D2">
        <w:rPr>
          <w:rStyle w:val="Emphasis"/>
          <w:rFonts w:asciiTheme="minorHAnsi" w:hAnsiTheme="minorHAnsi" w:cstheme="minorHAnsi"/>
          <w:color w:val="EE0000"/>
          <w:sz w:val="22"/>
          <w:szCs w:val="22"/>
        </w:rPr>
        <w:t>Vacancies and jobs in the UK</w:t>
      </w:r>
      <w:r w:rsidRPr="004B50D2">
        <w:rPr>
          <w:rFonts w:asciiTheme="minorHAnsi" w:hAnsiTheme="minorHAnsi" w:cstheme="minorHAnsi"/>
          <w:color w:val="EE0000"/>
          <w:sz w:val="22"/>
          <w:szCs w:val="22"/>
        </w:rPr>
        <w:t xml:space="preserve">. [online] Office for National Statistics. Available at: </w:t>
      </w:r>
      <w:hyperlink r:id="rId20" w:tgtFrame="_new" w:history="1">
        <w:r w:rsidRPr="004B50D2">
          <w:rPr>
            <w:rStyle w:val="Hyperlink"/>
            <w:rFonts w:asciiTheme="minorHAnsi" w:hAnsiTheme="minorHAnsi" w:cstheme="minorHAnsi"/>
            <w:color w:val="EE0000"/>
            <w:sz w:val="22"/>
            <w:szCs w:val="22"/>
          </w:rPr>
          <w:t>https://www.ons.gov.uk/employmentandlabourmarket/peopleinwork/employmentandemployeetypes/bulletins/jobsandvacanciesintheuk/october2025</w:t>
        </w:r>
      </w:hyperlink>
      <w:r w:rsidRPr="004B50D2">
        <w:rPr>
          <w:rFonts w:asciiTheme="minorHAnsi" w:hAnsiTheme="minorHAnsi" w:cstheme="minorHAnsi"/>
          <w:color w:val="EE0000"/>
          <w:sz w:val="22"/>
          <w:szCs w:val="22"/>
        </w:rPr>
        <w:t>.</w:t>
      </w:r>
      <w:r w:rsidRPr="004B50D2">
        <w:rPr>
          <w:rFonts w:asciiTheme="minorHAnsi" w:hAnsiTheme="minorHAnsi" w:cstheme="minorHAnsi"/>
          <w:color w:val="EE0000"/>
          <w:sz w:val="22"/>
          <w:szCs w:val="22"/>
        </w:rPr>
        <w:br/>
      </w:r>
    </w:p>
    <w:p w14:paraId="490EF554"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Picardi, C.A. (2020) </w:t>
      </w:r>
      <w:r w:rsidRPr="004B50D2">
        <w:rPr>
          <w:rStyle w:val="Emphasis"/>
          <w:rFonts w:asciiTheme="minorHAnsi" w:hAnsiTheme="minorHAnsi" w:cstheme="minorHAnsi"/>
          <w:color w:val="EE0000"/>
          <w:sz w:val="22"/>
          <w:szCs w:val="22"/>
        </w:rPr>
        <w:t>Recruitment and selection: Strategies for workforce planning and assessment</w:t>
      </w:r>
      <w:r w:rsidRPr="004B50D2">
        <w:rPr>
          <w:rFonts w:asciiTheme="minorHAnsi" w:hAnsiTheme="minorHAnsi" w:cstheme="minorHAnsi"/>
          <w:color w:val="EE0000"/>
          <w:sz w:val="22"/>
          <w:szCs w:val="22"/>
        </w:rPr>
        <w:t>. doi:10.4135/9781483396439.</w:t>
      </w:r>
      <w:r w:rsidRPr="004B50D2">
        <w:rPr>
          <w:rFonts w:asciiTheme="minorHAnsi" w:hAnsiTheme="minorHAnsi" w:cstheme="minorHAnsi"/>
          <w:color w:val="EE0000"/>
          <w:sz w:val="22"/>
          <w:szCs w:val="22"/>
        </w:rPr>
        <w:br/>
      </w:r>
    </w:p>
    <w:p w14:paraId="525868C8" w14:textId="04AF02E6"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Pilbeam, S. and Corbridge, M. (2010) </w:t>
      </w:r>
      <w:r w:rsidRPr="004B50D2">
        <w:rPr>
          <w:rStyle w:val="Emphasis"/>
          <w:rFonts w:asciiTheme="minorHAnsi" w:hAnsiTheme="minorHAnsi" w:cstheme="minorHAnsi"/>
          <w:color w:val="EE0000"/>
          <w:sz w:val="22"/>
          <w:szCs w:val="22"/>
        </w:rPr>
        <w:t>People resourcing and talent planning: HRM in practice</w:t>
      </w:r>
      <w:r w:rsidRPr="004B50D2">
        <w:rPr>
          <w:rFonts w:asciiTheme="minorHAnsi" w:hAnsiTheme="minorHAnsi" w:cstheme="minorHAnsi"/>
          <w:color w:val="EE0000"/>
          <w:sz w:val="22"/>
          <w:szCs w:val="22"/>
        </w:rPr>
        <w:t>. 4th ed. Harlow: Pearson Education.</w:t>
      </w:r>
    </w:p>
    <w:p w14:paraId="24B89DF2"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Pirani, E. and Salvini, S. (2015) ‘Is temporary employment damaging to health? A longitudinal study on Italian workers’, </w:t>
      </w:r>
      <w:r w:rsidRPr="004B50D2">
        <w:rPr>
          <w:rStyle w:val="Emphasis"/>
          <w:rFonts w:asciiTheme="minorHAnsi" w:hAnsiTheme="minorHAnsi" w:cstheme="minorHAnsi"/>
          <w:color w:val="EE0000"/>
          <w:sz w:val="22"/>
          <w:szCs w:val="22"/>
        </w:rPr>
        <w:t>Social Science and Medicine</w:t>
      </w:r>
      <w:r w:rsidRPr="004B50D2">
        <w:rPr>
          <w:rFonts w:asciiTheme="minorHAnsi" w:hAnsiTheme="minorHAnsi" w:cstheme="minorHAnsi"/>
          <w:color w:val="EE0000"/>
          <w:sz w:val="22"/>
          <w:szCs w:val="22"/>
        </w:rPr>
        <w:t xml:space="preserve">, 124, pp.121–131. </w:t>
      </w:r>
      <w:proofErr w:type="gramStart"/>
      <w:r w:rsidRPr="004B50D2">
        <w:rPr>
          <w:rFonts w:asciiTheme="minorHAnsi" w:hAnsiTheme="minorHAnsi" w:cstheme="minorHAnsi"/>
          <w:color w:val="EE0000"/>
          <w:sz w:val="22"/>
          <w:szCs w:val="22"/>
        </w:rPr>
        <w:t>doi:10.1016/j.socscimed</w:t>
      </w:r>
      <w:proofErr w:type="gramEnd"/>
      <w:r w:rsidRPr="004B50D2">
        <w:rPr>
          <w:rFonts w:asciiTheme="minorHAnsi" w:hAnsiTheme="minorHAnsi" w:cstheme="minorHAnsi"/>
          <w:color w:val="EE0000"/>
          <w:sz w:val="22"/>
          <w:szCs w:val="22"/>
        </w:rPr>
        <w:t>.2014.11.033.</w:t>
      </w:r>
    </w:p>
    <w:p w14:paraId="599005DC" w14:textId="77777777" w:rsidR="004B50D2" w:rsidRPr="004B50D2" w:rsidRDefault="004B50D2" w:rsidP="004B50D2">
      <w:pPr>
        <w:pStyle w:val="NormalWeb"/>
        <w:rPr>
          <w:rFonts w:asciiTheme="minorHAnsi" w:hAnsiTheme="minorHAnsi" w:cstheme="minorHAnsi"/>
          <w:color w:val="EE0000"/>
          <w:sz w:val="22"/>
          <w:szCs w:val="22"/>
        </w:rPr>
      </w:pPr>
      <w:proofErr w:type="spellStart"/>
      <w:r w:rsidRPr="004B50D2">
        <w:rPr>
          <w:rFonts w:asciiTheme="minorHAnsi" w:hAnsiTheme="minorHAnsi" w:cstheme="minorHAnsi"/>
          <w:color w:val="EE0000"/>
          <w:sz w:val="22"/>
          <w:szCs w:val="22"/>
        </w:rPr>
        <w:t>Rampl</w:t>
      </w:r>
      <w:proofErr w:type="spellEnd"/>
      <w:r w:rsidRPr="004B50D2">
        <w:rPr>
          <w:rFonts w:asciiTheme="minorHAnsi" w:hAnsiTheme="minorHAnsi" w:cstheme="minorHAnsi"/>
          <w:color w:val="EE0000"/>
          <w:sz w:val="22"/>
          <w:szCs w:val="22"/>
        </w:rPr>
        <w:t xml:space="preserve">, L.V. and Kenning, P. (2014) ‘Employer brand trust and affect: Linking brand personality to employer brand attractiveness’, </w:t>
      </w:r>
      <w:r w:rsidRPr="004B50D2">
        <w:rPr>
          <w:rStyle w:val="Emphasis"/>
          <w:rFonts w:asciiTheme="minorHAnsi" w:hAnsiTheme="minorHAnsi" w:cstheme="minorHAnsi"/>
          <w:color w:val="EE0000"/>
          <w:sz w:val="22"/>
          <w:szCs w:val="22"/>
        </w:rPr>
        <w:t>European Journal of Marketing</w:t>
      </w:r>
      <w:r w:rsidRPr="004B50D2">
        <w:rPr>
          <w:rFonts w:asciiTheme="minorHAnsi" w:hAnsiTheme="minorHAnsi" w:cstheme="minorHAnsi"/>
          <w:color w:val="EE0000"/>
          <w:sz w:val="22"/>
          <w:szCs w:val="22"/>
        </w:rPr>
        <w:t>, 48(1/2), pp.218–236. doi:10.1108/EJM-02-2012-0113.</w:t>
      </w:r>
    </w:p>
    <w:p w14:paraId="053DA490"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Schlachter, S.D. and Pieper, J.R. (2019) ‘Employee referral hiring in organizations: An integrative conceptual review, model, and agenda for future research’, </w:t>
      </w:r>
      <w:r w:rsidRPr="004B50D2">
        <w:rPr>
          <w:rStyle w:val="Emphasis"/>
          <w:rFonts w:asciiTheme="minorHAnsi" w:hAnsiTheme="minorHAnsi" w:cstheme="minorHAnsi"/>
          <w:color w:val="EE0000"/>
          <w:sz w:val="22"/>
          <w:szCs w:val="22"/>
        </w:rPr>
        <w:t>Journal of Applied Psychology</w:t>
      </w:r>
      <w:r w:rsidRPr="004B50D2">
        <w:rPr>
          <w:rFonts w:asciiTheme="minorHAnsi" w:hAnsiTheme="minorHAnsi" w:cstheme="minorHAnsi"/>
          <w:color w:val="EE0000"/>
          <w:sz w:val="22"/>
          <w:szCs w:val="22"/>
        </w:rPr>
        <w:t>, 104(11), pp.1325–1346. doi:10.1037/apl0000412.</w:t>
      </w:r>
    </w:p>
    <w:p w14:paraId="28DEE169"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Shaw, J.D. (2011) ‘Turnover rates and organizational performance: Review, critique, and research agenda’, </w:t>
      </w:r>
      <w:r w:rsidRPr="004B50D2">
        <w:rPr>
          <w:rStyle w:val="Emphasis"/>
          <w:rFonts w:asciiTheme="minorHAnsi" w:hAnsiTheme="minorHAnsi" w:cstheme="minorHAnsi"/>
          <w:color w:val="EE0000"/>
          <w:sz w:val="22"/>
          <w:szCs w:val="22"/>
        </w:rPr>
        <w:t>Organizational Psychology Review</w:t>
      </w:r>
      <w:r w:rsidRPr="004B50D2">
        <w:rPr>
          <w:rFonts w:asciiTheme="minorHAnsi" w:hAnsiTheme="minorHAnsi" w:cstheme="minorHAnsi"/>
          <w:color w:val="EE0000"/>
          <w:sz w:val="22"/>
          <w:szCs w:val="22"/>
        </w:rPr>
        <w:t>, 1(3), pp.187–213.</w:t>
      </w:r>
    </w:p>
    <w:p w14:paraId="097A3C5C" w14:textId="018CC748"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Snell, A. (2006) ‘Researching onboarding best practice: Using research to connect onboarding processes with employee satisfaction’, </w:t>
      </w:r>
      <w:r w:rsidRPr="004B50D2">
        <w:rPr>
          <w:rStyle w:val="Emphasis"/>
          <w:rFonts w:asciiTheme="minorHAnsi" w:hAnsiTheme="minorHAnsi" w:cstheme="minorHAnsi"/>
          <w:color w:val="EE0000"/>
          <w:sz w:val="22"/>
          <w:szCs w:val="22"/>
        </w:rPr>
        <w:t>Strategic HR Review</w:t>
      </w:r>
      <w:r w:rsidRPr="004B50D2">
        <w:rPr>
          <w:rFonts w:asciiTheme="minorHAnsi" w:hAnsiTheme="minorHAnsi" w:cstheme="minorHAnsi"/>
          <w:color w:val="EE0000"/>
          <w:sz w:val="22"/>
          <w:szCs w:val="22"/>
        </w:rPr>
        <w:t>, 5(6), pp.32–35. doi:10.1108/14754390680000925.</w:t>
      </w:r>
      <w:r w:rsidRPr="004B50D2">
        <w:rPr>
          <w:rFonts w:asciiTheme="minorHAnsi" w:hAnsiTheme="minorHAnsi" w:cstheme="minorHAnsi"/>
          <w:color w:val="EE0000"/>
          <w:sz w:val="22"/>
          <w:szCs w:val="22"/>
        </w:rPr>
        <w:br/>
      </w:r>
    </w:p>
    <w:p w14:paraId="316A4647"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Tajfel, H. and Turner, J.C. (1979) ‘An integrative theory of intergroup conflict’, in Austin, W.G. and </w:t>
      </w:r>
      <w:proofErr w:type="spellStart"/>
      <w:r w:rsidRPr="004B50D2">
        <w:rPr>
          <w:rFonts w:asciiTheme="minorHAnsi" w:hAnsiTheme="minorHAnsi" w:cstheme="minorHAnsi"/>
          <w:color w:val="EE0000"/>
          <w:sz w:val="22"/>
          <w:szCs w:val="22"/>
        </w:rPr>
        <w:t>Worchel</w:t>
      </w:r>
      <w:proofErr w:type="spellEnd"/>
      <w:r w:rsidRPr="004B50D2">
        <w:rPr>
          <w:rFonts w:asciiTheme="minorHAnsi" w:hAnsiTheme="minorHAnsi" w:cstheme="minorHAnsi"/>
          <w:color w:val="EE0000"/>
          <w:sz w:val="22"/>
          <w:szCs w:val="22"/>
        </w:rPr>
        <w:t xml:space="preserve">, S. (eds.) </w:t>
      </w:r>
      <w:r w:rsidRPr="004B50D2">
        <w:rPr>
          <w:rStyle w:val="Emphasis"/>
          <w:rFonts w:asciiTheme="minorHAnsi" w:hAnsiTheme="minorHAnsi" w:cstheme="minorHAnsi"/>
          <w:color w:val="EE0000"/>
          <w:sz w:val="22"/>
          <w:szCs w:val="22"/>
        </w:rPr>
        <w:t>The Social Psychology of Intergroup Relations</w:t>
      </w:r>
      <w:r w:rsidRPr="004B50D2">
        <w:rPr>
          <w:rFonts w:asciiTheme="minorHAnsi" w:hAnsiTheme="minorHAnsi" w:cstheme="minorHAnsi"/>
          <w:color w:val="EE0000"/>
          <w:sz w:val="22"/>
          <w:szCs w:val="22"/>
        </w:rPr>
        <w:t>. Monterey, CA: Brooks/Cole.</w:t>
      </w:r>
    </w:p>
    <w:p w14:paraId="5516D5C1"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lastRenderedPageBreak/>
        <w:t xml:space="preserve">Tatel, C. and Wigert, B. (2024) </w:t>
      </w:r>
      <w:r w:rsidRPr="004B50D2">
        <w:rPr>
          <w:rStyle w:val="Emphasis"/>
          <w:rFonts w:asciiTheme="minorHAnsi" w:hAnsiTheme="minorHAnsi" w:cstheme="minorHAnsi"/>
          <w:color w:val="EE0000"/>
          <w:sz w:val="22"/>
          <w:szCs w:val="22"/>
        </w:rPr>
        <w:t>42% of employee turnover is preventable but often ignored</w:t>
      </w:r>
      <w:r w:rsidRPr="004B50D2">
        <w:rPr>
          <w:rFonts w:asciiTheme="minorHAnsi" w:hAnsiTheme="minorHAnsi" w:cstheme="minorHAnsi"/>
          <w:color w:val="EE0000"/>
          <w:sz w:val="22"/>
          <w:szCs w:val="22"/>
        </w:rPr>
        <w:t xml:space="preserve">. [online] Gallup. Available at: </w:t>
      </w:r>
      <w:hyperlink r:id="rId21" w:tgtFrame="_new" w:history="1">
        <w:r w:rsidRPr="004B50D2">
          <w:rPr>
            <w:rStyle w:val="Hyperlink"/>
            <w:rFonts w:asciiTheme="minorHAnsi" w:hAnsiTheme="minorHAnsi" w:cstheme="minorHAnsi"/>
            <w:color w:val="EE0000"/>
            <w:sz w:val="22"/>
            <w:szCs w:val="22"/>
          </w:rPr>
          <w:t>https://www.gallup.com/workplace/646538/employee-turnover-preventable-often-ignored.aspx</w:t>
        </w:r>
      </w:hyperlink>
      <w:r w:rsidRPr="004B50D2">
        <w:rPr>
          <w:rFonts w:asciiTheme="minorHAnsi" w:hAnsiTheme="minorHAnsi" w:cstheme="minorHAnsi"/>
          <w:color w:val="EE0000"/>
          <w:sz w:val="22"/>
          <w:szCs w:val="22"/>
        </w:rPr>
        <w:t>.</w:t>
      </w:r>
    </w:p>
    <w:p w14:paraId="68131D49"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Taylor, S. (2019) </w:t>
      </w:r>
      <w:r w:rsidRPr="004B50D2">
        <w:rPr>
          <w:rStyle w:val="Emphasis"/>
          <w:rFonts w:asciiTheme="minorHAnsi" w:hAnsiTheme="minorHAnsi" w:cstheme="minorHAnsi"/>
          <w:color w:val="EE0000"/>
          <w:sz w:val="22"/>
          <w:szCs w:val="22"/>
        </w:rPr>
        <w:t>Resourcing and talent management</w:t>
      </w:r>
      <w:r w:rsidRPr="004B50D2">
        <w:rPr>
          <w:rFonts w:asciiTheme="minorHAnsi" w:hAnsiTheme="minorHAnsi" w:cstheme="minorHAnsi"/>
          <w:color w:val="EE0000"/>
          <w:sz w:val="22"/>
          <w:szCs w:val="22"/>
        </w:rPr>
        <w:t>. 7th ed. London: Kogan Page.</w:t>
      </w:r>
    </w:p>
    <w:p w14:paraId="405760FF"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Taylor, S. (2025) </w:t>
      </w:r>
      <w:r w:rsidRPr="004B50D2">
        <w:rPr>
          <w:rStyle w:val="Emphasis"/>
          <w:rFonts w:asciiTheme="minorHAnsi" w:hAnsiTheme="minorHAnsi" w:cstheme="minorHAnsi"/>
          <w:color w:val="EE0000"/>
          <w:sz w:val="22"/>
          <w:szCs w:val="22"/>
        </w:rPr>
        <w:t>Resourcing and talent management: The theory and practice of recruiting and developing a workforce</w:t>
      </w:r>
      <w:r w:rsidRPr="004B50D2">
        <w:rPr>
          <w:rFonts w:asciiTheme="minorHAnsi" w:hAnsiTheme="minorHAnsi" w:cstheme="minorHAnsi"/>
          <w:color w:val="EE0000"/>
          <w:sz w:val="22"/>
          <w:szCs w:val="22"/>
        </w:rPr>
        <w:t>. 9th ed. London: Kogan Page.</w:t>
      </w:r>
    </w:p>
    <w:p w14:paraId="7330EA8E"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Taylor, S. and Woodhams, C. (2022) </w:t>
      </w:r>
      <w:r w:rsidRPr="004B50D2">
        <w:rPr>
          <w:rStyle w:val="Emphasis"/>
          <w:rFonts w:asciiTheme="minorHAnsi" w:hAnsiTheme="minorHAnsi" w:cstheme="minorHAnsi"/>
          <w:color w:val="EE0000"/>
          <w:sz w:val="22"/>
          <w:szCs w:val="22"/>
        </w:rPr>
        <w:t>Human resource management: People and organisations</w:t>
      </w:r>
      <w:r w:rsidRPr="004B50D2">
        <w:rPr>
          <w:rFonts w:asciiTheme="minorHAnsi" w:hAnsiTheme="minorHAnsi" w:cstheme="minorHAnsi"/>
          <w:color w:val="EE0000"/>
          <w:sz w:val="22"/>
          <w:szCs w:val="22"/>
        </w:rPr>
        <w:t>. 3rd ed. London: CIPD.</w:t>
      </w:r>
    </w:p>
    <w:p w14:paraId="36A33436"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Taylor, S. and Woodhams, C. (2022) </w:t>
      </w:r>
      <w:r w:rsidRPr="004B50D2">
        <w:rPr>
          <w:rStyle w:val="Emphasis"/>
          <w:rFonts w:asciiTheme="minorHAnsi" w:hAnsiTheme="minorHAnsi" w:cstheme="minorHAnsi"/>
          <w:color w:val="EE0000"/>
          <w:sz w:val="22"/>
          <w:szCs w:val="22"/>
        </w:rPr>
        <w:t>Studying human resource management</w:t>
      </w:r>
      <w:r w:rsidRPr="004B50D2">
        <w:rPr>
          <w:rFonts w:asciiTheme="minorHAnsi" w:hAnsiTheme="minorHAnsi" w:cstheme="minorHAnsi"/>
          <w:color w:val="EE0000"/>
          <w:sz w:val="22"/>
          <w:szCs w:val="22"/>
        </w:rPr>
        <w:t>. 3rd ed. London: Kogan Page.</w:t>
      </w:r>
    </w:p>
    <w:p w14:paraId="2E16C160"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Torrington, D., Hall, L., Taylor, S. and Atkinson, C. (2020) </w:t>
      </w:r>
      <w:r w:rsidRPr="004B50D2">
        <w:rPr>
          <w:rStyle w:val="Emphasis"/>
          <w:rFonts w:asciiTheme="minorHAnsi" w:hAnsiTheme="minorHAnsi" w:cstheme="minorHAnsi"/>
          <w:color w:val="EE0000"/>
          <w:sz w:val="22"/>
          <w:szCs w:val="22"/>
        </w:rPr>
        <w:t>Human resource management</w:t>
      </w:r>
      <w:r w:rsidRPr="004B50D2">
        <w:rPr>
          <w:rFonts w:asciiTheme="minorHAnsi" w:hAnsiTheme="minorHAnsi" w:cstheme="minorHAnsi"/>
          <w:color w:val="EE0000"/>
          <w:sz w:val="22"/>
          <w:szCs w:val="22"/>
        </w:rPr>
        <w:t>. 11th ed. Harlow: Pearson.</w:t>
      </w:r>
    </w:p>
    <w:p w14:paraId="3A055DD6"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Wallace, J. and Gaylor, K.P. (2012) ‘A study of the dysfunctional and functional aspects of voluntary employee turnover’, </w:t>
      </w:r>
      <w:r w:rsidRPr="004B50D2">
        <w:rPr>
          <w:rStyle w:val="Emphasis"/>
          <w:rFonts w:asciiTheme="minorHAnsi" w:hAnsiTheme="minorHAnsi" w:cstheme="minorHAnsi"/>
          <w:color w:val="EE0000"/>
          <w:sz w:val="22"/>
          <w:szCs w:val="22"/>
        </w:rPr>
        <w:t>S.A.M. Advanced Management Journal</w:t>
      </w:r>
      <w:r w:rsidRPr="004B50D2">
        <w:rPr>
          <w:rFonts w:asciiTheme="minorHAnsi" w:hAnsiTheme="minorHAnsi" w:cstheme="minorHAnsi"/>
          <w:color w:val="EE0000"/>
          <w:sz w:val="22"/>
          <w:szCs w:val="22"/>
        </w:rPr>
        <w:t>, 77(3), pp.27–36.</w:t>
      </w:r>
    </w:p>
    <w:p w14:paraId="7AEDAC09"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Waite, K. et al. (2021) </w:t>
      </w:r>
      <w:r w:rsidRPr="004B50D2">
        <w:rPr>
          <w:rStyle w:val="Emphasis"/>
          <w:rFonts w:asciiTheme="minorHAnsi" w:hAnsiTheme="minorHAnsi" w:cstheme="minorHAnsi"/>
          <w:color w:val="EE0000"/>
          <w:sz w:val="22"/>
          <w:szCs w:val="22"/>
        </w:rPr>
        <w:t>People practice: A complete guide</w:t>
      </w:r>
      <w:r w:rsidRPr="004B50D2">
        <w:rPr>
          <w:rFonts w:asciiTheme="minorHAnsi" w:hAnsiTheme="minorHAnsi" w:cstheme="minorHAnsi"/>
          <w:color w:val="EE0000"/>
          <w:sz w:val="22"/>
          <w:szCs w:val="22"/>
        </w:rPr>
        <w:t>. London: Kogan Page.</w:t>
      </w:r>
    </w:p>
    <w:p w14:paraId="0AEDD88C" w14:textId="77777777" w:rsidR="004B50D2" w:rsidRPr="004B50D2" w:rsidRDefault="004B50D2" w:rsidP="004B50D2">
      <w:pPr>
        <w:pStyle w:val="NormalWeb"/>
        <w:rPr>
          <w:rFonts w:asciiTheme="minorHAnsi" w:hAnsiTheme="minorHAnsi" w:cstheme="minorHAnsi"/>
          <w:color w:val="EE0000"/>
          <w:sz w:val="22"/>
          <w:szCs w:val="22"/>
        </w:rPr>
      </w:pPr>
      <w:proofErr w:type="spellStart"/>
      <w:r w:rsidRPr="004B50D2">
        <w:rPr>
          <w:rFonts w:asciiTheme="minorHAnsi" w:hAnsiTheme="minorHAnsi" w:cstheme="minorHAnsi"/>
          <w:color w:val="EE0000"/>
          <w:sz w:val="22"/>
          <w:szCs w:val="22"/>
        </w:rPr>
        <w:t>Zenezini</w:t>
      </w:r>
      <w:proofErr w:type="spellEnd"/>
      <w:r w:rsidRPr="004B50D2">
        <w:rPr>
          <w:rFonts w:asciiTheme="minorHAnsi" w:hAnsiTheme="minorHAnsi" w:cstheme="minorHAnsi"/>
          <w:color w:val="EE0000"/>
          <w:sz w:val="22"/>
          <w:szCs w:val="22"/>
        </w:rPr>
        <w:t xml:space="preserve">, G. et al. (2023) ‘Impacts of COVID-19 on logistics service providers’ operations: An Italian empirical study’, </w:t>
      </w:r>
      <w:r w:rsidRPr="004B50D2">
        <w:rPr>
          <w:rStyle w:val="Emphasis"/>
          <w:rFonts w:asciiTheme="minorHAnsi" w:hAnsiTheme="minorHAnsi" w:cstheme="minorHAnsi"/>
          <w:color w:val="EE0000"/>
          <w:sz w:val="22"/>
          <w:szCs w:val="22"/>
        </w:rPr>
        <w:t>Sustainability</w:t>
      </w:r>
      <w:r w:rsidRPr="004B50D2">
        <w:rPr>
          <w:rFonts w:asciiTheme="minorHAnsi" w:hAnsiTheme="minorHAnsi" w:cstheme="minorHAnsi"/>
          <w:color w:val="EE0000"/>
          <w:sz w:val="22"/>
          <w:szCs w:val="22"/>
        </w:rPr>
        <w:t>, 16(1), p.208. doi:10.3390/su16010208.</w:t>
      </w:r>
    </w:p>
    <w:p w14:paraId="61992F53" w14:textId="77777777" w:rsidR="004B50D2" w:rsidRPr="004B50D2" w:rsidRDefault="004B50D2" w:rsidP="004B50D2">
      <w:pPr>
        <w:pStyle w:val="NormalWeb"/>
        <w:rPr>
          <w:rFonts w:asciiTheme="minorHAnsi" w:hAnsiTheme="minorHAnsi" w:cstheme="minorHAnsi"/>
          <w:color w:val="EE0000"/>
          <w:sz w:val="22"/>
          <w:szCs w:val="22"/>
        </w:rPr>
      </w:pPr>
      <w:r w:rsidRPr="004B50D2">
        <w:rPr>
          <w:rFonts w:asciiTheme="minorHAnsi" w:hAnsiTheme="minorHAnsi" w:cstheme="minorHAnsi"/>
          <w:color w:val="EE0000"/>
          <w:sz w:val="22"/>
          <w:szCs w:val="22"/>
        </w:rPr>
        <w:t xml:space="preserve">Zhu, F. and Newman, A. (2022) ‘One size does not fit all: Organizational rewards, managerial experience, and employee retention in entrepreneurial new ventures’, </w:t>
      </w:r>
      <w:r w:rsidRPr="004B50D2">
        <w:rPr>
          <w:rStyle w:val="Emphasis"/>
          <w:rFonts w:asciiTheme="minorHAnsi" w:hAnsiTheme="minorHAnsi" w:cstheme="minorHAnsi"/>
          <w:color w:val="EE0000"/>
          <w:sz w:val="22"/>
          <w:szCs w:val="22"/>
        </w:rPr>
        <w:t>Entrepreneurship Theory and Practice</w:t>
      </w:r>
      <w:r w:rsidRPr="004B50D2">
        <w:rPr>
          <w:rFonts w:asciiTheme="minorHAnsi" w:hAnsiTheme="minorHAnsi" w:cstheme="minorHAnsi"/>
          <w:color w:val="EE0000"/>
          <w:sz w:val="22"/>
          <w:szCs w:val="22"/>
        </w:rPr>
        <w:t>, 47(5), p.104225872211117. doi:10.1177/10422587221111729.</w:t>
      </w:r>
    </w:p>
    <w:p w14:paraId="74B8008E" w14:textId="77777777" w:rsidR="004B50D2" w:rsidRPr="004B50D2" w:rsidRDefault="004B50D2" w:rsidP="00846E8D">
      <w:pPr>
        <w:rPr>
          <w:rFonts w:cstheme="minorHAnsi"/>
          <w:color w:val="EE0000"/>
        </w:rPr>
      </w:pPr>
    </w:p>
    <w:p w14:paraId="0847F1A7" w14:textId="77777777" w:rsidR="004B50D2" w:rsidRDefault="004B50D2" w:rsidP="00846E8D">
      <w:pPr>
        <w:rPr>
          <w:rFonts w:cstheme="minorHAnsi"/>
        </w:rPr>
      </w:pPr>
    </w:p>
    <w:p w14:paraId="7E25441A" w14:textId="77777777" w:rsidR="004B50D2" w:rsidRDefault="004B50D2" w:rsidP="00846E8D">
      <w:pPr>
        <w:rPr>
          <w:rFonts w:cstheme="minorHAnsi"/>
        </w:rPr>
      </w:pPr>
    </w:p>
    <w:p w14:paraId="78D2AAC4" w14:textId="77777777" w:rsidR="00846E8D" w:rsidRPr="004B50D2" w:rsidRDefault="00846E8D" w:rsidP="00846E8D">
      <w:pPr>
        <w:rPr>
          <w:rFonts w:cstheme="minorHAnsi"/>
          <w:strike/>
        </w:rPr>
      </w:pPr>
      <w:proofErr w:type="spellStart"/>
      <w:r w:rsidRPr="004B50D2">
        <w:rPr>
          <w:rFonts w:cstheme="minorHAnsi"/>
          <w:strike/>
        </w:rPr>
        <w:t>Acas</w:t>
      </w:r>
      <w:proofErr w:type="spellEnd"/>
      <w:r w:rsidRPr="004B50D2">
        <w:rPr>
          <w:rFonts w:cstheme="minorHAnsi"/>
          <w:strike/>
        </w:rPr>
        <w:t xml:space="preserve"> (2024) </w:t>
      </w:r>
      <w:r w:rsidRPr="004B50D2">
        <w:rPr>
          <w:rStyle w:val="Emphasis"/>
          <w:rFonts w:cstheme="minorHAnsi"/>
          <w:strike/>
        </w:rPr>
        <w:t>Zero-hours contracts</w:t>
      </w:r>
      <w:r w:rsidRPr="004B50D2">
        <w:rPr>
          <w:rFonts w:cstheme="minorHAnsi"/>
          <w:strike/>
        </w:rPr>
        <w:t xml:space="preserve">. [online] </w:t>
      </w:r>
      <w:proofErr w:type="spellStart"/>
      <w:r w:rsidRPr="004B50D2">
        <w:rPr>
          <w:rFonts w:cstheme="minorHAnsi"/>
          <w:strike/>
        </w:rPr>
        <w:t>Acas</w:t>
      </w:r>
      <w:proofErr w:type="spellEnd"/>
      <w:r w:rsidRPr="004B50D2">
        <w:rPr>
          <w:rFonts w:cstheme="minorHAnsi"/>
          <w:strike/>
        </w:rPr>
        <w:t xml:space="preserve">. Available at: </w:t>
      </w:r>
      <w:hyperlink r:id="rId22" w:tgtFrame="_new" w:history="1">
        <w:r w:rsidRPr="004B50D2">
          <w:rPr>
            <w:rStyle w:val="Hyperlink"/>
            <w:rFonts w:cstheme="minorHAnsi"/>
            <w:strike/>
          </w:rPr>
          <w:t>https://www.acas.org.uk/zero-hours-contracts</w:t>
        </w:r>
      </w:hyperlink>
      <w:r w:rsidRPr="004B50D2">
        <w:rPr>
          <w:rFonts w:cstheme="minorHAnsi"/>
          <w:strike/>
        </w:rPr>
        <w:t>.</w:t>
      </w:r>
    </w:p>
    <w:p w14:paraId="44EE0B74" w14:textId="77777777" w:rsidR="00846E8D" w:rsidRPr="004B50D2" w:rsidRDefault="00846E8D" w:rsidP="00846E8D">
      <w:pPr>
        <w:pStyle w:val="NormalWeb"/>
        <w:rPr>
          <w:rFonts w:asciiTheme="minorHAnsi" w:hAnsiTheme="minorHAnsi" w:cstheme="minorHAnsi"/>
          <w:strike/>
          <w:sz w:val="22"/>
          <w:szCs w:val="22"/>
        </w:rPr>
      </w:pPr>
      <w:proofErr w:type="spellStart"/>
      <w:r w:rsidRPr="004B50D2">
        <w:rPr>
          <w:rFonts w:asciiTheme="minorHAnsi" w:hAnsiTheme="minorHAnsi" w:cstheme="minorHAnsi"/>
          <w:strike/>
          <w:sz w:val="22"/>
          <w:szCs w:val="22"/>
        </w:rPr>
        <w:t>Acas</w:t>
      </w:r>
      <w:proofErr w:type="spellEnd"/>
      <w:r w:rsidRPr="004B50D2">
        <w:rPr>
          <w:rFonts w:asciiTheme="minorHAnsi" w:hAnsiTheme="minorHAnsi" w:cstheme="minorHAnsi"/>
          <w:strike/>
          <w:sz w:val="22"/>
          <w:szCs w:val="22"/>
        </w:rPr>
        <w:t xml:space="preserve"> (2026) </w:t>
      </w:r>
      <w:r w:rsidRPr="004B50D2">
        <w:rPr>
          <w:rStyle w:val="Emphasis"/>
          <w:rFonts w:asciiTheme="minorHAnsi" w:hAnsiTheme="minorHAnsi" w:cstheme="minorHAnsi"/>
          <w:strike/>
          <w:sz w:val="22"/>
          <w:szCs w:val="22"/>
        </w:rPr>
        <w:t>Checklist for induction of new staff</w:t>
      </w:r>
      <w:r w:rsidRPr="004B50D2">
        <w:rPr>
          <w:rFonts w:asciiTheme="minorHAnsi" w:hAnsiTheme="minorHAnsi" w:cstheme="minorHAnsi"/>
          <w:strike/>
          <w:sz w:val="22"/>
          <w:szCs w:val="22"/>
        </w:rPr>
        <w:t xml:space="preserve">. [online] </w:t>
      </w:r>
      <w:proofErr w:type="spellStart"/>
      <w:r w:rsidRPr="004B50D2">
        <w:rPr>
          <w:rFonts w:asciiTheme="minorHAnsi" w:hAnsiTheme="minorHAnsi" w:cstheme="minorHAnsi"/>
          <w:strike/>
          <w:sz w:val="22"/>
          <w:szCs w:val="22"/>
        </w:rPr>
        <w:t>Acas</w:t>
      </w:r>
      <w:proofErr w:type="spellEnd"/>
      <w:r w:rsidRPr="004B50D2">
        <w:rPr>
          <w:rFonts w:asciiTheme="minorHAnsi" w:hAnsiTheme="minorHAnsi" w:cstheme="minorHAnsi"/>
          <w:strike/>
          <w:sz w:val="22"/>
          <w:szCs w:val="22"/>
        </w:rPr>
        <w:t xml:space="preserve">. Available at: </w:t>
      </w:r>
      <w:hyperlink r:id="rId23" w:tgtFrame="_new" w:history="1">
        <w:r w:rsidRPr="004B50D2">
          <w:rPr>
            <w:rStyle w:val="Hyperlink"/>
            <w:rFonts w:asciiTheme="minorHAnsi" w:hAnsiTheme="minorHAnsi" w:cstheme="minorHAnsi"/>
            <w:strike/>
            <w:sz w:val="22"/>
            <w:szCs w:val="22"/>
          </w:rPr>
          <w:t>https://www.acas.org.uk/template-checklist-for-induction-of-new-staff</w:t>
        </w:r>
      </w:hyperlink>
      <w:r w:rsidRPr="004B50D2">
        <w:rPr>
          <w:rFonts w:asciiTheme="minorHAnsi" w:hAnsiTheme="minorHAnsi" w:cstheme="minorHAnsi"/>
          <w:strike/>
          <w:sz w:val="22"/>
          <w:szCs w:val="22"/>
        </w:rPr>
        <w:t>.</w:t>
      </w:r>
    </w:p>
    <w:p w14:paraId="7B3A2A7E" w14:textId="77777777" w:rsidR="00846E8D" w:rsidRPr="004B50D2" w:rsidRDefault="00846E8D" w:rsidP="00846E8D">
      <w:pPr>
        <w:pStyle w:val="NormalWeb"/>
        <w:rPr>
          <w:rFonts w:asciiTheme="minorHAnsi" w:hAnsiTheme="minorHAnsi" w:cstheme="minorHAnsi"/>
          <w:strike/>
          <w:sz w:val="22"/>
          <w:szCs w:val="22"/>
        </w:rPr>
      </w:pPr>
      <w:proofErr w:type="spellStart"/>
      <w:r w:rsidRPr="004B50D2">
        <w:rPr>
          <w:rFonts w:asciiTheme="minorHAnsi" w:hAnsiTheme="minorHAnsi" w:cstheme="minorHAnsi"/>
          <w:strike/>
          <w:sz w:val="22"/>
          <w:szCs w:val="22"/>
        </w:rPr>
        <w:t>Acas</w:t>
      </w:r>
      <w:proofErr w:type="spellEnd"/>
      <w:r w:rsidRPr="004B50D2">
        <w:rPr>
          <w:rFonts w:asciiTheme="minorHAnsi" w:hAnsiTheme="minorHAnsi" w:cstheme="minorHAnsi"/>
          <w:strike/>
          <w:sz w:val="22"/>
          <w:szCs w:val="22"/>
        </w:rPr>
        <w:t xml:space="preserve"> (2026) </w:t>
      </w:r>
      <w:r w:rsidRPr="004B50D2">
        <w:rPr>
          <w:rStyle w:val="Emphasis"/>
          <w:rFonts w:asciiTheme="minorHAnsi" w:hAnsiTheme="minorHAnsi" w:cstheme="minorHAnsi"/>
          <w:strike/>
          <w:sz w:val="22"/>
          <w:szCs w:val="22"/>
        </w:rPr>
        <w:t>Employment Rights Act 2025</w:t>
      </w:r>
      <w:r w:rsidRPr="004B50D2">
        <w:rPr>
          <w:rFonts w:asciiTheme="minorHAnsi" w:hAnsiTheme="minorHAnsi" w:cstheme="minorHAnsi"/>
          <w:strike/>
          <w:sz w:val="22"/>
          <w:szCs w:val="22"/>
        </w:rPr>
        <w:t xml:space="preserve">. [online] </w:t>
      </w:r>
      <w:proofErr w:type="spellStart"/>
      <w:r w:rsidRPr="004B50D2">
        <w:rPr>
          <w:rFonts w:asciiTheme="minorHAnsi" w:hAnsiTheme="minorHAnsi" w:cstheme="minorHAnsi"/>
          <w:strike/>
          <w:sz w:val="22"/>
          <w:szCs w:val="22"/>
        </w:rPr>
        <w:t>Acas</w:t>
      </w:r>
      <w:proofErr w:type="spellEnd"/>
      <w:r w:rsidRPr="004B50D2">
        <w:rPr>
          <w:rFonts w:asciiTheme="minorHAnsi" w:hAnsiTheme="minorHAnsi" w:cstheme="minorHAnsi"/>
          <w:strike/>
          <w:sz w:val="22"/>
          <w:szCs w:val="22"/>
        </w:rPr>
        <w:t xml:space="preserve">. Available at: </w:t>
      </w:r>
      <w:hyperlink r:id="rId24" w:tgtFrame="_new" w:history="1">
        <w:r w:rsidRPr="004B50D2">
          <w:rPr>
            <w:rStyle w:val="Hyperlink"/>
            <w:rFonts w:asciiTheme="minorHAnsi" w:hAnsiTheme="minorHAnsi" w:cstheme="minorHAnsi"/>
            <w:strike/>
            <w:sz w:val="22"/>
            <w:szCs w:val="22"/>
          </w:rPr>
          <w:t>https://www.acas.org.uk/employment-rights-act-2025</w:t>
        </w:r>
      </w:hyperlink>
      <w:r w:rsidRPr="004B50D2">
        <w:rPr>
          <w:rFonts w:asciiTheme="minorHAnsi" w:hAnsiTheme="minorHAnsi" w:cstheme="minorHAnsi"/>
          <w:strike/>
          <w:sz w:val="22"/>
          <w:szCs w:val="22"/>
        </w:rPr>
        <w:t>.</w:t>
      </w:r>
    </w:p>
    <w:p w14:paraId="017D1D50"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Allen, J. et al. (2018) ‘Understanding the impact of e-commerce on last-mile light goods vehicle activity in urban areas: The case of London’, </w:t>
      </w:r>
      <w:r w:rsidRPr="004B50D2">
        <w:rPr>
          <w:rStyle w:val="Emphasis"/>
          <w:rFonts w:asciiTheme="minorHAnsi" w:hAnsiTheme="minorHAnsi" w:cstheme="minorHAnsi"/>
          <w:strike/>
          <w:sz w:val="22"/>
          <w:szCs w:val="22"/>
        </w:rPr>
        <w:t>Transportation Research Part D: Transport and Environment</w:t>
      </w:r>
      <w:r w:rsidRPr="004B50D2">
        <w:rPr>
          <w:rFonts w:asciiTheme="minorHAnsi" w:hAnsiTheme="minorHAnsi" w:cstheme="minorHAnsi"/>
          <w:strike/>
          <w:sz w:val="22"/>
          <w:szCs w:val="22"/>
        </w:rPr>
        <w:t xml:space="preserve">, 61(Part B), pp.325–338. </w:t>
      </w:r>
      <w:proofErr w:type="gramStart"/>
      <w:r w:rsidRPr="004B50D2">
        <w:rPr>
          <w:rFonts w:asciiTheme="minorHAnsi" w:hAnsiTheme="minorHAnsi" w:cstheme="minorHAnsi"/>
          <w:strike/>
          <w:sz w:val="22"/>
          <w:szCs w:val="22"/>
        </w:rPr>
        <w:t>doi:10.1016/j.trd</w:t>
      </w:r>
      <w:proofErr w:type="gramEnd"/>
      <w:r w:rsidRPr="004B50D2">
        <w:rPr>
          <w:rFonts w:asciiTheme="minorHAnsi" w:hAnsiTheme="minorHAnsi" w:cstheme="minorHAnsi"/>
          <w:strike/>
          <w:sz w:val="22"/>
          <w:szCs w:val="22"/>
        </w:rPr>
        <w:t>.2017.07.020.</w:t>
      </w:r>
    </w:p>
    <w:p w14:paraId="37DA2B27"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App, S. and </w:t>
      </w:r>
      <w:proofErr w:type="spellStart"/>
      <w:r w:rsidRPr="004B50D2">
        <w:rPr>
          <w:rFonts w:asciiTheme="minorHAnsi" w:hAnsiTheme="minorHAnsi" w:cstheme="minorHAnsi"/>
          <w:strike/>
          <w:sz w:val="22"/>
          <w:szCs w:val="22"/>
        </w:rPr>
        <w:t>Büttgen</w:t>
      </w:r>
      <w:proofErr w:type="spellEnd"/>
      <w:r w:rsidRPr="004B50D2">
        <w:rPr>
          <w:rFonts w:asciiTheme="minorHAnsi" w:hAnsiTheme="minorHAnsi" w:cstheme="minorHAnsi"/>
          <w:strike/>
          <w:sz w:val="22"/>
          <w:szCs w:val="22"/>
        </w:rPr>
        <w:t xml:space="preserve">, M. (2016) ‘Lasting footprints of the employer brand: Can sustainable HRM lead to brand commitment?’, </w:t>
      </w:r>
      <w:r w:rsidRPr="004B50D2">
        <w:rPr>
          <w:rStyle w:val="Emphasis"/>
          <w:rFonts w:asciiTheme="minorHAnsi" w:hAnsiTheme="minorHAnsi" w:cstheme="minorHAnsi"/>
          <w:strike/>
          <w:sz w:val="22"/>
          <w:szCs w:val="22"/>
        </w:rPr>
        <w:t>Employee Relations</w:t>
      </w:r>
      <w:r w:rsidRPr="004B50D2">
        <w:rPr>
          <w:rFonts w:asciiTheme="minorHAnsi" w:hAnsiTheme="minorHAnsi" w:cstheme="minorHAnsi"/>
          <w:strike/>
          <w:sz w:val="22"/>
          <w:szCs w:val="22"/>
        </w:rPr>
        <w:t>, 38(5), pp.703–723. doi:10.1108/ER-06-2015-0122.</w:t>
      </w:r>
    </w:p>
    <w:p w14:paraId="47B64DA3"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lastRenderedPageBreak/>
        <w:t xml:space="preserve">Bergen, M. and Peteraf, M.A. (2002) ‘Competitor identification and competitor analysis: A broad-based managerial approach’, </w:t>
      </w:r>
      <w:r w:rsidRPr="004B50D2">
        <w:rPr>
          <w:rStyle w:val="Emphasis"/>
          <w:rFonts w:asciiTheme="minorHAnsi" w:hAnsiTheme="minorHAnsi" w:cstheme="minorHAnsi"/>
          <w:strike/>
          <w:sz w:val="22"/>
          <w:szCs w:val="22"/>
        </w:rPr>
        <w:t>Managerial and Decision Economics</w:t>
      </w:r>
      <w:r w:rsidRPr="004B50D2">
        <w:rPr>
          <w:rFonts w:asciiTheme="minorHAnsi" w:hAnsiTheme="minorHAnsi" w:cstheme="minorHAnsi"/>
          <w:strike/>
          <w:sz w:val="22"/>
          <w:szCs w:val="22"/>
        </w:rPr>
        <w:t>, 23(4–5), pp.157–169.</w:t>
      </w:r>
    </w:p>
    <w:p w14:paraId="37CD3CAF"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Bhatnagar, J. and Srivastava, P. (2008) ‘Strategy for staffing: Employer branding and person–organisation fit’, </w:t>
      </w:r>
      <w:r w:rsidRPr="004B50D2">
        <w:rPr>
          <w:rStyle w:val="Emphasis"/>
          <w:rFonts w:asciiTheme="minorHAnsi" w:hAnsiTheme="minorHAnsi" w:cstheme="minorHAnsi"/>
          <w:strike/>
          <w:sz w:val="22"/>
          <w:szCs w:val="22"/>
        </w:rPr>
        <w:t>Indian Journal of Industrial Relations</w:t>
      </w:r>
      <w:r w:rsidRPr="004B50D2">
        <w:rPr>
          <w:rFonts w:asciiTheme="minorHAnsi" w:hAnsiTheme="minorHAnsi" w:cstheme="minorHAnsi"/>
          <w:strike/>
          <w:sz w:val="22"/>
          <w:szCs w:val="22"/>
        </w:rPr>
        <w:t>, 44(1), pp.35–48.</w:t>
      </w:r>
    </w:p>
    <w:p w14:paraId="579DD094"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Borucka, A. (2023) ‘Seasonal methods of demand forecasting in the supply chain as support for the company’s sustainable growth’, </w:t>
      </w:r>
      <w:r w:rsidRPr="004B50D2">
        <w:rPr>
          <w:rStyle w:val="Emphasis"/>
          <w:rFonts w:asciiTheme="minorHAnsi" w:hAnsiTheme="minorHAnsi" w:cstheme="minorHAnsi"/>
          <w:strike/>
          <w:sz w:val="22"/>
          <w:szCs w:val="22"/>
        </w:rPr>
        <w:t>Sustainability</w:t>
      </w:r>
      <w:r w:rsidRPr="004B50D2">
        <w:rPr>
          <w:rFonts w:asciiTheme="minorHAnsi" w:hAnsiTheme="minorHAnsi" w:cstheme="minorHAnsi"/>
          <w:strike/>
          <w:sz w:val="22"/>
          <w:szCs w:val="22"/>
        </w:rPr>
        <w:t>, 15(9), p.7399. doi:10.3390/su15097399.</w:t>
      </w:r>
    </w:p>
    <w:p w14:paraId="5C5790C9"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CIPD (2024) </w:t>
      </w:r>
      <w:r w:rsidRPr="004B50D2">
        <w:rPr>
          <w:rStyle w:val="Emphasis"/>
          <w:rFonts w:asciiTheme="minorHAnsi" w:hAnsiTheme="minorHAnsi" w:cstheme="minorHAnsi"/>
          <w:strike/>
          <w:sz w:val="22"/>
          <w:szCs w:val="22"/>
        </w:rPr>
        <w:t>Selection methods</w:t>
      </w:r>
      <w:r w:rsidRPr="004B50D2">
        <w:rPr>
          <w:rFonts w:asciiTheme="minorHAnsi" w:hAnsiTheme="minorHAnsi" w:cstheme="minorHAnsi"/>
          <w:strike/>
          <w:sz w:val="22"/>
          <w:szCs w:val="22"/>
        </w:rPr>
        <w:t xml:space="preserve">. [online] CIPD. Available at: </w:t>
      </w:r>
      <w:hyperlink r:id="rId25" w:tgtFrame="_new" w:history="1">
        <w:r w:rsidRPr="004B50D2">
          <w:rPr>
            <w:rStyle w:val="Hyperlink"/>
            <w:rFonts w:asciiTheme="minorHAnsi" w:hAnsiTheme="minorHAnsi" w:cstheme="minorHAnsi"/>
            <w:strike/>
            <w:sz w:val="22"/>
            <w:szCs w:val="22"/>
          </w:rPr>
          <w:t>https://www.cipd.org/uk/knowledge/factsheets/selection-factsheet/</w:t>
        </w:r>
      </w:hyperlink>
      <w:r w:rsidRPr="004B50D2">
        <w:rPr>
          <w:rFonts w:asciiTheme="minorHAnsi" w:hAnsiTheme="minorHAnsi" w:cstheme="minorHAnsi"/>
          <w:strike/>
          <w:sz w:val="22"/>
          <w:szCs w:val="22"/>
        </w:rPr>
        <w:t>.</w:t>
      </w:r>
    </w:p>
    <w:p w14:paraId="265A52C0"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CIPD (2024a) </w:t>
      </w:r>
      <w:r w:rsidRPr="004B50D2">
        <w:rPr>
          <w:rStyle w:val="Emphasis"/>
          <w:rFonts w:asciiTheme="minorHAnsi" w:hAnsiTheme="minorHAnsi" w:cstheme="minorHAnsi"/>
          <w:strike/>
          <w:sz w:val="22"/>
          <w:szCs w:val="22"/>
        </w:rPr>
        <w:t>Resourcing and talent planning report 2024</w:t>
      </w:r>
      <w:r w:rsidRPr="004B50D2">
        <w:rPr>
          <w:rFonts w:asciiTheme="minorHAnsi" w:hAnsiTheme="minorHAnsi" w:cstheme="minorHAnsi"/>
          <w:strike/>
          <w:sz w:val="22"/>
          <w:szCs w:val="22"/>
        </w:rPr>
        <w:t xml:space="preserve">. London: CIPD. Available at: </w:t>
      </w:r>
      <w:hyperlink r:id="rId26" w:tgtFrame="_new" w:history="1">
        <w:r w:rsidRPr="004B50D2">
          <w:rPr>
            <w:rStyle w:val="Hyperlink"/>
            <w:rFonts w:asciiTheme="minorHAnsi" w:hAnsiTheme="minorHAnsi" w:cstheme="minorHAnsi"/>
            <w:strike/>
            <w:sz w:val="22"/>
            <w:szCs w:val="22"/>
          </w:rPr>
          <w:t>https://www.cipd.org/globalassets/media/knowledge/knowledge-hub/reports/2024-pdfs/8662-resource-and-talent-planning-2024-report-web.pdf</w:t>
        </w:r>
      </w:hyperlink>
      <w:r w:rsidRPr="004B50D2">
        <w:rPr>
          <w:rFonts w:asciiTheme="minorHAnsi" w:hAnsiTheme="minorHAnsi" w:cstheme="minorHAnsi"/>
          <w:strike/>
          <w:sz w:val="22"/>
          <w:szCs w:val="22"/>
        </w:rPr>
        <w:t>.</w:t>
      </w:r>
    </w:p>
    <w:p w14:paraId="72256085"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CIPD (2024b) </w:t>
      </w:r>
      <w:r w:rsidRPr="004B50D2">
        <w:rPr>
          <w:rStyle w:val="Emphasis"/>
          <w:rFonts w:asciiTheme="minorHAnsi" w:hAnsiTheme="minorHAnsi" w:cstheme="minorHAnsi"/>
          <w:strike/>
          <w:sz w:val="22"/>
          <w:szCs w:val="22"/>
        </w:rPr>
        <w:t>Benchmarking employee turnover: What are the latest trends and insights?</w:t>
      </w:r>
      <w:r w:rsidRPr="004B50D2">
        <w:rPr>
          <w:rFonts w:asciiTheme="minorHAnsi" w:hAnsiTheme="minorHAnsi" w:cstheme="minorHAnsi"/>
          <w:strike/>
          <w:sz w:val="22"/>
          <w:szCs w:val="22"/>
        </w:rPr>
        <w:t xml:space="preserve"> [online] CIPD. Available at: </w:t>
      </w:r>
      <w:hyperlink r:id="rId27" w:tgtFrame="_new" w:history="1">
        <w:r w:rsidRPr="004B50D2">
          <w:rPr>
            <w:rStyle w:val="Hyperlink"/>
            <w:rFonts w:asciiTheme="minorHAnsi" w:hAnsiTheme="minorHAnsi" w:cstheme="minorHAnsi"/>
            <w:strike/>
            <w:sz w:val="22"/>
            <w:szCs w:val="22"/>
          </w:rPr>
          <w:t>https://www.cipd.org/uk/views-and-insights/thought-leadership/cipd-voice/benchmarking-employee-turnover/</w:t>
        </w:r>
      </w:hyperlink>
      <w:r w:rsidRPr="004B50D2">
        <w:rPr>
          <w:rFonts w:asciiTheme="minorHAnsi" w:hAnsiTheme="minorHAnsi" w:cstheme="minorHAnsi"/>
          <w:strike/>
          <w:sz w:val="22"/>
          <w:szCs w:val="22"/>
        </w:rPr>
        <w:t>.</w:t>
      </w:r>
    </w:p>
    <w:p w14:paraId="1EF4C72E"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CIPD (2024c) </w:t>
      </w:r>
      <w:r w:rsidRPr="004B50D2">
        <w:rPr>
          <w:rStyle w:val="Emphasis"/>
          <w:rFonts w:asciiTheme="minorHAnsi" w:hAnsiTheme="minorHAnsi" w:cstheme="minorHAnsi"/>
          <w:strike/>
          <w:sz w:val="22"/>
          <w:szCs w:val="22"/>
        </w:rPr>
        <w:t>Employer brand</w:t>
      </w:r>
      <w:r w:rsidRPr="004B50D2">
        <w:rPr>
          <w:rFonts w:asciiTheme="minorHAnsi" w:hAnsiTheme="minorHAnsi" w:cstheme="minorHAnsi"/>
          <w:strike/>
          <w:sz w:val="22"/>
          <w:szCs w:val="22"/>
        </w:rPr>
        <w:t xml:space="preserve">. [online] CIPD. Available at: </w:t>
      </w:r>
      <w:hyperlink r:id="rId28" w:tgtFrame="_new" w:history="1">
        <w:r w:rsidRPr="004B50D2">
          <w:rPr>
            <w:rStyle w:val="Hyperlink"/>
            <w:rFonts w:asciiTheme="minorHAnsi" w:hAnsiTheme="minorHAnsi" w:cstheme="minorHAnsi"/>
            <w:strike/>
            <w:sz w:val="22"/>
            <w:szCs w:val="22"/>
          </w:rPr>
          <w:t>https://www.cipd.org/uk/knowledge/factsheets/recruitment-brand-factsheet/</w:t>
        </w:r>
      </w:hyperlink>
      <w:r w:rsidRPr="004B50D2">
        <w:rPr>
          <w:rFonts w:asciiTheme="minorHAnsi" w:hAnsiTheme="minorHAnsi" w:cstheme="minorHAnsi"/>
          <w:strike/>
          <w:sz w:val="22"/>
          <w:szCs w:val="22"/>
        </w:rPr>
        <w:t>.</w:t>
      </w:r>
    </w:p>
    <w:p w14:paraId="2F89E2BD"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CIPD (2025) </w:t>
      </w:r>
      <w:r w:rsidRPr="004B50D2">
        <w:rPr>
          <w:rStyle w:val="Emphasis"/>
          <w:rFonts w:asciiTheme="minorHAnsi" w:hAnsiTheme="minorHAnsi" w:cstheme="minorHAnsi"/>
          <w:strike/>
          <w:sz w:val="22"/>
          <w:szCs w:val="22"/>
        </w:rPr>
        <w:t>Employee turnover and retention</w:t>
      </w:r>
      <w:r w:rsidRPr="004B50D2">
        <w:rPr>
          <w:rFonts w:asciiTheme="minorHAnsi" w:hAnsiTheme="minorHAnsi" w:cstheme="minorHAnsi"/>
          <w:strike/>
          <w:sz w:val="22"/>
          <w:szCs w:val="22"/>
        </w:rPr>
        <w:t xml:space="preserve">. [online] CIPD. Available at: </w:t>
      </w:r>
      <w:hyperlink r:id="rId29" w:tgtFrame="_new" w:history="1">
        <w:r w:rsidRPr="004B50D2">
          <w:rPr>
            <w:rStyle w:val="Hyperlink"/>
            <w:rFonts w:asciiTheme="minorHAnsi" w:hAnsiTheme="minorHAnsi" w:cstheme="minorHAnsi"/>
            <w:strike/>
            <w:sz w:val="22"/>
            <w:szCs w:val="22"/>
          </w:rPr>
          <w:t>https://www.cipd.org/uk/knowledge/factsheets/turnover-retention-factsheet/</w:t>
        </w:r>
      </w:hyperlink>
      <w:r w:rsidRPr="004B50D2">
        <w:rPr>
          <w:rFonts w:asciiTheme="minorHAnsi" w:hAnsiTheme="minorHAnsi" w:cstheme="minorHAnsi"/>
          <w:strike/>
          <w:sz w:val="22"/>
          <w:szCs w:val="22"/>
        </w:rPr>
        <w:t>.</w:t>
      </w:r>
    </w:p>
    <w:p w14:paraId="57CC3AE2"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CIPD (2025) </w:t>
      </w:r>
      <w:r w:rsidRPr="004B50D2">
        <w:rPr>
          <w:rStyle w:val="Emphasis"/>
          <w:rFonts w:asciiTheme="minorHAnsi" w:hAnsiTheme="minorHAnsi" w:cstheme="minorHAnsi"/>
          <w:strike/>
          <w:sz w:val="22"/>
          <w:szCs w:val="22"/>
        </w:rPr>
        <w:t>Understanding the economy and labour market</w:t>
      </w:r>
      <w:r w:rsidRPr="004B50D2">
        <w:rPr>
          <w:rFonts w:asciiTheme="minorHAnsi" w:hAnsiTheme="minorHAnsi" w:cstheme="minorHAnsi"/>
          <w:strike/>
          <w:sz w:val="22"/>
          <w:szCs w:val="22"/>
        </w:rPr>
        <w:t xml:space="preserve">. [online] CIPD. Available at: </w:t>
      </w:r>
      <w:hyperlink r:id="rId30" w:tgtFrame="_new" w:history="1">
        <w:r w:rsidRPr="004B50D2">
          <w:rPr>
            <w:rStyle w:val="Hyperlink"/>
            <w:rFonts w:asciiTheme="minorHAnsi" w:hAnsiTheme="minorHAnsi" w:cstheme="minorHAnsi"/>
            <w:strike/>
            <w:sz w:val="22"/>
            <w:szCs w:val="22"/>
          </w:rPr>
          <w:t>https://www.cipd.org/uk/knowledge/factsheets/economy-labour-market-factsheet/</w:t>
        </w:r>
      </w:hyperlink>
      <w:r w:rsidRPr="004B50D2">
        <w:rPr>
          <w:rFonts w:asciiTheme="minorHAnsi" w:hAnsiTheme="minorHAnsi" w:cstheme="minorHAnsi"/>
          <w:strike/>
          <w:sz w:val="22"/>
          <w:szCs w:val="22"/>
        </w:rPr>
        <w:t>.</w:t>
      </w:r>
    </w:p>
    <w:p w14:paraId="50FBE237"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CIPD (2025) </w:t>
      </w:r>
      <w:r w:rsidRPr="004B50D2">
        <w:rPr>
          <w:rStyle w:val="Emphasis"/>
          <w:rFonts w:asciiTheme="minorHAnsi" w:hAnsiTheme="minorHAnsi" w:cstheme="minorHAnsi"/>
          <w:strike/>
          <w:sz w:val="22"/>
          <w:szCs w:val="22"/>
        </w:rPr>
        <w:t>Workforce planning</w:t>
      </w:r>
      <w:r w:rsidRPr="004B50D2">
        <w:rPr>
          <w:rFonts w:asciiTheme="minorHAnsi" w:hAnsiTheme="minorHAnsi" w:cstheme="minorHAnsi"/>
          <w:strike/>
          <w:sz w:val="22"/>
          <w:szCs w:val="22"/>
        </w:rPr>
        <w:t xml:space="preserve">. [online] CIPD. Available at: </w:t>
      </w:r>
      <w:hyperlink r:id="rId31" w:tgtFrame="_new" w:history="1">
        <w:r w:rsidRPr="004B50D2">
          <w:rPr>
            <w:rStyle w:val="Hyperlink"/>
            <w:rFonts w:asciiTheme="minorHAnsi" w:hAnsiTheme="minorHAnsi" w:cstheme="minorHAnsi"/>
            <w:strike/>
            <w:sz w:val="22"/>
            <w:szCs w:val="22"/>
          </w:rPr>
          <w:t>https://www.cipd.org/uk/knowledge/factsheets/workforce-planning-factsheet/</w:t>
        </w:r>
      </w:hyperlink>
      <w:r w:rsidRPr="004B50D2">
        <w:rPr>
          <w:rFonts w:asciiTheme="minorHAnsi" w:hAnsiTheme="minorHAnsi" w:cstheme="minorHAnsi"/>
          <w:strike/>
          <w:sz w:val="22"/>
          <w:szCs w:val="22"/>
        </w:rPr>
        <w:t>.</w:t>
      </w:r>
    </w:p>
    <w:p w14:paraId="6A224A52"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Drewery, D. (2019) ‘Retaining contingent frontline staff through job enrichment: The case of seasonal student workers’, </w:t>
      </w:r>
      <w:r w:rsidRPr="004B50D2">
        <w:rPr>
          <w:rStyle w:val="Emphasis"/>
          <w:rFonts w:asciiTheme="minorHAnsi" w:hAnsiTheme="minorHAnsi" w:cstheme="minorHAnsi"/>
          <w:strike/>
          <w:sz w:val="22"/>
          <w:szCs w:val="22"/>
        </w:rPr>
        <w:t>Managing Sport and Leisure</w:t>
      </w:r>
      <w:r w:rsidRPr="004B50D2">
        <w:rPr>
          <w:rFonts w:asciiTheme="minorHAnsi" w:hAnsiTheme="minorHAnsi" w:cstheme="minorHAnsi"/>
          <w:strike/>
          <w:sz w:val="22"/>
          <w:szCs w:val="22"/>
        </w:rPr>
        <w:t>, 24(6), pp.387–399. doi:10.1080/23750472.2019.1684835.</w:t>
      </w:r>
    </w:p>
    <w:p w14:paraId="408A0CAC"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Drury, P. (2016) ‘Employer branding’, </w:t>
      </w:r>
      <w:r w:rsidRPr="004B50D2">
        <w:rPr>
          <w:rStyle w:val="Emphasis"/>
          <w:rFonts w:asciiTheme="minorHAnsi" w:hAnsiTheme="minorHAnsi" w:cstheme="minorHAnsi"/>
          <w:strike/>
          <w:sz w:val="22"/>
          <w:szCs w:val="22"/>
        </w:rPr>
        <w:t>Human Resource Management International Digest</w:t>
      </w:r>
      <w:r w:rsidRPr="004B50D2">
        <w:rPr>
          <w:rFonts w:asciiTheme="minorHAnsi" w:hAnsiTheme="minorHAnsi" w:cstheme="minorHAnsi"/>
          <w:strike/>
          <w:sz w:val="22"/>
          <w:szCs w:val="22"/>
        </w:rPr>
        <w:t>, 24(3), pp.29–31. doi:10.1108/HRMID-02-2016-0015.</w:t>
      </w:r>
    </w:p>
    <w:p w14:paraId="0B14F702"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Earnest, D.R., Allen, D.G. and Landis, R.S. (2011) ‘Mechanisms linking realistic job previews with turnover: A meta-analytic path analysis’, </w:t>
      </w:r>
      <w:r w:rsidRPr="004B50D2">
        <w:rPr>
          <w:rStyle w:val="Emphasis"/>
          <w:rFonts w:asciiTheme="minorHAnsi" w:hAnsiTheme="minorHAnsi" w:cstheme="minorHAnsi"/>
          <w:strike/>
          <w:sz w:val="22"/>
          <w:szCs w:val="22"/>
        </w:rPr>
        <w:t>Personnel Psychology</w:t>
      </w:r>
      <w:r w:rsidRPr="004B50D2">
        <w:rPr>
          <w:rFonts w:asciiTheme="minorHAnsi" w:hAnsiTheme="minorHAnsi" w:cstheme="minorHAnsi"/>
          <w:strike/>
          <w:sz w:val="22"/>
          <w:szCs w:val="22"/>
        </w:rPr>
        <w:t>, 64(4), pp.865–897. doi:10.1111/j.1744-6570.2011.</w:t>
      </w:r>
      <w:proofErr w:type="gramStart"/>
      <w:r w:rsidRPr="004B50D2">
        <w:rPr>
          <w:rFonts w:asciiTheme="minorHAnsi" w:hAnsiTheme="minorHAnsi" w:cstheme="minorHAnsi"/>
          <w:strike/>
          <w:sz w:val="22"/>
          <w:szCs w:val="22"/>
        </w:rPr>
        <w:t>01230.x.</w:t>
      </w:r>
      <w:proofErr w:type="gramEnd"/>
    </w:p>
    <w:p w14:paraId="3E54B702"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FedEx Newsroom (2024) </w:t>
      </w:r>
      <w:r w:rsidRPr="004B50D2">
        <w:rPr>
          <w:rStyle w:val="Emphasis"/>
          <w:rFonts w:asciiTheme="minorHAnsi" w:hAnsiTheme="minorHAnsi" w:cstheme="minorHAnsi"/>
          <w:strike/>
          <w:sz w:val="22"/>
          <w:szCs w:val="22"/>
        </w:rPr>
        <w:t>UK parcel deliveries to hit 1.29bn this festive season, making the UK parcel market the busiest in Europe</w:t>
      </w:r>
      <w:r w:rsidRPr="004B50D2">
        <w:rPr>
          <w:rFonts w:asciiTheme="minorHAnsi" w:hAnsiTheme="minorHAnsi" w:cstheme="minorHAnsi"/>
          <w:strike/>
          <w:sz w:val="22"/>
          <w:szCs w:val="22"/>
        </w:rPr>
        <w:t xml:space="preserve">. [online] FedEx. Available at: </w:t>
      </w:r>
      <w:hyperlink r:id="rId32" w:tgtFrame="_new" w:history="1">
        <w:r w:rsidRPr="004B50D2">
          <w:rPr>
            <w:rStyle w:val="Hyperlink"/>
            <w:rFonts w:asciiTheme="minorHAnsi" w:hAnsiTheme="minorHAnsi" w:cstheme="minorHAnsi"/>
            <w:strike/>
            <w:sz w:val="22"/>
            <w:szCs w:val="22"/>
          </w:rPr>
          <w:t>https://newsroom.fedex.com/newsroom/europe-english/uk-parcel-deliveries-to-hit-1-29-bn-this-festive-season-making-the-uk-parcel-market-the-busiest-in-europe</w:t>
        </w:r>
      </w:hyperlink>
      <w:r w:rsidRPr="004B50D2">
        <w:rPr>
          <w:rFonts w:asciiTheme="minorHAnsi" w:hAnsiTheme="minorHAnsi" w:cstheme="minorHAnsi"/>
          <w:strike/>
          <w:sz w:val="22"/>
          <w:szCs w:val="22"/>
        </w:rPr>
        <w:t>.</w:t>
      </w:r>
    </w:p>
    <w:p w14:paraId="52FD92CE"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George, S. (2024) </w:t>
      </w:r>
      <w:r w:rsidRPr="004B50D2">
        <w:rPr>
          <w:rStyle w:val="Emphasis"/>
          <w:rFonts w:asciiTheme="minorHAnsi" w:hAnsiTheme="minorHAnsi" w:cstheme="minorHAnsi"/>
          <w:strike/>
          <w:sz w:val="22"/>
          <w:szCs w:val="22"/>
        </w:rPr>
        <w:t>Succession planning</w:t>
      </w:r>
      <w:r w:rsidRPr="004B50D2">
        <w:rPr>
          <w:rFonts w:asciiTheme="minorHAnsi" w:hAnsiTheme="minorHAnsi" w:cstheme="minorHAnsi"/>
          <w:strike/>
          <w:sz w:val="22"/>
          <w:szCs w:val="22"/>
        </w:rPr>
        <w:t xml:space="preserve">. [online] CIPD. Available at: </w:t>
      </w:r>
      <w:hyperlink r:id="rId33" w:tgtFrame="_new" w:history="1">
        <w:r w:rsidRPr="004B50D2">
          <w:rPr>
            <w:rStyle w:val="Hyperlink"/>
            <w:rFonts w:asciiTheme="minorHAnsi" w:hAnsiTheme="minorHAnsi" w:cstheme="minorHAnsi"/>
            <w:strike/>
            <w:sz w:val="22"/>
            <w:szCs w:val="22"/>
          </w:rPr>
          <w:t>https://www.cipd.org/uk/knowledge/factsheets/succession-planning-factsheet/</w:t>
        </w:r>
      </w:hyperlink>
      <w:r w:rsidRPr="004B50D2">
        <w:rPr>
          <w:rFonts w:asciiTheme="minorHAnsi" w:hAnsiTheme="minorHAnsi" w:cstheme="minorHAnsi"/>
          <w:strike/>
          <w:sz w:val="22"/>
          <w:szCs w:val="22"/>
        </w:rPr>
        <w:t>.</w:t>
      </w:r>
    </w:p>
    <w:p w14:paraId="64F5C2D3"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lastRenderedPageBreak/>
        <w:t xml:space="preserve">Gibson, A. (2021) </w:t>
      </w:r>
      <w:r w:rsidRPr="004B50D2">
        <w:rPr>
          <w:rStyle w:val="Emphasis"/>
          <w:rFonts w:asciiTheme="minorHAnsi" w:hAnsiTheme="minorHAnsi" w:cstheme="minorHAnsi"/>
          <w:strike/>
          <w:sz w:val="22"/>
          <w:szCs w:val="22"/>
        </w:rPr>
        <w:t>Agile workforce planning: How to align people with organizational strategy for improved performance</w:t>
      </w:r>
      <w:r w:rsidRPr="004B50D2">
        <w:rPr>
          <w:rFonts w:asciiTheme="minorHAnsi" w:hAnsiTheme="minorHAnsi" w:cstheme="minorHAnsi"/>
          <w:strike/>
          <w:sz w:val="22"/>
          <w:szCs w:val="22"/>
        </w:rPr>
        <w:t>. New York, NY: Kogan Page.</w:t>
      </w:r>
    </w:p>
    <w:p w14:paraId="433FF843"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Goldberg, E. (2024) ‘Scenario planning’, in </w:t>
      </w:r>
      <w:r w:rsidRPr="004B50D2">
        <w:rPr>
          <w:rStyle w:val="Emphasis"/>
          <w:rFonts w:asciiTheme="minorHAnsi" w:hAnsiTheme="minorHAnsi" w:cstheme="minorHAnsi"/>
          <w:strike/>
          <w:sz w:val="22"/>
          <w:szCs w:val="22"/>
        </w:rPr>
        <w:t>Oxford University Press eBooks</w:t>
      </w:r>
      <w:r w:rsidRPr="004B50D2">
        <w:rPr>
          <w:rFonts w:asciiTheme="minorHAnsi" w:hAnsiTheme="minorHAnsi" w:cstheme="minorHAnsi"/>
          <w:strike/>
          <w:sz w:val="22"/>
          <w:szCs w:val="22"/>
        </w:rPr>
        <w:t>, pp.282–299. doi:10.1093/</w:t>
      </w:r>
      <w:proofErr w:type="spellStart"/>
      <w:r w:rsidRPr="004B50D2">
        <w:rPr>
          <w:rFonts w:asciiTheme="minorHAnsi" w:hAnsiTheme="minorHAnsi" w:cstheme="minorHAnsi"/>
          <w:strike/>
          <w:sz w:val="22"/>
          <w:szCs w:val="22"/>
        </w:rPr>
        <w:t>oso</w:t>
      </w:r>
      <w:proofErr w:type="spellEnd"/>
      <w:r w:rsidRPr="004B50D2">
        <w:rPr>
          <w:rFonts w:asciiTheme="minorHAnsi" w:hAnsiTheme="minorHAnsi" w:cstheme="minorHAnsi"/>
          <w:strike/>
          <w:sz w:val="22"/>
          <w:szCs w:val="22"/>
        </w:rPr>
        <w:t>/9780197759745.003.0014.</w:t>
      </w:r>
    </w:p>
    <w:p w14:paraId="0823F37E"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Green, M. (2017) </w:t>
      </w:r>
      <w:r w:rsidRPr="004B50D2">
        <w:rPr>
          <w:rStyle w:val="Emphasis"/>
          <w:rFonts w:asciiTheme="minorHAnsi" w:hAnsiTheme="minorHAnsi" w:cstheme="minorHAnsi"/>
          <w:strike/>
          <w:sz w:val="22"/>
          <w:szCs w:val="22"/>
        </w:rPr>
        <w:t>Healthcare hiring – getting new employees on board</w:t>
      </w:r>
      <w:r w:rsidRPr="004B50D2">
        <w:rPr>
          <w:rFonts w:asciiTheme="minorHAnsi" w:hAnsiTheme="minorHAnsi" w:cstheme="minorHAnsi"/>
          <w:strike/>
          <w:sz w:val="22"/>
          <w:szCs w:val="22"/>
        </w:rPr>
        <w:t xml:space="preserve">. [online] CIPD. Available at: </w:t>
      </w:r>
      <w:hyperlink r:id="rId34" w:tgtFrame="_new" w:history="1">
        <w:r w:rsidRPr="004B50D2">
          <w:rPr>
            <w:rStyle w:val="Hyperlink"/>
            <w:rFonts w:asciiTheme="minorHAnsi" w:hAnsiTheme="minorHAnsi" w:cstheme="minorHAnsi"/>
            <w:strike/>
            <w:sz w:val="22"/>
            <w:szCs w:val="22"/>
          </w:rPr>
          <w:t>https://www.cipd.org/en/knowledge/bitesize-research/healthcare-hiring/</w:t>
        </w:r>
      </w:hyperlink>
      <w:r w:rsidRPr="004B50D2">
        <w:rPr>
          <w:rFonts w:asciiTheme="minorHAnsi" w:hAnsiTheme="minorHAnsi" w:cstheme="minorHAnsi"/>
          <w:strike/>
          <w:sz w:val="22"/>
          <w:szCs w:val="22"/>
        </w:rPr>
        <w:t>.</w:t>
      </w:r>
    </w:p>
    <w:p w14:paraId="6640D162"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Green, M. (2019) </w:t>
      </w:r>
      <w:r w:rsidRPr="004B50D2">
        <w:rPr>
          <w:rStyle w:val="Emphasis"/>
          <w:rFonts w:asciiTheme="minorHAnsi" w:hAnsiTheme="minorHAnsi" w:cstheme="minorHAnsi"/>
          <w:strike/>
          <w:sz w:val="22"/>
          <w:szCs w:val="22"/>
        </w:rPr>
        <w:t>Proving the value of induction</w:t>
      </w:r>
      <w:r w:rsidRPr="004B50D2">
        <w:rPr>
          <w:rFonts w:asciiTheme="minorHAnsi" w:hAnsiTheme="minorHAnsi" w:cstheme="minorHAnsi"/>
          <w:strike/>
          <w:sz w:val="22"/>
          <w:szCs w:val="22"/>
        </w:rPr>
        <w:t xml:space="preserve">. [online] CIPD. Available at: </w:t>
      </w:r>
      <w:hyperlink r:id="rId35" w:tgtFrame="_new" w:history="1">
        <w:r w:rsidRPr="004B50D2">
          <w:rPr>
            <w:rStyle w:val="Hyperlink"/>
            <w:rFonts w:asciiTheme="minorHAnsi" w:hAnsiTheme="minorHAnsi" w:cstheme="minorHAnsi"/>
            <w:strike/>
            <w:sz w:val="22"/>
            <w:szCs w:val="22"/>
          </w:rPr>
          <w:t>https://www.cipd.org/en/knowledge/bitesize-research/value-induction/</w:t>
        </w:r>
      </w:hyperlink>
      <w:r w:rsidRPr="004B50D2">
        <w:rPr>
          <w:rFonts w:asciiTheme="minorHAnsi" w:hAnsiTheme="minorHAnsi" w:cstheme="minorHAnsi"/>
          <w:strike/>
          <w:sz w:val="22"/>
          <w:szCs w:val="22"/>
        </w:rPr>
        <w:t>.</w:t>
      </w:r>
    </w:p>
    <w:p w14:paraId="5FAD87AC"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Hodder, A. and </w:t>
      </w:r>
      <w:proofErr w:type="spellStart"/>
      <w:r w:rsidRPr="004B50D2">
        <w:rPr>
          <w:rFonts w:asciiTheme="minorHAnsi" w:hAnsiTheme="minorHAnsi" w:cstheme="minorHAnsi"/>
          <w:strike/>
          <w:sz w:val="22"/>
          <w:szCs w:val="22"/>
        </w:rPr>
        <w:t>Mustchin</w:t>
      </w:r>
      <w:proofErr w:type="spellEnd"/>
      <w:r w:rsidRPr="004B50D2">
        <w:rPr>
          <w:rFonts w:asciiTheme="minorHAnsi" w:hAnsiTheme="minorHAnsi" w:cstheme="minorHAnsi"/>
          <w:strike/>
          <w:sz w:val="22"/>
          <w:szCs w:val="22"/>
        </w:rPr>
        <w:t xml:space="preserve">, S. (2024) </w:t>
      </w:r>
      <w:r w:rsidRPr="004B50D2">
        <w:rPr>
          <w:rStyle w:val="Emphasis"/>
          <w:rFonts w:asciiTheme="minorHAnsi" w:hAnsiTheme="minorHAnsi" w:cstheme="minorHAnsi"/>
          <w:strike/>
          <w:sz w:val="22"/>
          <w:szCs w:val="22"/>
        </w:rPr>
        <w:t>The value of industrial relations</w:t>
      </w:r>
      <w:r w:rsidRPr="004B50D2">
        <w:rPr>
          <w:rFonts w:asciiTheme="minorHAnsi" w:hAnsiTheme="minorHAnsi" w:cstheme="minorHAnsi"/>
          <w:strike/>
          <w:sz w:val="22"/>
          <w:szCs w:val="22"/>
        </w:rPr>
        <w:t>. Bristol: Policy Press.</w:t>
      </w:r>
    </w:p>
    <w:p w14:paraId="1F3AC0FB"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Hosseini, S.A. et al. (2022) ‘The effect of perceived corporate social responsibility and sustainable human resources on employee engagement with the moderating role of the employer brand’, </w:t>
      </w:r>
      <w:r w:rsidRPr="004B50D2">
        <w:rPr>
          <w:rStyle w:val="Emphasis"/>
          <w:rFonts w:asciiTheme="minorHAnsi" w:hAnsiTheme="minorHAnsi" w:cstheme="minorHAnsi"/>
          <w:strike/>
          <w:sz w:val="22"/>
          <w:szCs w:val="22"/>
        </w:rPr>
        <w:t>Employee Responsibilities and Rights Journal</w:t>
      </w:r>
      <w:r w:rsidRPr="004B50D2">
        <w:rPr>
          <w:rFonts w:asciiTheme="minorHAnsi" w:hAnsiTheme="minorHAnsi" w:cstheme="minorHAnsi"/>
          <w:strike/>
          <w:sz w:val="22"/>
          <w:szCs w:val="22"/>
        </w:rPr>
        <w:t>, 34, pp.16–? doi:10.1007/s10672-021-09376-0.</w:t>
      </w:r>
      <w:r w:rsidRPr="004B50D2">
        <w:rPr>
          <w:rFonts w:asciiTheme="minorHAnsi" w:hAnsiTheme="minorHAnsi" w:cstheme="minorHAnsi"/>
          <w:strike/>
          <w:sz w:val="22"/>
          <w:szCs w:val="22"/>
        </w:rPr>
        <w:br/>
      </w:r>
      <w:r w:rsidRPr="004B50D2">
        <w:rPr>
          <w:rStyle w:val="Emphasis"/>
          <w:rFonts w:asciiTheme="minorHAnsi" w:hAnsiTheme="minorHAnsi" w:cstheme="minorHAnsi"/>
          <w:strike/>
          <w:sz w:val="22"/>
          <w:szCs w:val="22"/>
        </w:rPr>
        <w:t>(Note: your “34(16)” looks like an issue error — in journals, 34 is volume. If you have the issue number/pages, add them.)</w:t>
      </w:r>
    </w:p>
    <w:p w14:paraId="2C0A1B73"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International Test Commission (2013) </w:t>
      </w:r>
      <w:r w:rsidRPr="004B50D2">
        <w:rPr>
          <w:rStyle w:val="Emphasis"/>
          <w:rFonts w:asciiTheme="minorHAnsi" w:hAnsiTheme="minorHAnsi" w:cstheme="minorHAnsi"/>
          <w:strike/>
          <w:sz w:val="22"/>
          <w:szCs w:val="22"/>
        </w:rPr>
        <w:t>ITC guidelines on test use</w:t>
      </w:r>
      <w:r w:rsidRPr="004B50D2">
        <w:rPr>
          <w:rFonts w:asciiTheme="minorHAnsi" w:hAnsiTheme="minorHAnsi" w:cstheme="minorHAnsi"/>
          <w:strike/>
          <w:sz w:val="22"/>
          <w:szCs w:val="22"/>
        </w:rPr>
        <w:t xml:space="preserve">. [online] Available at: </w:t>
      </w:r>
      <w:hyperlink r:id="rId36" w:tgtFrame="_new" w:history="1">
        <w:r w:rsidRPr="004B50D2">
          <w:rPr>
            <w:rStyle w:val="Hyperlink"/>
            <w:rFonts w:asciiTheme="minorHAnsi" w:hAnsiTheme="minorHAnsi" w:cstheme="minorHAnsi"/>
            <w:strike/>
            <w:sz w:val="22"/>
            <w:szCs w:val="22"/>
          </w:rPr>
          <w:t>https://www.intestcom.org/files/guideline_test_use.pdf</w:t>
        </w:r>
      </w:hyperlink>
      <w:r w:rsidRPr="004B50D2">
        <w:rPr>
          <w:rFonts w:asciiTheme="minorHAnsi" w:hAnsiTheme="minorHAnsi" w:cstheme="minorHAnsi"/>
          <w:strike/>
          <w:sz w:val="22"/>
          <w:szCs w:val="22"/>
        </w:rPr>
        <w:t>.</w:t>
      </w:r>
    </w:p>
    <w:p w14:paraId="1ACBE272"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Langer, M. et al. (2025) ‘A quasi-experimental investigation of differences between face-to-face and videoconference interviews in an actual selection process’, </w:t>
      </w:r>
      <w:r w:rsidRPr="004B50D2">
        <w:rPr>
          <w:rStyle w:val="Emphasis"/>
          <w:rFonts w:asciiTheme="minorHAnsi" w:hAnsiTheme="minorHAnsi" w:cstheme="minorHAnsi"/>
          <w:strike/>
          <w:sz w:val="22"/>
          <w:szCs w:val="22"/>
        </w:rPr>
        <w:t>Applied Psychology</w:t>
      </w:r>
      <w:r w:rsidRPr="004B50D2">
        <w:rPr>
          <w:rFonts w:asciiTheme="minorHAnsi" w:hAnsiTheme="minorHAnsi" w:cstheme="minorHAnsi"/>
          <w:strike/>
          <w:sz w:val="22"/>
          <w:szCs w:val="22"/>
        </w:rPr>
        <w:t>. doi:10.1111/apps.12558.</w:t>
      </w:r>
      <w:r w:rsidRPr="004B50D2">
        <w:rPr>
          <w:rFonts w:asciiTheme="minorHAnsi" w:hAnsiTheme="minorHAnsi" w:cstheme="minorHAnsi"/>
          <w:strike/>
          <w:sz w:val="22"/>
          <w:szCs w:val="22"/>
        </w:rPr>
        <w:br/>
      </w:r>
      <w:r w:rsidRPr="004B50D2">
        <w:rPr>
          <w:rStyle w:val="Emphasis"/>
          <w:rFonts w:asciiTheme="minorHAnsi" w:hAnsiTheme="minorHAnsi" w:cstheme="minorHAnsi"/>
          <w:strike/>
          <w:sz w:val="22"/>
          <w:szCs w:val="22"/>
        </w:rPr>
        <w:t>(Add volume/issue/pages if you have them.)</w:t>
      </w:r>
    </w:p>
    <w:p w14:paraId="1ABAF6D3"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Leatherbarrow, C. and Fletcher, J. (2019) </w:t>
      </w:r>
      <w:r w:rsidRPr="004B50D2">
        <w:rPr>
          <w:rStyle w:val="Emphasis"/>
          <w:rFonts w:asciiTheme="minorHAnsi" w:hAnsiTheme="minorHAnsi" w:cstheme="minorHAnsi"/>
          <w:strike/>
          <w:sz w:val="22"/>
          <w:szCs w:val="22"/>
        </w:rPr>
        <w:t>Introduction to human resource management: A guide to HR in practice</w:t>
      </w:r>
      <w:r w:rsidRPr="004B50D2">
        <w:rPr>
          <w:rFonts w:asciiTheme="minorHAnsi" w:hAnsiTheme="minorHAnsi" w:cstheme="minorHAnsi"/>
          <w:strike/>
          <w:sz w:val="22"/>
          <w:szCs w:val="22"/>
        </w:rPr>
        <w:t>. 4th ed. London: Kogan Page.</w:t>
      </w:r>
    </w:p>
    <w:p w14:paraId="119BB41A"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Manchester, C.F. (2010) ‘Investment in general human capital and turnover intention’, </w:t>
      </w:r>
      <w:r w:rsidRPr="004B50D2">
        <w:rPr>
          <w:rStyle w:val="Emphasis"/>
          <w:rFonts w:asciiTheme="minorHAnsi" w:hAnsiTheme="minorHAnsi" w:cstheme="minorHAnsi"/>
          <w:strike/>
          <w:sz w:val="22"/>
          <w:szCs w:val="22"/>
        </w:rPr>
        <w:t>American Economic Review</w:t>
      </w:r>
      <w:r w:rsidRPr="004B50D2">
        <w:rPr>
          <w:rFonts w:asciiTheme="minorHAnsi" w:hAnsiTheme="minorHAnsi" w:cstheme="minorHAnsi"/>
          <w:strike/>
          <w:sz w:val="22"/>
          <w:szCs w:val="22"/>
        </w:rPr>
        <w:t>, 100(2), pp.209–213. doi:10.1257/aer.100.2.209.</w:t>
      </w:r>
    </w:p>
    <w:p w14:paraId="1D590CCF"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Marmol, T. del et al. (2015) </w:t>
      </w:r>
      <w:r w:rsidRPr="004B50D2">
        <w:rPr>
          <w:rStyle w:val="Emphasis"/>
          <w:rFonts w:asciiTheme="minorHAnsi" w:hAnsiTheme="minorHAnsi" w:cstheme="minorHAnsi"/>
          <w:strike/>
          <w:sz w:val="22"/>
          <w:szCs w:val="22"/>
        </w:rPr>
        <w:t>PESTLE analysis</w:t>
      </w:r>
      <w:r w:rsidRPr="004B50D2">
        <w:rPr>
          <w:rFonts w:asciiTheme="minorHAnsi" w:hAnsiTheme="minorHAnsi" w:cstheme="minorHAnsi"/>
          <w:strike/>
          <w:sz w:val="22"/>
          <w:szCs w:val="22"/>
        </w:rPr>
        <w:t>. Lemaitre Publishing.</w:t>
      </w:r>
      <w:r w:rsidRPr="004B50D2">
        <w:rPr>
          <w:rFonts w:asciiTheme="minorHAnsi" w:hAnsiTheme="minorHAnsi" w:cstheme="minorHAnsi"/>
          <w:strike/>
          <w:sz w:val="22"/>
          <w:szCs w:val="22"/>
        </w:rPr>
        <w:br/>
      </w:r>
      <w:r w:rsidRPr="004B50D2">
        <w:rPr>
          <w:rStyle w:val="Emphasis"/>
          <w:rFonts w:asciiTheme="minorHAnsi" w:hAnsiTheme="minorHAnsi" w:cstheme="minorHAnsi"/>
          <w:strike/>
          <w:sz w:val="22"/>
          <w:szCs w:val="22"/>
        </w:rPr>
        <w:t>(Your current entry has some odd author/publisher elements; this version is cleaner.)</w:t>
      </w:r>
    </w:p>
    <w:p w14:paraId="7C4D1FFC"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McCartney, C. (2024) </w:t>
      </w:r>
      <w:r w:rsidRPr="004B50D2">
        <w:rPr>
          <w:rStyle w:val="Emphasis"/>
          <w:rFonts w:asciiTheme="minorHAnsi" w:hAnsiTheme="minorHAnsi" w:cstheme="minorHAnsi"/>
          <w:strike/>
          <w:sz w:val="22"/>
          <w:szCs w:val="22"/>
        </w:rPr>
        <w:t>Induction</w:t>
      </w:r>
      <w:r w:rsidRPr="004B50D2">
        <w:rPr>
          <w:rFonts w:asciiTheme="minorHAnsi" w:hAnsiTheme="minorHAnsi" w:cstheme="minorHAnsi"/>
          <w:strike/>
          <w:sz w:val="22"/>
          <w:szCs w:val="22"/>
        </w:rPr>
        <w:t xml:space="preserve">. [online] CIPD. Available at: </w:t>
      </w:r>
      <w:hyperlink r:id="rId37" w:tgtFrame="_new" w:history="1">
        <w:r w:rsidRPr="004B50D2">
          <w:rPr>
            <w:rStyle w:val="Hyperlink"/>
            <w:rFonts w:asciiTheme="minorHAnsi" w:hAnsiTheme="minorHAnsi" w:cstheme="minorHAnsi"/>
            <w:strike/>
            <w:sz w:val="22"/>
            <w:szCs w:val="22"/>
          </w:rPr>
          <w:t>https://www.cipd.org/en/knowledge/factsheets/induction-factsheet/</w:t>
        </w:r>
      </w:hyperlink>
      <w:r w:rsidRPr="004B50D2">
        <w:rPr>
          <w:rFonts w:asciiTheme="minorHAnsi" w:hAnsiTheme="minorHAnsi" w:cstheme="minorHAnsi"/>
          <w:strike/>
          <w:sz w:val="22"/>
          <w:szCs w:val="22"/>
        </w:rPr>
        <w:t>.</w:t>
      </w:r>
    </w:p>
    <w:p w14:paraId="35D10EFE"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McKinnon, A., </w:t>
      </w:r>
      <w:proofErr w:type="spellStart"/>
      <w:r w:rsidRPr="004B50D2">
        <w:rPr>
          <w:rFonts w:asciiTheme="minorHAnsi" w:hAnsiTheme="minorHAnsi" w:cstheme="minorHAnsi"/>
          <w:strike/>
          <w:sz w:val="22"/>
          <w:szCs w:val="22"/>
        </w:rPr>
        <w:t>Flöthmann</w:t>
      </w:r>
      <w:proofErr w:type="spellEnd"/>
      <w:r w:rsidRPr="004B50D2">
        <w:rPr>
          <w:rFonts w:asciiTheme="minorHAnsi" w:hAnsiTheme="minorHAnsi" w:cstheme="minorHAnsi"/>
          <w:strike/>
          <w:sz w:val="22"/>
          <w:szCs w:val="22"/>
        </w:rPr>
        <w:t xml:space="preserve">, C. and Hoberg, K. (2016) ‘Skills shortages in logistics: A global overview’, </w:t>
      </w:r>
      <w:r w:rsidRPr="004B50D2">
        <w:rPr>
          <w:rStyle w:val="Emphasis"/>
          <w:rFonts w:asciiTheme="minorHAnsi" w:hAnsiTheme="minorHAnsi" w:cstheme="minorHAnsi"/>
          <w:strike/>
          <w:sz w:val="22"/>
          <w:szCs w:val="22"/>
        </w:rPr>
        <w:t>Logistics and Transport Focus</w:t>
      </w:r>
      <w:r w:rsidRPr="004B50D2">
        <w:rPr>
          <w:rFonts w:asciiTheme="minorHAnsi" w:hAnsiTheme="minorHAnsi" w:cstheme="minorHAnsi"/>
          <w:strike/>
          <w:sz w:val="22"/>
          <w:szCs w:val="22"/>
        </w:rPr>
        <w:t>, 18(11), pp.34–36. (Accessed: 2 February 2026).</w:t>
      </w:r>
    </w:p>
    <w:p w14:paraId="3038F746"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Moore, S. and Newsome, K. (2018) ‘Paying for free delivery: Dependent self-employment as a measure of precarity in parcel delivery’, </w:t>
      </w:r>
      <w:r w:rsidRPr="004B50D2">
        <w:rPr>
          <w:rStyle w:val="Emphasis"/>
          <w:rFonts w:asciiTheme="minorHAnsi" w:hAnsiTheme="minorHAnsi" w:cstheme="minorHAnsi"/>
          <w:strike/>
          <w:sz w:val="22"/>
          <w:szCs w:val="22"/>
        </w:rPr>
        <w:t>Work, Employment and Society</w:t>
      </w:r>
      <w:r w:rsidRPr="004B50D2">
        <w:rPr>
          <w:rFonts w:asciiTheme="minorHAnsi" w:hAnsiTheme="minorHAnsi" w:cstheme="minorHAnsi"/>
          <w:strike/>
          <w:sz w:val="22"/>
          <w:szCs w:val="22"/>
        </w:rPr>
        <w:t>, 32(3), pp.475–492. doi:10.1177/0950017018755664.</w:t>
      </w:r>
    </w:p>
    <w:p w14:paraId="1472F978"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Moore, S. et al. (2017) </w:t>
      </w:r>
      <w:r w:rsidRPr="004B50D2">
        <w:rPr>
          <w:rStyle w:val="Emphasis"/>
          <w:rFonts w:asciiTheme="minorHAnsi" w:hAnsiTheme="minorHAnsi" w:cstheme="minorHAnsi"/>
          <w:strike/>
          <w:sz w:val="22"/>
          <w:szCs w:val="22"/>
        </w:rPr>
        <w:t>Non-standard contracts and the national living wage: A report for the Low Pay Commission</w:t>
      </w:r>
      <w:r w:rsidRPr="004B50D2">
        <w:rPr>
          <w:rFonts w:asciiTheme="minorHAnsi" w:hAnsiTheme="minorHAnsi" w:cstheme="minorHAnsi"/>
          <w:strike/>
          <w:sz w:val="22"/>
          <w:szCs w:val="22"/>
        </w:rPr>
        <w:t>.</w:t>
      </w:r>
      <w:r w:rsidRPr="004B50D2">
        <w:rPr>
          <w:rFonts w:asciiTheme="minorHAnsi" w:hAnsiTheme="minorHAnsi" w:cstheme="minorHAnsi"/>
          <w:strike/>
          <w:sz w:val="22"/>
          <w:szCs w:val="22"/>
        </w:rPr>
        <w:br/>
      </w:r>
      <w:r w:rsidRPr="004B50D2">
        <w:rPr>
          <w:rStyle w:val="Emphasis"/>
          <w:rFonts w:asciiTheme="minorHAnsi" w:hAnsiTheme="minorHAnsi" w:cstheme="minorHAnsi"/>
          <w:strike/>
          <w:sz w:val="22"/>
          <w:szCs w:val="22"/>
        </w:rPr>
        <w:t>(Add publisher/place/URL if you have it.)</w:t>
      </w:r>
    </w:p>
    <w:p w14:paraId="19D93D8C"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lastRenderedPageBreak/>
        <w:t>Morrell, K., Loan-Clarke, J. and Wilkinson, A. (2001) ‘</w:t>
      </w:r>
      <w:proofErr w:type="spellStart"/>
      <w:r w:rsidRPr="004B50D2">
        <w:rPr>
          <w:rFonts w:asciiTheme="minorHAnsi" w:hAnsiTheme="minorHAnsi" w:cstheme="minorHAnsi"/>
          <w:strike/>
          <w:sz w:val="22"/>
          <w:szCs w:val="22"/>
        </w:rPr>
        <w:t>Unweaving</w:t>
      </w:r>
      <w:proofErr w:type="spellEnd"/>
      <w:r w:rsidRPr="004B50D2">
        <w:rPr>
          <w:rFonts w:asciiTheme="minorHAnsi" w:hAnsiTheme="minorHAnsi" w:cstheme="minorHAnsi"/>
          <w:strike/>
          <w:sz w:val="22"/>
          <w:szCs w:val="22"/>
        </w:rPr>
        <w:t xml:space="preserve"> leaving: The use of models in the management of employee turnover’, </w:t>
      </w:r>
      <w:r w:rsidRPr="004B50D2">
        <w:rPr>
          <w:rStyle w:val="Emphasis"/>
          <w:rFonts w:asciiTheme="minorHAnsi" w:hAnsiTheme="minorHAnsi" w:cstheme="minorHAnsi"/>
          <w:strike/>
          <w:sz w:val="22"/>
          <w:szCs w:val="22"/>
        </w:rPr>
        <w:t>International Journal of Management Reviews</w:t>
      </w:r>
      <w:r w:rsidRPr="004B50D2">
        <w:rPr>
          <w:rFonts w:asciiTheme="minorHAnsi" w:hAnsiTheme="minorHAnsi" w:cstheme="minorHAnsi"/>
          <w:strike/>
          <w:sz w:val="22"/>
          <w:szCs w:val="22"/>
        </w:rPr>
        <w:t>, 3(3), pp.219–244. doi:10.1111/1468-2370.00065.</w:t>
      </w:r>
    </w:p>
    <w:p w14:paraId="3E1AEC3E"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Mosquera, P. and Soares, M.E. (2025) ‘Onboarding: A key to employee retention and workplace well-being’, </w:t>
      </w:r>
      <w:r w:rsidRPr="004B50D2">
        <w:rPr>
          <w:rStyle w:val="Emphasis"/>
          <w:rFonts w:asciiTheme="minorHAnsi" w:hAnsiTheme="minorHAnsi" w:cstheme="minorHAnsi"/>
          <w:strike/>
          <w:sz w:val="22"/>
          <w:szCs w:val="22"/>
        </w:rPr>
        <w:t>Review of Managerial Science</w:t>
      </w:r>
      <w:r w:rsidRPr="004B50D2">
        <w:rPr>
          <w:rFonts w:asciiTheme="minorHAnsi" w:hAnsiTheme="minorHAnsi" w:cstheme="minorHAnsi"/>
          <w:strike/>
          <w:sz w:val="22"/>
          <w:szCs w:val="22"/>
        </w:rPr>
        <w:t>. doi:10.1007/s11846-025-00864-3.</w:t>
      </w:r>
      <w:r w:rsidRPr="004B50D2">
        <w:rPr>
          <w:rFonts w:asciiTheme="minorHAnsi" w:hAnsiTheme="minorHAnsi" w:cstheme="minorHAnsi"/>
          <w:strike/>
          <w:sz w:val="22"/>
          <w:szCs w:val="22"/>
        </w:rPr>
        <w:br/>
      </w:r>
      <w:r w:rsidRPr="004B50D2">
        <w:rPr>
          <w:rStyle w:val="Emphasis"/>
          <w:rFonts w:asciiTheme="minorHAnsi" w:hAnsiTheme="minorHAnsi" w:cstheme="minorHAnsi"/>
          <w:strike/>
          <w:sz w:val="22"/>
          <w:szCs w:val="22"/>
        </w:rPr>
        <w:t>(Add volume/issue/pages if available.)</w:t>
      </w:r>
    </w:p>
    <w:p w14:paraId="29E5CBD5"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Mutanga, J. et al. (2021) ‘Exploring push and pull factors for talent development and retention: Implications for practice’, </w:t>
      </w:r>
      <w:r w:rsidRPr="004B50D2">
        <w:rPr>
          <w:rStyle w:val="Emphasis"/>
          <w:rFonts w:asciiTheme="minorHAnsi" w:hAnsiTheme="minorHAnsi" w:cstheme="minorHAnsi"/>
          <w:strike/>
          <w:sz w:val="22"/>
          <w:szCs w:val="22"/>
        </w:rPr>
        <w:t>Development and Learning in Organizations: An International Journal</w:t>
      </w:r>
      <w:r w:rsidRPr="004B50D2">
        <w:rPr>
          <w:rFonts w:asciiTheme="minorHAnsi" w:hAnsiTheme="minorHAnsi" w:cstheme="minorHAnsi"/>
          <w:strike/>
          <w:sz w:val="22"/>
          <w:szCs w:val="22"/>
        </w:rPr>
        <w:t>, ahead-of-print. doi:10.1108/DLO-12-2020-0246.</w:t>
      </w:r>
    </w:p>
    <w:p w14:paraId="6FC984E4"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ONS (2025) </w:t>
      </w:r>
      <w:r w:rsidRPr="004B50D2">
        <w:rPr>
          <w:rStyle w:val="Emphasis"/>
          <w:rFonts w:asciiTheme="minorHAnsi" w:hAnsiTheme="minorHAnsi" w:cstheme="minorHAnsi"/>
          <w:strike/>
          <w:sz w:val="22"/>
          <w:szCs w:val="22"/>
        </w:rPr>
        <w:t>Vacancies and jobs in the UK</w:t>
      </w:r>
      <w:r w:rsidRPr="004B50D2">
        <w:rPr>
          <w:rFonts w:asciiTheme="minorHAnsi" w:hAnsiTheme="minorHAnsi" w:cstheme="minorHAnsi"/>
          <w:strike/>
          <w:sz w:val="22"/>
          <w:szCs w:val="22"/>
        </w:rPr>
        <w:t xml:space="preserve">. [online] Office for National Statistics. Available at: </w:t>
      </w:r>
      <w:hyperlink r:id="rId38" w:tgtFrame="_new" w:history="1">
        <w:r w:rsidRPr="004B50D2">
          <w:rPr>
            <w:rStyle w:val="Hyperlink"/>
            <w:rFonts w:asciiTheme="minorHAnsi" w:hAnsiTheme="minorHAnsi" w:cstheme="minorHAnsi"/>
            <w:strike/>
            <w:sz w:val="22"/>
            <w:szCs w:val="22"/>
          </w:rPr>
          <w:t>https://www.ons.gov.uk/employmentandlabourmarket/peopleinwork/employmentandemployeetypes/bulletins/jobsandvacanciesintheuk/october2025</w:t>
        </w:r>
      </w:hyperlink>
      <w:r w:rsidRPr="004B50D2">
        <w:rPr>
          <w:rFonts w:asciiTheme="minorHAnsi" w:hAnsiTheme="minorHAnsi" w:cstheme="minorHAnsi"/>
          <w:strike/>
          <w:sz w:val="22"/>
          <w:szCs w:val="22"/>
        </w:rPr>
        <w:t>.</w:t>
      </w:r>
      <w:r w:rsidRPr="004B50D2">
        <w:rPr>
          <w:rFonts w:asciiTheme="minorHAnsi" w:hAnsiTheme="minorHAnsi" w:cstheme="minorHAnsi"/>
          <w:strike/>
          <w:sz w:val="22"/>
          <w:szCs w:val="22"/>
        </w:rPr>
        <w:br/>
      </w:r>
      <w:r w:rsidRPr="004B50D2">
        <w:rPr>
          <w:rStyle w:val="Emphasis"/>
          <w:rFonts w:asciiTheme="minorHAnsi" w:hAnsiTheme="minorHAnsi" w:cstheme="minorHAnsi"/>
          <w:strike/>
          <w:sz w:val="22"/>
          <w:szCs w:val="22"/>
        </w:rPr>
        <w:t>(Your URL currently ends “?.com” — remove that.)</w:t>
      </w:r>
    </w:p>
    <w:p w14:paraId="20FC08DB"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Picardi, C.A. (2020) </w:t>
      </w:r>
      <w:r w:rsidRPr="004B50D2">
        <w:rPr>
          <w:rStyle w:val="Emphasis"/>
          <w:rFonts w:asciiTheme="minorHAnsi" w:hAnsiTheme="minorHAnsi" w:cstheme="minorHAnsi"/>
          <w:strike/>
          <w:sz w:val="22"/>
          <w:szCs w:val="22"/>
        </w:rPr>
        <w:t>Recruitment and selection: Strategies for workforce planning and assessment</w:t>
      </w:r>
      <w:r w:rsidRPr="004B50D2">
        <w:rPr>
          <w:rFonts w:asciiTheme="minorHAnsi" w:hAnsiTheme="minorHAnsi" w:cstheme="minorHAnsi"/>
          <w:strike/>
          <w:sz w:val="22"/>
          <w:szCs w:val="22"/>
        </w:rPr>
        <w:t>. doi:10.4135/9781483396439.</w:t>
      </w:r>
      <w:r w:rsidRPr="004B50D2">
        <w:rPr>
          <w:rFonts w:asciiTheme="minorHAnsi" w:hAnsiTheme="minorHAnsi" w:cstheme="minorHAnsi"/>
          <w:strike/>
          <w:sz w:val="22"/>
          <w:szCs w:val="22"/>
        </w:rPr>
        <w:br/>
      </w:r>
      <w:r w:rsidRPr="004B50D2">
        <w:rPr>
          <w:rStyle w:val="Emphasis"/>
          <w:rFonts w:asciiTheme="minorHAnsi" w:hAnsiTheme="minorHAnsi" w:cstheme="minorHAnsi"/>
          <w:strike/>
          <w:sz w:val="22"/>
          <w:szCs w:val="22"/>
        </w:rPr>
        <w:t>(If this is a SAGE book, add publisher/place if you want.)</w:t>
      </w:r>
    </w:p>
    <w:p w14:paraId="7FEC6DEE"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Pilbeam, S. and Corbridge, M. (2010) </w:t>
      </w:r>
      <w:r w:rsidRPr="004B50D2">
        <w:rPr>
          <w:rStyle w:val="Emphasis"/>
          <w:rFonts w:asciiTheme="minorHAnsi" w:hAnsiTheme="minorHAnsi" w:cstheme="minorHAnsi"/>
          <w:strike/>
          <w:sz w:val="22"/>
          <w:szCs w:val="22"/>
        </w:rPr>
        <w:t>People resourcing and talent planning: HRM in practice</w:t>
      </w:r>
      <w:r w:rsidRPr="004B50D2">
        <w:rPr>
          <w:rFonts w:asciiTheme="minorHAnsi" w:hAnsiTheme="minorHAnsi" w:cstheme="minorHAnsi"/>
          <w:strike/>
          <w:sz w:val="22"/>
          <w:szCs w:val="22"/>
        </w:rPr>
        <w:t>. 4th ed. Harlow: Pearson Education.</w:t>
      </w:r>
    </w:p>
    <w:p w14:paraId="2C424264"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Pirani, E. and Salvini, S. (2015) ‘Is temporary employment damaging to health? A longitudinal study on Italian workers’, </w:t>
      </w:r>
      <w:r w:rsidRPr="004B50D2">
        <w:rPr>
          <w:rStyle w:val="Emphasis"/>
          <w:rFonts w:asciiTheme="minorHAnsi" w:hAnsiTheme="minorHAnsi" w:cstheme="minorHAnsi"/>
          <w:strike/>
          <w:sz w:val="22"/>
          <w:szCs w:val="22"/>
        </w:rPr>
        <w:t>Social Science and Medicine</w:t>
      </w:r>
      <w:r w:rsidRPr="004B50D2">
        <w:rPr>
          <w:rFonts w:asciiTheme="minorHAnsi" w:hAnsiTheme="minorHAnsi" w:cstheme="minorHAnsi"/>
          <w:strike/>
          <w:sz w:val="22"/>
          <w:szCs w:val="22"/>
        </w:rPr>
        <w:t xml:space="preserve">, 124, pp.121–131. </w:t>
      </w:r>
      <w:proofErr w:type="gramStart"/>
      <w:r w:rsidRPr="004B50D2">
        <w:rPr>
          <w:rFonts w:asciiTheme="minorHAnsi" w:hAnsiTheme="minorHAnsi" w:cstheme="minorHAnsi"/>
          <w:strike/>
          <w:sz w:val="22"/>
          <w:szCs w:val="22"/>
        </w:rPr>
        <w:t>doi:10.1016/j.socscimed</w:t>
      </w:r>
      <w:proofErr w:type="gramEnd"/>
      <w:r w:rsidRPr="004B50D2">
        <w:rPr>
          <w:rFonts w:asciiTheme="minorHAnsi" w:hAnsiTheme="minorHAnsi" w:cstheme="minorHAnsi"/>
          <w:strike/>
          <w:sz w:val="22"/>
          <w:szCs w:val="22"/>
        </w:rPr>
        <w:t>.2014.11.033.</w:t>
      </w:r>
    </w:p>
    <w:p w14:paraId="04F9C4C8" w14:textId="77777777" w:rsidR="00846E8D" w:rsidRPr="004B50D2" w:rsidRDefault="00846E8D" w:rsidP="00846E8D">
      <w:pPr>
        <w:pStyle w:val="NormalWeb"/>
        <w:rPr>
          <w:rFonts w:asciiTheme="minorHAnsi" w:hAnsiTheme="minorHAnsi" w:cstheme="minorHAnsi"/>
          <w:strike/>
          <w:sz w:val="22"/>
          <w:szCs w:val="22"/>
        </w:rPr>
      </w:pPr>
      <w:proofErr w:type="spellStart"/>
      <w:r w:rsidRPr="004B50D2">
        <w:rPr>
          <w:rFonts w:asciiTheme="minorHAnsi" w:hAnsiTheme="minorHAnsi" w:cstheme="minorHAnsi"/>
          <w:strike/>
          <w:sz w:val="22"/>
          <w:szCs w:val="22"/>
        </w:rPr>
        <w:t>Rampl</w:t>
      </w:r>
      <w:proofErr w:type="spellEnd"/>
      <w:r w:rsidRPr="004B50D2">
        <w:rPr>
          <w:rFonts w:asciiTheme="minorHAnsi" w:hAnsiTheme="minorHAnsi" w:cstheme="minorHAnsi"/>
          <w:strike/>
          <w:sz w:val="22"/>
          <w:szCs w:val="22"/>
        </w:rPr>
        <w:t xml:space="preserve">, L.V. and Kenning, P. (2014) ‘Employer brand trust and affect: Linking brand personality to employer brand attractiveness’, </w:t>
      </w:r>
      <w:r w:rsidRPr="004B50D2">
        <w:rPr>
          <w:rStyle w:val="Emphasis"/>
          <w:rFonts w:asciiTheme="minorHAnsi" w:hAnsiTheme="minorHAnsi" w:cstheme="minorHAnsi"/>
          <w:strike/>
          <w:sz w:val="22"/>
          <w:szCs w:val="22"/>
        </w:rPr>
        <w:t>European Journal of Marketing</w:t>
      </w:r>
      <w:r w:rsidRPr="004B50D2">
        <w:rPr>
          <w:rFonts w:asciiTheme="minorHAnsi" w:hAnsiTheme="minorHAnsi" w:cstheme="minorHAnsi"/>
          <w:strike/>
          <w:sz w:val="22"/>
          <w:szCs w:val="22"/>
        </w:rPr>
        <w:t>, 48(1/2), pp.218–236. doi:10.1108/EJM-02-2012-0113.</w:t>
      </w:r>
    </w:p>
    <w:p w14:paraId="7CFEE6F2"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Schlachter, S.D. and Pieper, J.R. (2019) ‘Employee referral hiring in organizations: An integrative conceptual review, model, and agenda for future research’, </w:t>
      </w:r>
      <w:r w:rsidRPr="004B50D2">
        <w:rPr>
          <w:rStyle w:val="Emphasis"/>
          <w:rFonts w:asciiTheme="minorHAnsi" w:hAnsiTheme="minorHAnsi" w:cstheme="minorHAnsi"/>
          <w:strike/>
          <w:sz w:val="22"/>
          <w:szCs w:val="22"/>
        </w:rPr>
        <w:t>Journal of Applied Psychology</w:t>
      </w:r>
      <w:r w:rsidRPr="004B50D2">
        <w:rPr>
          <w:rFonts w:asciiTheme="minorHAnsi" w:hAnsiTheme="minorHAnsi" w:cstheme="minorHAnsi"/>
          <w:strike/>
          <w:sz w:val="22"/>
          <w:szCs w:val="22"/>
        </w:rPr>
        <w:t>, 104(11), pp.1325–1346. doi:10.1037/apl0000412.</w:t>
      </w:r>
    </w:p>
    <w:p w14:paraId="59EEDE41"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Shaw, J.D. (2011) ‘Turnover rates and organizational performance: Review, critique, and research agenda’, </w:t>
      </w:r>
      <w:r w:rsidRPr="004B50D2">
        <w:rPr>
          <w:rStyle w:val="Emphasis"/>
          <w:rFonts w:asciiTheme="minorHAnsi" w:hAnsiTheme="minorHAnsi" w:cstheme="minorHAnsi"/>
          <w:strike/>
          <w:sz w:val="22"/>
          <w:szCs w:val="22"/>
        </w:rPr>
        <w:t>Organizational Psychology Review</w:t>
      </w:r>
      <w:r w:rsidRPr="004B50D2">
        <w:rPr>
          <w:rFonts w:asciiTheme="minorHAnsi" w:hAnsiTheme="minorHAnsi" w:cstheme="minorHAnsi"/>
          <w:strike/>
          <w:sz w:val="22"/>
          <w:szCs w:val="22"/>
        </w:rPr>
        <w:t>, 1(3), pp.187–213.</w:t>
      </w:r>
    </w:p>
    <w:p w14:paraId="3BD145B2"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Snell, A. (2006) ‘Researching onboarding best practice: Using research to connect onboarding processes with employee satisfaction’, </w:t>
      </w:r>
      <w:r w:rsidRPr="004B50D2">
        <w:rPr>
          <w:rStyle w:val="Emphasis"/>
          <w:rFonts w:asciiTheme="minorHAnsi" w:hAnsiTheme="minorHAnsi" w:cstheme="minorHAnsi"/>
          <w:strike/>
          <w:sz w:val="22"/>
          <w:szCs w:val="22"/>
        </w:rPr>
        <w:t>Strategic HR Review</w:t>
      </w:r>
      <w:r w:rsidRPr="004B50D2">
        <w:rPr>
          <w:rFonts w:asciiTheme="minorHAnsi" w:hAnsiTheme="minorHAnsi" w:cstheme="minorHAnsi"/>
          <w:strike/>
          <w:sz w:val="22"/>
          <w:szCs w:val="22"/>
        </w:rPr>
        <w:t>, 5(6), pp.32–35. doi:10.1108/14754390680000925.</w:t>
      </w:r>
      <w:r w:rsidRPr="004B50D2">
        <w:rPr>
          <w:rFonts w:asciiTheme="minorHAnsi" w:hAnsiTheme="minorHAnsi" w:cstheme="minorHAnsi"/>
          <w:strike/>
          <w:sz w:val="22"/>
          <w:szCs w:val="22"/>
        </w:rPr>
        <w:br/>
      </w:r>
      <w:r w:rsidRPr="004B50D2">
        <w:rPr>
          <w:rStyle w:val="Emphasis"/>
          <w:rFonts w:asciiTheme="minorHAnsi" w:hAnsiTheme="minorHAnsi" w:cstheme="minorHAnsi"/>
          <w:strike/>
          <w:sz w:val="22"/>
          <w:szCs w:val="22"/>
        </w:rPr>
        <w:t xml:space="preserve">(Your year was listed as </w:t>
      </w:r>
      <w:proofErr w:type="gramStart"/>
      <w:r w:rsidRPr="004B50D2">
        <w:rPr>
          <w:rStyle w:val="Emphasis"/>
          <w:rFonts w:asciiTheme="minorHAnsi" w:hAnsiTheme="minorHAnsi" w:cstheme="minorHAnsi"/>
          <w:strike/>
          <w:sz w:val="22"/>
          <w:szCs w:val="22"/>
        </w:rPr>
        <w:t>2020</w:t>
      </w:r>
      <w:proofErr w:type="gramEnd"/>
      <w:r w:rsidRPr="004B50D2">
        <w:rPr>
          <w:rStyle w:val="Emphasis"/>
          <w:rFonts w:asciiTheme="minorHAnsi" w:hAnsiTheme="minorHAnsi" w:cstheme="minorHAnsi"/>
          <w:strike/>
          <w:sz w:val="22"/>
          <w:szCs w:val="22"/>
        </w:rPr>
        <w:t xml:space="preserve"> but the DOI/article is 2006.)</w:t>
      </w:r>
    </w:p>
    <w:p w14:paraId="666B8E96"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Tajfel, H. and Turner, J.C. (1979) ‘An integrative theory of intergroup conflict’, in Austin, W.G. and </w:t>
      </w:r>
      <w:proofErr w:type="spellStart"/>
      <w:r w:rsidRPr="004B50D2">
        <w:rPr>
          <w:rFonts w:asciiTheme="minorHAnsi" w:hAnsiTheme="minorHAnsi" w:cstheme="minorHAnsi"/>
          <w:strike/>
          <w:sz w:val="22"/>
          <w:szCs w:val="22"/>
        </w:rPr>
        <w:t>Worchel</w:t>
      </w:r>
      <w:proofErr w:type="spellEnd"/>
      <w:r w:rsidRPr="004B50D2">
        <w:rPr>
          <w:rFonts w:asciiTheme="minorHAnsi" w:hAnsiTheme="minorHAnsi" w:cstheme="minorHAnsi"/>
          <w:strike/>
          <w:sz w:val="22"/>
          <w:szCs w:val="22"/>
        </w:rPr>
        <w:t xml:space="preserve">, S. (eds.) </w:t>
      </w:r>
      <w:r w:rsidRPr="004B50D2">
        <w:rPr>
          <w:rStyle w:val="Emphasis"/>
          <w:rFonts w:asciiTheme="minorHAnsi" w:hAnsiTheme="minorHAnsi" w:cstheme="minorHAnsi"/>
          <w:strike/>
          <w:sz w:val="22"/>
          <w:szCs w:val="22"/>
        </w:rPr>
        <w:t>The Social Psychology of Intergroup Relations</w:t>
      </w:r>
      <w:r w:rsidRPr="004B50D2">
        <w:rPr>
          <w:rFonts w:asciiTheme="minorHAnsi" w:hAnsiTheme="minorHAnsi" w:cstheme="minorHAnsi"/>
          <w:strike/>
          <w:sz w:val="22"/>
          <w:szCs w:val="22"/>
        </w:rPr>
        <w:t>. Monterey, CA: Brooks/Cole.</w:t>
      </w:r>
    </w:p>
    <w:p w14:paraId="4749F0ED"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Tatel, C. and Wigert, B. (2024) </w:t>
      </w:r>
      <w:r w:rsidRPr="004B50D2">
        <w:rPr>
          <w:rStyle w:val="Emphasis"/>
          <w:rFonts w:asciiTheme="minorHAnsi" w:hAnsiTheme="minorHAnsi" w:cstheme="minorHAnsi"/>
          <w:strike/>
          <w:sz w:val="22"/>
          <w:szCs w:val="22"/>
        </w:rPr>
        <w:t>42% of employee turnover is preventable but often ignored</w:t>
      </w:r>
      <w:r w:rsidRPr="004B50D2">
        <w:rPr>
          <w:rFonts w:asciiTheme="minorHAnsi" w:hAnsiTheme="minorHAnsi" w:cstheme="minorHAnsi"/>
          <w:strike/>
          <w:sz w:val="22"/>
          <w:szCs w:val="22"/>
        </w:rPr>
        <w:t xml:space="preserve">. [online] Gallup. Available at: </w:t>
      </w:r>
      <w:hyperlink r:id="rId39" w:tgtFrame="_new" w:history="1">
        <w:r w:rsidRPr="004B50D2">
          <w:rPr>
            <w:rStyle w:val="Hyperlink"/>
            <w:rFonts w:asciiTheme="minorHAnsi" w:hAnsiTheme="minorHAnsi" w:cstheme="minorHAnsi"/>
            <w:strike/>
            <w:sz w:val="22"/>
            <w:szCs w:val="22"/>
          </w:rPr>
          <w:t>https://www.gallup.com/workplace/646538/employee-turnover-preventable-often-ignored.aspx</w:t>
        </w:r>
      </w:hyperlink>
      <w:r w:rsidRPr="004B50D2">
        <w:rPr>
          <w:rFonts w:asciiTheme="minorHAnsi" w:hAnsiTheme="minorHAnsi" w:cstheme="minorHAnsi"/>
          <w:strike/>
          <w:sz w:val="22"/>
          <w:szCs w:val="22"/>
        </w:rPr>
        <w:t>.</w:t>
      </w:r>
    </w:p>
    <w:p w14:paraId="7AAC852B"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lastRenderedPageBreak/>
        <w:t xml:space="preserve">Taylor, S. (2019) </w:t>
      </w:r>
      <w:r w:rsidRPr="004B50D2">
        <w:rPr>
          <w:rStyle w:val="Emphasis"/>
          <w:rFonts w:asciiTheme="minorHAnsi" w:hAnsiTheme="minorHAnsi" w:cstheme="minorHAnsi"/>
          <w:strike/>
          <w:sz w:val="22"/>
          <w:szCs w:val="22"/>
        </w:rPr>
        <w:t>Resourcing and talent management</w:t>
      </w:r>
      <w:r w:rsidRPr="004B50D2">
        <w:rPr>
          <w:rFonts w:asciiTheme="minorHAnsi" w:hAnsiTheme="minorHAnsi" w:cstheme="minorHAnsi"/>
          <w:strike/>
          <w:sz w:val="22"/>
          <w:szCs w:val="22"/>
        </w:rPr>
        <w:t>. 7th ed. London: Kogan Page.</w:t>
      </w:r>
    </w:p>
    <w:p w14:paraId="477DB0FE"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Taylor, S. (2025) </w:t>
      </w:r>
      <w:r w:rsidRPr="004B50D2">
        <w:rPr>
          <w:rStyle w:val="Emphasis"/>
          <w:rFonts w:asciiTheme="minorHAnsi" w:hAnsiTheme="minorHAnsi" w:cstheme="minorHAnsi"/>
          <w:strike/>
          <w:sz w:val="22"/>
          <w:szCs w:val="22"/>
        </w:rPr>
        <w:t>Resourcing and talent management: The theory and practice of recruiting and developing a workforce</w:t>
      </w:r>
      <w:r w:rsidRPr="004B50D2">
        <w:rPr>
          <w:rFonts w:asciiTheme="minorHAnsi" w:hAnsiTheme="minorHAnsi" w:cstheme="minorHAnsi"/>
          <w:strike/>
          <w:sz w:val="22"/>
          <w:szCs w:val="22"/>
        </w:rPr>
        <w:t>. 9th ed. London: Kogan Page.</w:t>
      </w:r>
    </w:p>
    <w:p w14:paraId="3BFBC92E"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Taylor, S. and Woodhams, C. (2022) </w:t>
      </w:r>
      <w:r w:rsidRPr="004B50D2">
        <w:rPr>
          <w:rStyle w:val="Emphasis"/>
          <w:rFonts w:asciiTheme="minorHAnsi" w:hAnsiTheme="minorHAnsi" w:cstheme="minorHAnsi"/>
          <w:strike/>
          <w:sz w:val="22"/>
          <w:szCs w:val="22"/>
        </w:rPr>
        <w:t>Human resource management: People and organisations</w:t>
      </w:r>
      <w:r w:rsidRPr="004B50D2">
        <w:rPr>
          <w:rFonts w:asciiTheme="minorHAnsi" w:hAnsiTheme="minorHAnsi" w:cstheme="minorHAnsi"/>
          <w:strike/>
          <w:sz w:val="22"/>
          <w:szCs w:val="22"/>
        </w:rPr>
        <w:t>. 3rd ed. London: CIPD.</w:t>
      </w:r>
    </w:p>
    <w:p w14:paraId="4561B96F"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Taylor, S. and Woodhams, C. (2022) </w:t>
      </w:r>
      <w:r w:rsidRPr="004B50D2">
        <w:rPr>
          <w:rStyle w:val="Emphasis"/>
          <w:rFonts w:asciiTheme="minorHAnsi" w:hAnsiTheme="minorHAnsi" w:cstheme="minorHAnsi"/>
          <w:strike/>
          <w:sz w:val="22"/>
          <w:szCs w:val="22"/>
        </w:rPr>
        <w:t>Studying human resource management</w:t>
      </w:r>
      <w:r w:rsidRPr="004B50D2">
        <w:rPr>
          <w:rFonts w:asciiTheme="minorHAnsi" w:hAnsiTheme="minorHAnsi" w:cstheme="minorHAnsi"/>
          <w:strike/>
          <w:sz w:val="22"/>
          <w:szCs w:val="22"/>
        </w:rPr>
        <w:t>. 3rd ed. London: Kogan Page.</w:t>
      </w:r>
    </w:p>
    <w:p w14:paraId="5113BB5A"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Torrington, D., Hall, L., Taylor, S. and Atkinson, C. (2020) </w:t>
      </w:r>
      <w:r w:rsidRPr="004B50D2">
        <w:rPr>
          <w:rStyle w:val="Emphasis"/>
          <w:rFonts w:asciiTheme="minorHAnsi" w:hAnsiTheme="minorHAnsi" w:cstheme="minorHAnsi"/>
          <w:strike/>
          <w:sz w:val="22"/>
          <w:szCs w:val="22"/>
        </w:rPr>
        <w:t>Human resource management</w:t>
      </w:r>
      <w:r w:rsidRPr="004B50D2">
        <w:rPr>
          <w:rFonts w:asciiTheme="minorHAnsi" w:hAnsiTheme="minorHAnsi" w:cstheme="minorHAnsi"/>
          <w:strike/>
          <w:sz w:val="22"/>
          <w:szCs w:val="22"/>
        </w:rPr>
        <w:t>. 11th ed. Harlow: Pearson.</w:t>
      </w:r>
    </w:p>
    <w:p w14:paraId="7D075857"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Wallace, J. and Gaylor, K.P. (2012) ‘A study of the dysfunctional and functional aspects of voluntary employee turnover’, </w:t>
      </w:r>
      <w:r w:rsidRPr="004B50D2">
        <w:rPr>
          <w:rStyle w:val="Emphasis"/>
          <w:rFonts w:asciiTheme="minorHAnsi" w:hAnsiTheme="minorHAnsi" w:cstheme="minorHAnsi"/>
          <w:strike/>
          <w:sz w:val="22"/>
          <w:szCs w:val="22"/>
        </w:rPr>
        <w:t>S.A.M. Advanced Management Journal</w:t>
      </w:r>
      <w:r w:rsidRPr="004B50D2">
        <w:rPr>
          <w:rFonts w:asciiTheme="minorHAnsi" w:hAnsiTheme="minorHAnsi" w:cstheme="minorHAnsi"/>
          <w:strike/>
          <w:sz w:val="22"/>
          <w:szCs w:val="22"/>
        </w:rPr>
        <w:t>, 77(3), pp.27–36.</w:t>
      </w:r>
    </w:p>
    <w:p w14:paraId="1DD4E9FC"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Waite, K. et al. (2021) </w:t>
      </w:r>
      <w:r w:rsidRPr="004B50D2">
        <w:rPr>
          <w:rStyle w:val="Emphasis"/>
          <w:rFonts w:asciiTheme="minorHAnsi" w:hAnsiTheme="minorHAnsi" w:cstheme="minorHAnsi"/>
          <w:strike/>
          <w:sz w:val="22"/>
          <w:szCs w:val="22"/>
        </w:rPr>
        <w:t>People practice: A complete guide</w:t>
      </w:r>
      <w:r w:rsidRPr="004B50D2">
        <w:rPr>
          <w:rFonts w:asciiTheme="minorHAnsi" w:hAnsiTheme="minorHAnsi" w:cstheme="minorHAnsi"/>
          <w:strike/>
          <w:sz w:val="22"/>
          <w:szCs w:val="22"/>
        </w:rPr>
        <w:t>. London: Kogan Page.</w:t>
      </w:r>
    </w:p>
    <w:p w14:paraId="0C211D13" w14:textId="77777777" w:rsidR="00846E8D" w:rsidRPr="004B50D2" w:rsidRDefault="00846E8D" w:rsidP="00846E8D">
      <w:pPr>
        <w:pStyle w:val="NormalWeb"/>
        <w:rPr>
          <w:rFonts w:asciiTheme="minorHAnsi" w:hAnsiTheme="minorHAnsi" w:cstheme="minorHAnsi"/>
          <w:strike/>
          <w:sz w:val="22"/>
          <w:szCs w:val="22"/>
        </w:rPr>
      </w:pPr>
      <w:proofErr w:type="spellStart"/>
      <w:r w:rsidRPr="004B50D2">
        <w:rPr>
          <w:rFonts w:asciiTheme="minorHAnsi" w:hAnsiTheme="minorHAnsi" w:cstheme="minorHAnsi"/>
          <w:strike/>
          <w:sz w:val="22"/>
          <w:szCs w:val="22"/>
        </w:rPr>
        <w:t>Zenezini</w:t>
      </w:r>
      <w:proofErr w:type="spellEnd"/>
      <w:r w:rsidRPr="004B50D2">
        <w:rPr>
          <w:rFonts w:asciiTheme="minorHAnsi" w:hAnsiTheme="minorHAnsi" w:cstheme="minorHAnsi"/>
          <w:strike/>
          <w:sz w:val="22"/>
          <w:szCs w:val="22"/>
        </w:rPr>
        <w:t xml:space="preserve">, G. et al. (2023) ‘Impacts of COVID-19 on logistics service providers’ operations: An Italian empirical study’, </w:t>
      </w:r>
      <w:r w:rsidRPr="004B50D2">
        <w:rPr>
          <w:rStyle w:val="Emphasis"/>
          <w:rFonts w:asciiTheme="minorHAnsi" w:hAnsiTheme="minorHAnsi" w:cstheme="minorHAnsi"/>
          <w:strike/>
          <w:sz w:val="22"/>
          <w:szCs w:val="22"/>
        </w:rPr>
        <w:t>Sustainability</w:t>
      </w:r>
      <w:r w:rsidRPr="004B50D2">
        <w:rPr>
          <w:rFonts w:asciiTheme="minorHAnsi" w:hAnsiTheme="minorHAnsi" w:cstheme="minorHAnsi"/>
          <w:strike/>
          <w:sz w:val="22"/>
          <w:szCs w:val="22"/>
        </w:rPr>
        <w:t>, 16(1), p.208. doi:10.3390/su16010208.</w:t>
      </w:r>
    </w:p>
    <w:p w14:paraId="6D65220A" w14:textId="77777777" w:rsidR="00846E8D" w:rsidRPr="004B50D2" w:rsidRDefault="00846E8D" w:rsidP="00846E8D">
      <w:pPr>
        <w:pStyle w:val="NormalWeb"/>
        <w:rPr>
          <w:rFonts w:asciiTheme="minorHAnsi" w:hAnsiTheme="minorHAnsi" w:cstheme="minorHAnsi"/>
          <w:strike/>
          <w:sz w:val="22"/>
          <w:szCs w:val="22"/>
        </w:rPr>
      </w:pPr>
      <w:r w:rsidRPr="004B50D2">
        <w:rPr>
          <w:rFonts w:asciiTheme="minorHAnsi" w:hAnsiTheme="minorHAnsi" w:cstheme="minorHAnsi"/>
          <w:strike/>
          <w:sz w:val="22"/>
          <w:szCs w:val="22"/>
        </w:rPr>
        <w:t xml:space="preserve">Zhu, F. and Newman, A. (2022) ‘One size does not fit all: Organizational rewards, managerial experience, and employee retention in entrepreneurial new ventures’, </w:t>
      </w:r>
      <w:r w:rsidRPr="004B50D2">
        <w:rPr>
          <w:rStyle w:val="Emphasis"/>
          <w:rFonts w:asciiTheme="minorHAnsi" w:hAnsiTheme="minorHAnsi" w:cstheme="minorHAnsi"/>
          <w:strike/>
          <w:sz w:val="22"/>
          <w:szCs w:val="22"/>
        </w:rPr>
        <w:t>Entrepreneurship Theory and Practice</w:t>
      </w:r>
      <w:r w:rsidRPr="004B50D2">
        <w:rPr>
          <w:rFonts w:asciiTheme="minorHAnsi" w:hAnsiTheme="minorHAnsi" w:cstheme="minorHAnsi"/>
          <w:strike/>
          <w:sz w:val="22"/>
          <w:szCs w:val="22"/>
        </w:rPr>
        <w:t>, 47(5), p.104225872211117. doi:10.1177/10422587221111729.</w:t>
      </w:r>
    </w:p>
    <w:p w14:paraId="5BD7C60D" w14:textId="77777777" w:rsidR="00D24CEE" w:rsidRPr="004B50D2" w:rsidRDefault="00D24CEE" w:rsidP="00846E8D">
      <w:pPr>
        <w:pStyle w:val="NormalWeb"/>
        <w:rPr>
          <w:strike/>
        </w:rPr>
      </w:pPr>
    </w:p>
    <w:sectPr w:rsidR="00D24CEE" w:rsidRPr="004B50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4CEE"/>
    <w:rsid w:val="0019357E"/>
    <w:rsid w:val="001F16BB"/>
    <w:rsid w:val="002500E8"/>
    <w:rsid w:val="004B50D2"/>
    <w:rsid w:val="0053310F"/>
    <w:rsid w:val="00846E8D"/>
    <w:rsid w:val="008D4108"/>
    <w:rsid w:val="00A40D49"/>
    <w:rsid w:val="00AE1955"/>
    <w:rsid w:val="00C47728"/>
    <w:rsid w:val="00D24CEE"/>
    <w:rsid w:val="00D54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636F0"/>
  <w15:docId w15:val="{6FC2532B-FC65-4009-A3CA-B3055CD3D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4C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24CEE"/>
    <w:rPr>
      <w:color w:val="0000FF"/>
      <w:u w:val="single"/>
    </w:rPr>
  </w:style>
  <w:style w:type="character" w:styleId="Emphasis">
    <w:name w:val="Emphasis"/>
    <w:basedOn w:val="DefaultParagraphFont"/>
    <w:uiPriority w:val="20"/>
    <w:qFormat/>
    <w:rsid w:val="00846E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397277">
      <w:bodyDiv w:val="1"/>
      <w:marLeft w:val="0"/>
      <w:marRight w:val="0"/>
      <w:marTop w:val="0"/>
      <w:marBottom w:val="0"/>
      <w:divBdr>
        <w:top w:val="none" w:sz="0" w:space="0" w:color="auto"/>
        <w:left w:val="none" w:sz="0" w:space="0" w:color="auto"/>
        <w:bottom w:val="none" w:sz="0" w:space="0" w:color="auto"/>
        <w:right w:val="none" w:sz="0" w:space="0" w:color="auto"/>
      </w:divBdr>
    </w:div>
    <w:div w:id="512496118">
      <w:bodyDiv w:val="1"/>
      <w:marLeft w:val="0"/>
      <w:marRight w:val="0"/>
      <w:marTop w:val="0"/>
      <w:marBottom w:val="0"/>
      <w:divBdr>
        <w:top w:val="none" w:sz="0" w:space="0" w:color="auto"/>
        <w:left w:val="none" w:sz="0" w:space="0" w:color="auto"/>
        <w:bottom w:val="none" w:sz="0" w:space="0" w:color="auto"/>
        <w:right w:val="none" w:sz="0" w:space="0" w:color="auto"/>
      </w:divBdr>
    </w:div>
    <w:div w:id="828328236">
      <w:bodyDiv w:val="1"/>
      <w:marLeft w:val="0"/>
      <w:marRight w:val="0"/>
      <w:marTop w:val="0"/>
      <w:marBottom w:val="0"/>
      <w:divBdr>
        <w:top w:val="none" w:sz="0" w:space="0" w:color="auto"/>
        <w:left w:val="none" w:sz="0" w:space="0" w:color="auto"/>
        <w:bottom w:val="none" w:sz="0" w:space="0" w:color="auto"/>
        <w:right w:val="none" w:sz="0" w:space="0" w:color="auto"/>
      </w:divBdr>
    </w:div>
    <w:div w:id="861557335">
      <w:bodyDiv w:val="1"/>
      <w:marLeft w:val="0"/>
      <w:marRight w:val="0"/>
      <w:marTop w:val="0"/>
      <w:marBottom w:val="0"/>
      <w:divBdr>
        <w:top w:val="none" w:sz="0" w:space="0" w:color="auto"/>
        <w:left w:val="none" w:sz="0" w:space="0" w:color="auto"/>
        <w:bottom w:val="none" w:sz="0" w:space="0" w:color="auto"/>
        <w:right w:val="none" w:sz="0" w:space="0" w:color="auto"/>
      </w:divBdr>
    </w:div>
    <w:div w:id="1152328212">
      <w:bodyDiv w:val="1"/>
      <w:marLeft w:val="0"/>
      <w:marRight w:val="0"/>
      <w:marTop w:val="0"/>
      <w:marBottom w:val="0"/>
      <w:divBdr>
        <w:top w:val="none" w:sz="0" w:space="0" w:color="auto"/>
        <w:left w:val="none" w:sz="0" w:space="0" w:color="auto"/>
        <w:bottom w:val="none" w:sz="0" w:space="0" w:color="auto"/>
        <w:right w:val="none" w:sz="0" w:space="0" w:color="auto"/>
      </w:divBdr>
    </w:div>
    <w:div w:id="1257520800">
      <w:bodyDiv w:val="1"/>
      <w:marLeft w:val="0"/>
      <w:marRight w:val="0"/>
      <w:marTop w:val="0"/>
      <w:marBottom w:val="0"/>
      <w:divBdr>
        <w:top w:val="none" w:sz="0" w:space="0" w:color="auto"/>
        <w:left w:val="none" w:sz="0" w:space="0" w:color="auto"/>
        <w:bottom w:val="none" w:sz="0" w:space="0" w:color="auto"/>
        <w:right w:val="none" w:sz="0" w:space="0" w:color="auto"/>
      </w:divBdr>
    </w:div>
    <w:div w:id="1291715610">
      <w:bodyDiv w:val="1"/>
      <w:marLeft w:val="0"/>
      <w:marRight w:val="0"/>
      <w:marTop w:val="0"/>
      <w:marBottom w:val="0"/>
      <w:divBdr>
        <w:top w:val="none" w:sz="0" w:space="0" w:color="auto"/>
        <w:left w:val="none" w:sz="0" w:space="0" w:color="auto"/>
        <w:bottom w:val="none" w:sz="0" w:space="0" w:color="auto"/>
        <w:right w:val="none" w:sz="0" w:space="0" w:color="auto"/>
      </w:divBdr>
    </w:div>
    <w:div w:id="1455439878">
      <w:bodyDiv w:val="1"/>
      <w:marLeft w:val="0"/>
      <w:marRight w:val="0"/>
      <w:marTop w:val="0"/>
      <w:marBottom w:val="0"/>
      <w:divBdr>
        <w:top w:val="none" w:sz="0" w:space="0" w:color="auto"/>
        <w:left w:val="none" w:sz="0" w:space="0" w:color="auto"/>
        <w:bottom w:val="none" w:sz="0" w:space="0" w:color="auto"/>
        <w:right w:val="none" w:sz="0" w:space="0" w:color="auto"/>
      </w:divBdr>
    </w:div>
    <w:div w:id="1529485171">
      <w:bodyDiv w:val="1"/>
      <w:marLeft w:val="0"/>
      <w:marRight w:val="0"/>
      <w:marTop w:val="0"/>
      <w:marBottom w:val="0"/>
      <w:divBdr>
        <w:top w:val="none" w:sz="0" w:space="0" w:color="auto"/>
        <w:left w:val="none" w:sz="0" w:space="0" w:color="auto"/>
        <w:bottom w:val="none" w:sz="0" w:space="0" w:color="auto"/>
        <w:right w:val="none" w:sz="0" w:space="0" w:color="auto"/>
      </w:divBdr>
    </w:div>
    <w:div w:id="1677993612">
      <w:bodyDiv w:val="1"/>
      <w:marLeft w:val="0"/>
      <w:marRight w:val="0"/>
      <w:marTop w:val="0"/>
      <w:marBottom w:val="0"/>
      <w:divBdr>
        <w:top w:val="none" w:sz="0" w:space="0" w:color="auto"/>
        <w:left w:val="none" w:sz="0" w:space="0" w:color="auto"/>
        <w:bottom w:val="none" w:sz="0" w:space="0" w:color="auto"/>
        <w:right w:val="none" w:sz="0" w:space="0" w:color="auto"/>
      </w:divBdr>
    </w:div>
    <w:div w:id="1999767521">
      <w:bodyDiv w:val="1"/>
      <w:marLeft w:val="0"/>
      <w:marRight w:val="0"/>
      <w:marTop w:val="0"/>
      <w:marBottom w:val="0"/>
      <w:divBdr>
        <w:top w:val="none" w:sz="0" w:space="0" w:color="auto"/>
        <w:left w:val="none" w:sz="0" w:space="0" w:color="auto"/>
        <w:bottom w:val="none" w:sz="0" w:space="0" w:color="auto"/>
        <w:right w:val="none" w:sz="0" w:space="0" w:color="auto"/>
      </w:divBdr>
    </w:div>
    <w:div w:id="2033995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workforce-planning-factsheet/?utm_source=chatgpt.com" TargetMode="External"/><Relationship Id="rId18" Type="http://schemas.openxmlformats.org/officeDocument/2006/relationships/hyperlink" Target="https://www.intestcom.org/files/guideline_test_use.pdf" TargetMode="External"/><Relationship Id="rId26" Type="http://schemas.openxmlformats.org/officeDocument/2006/relationships/hyperlink" Target="https://www.cipd.org/globalassets/media/knowledge/knowledge-hub/reports/2024-pdfs/8662-resource-and-talent-planning-2024-report-web.pdf?utm_source=chatgpt.com" TargetMode="External"/><Relationship Id="rId39" Type="http://schemas.openxmlformats.org/officeDocument/2006/relationships/hyperlink" Target="https://www.gallup.com/workplace/646538/employee-turnover-preventable-often-ignored.aspx" TargetMode="External"/><Relationship Id="rId21" Type="http://schemas.openxmlformats.org/officeDocument/2006/relationships/hyperlink" Target="https://www.gallup.com/workplace/646538/employee-turnover-preventable-often-ignored.aspx" TargetMode="External"/><Relationship Id="rId34" Type="http://schemas.openxmlformats.org/officeDocument/2006/relationships/hyperlink" Target="https://www.cipd.org/en/knowledge/bitesize-research/healthcare-hiring/" TargetMode="External"/><Relationship Id="rId7" Type="http://schemas.openxmlformats.org/officeDocument/2006/relationships/hyperlink" Target="https://www.cipd.org/uk/knowledge/factsheets/selection-factsheet/" TargetMode="External"/><Relationship Id="rId2" Type="http://schemas.openxmlformats.org/officeDocument/2006/relationships/settings" Target="settings.xml"/><Relationship Id="rId16" Type="http://schemas.openxmlformats.org/officeDocument/2006/relationships/hyperlink" Target="https://www.cipd.org/en/knowledge/bitesize-research/healthcare-hiring/" TargetMode="External"/><Relationship Id="rId20" Type="http://schemas.openxmlformats.org/officeDocument/2006/relationships/hyperlink" Target="https://www.ons.gov.uk/employmentandlabourmarket/peopleinwork/employmentandemployeetypes/bulletins/jobsandvacanciesintheuk/october2025" TargetMode="External"/><Relationship Id="rId29" Type="http://schemas.openxmlformats.org/officeDocument/2006/relationships/hyperlink" Target="https://www.cipd.org/uk/knowledge/factsheets/turnover-retention-factsheet/?utm_source=chatgpt.com"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cas.org.uk/employment-rights-act-2025" TargetMode="External"/><Relationship Id="rId11" Type="http://schemas.openxmlformats.org/officeDocument/2006/relationships/hyperlink" Target="https://www.cipd.org/uk/knowledge/factsheets/turnover-retention-factsheet/?utm_source=chatgpt.com" TargetMode="External"/><Relationship Id="rId24" Type="http://schemas.openxmlformats.org/officeDocument/2006/relationships/hyperlink" Target="https://www.acas.org.uk/employment-rights-act-2025" TargetMode="External"/><Relationship Id="rId32" Type="http://schemas.openxmlformats.org/officeDocument/2006/relationships/hyperlink" Target="https://newsroom.fedex.com/newsroom/europe-english/uk-parcel-deliveries-to-hit-1-29-bn-this-festive-season-making-the-uk-parcel-market-the-busiest-in-europe" TargetMode="External"/><Relationship Id="rId37" Type="http://schemas.openxmlformats.org/officeDocument/2006/relationships/hyperlink" Target="https://www.cipd.org/en/knowledge/factsheets/induction-factsheet/" TargetMode="External"/><Relationship Id="rId40" Type="http://schemas.openxmlformats.org/officeDocument/2006/relationships/fontTable" Target="fontTable.xml"/><Relationship Id="rId5" Type="http://schemas.openxmlformats.org/officeDocument/2006/relationships/hyperlink" Target="https://www.acas.org.uk/template-checklist-for-induction-of-new-staff" TargetMode="External"/><Relationship Id="rId15" Type="http://schemas.openxmlformats.org/officeDocument/2006/relationships/hyperlink" Target="https://www.cipd.org/uk/knowledge/factsheets/succession-planning-factsheet/" TargetMode="External"/><Relationship Id="rId23" Type="http://schemas.openxmlformats.org/officeDocument/2006/relationships/hyperlink" Target="https://www.acas.org.uk/template-checklist-for-induction-of-new-staff" TargetMode="External"/><Relationship Id="rId28" Type="http://schemas.openxmlformats.org/officeDocument/2006/relationships/hyperlink" Target="https://www.cipd.org/uk/knowledge/factsheets/recruitment-brand-factsheet/" TargetMode="External"/><Relationship Id="rId36" Type="http://schemas.openxmlformats.org/officeDocument/2006/relationships/hyperlink" Target="https://www.intestcom.org/files/guideline_test_use.pdf" TargetMode="External"/><Relationship Id="rId10" Type="http://schemas.openxmlformats.org/officeDocument/2006/relationships/hyperlink" Target="https://www.cipd.org/uk/knowledge/factsheets/recruitment-brand-factsheet/" TargetMode="External"/><Relationship Id="rId19" Type="http://schemas.openxmlformats.org/officeDocument/2006/relationships/hyperlink" Target="https://www.cipd.org/en/knowledge/factsheets/induction-factsheet/" TargetMode="External"/><Relationship Id="rId31" Type="http://schemas.openxmlformats.org/officeDocument/2006/relationships/hyperlink" Target="https://www.cipd.org/uk/knowledge/factsheets/workforce-planning-factsheet/?utm_source=chatgpt.com" TargetMode="External"/><Relationship Id="rId4" Type="http://schemas.openxmlformats.org/officeDocument/2006/relationships/hyperlink" Target="https://www.acas.org.uk/zero-hours-contracts" TargetMode="External"/><Relationship Id="rId9" Type="http://schemas.openxmlformats.org/officeDocument/2006/relationships/hyperlink" Target="https://www.cipd.org/uk/views-and-insights/thought-leadership/cipd-voice/benchmarking-employee-turnover/?utm_source=chatgpt.com" TargetMode="External"/><Relationship Id="rId14" Type="http://schemas.openxmlformats.org/officeDocument/2006/relationships/hyperlink" Target="https://newsroom.fedex.com/newsroom/europe-english/uk-parcel-deliveries-to-hit-1-29-bn-this-festive-season-making-the-uk-parcel-market-the-busiest-in-europe" TargetMode="External"/><Relationship Id="rId22" Type="http://schemas.openxmlformats.org/officeDocument/2006/relationships/hyperlink" Target="https://www.acas.org.uk/zero-hours-contracts" TargetMode="External"/><Relationship Id="rId27" Type="http://schemas.openxmlformats.org/officeDocument/2006/relationships/hyperlink" Target="https://www.cipd.org/uk/views-and-insights/thought-leadership/cipd-voice/benchmarking-employee-turnover/?utm_source=chatgpt.com" TargetMode="External"/><Relationship Id="rId30" Type="http://schemas.openxmlformats.org/officeDocument/2006/relationships/hyperlink" Target="https://www.cipd.org/uk/knowledge/factsheets/economy-labour-market-factsheet/" TargetMode="External"/><Relationship Id="rId35" Type="http://schemas.openxmlformats.org/officeDocument/2006/relationships/hyperlink" Target="https://www.cipd.org/en/knowledge/bitesize-research/value-induction/" TargetMode="External"/><Relationship Id="rId8" Type="http://schemas.openxmlformats.org/officeDocument/2006/relationships/hyperlink" Target="https://www.cipd.org/globalassets/media/knowledge/knowledge-hub/reports/2024-pdfs/8662-resource-and-talent-planning-2024-report-web.pdf?utm_source=chatgpt.com" TargetMode="External"/><Relationship Id="rId3" Type="http://schemas.openxmlformats.org/officeDocument/2006/relationships/webSettings" Target="webSettings.xml"/><Relationship Id="rId12" Type="http://schemas.openxmlformats.org/officeDocument/2006/relationships/hyperlink" Target="https://www.cipd.org/uk/knowledge/factsheets/economy-labour-market-factsheet/" TargetMode="External"/><Relationship Id="rId17" Type="http://schemas.openxmlformats.org/officeDocument/2006/relationships/hyperlink" Target="https://www.cipd.org/en/knowledge/bitesize-research/value-induction/" TargetMode="External"/><Relationship Id="rId25" Type="http://schemas.openxmlformats.org/officeDocument/2006/relationships/hyperlink" Target="https://www.cipd.org/uk/knowledge/factsheets/selection-factsheet/" TargetMode="External"/><Relationship Id="rId33" Type="http://schemas.openxmlformats.org/officeDocument/2006/relationships/hyperlink" Target="https://www.cipd.org/uk/knowledge/factsheets/succession-planning-factsheet/" TargetMode="External"/><Relationship Id="rId38" Type="http://schemas.openxmlformats.org/officeDocument/2006/relationships/hyperlink" Target="https://www.ons.gov.uk/employmentandlabourmarket/peopleinwork/employmentandemployeetypes/bulletins/jobsandvacanciesintheuk/october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7621</Words>
  <Characters>43446</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Lowri</dc:creator>
  <cp:lastModifiedBy>Lowri Davies (2413580)</cp:lastModifiedBy>
  <cp:revision>3</cp:revision>
  <dcterms:created xsi:type="dcterms:W3CDTF">2026-03-03T19:12:00Z</dcterms:created>
  <dcterms:modified xsi:type="dcterms:W3CDTF">2026-03-04T18:54:00Z</dcterms:modified>
</cp:coreProperties>
</file>