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1EB46" w14:textId="77777777" w:rsidR="004165C6" w:rsidRDefault="004165C6">
      <w:pPr>
        <w:pStyle w:val="p1"/>
      </w:pPr>
      <w:r>
        <w:rPr>
          <w:rStyle w:val="s1"/>
        </w:rPr>
        <w:t>Case study mr man. -</w:t>
      </w:r>
      <w:r>
        <w:rPr>
          <w:rStyle w:val="apple-converted-space"/>
          <w:rFonts w:ascii=".SFUI-Semibold" w:hAnsi=".SFUI-Semibold"/>
          <w:b/>
          <w:bCs/>
        </w:rPr>
        <w:t> </w:t>
      </w:r>
    </w:p>
    <w:p w14:paraId="2A1BB4EC" w14:textId="77777777" w:rsidR="004165C6" w:rsidRDefault="004165C6">
      <w:pPr>
        <w:pStyle w:val="p2"/>
      </w:pPr>
    </w:p>
    <w:p w14:paraId="03F88912" w14:textId="77777777" w:rsidR="004165C6" w:rsidRDefault="004165C6">
      <w:pPr>
        <w:pStyle w:val="p1"/>
      </w:pPr>
      <w:r>
        <w:rPr>
          <w:rStyle w:val="s1"/>
        </w:rPr>
        <w:t>High-quality health and social care relies on three essential components: effective communication, robust administrative capabilities, and teamwork among professionals. Mrs. Mann, a 72-year-old woman who was recently discharged following a hip replacement, illustrates the necessity of these practices. Living alone and receiving domiciliary care, she has limited proficiency in English, which can lead to communication difficulties and pose risks to her recovery. Recent challenges with inconsistent documentation and delays in medication adjustments further underscore the significance of administration and collaboration in her care. A variety of professionals are involved, including her general practitioner, physiotherapist, and domiciliary care staff, with her family assisting as interpreters. To ensure Mrs. Mann's wellbeing, it is crucial to implement legal frameworks such as the Equality Act 2010 and the Data Protection Act 2018, alongside employing person-centred care strategies. This report explores the importance of communication, administrative skills, and collaborative efforts in her care, taking into account relevant legislation, models, and policy guidance.</w:t>
      </w:r>
    </w:p>
    <w:p w14:paraId="7C0934F8" w14:textId="77777777" w:rsidR="00FC1A3A" w:rsidRDefault="00FC1A3A"/>
    <w:p w14:paraId="67043A15" w14:textId="77777777" w:rsidR="00755CA2" w:rsidRDefault="00755CA2">
      <w:pPr>
        <w:pStyle w:val="p1"/>
      </w:pPr>
      <w:r>
        <w:rPr>
          <w:rStyle w:val="s1"/>
        </w:rPr>
        <w:t>Effective communication-</w:t>
      </w:r>
    </w:p>
    <w:p w14:paraId="28352F5E" w14:textId="77777777" w:rsidR="00755CA2" w:rsidRDefault="00755CA2">
      <w:pPr>
        <w:pStyle w:val="p1"/>
      </w:pPr>
      <w:r>
        <w:rPr>
          <w:rStyle w:val="s1"/>
        </w:rPr>
        <w:t xml:space="preserve">Effective communication is essential in health and social care as it guarantees that the needs of service users are </w:t>
      </w:r>
      <w:proofErr w:type="spellStart"/>
      <w:r>
        <w:rPr>
          <w:rStyle w:val="s1"/>
        </w:rPr>
        <w:t>recognized</w:t>
      </w:r>
      <w:proofErr w:type="spellEnd"/>
      <w:r>
        <w:rPr>
          <w:rStyle w:val="s1"/>
        </w:rPr>
        <w:t xml:space="preserve">, </w:t>
      </w:r>
      <w:proofErr w:type="spellStart"/>
      <w:r>
        <w:rPr>
          <w:rStyle w:val="s1"/>
        </w:rPr>
        <w:t>honored</w:t>
      </w:r>
      <w:proofErr w:type="spellEnd"/>
      <w:r>
        <w:rPr>
          <w:rStyle w:val="s1"/>
        </w:rPr>
        <w:t>, and addressed in a safe manner. For Mrs. Mann, effective communication aids in her recovery, enhances safety, and safeguards her dignity. Given that her primary language is Urdu and her proficiency in English is limited, communication obstacles may lead to misunderstandings or errors if care staff do not take proactive measures.</w:t>
      </w:r>
      <w:r>
        <w:rPr>
          <w:rStyle w:val="apple-converted-space"/>
          <w:rFonts w:ascii=".SFUI-Semibold" w:hAnsi=".SFUI-Semibold"/>
          <w:b/>
          <w:bCs/>
        </w:rPr>
        <w:t xml:space="preserve">  </w:t>
      </w:r>
      <w:r>
        <w:rPr>
          <w:rStyle w:val="s1"/>
        </w:rPr>
        <w:t xml:space="preserve">The Equality Act 2010 mandates that services eliminate barriers and ensure equitable access for all individuals (Bashir &amp; Lockwood, 2019). For Mrs. Mann, this entails making sure that care information is comprehensible and that she is able to engage in decisions regarding her treatment. Without necessary adjustments, she risks being </w:t>
      </w:r>
      <w:proofErr w:type="spellStart"/>
      <w:r>
        <w:rPr>
          <w:rStyle w:val="s1"/>
        </w:rPr>
        <w:t>marginalized</w:t>
      </w:r>
      <w:proofErr w:type="spellEnd"/>
      <w:r>
        <w:rPr>
          <w:rStyle w:val="s1"/>
        </w:rPr>
        <w:t xml:space="preserve"> in her care and may misinterpret critical instructions.</w:t>
      </w:r>
      <w:r>
        <w:rPr>
          <w:rStyle w:val="apple-converted-space"/>
          <w:rFonts w:ascii=".SFUI-Semibold" w:hAnsi=".SFUI-Semibold"/>
          <w:b/>
          <w:bCs/>
        </w:rPr>
        <w:t xml:space="preserve">  </w:t>
      </w:r>
      <w:r>
        <w:rPr>
          <w:rStyle w:val="s1"/>
        </w:rPr>
        <w:t xml:space="preserve">Practical approaches include </w:t>
      </w:r>
      <w:proofErr w:type="spellStart"/>
      <w:r>
        <w:rPr>
          <w:rStyle w:val="s1"/>
        </w:rPr>
        <w:t>utilizing</w:t>
      </w:r>
      <w:proofErr w:type="spellEnd"/>
      <w:r>
        <w:rPr>
          <w:rStyle w:val="s1"/>
        </w:rPr>
        <w:t xml:space="preserve"> her daughter as an interpreter, although professional interpreters may provide greater accuracy for clinical information (Harper et al., 2017). Visual aids, translated written documents, and non-verbal communication methods such as gestures and active listening can further enhance understanding. Cultural competence, which involves respecting her background and preferences, also plays a vital role in fostering trust and encouraging participation.</w:t>
      </w:r>
      <w:r>
        <w:rPr>
          <w:rStyle w:val="apple-converted-space"/>
          <w:rFonts w:ascii=".SFUI-Semibold" w:hAnsi=".SFUI-Semibold"/>
          <w:b/>
          <w:bCs/>
        </w:rPr>
        <w:t xml:space="preserve">  </w:t>
      </w:r>
      <w:r>
        <w:rPr>
          <w:rStyle w:val="s1"/>
        </w:rPr>
        <w:t>The Transactional Model of Communication (</w:t>
      </w:r>
      <w:proofErr w:type="spellStart"/>
      <w:r>
        <w:rPr>
          <w:rStyle w:val="s1"/>
        </w:rPr>
        <w:t>Barnlund</w:t>
      </w:r>
      <w:proofErr w:type="spellEnd"/>
      <w:r>
        <w:rPr>
          <w:rStyle w:val="s1"/>
        </w:rPr>
        <w:t xml:space="preserve">, 2008) </w:t>
      </w:r>
      <w:proofErr w:type="spellStart"/>
      <w:r>
        <w:rPr>
          <w:rStyle w:val="s1"/>
        </w:rPr>
        <w:t>emphasizes</w:t>
      </w:r>
      <w:proofErr w:type="spellEnd"/>
      <w:r>
        <w:rPr>
          <w:rStyle w:val="s1"/>
        </w:rPr>
        <w:t xml:space="preserve"> that communication is a reciprocal process that includes feedback. By applying this model, staff should verify that Mrs. Mann comprehends the information by asking her to reiterate instructions in her own words, with interpretation support if necessary. This method </w:t>
      </w:r>
      <w:proofErr w:type="spellStart"/>
      <w:r>
        <w:rPr>
          <w:rStyle w:val="s1"/>
        </w:rPr>
        <w:t>minimizes</w:t>
      </w:r>
      <w:proofErr w:type="spellEnd"/>
      <w:r>
        <w:rPr>
          <w:rStyle w:val="s1"/>
        </w:rPr>
        <w:t xml:space="preserve"> the likelihood of miscommunication and ensures safe care.</w:t>
      </w:r>
      <w:r>
        <w:rPr>
          <w:rStyle w:val="apple-converted-space"/>
          <w:rFonts w:ascii=".SFUI-Semibold" w:hAnsi=".SFUI-Semibold"/>
          <w:b/>
          <w:bCs/>
        </w:rPr>
        <w:t xml:space="preserve">  </w:t>
      </w:r>
      <w:r>
        <w:rPr>
          <w:rStyle w:val="s1"/>
        </w:rPr>
        <w:t>Communication with her family is of equal significance. Keeping her daughter updated facilitates shared decision-making and bolsters confidence in the care provided. Furthermore, professionals involved in her care must communicate effectively with each other. Inconsistent documentation or overlooked updates, as observed in Mrs. Mann’s situation, can result in delayed treatment and adversely impact recovery.</w:t>
      </w:r>
      <w:r>
        <w:rPr>
          <w:rStyle w:val="apple-converted-space"/>
          <w:rFonts w:ascii=".SFUI-Semibold" w:hAnsi=".SFUI-Semibold"/>
          <w:b/>
          <w:bCs/>
        </w:rPr>
        <w:t xml:space="preserve">  </w:t>
      </w:r>
      <w:r>
        <w:rPr>
          <w:rStyle w:val="s1"/>
        </w:rPr>
        <w:t>In summary, effective communication transcends mere information delivery; it ensures that all parties are engaged and informed.</w:t>
      </w:r>
    </w:p>
    <w:p w14:paraId="31CB4FF0" w14:textId="77777777" w:rsidR="00755CA2" w:rsidRDefault="00755CA2"/>
    <w:p w14:paraId="68E2BC1C" w14:textId="3BAC3A5A" w:rsidR="00AA0FB9" w:rsidRDefault="00AA0FB9">
      <w:pPr>
        <w:pStyle w:val="p1"/>
        <w:rPr>
          <w:rStyle w:val="s1"/>
        </w:rPr>
      </w:pPr>
      <w:r>
        <w:rPr>
          <w:rStyle w:val="s1"/>
        </w:rPr>
        <w:t>Collaborative working with others-</w:t>
      </w:r>
    </w:p>
    <w:p w14:paraId="4B1A6F6A" w14:textId="5DC4FB1F" w:rsidR="00A05165" w:rsidRDefault="00A05165">
      <w:pPr>
        <w:pStyle w:val="p1"/>
        <w:rPr>
          <w:rStyle w:val="s1"/>
        </w:rPr>
      </w:pPr>
      <w:r>
        <w:rPr>
          <w:rStyle w:val="s1"/>
        </w:rPr>
        <w:t xml:space="preserve">Administrative skills are crucial for providing safe and effective care. In the case of Mrs. Mann, inaccuracies in documentation led to a delay in medication adjustments, illustrating how inadequate record-keeping can </w:t>
      </w:r>
      <w:proofErr w:type="spellStart"/>
      <w:r>
        <w:rPr>
          <w:rStyle w:val="s1"/>
        </w:rPr>
        <w:t>jeopardize</w:t>
      </w:r>
      <w:proofErr w:type="spellEnd"/>
      <w:r>
        <w:rPr>
          <w:rStyle w:val="s1"/>
        </w:rPr>
        <w:t xml:space="preserve"> safety.</w:t>
      </w:r>
      <w:r>
        <w:rPr>
          <w:rStyle w:val="apple-converted-space"/>
          <w:rFonts w:ascii=".SFUI-Semibold" w:hAnsi=".SFUI-Semibold"/>
          <w:b/>
          <w:bCs/>
        </w:rPr>
        <w:t xml:space="preserve">  </w:t>
      </w:r>
      <w:r>
        <w:rPr>
          <w:rStyle w:val="s1"/>
        </w:rPr>
        <w:t>Accurate records furnish all professionals involved in care with current information regarding rehabilitation, medications, and personal preferences. Inadequate records can lead to duplication, overlooked treatments, and potential harm to the service user (</w:t>
      </w:r>
      <w:proofErr w:type="spellStart"/>
      <w:r>
        <w:rPr>
          <w:rStyle w:val="s1"/>
        </w:rPr>
        <w:t>Nicol</w:t>
      </w:r>
      <w:proofErr w:type="spellEnd"/>
      <w:r>
        <w:rPr>
          <w:rStyle w:val="s1"/>
        </w:rPr>
        <w:t xml:space="preserve"> &amp; Hutchinson, 2018).</w:t>
      </w:r>
      <w:r>
        <w:rPr>
          <w:rStyle w:val="apple-converted-space"/>
          <w:rFonts w:ascii=".SFUI-Semibold" w:hAnsi=".SFUI-Semibold"/>
          <w:b/>
          <w:bCs/>
        </w:rPr>
        <w:t xml:space="preserve">  </w:t>
      </w:r>
      <w:r>
        <w:rPr>
          <w:rStyle w:val="s1"/>
        </w:rPr>
        <w:t xml:space="preserve">The Data Protection Act 2018 mandates that personal information is accurate, secure, and shared solely with </w:t>
      </w:r>
      <w:proofErr w:type="spellStart"/>
      <w:r>
        <w:rPr>
          <w:rStyle w:val="s1"/>
        </w:rPr>
        <w:t>authorized</w:t>
      </w:r>
      <w:proofErr w:type="spellEnd"/>
      <w:r>
        <w:rPr>
          <w:rStyle w:val="s1"/>
        </w:rPr>
        <w:t xml:space="preserve"> personnel (UK Government, 2018). For Mrs. Mann, this encompasses her health records, rehabilitation notes, and communication preferences. Confidentiality is further reinforced by the </w:t>
      </w:r>
      <w:proofErr w:type="spellStart"/>
      <w:r>
        <w:rPr>
          <w:rStyle w:val="s1"/>
        </w:rPr>
        <w:t>Caldicott</w:t>
      </w:r>
      <w:proofErr w:type="spellEnd"/>
      <w:r>
        <w:rPr>
          <w:rStyle w:val="s1"/>
        </w:rPr>
        <w:t xml:space="preserve"> Principles, which stress that information should only be disclosed when necessary for care (</w:t>
      </w:r>
      <w:proofErr w:type="spellStart"/>
      <w:r>
        <w:rPr>
          <w:rStyle w:val="s1"/>
        </w:rPr>
        <w:t>Caldicott</w:t>
      </w:r>
      <w:proofErr w:type="spellEnd"/>
      <w:r>
        <w:rPr>
          <w:rStyle w:val="s1"/>
        </w:rPr>
        <w:t>, 2016).</w:t>
      </w:r>
      <w:r>
        <w:rPr>
          <w:rStyle w:val="apple-converted-space"/>
          <w:rFonts w:ascii=".SFUI-Semibold" w:hAnsi=".SFUI-Semibold"/>
          <w:b/>
          <w:bCs/>
        </w:rPr>
        <w:t xml:space="preserve">  </w:t>
      </w:r>
      <w:r>
        <w:rPr>
          <w:rStyle w:val="s1"/>
        </w:rPr>
        <w:t>Policies such as the NHS Code of Practice and CQC standards necessitate clear, accurate documentation and offer guidance for quality monitoring (NHS England, 2020). Care workers are required to document information clearly, objectively, and promptly. Digital records with real-time updates can enhance communication among care staff, physiotherapists, and GPs, thereby decreasing the chances of errors.</w:t>
      </w:r>
      <w:r>
        <w:rPr>
          <w:rStyle w:val="apple-converted-space"/>
          <w:rFonts w:ascii=".SFUI-Semibold" w:hAnsi=".SFUI-Semibold"/>
          <w:b/>
          <w:bCs/>
        </w:rPr>
        <w:t xml:space="preserve">  </w:t>
      </w:r>
      <w:r>
        <w:rPr>
          <w:rStyle w:val="s1"/>
        </w:rPr>
        <w:t>Effective administrative practices not only ensure adherence to legislation but also protect the wellbeing of residents. For Mrs. Mann, maintaining consistent and accurate records would avert mistakes, support continuity of care, and enable all professionals to respond swiftly to any changes in her condition.</w:t>
      </w:r>
    </w:p>
    <w:p w14:paraId="1E3F28DF" w14:textId="77777777" w:rsidR="003C177C" w:rsidRDefault="003C177C">
      <w:pPr>
        <w:pStyle w:val="p1"/>
        <w:rPr>
          <w:rStyle w:val="s1"/>
        </w:rPr>
      </w:pPr>
    </w:p>
    <w:p w14:paraId="7D0E0FAE" w14:textId="77777777" w:rsidR="00126DCA" w:rsidRDefault="00126DCA">
      <w:pPr>
        <w:pStyle w:val="p1"/>
      </w:pPr>
      <w:r>
        <w:rPr>
          <w:rStyle w:val="s1"/>
        </w:rPr>
        <w:t>Conclusion-</w:t>
      </w:r>
      <w:r>
        <w:rPr>
          <w:rStyle w:val="apple-converted-space"/>
          <w:rFonts w:ascii=".SFUI-Semibold" w:hAnsi=".SFUI-Semibold"/>
          <w:b/>
          <w:bCs/>
        </w:rPr>
        <w:t> </w:t>
      </w:r>
    </w:p>
    <w:p w14:paraId="1F7C80A5" w14:textId="77777777" w:rsidR="00126DCA" w:rsidRDefault="00126DCA">
      <w:pPr>
        <w:pStyle w:val="p2"/>
      </w:pPr>
    </w:p>
    <w:p w14:paraId="06600C24" w14:textId="77777777" w:rsidR="00126DCA" w:rsidRDefault="00126DCA">
      <w:pPr>
        <w:pStyle w:val="p1"/>
      </w:pPr>
      <w:r>
        <w:rPr>
          <w:rStyle w:val="s1"/>
        </w:rPr>
        <w:t>Mrs. Mann's situation illustrates the critical importance of communication, administrative abilities, and teamwork in delivering safe, high-quality care.</w:t>
      </w:r>
      <w:r>
        <w:rPr>
          <w:rStyle w:val="apple-converted-space"/>
          <w:rFonts w:ascii=".SFUI-Semibold" w:hAnsi=".SFUI-Semibold"/>
          <w:b/>
          <w:bCs/>
        </w:rPr>
        <w:t xml:space="preserve">  </w:t>
      </w:r>
      <w:r>
        <w:rPr>
          <w:rStyle w:val="s1"/>
        </w:rPr>
        <w:t xml:space="preserve">Effective communication, </w:t>
      </w:r>
      <w:proofErr w:type="spellStart"/>
      <w:r>
        <w:rPr>
          <w:rStyle w:val="s1"/>
        </w:rPr>
        <w:t>customized</w:t>
      </w:r>
      <w:proofErr w:type="spellEnd"/>
      <w:r>
        <w:rPr>
          <w:rStyle w:val="s1"/>
        </w:rPr>
        <w:t xml:space="preserve"> to her linguistic requirements and guided by the Equality Act 2010 and frameworks like the Transactional Model, guarantees her comprehension and involvement in her care.</w:t>
      </w:r>
      <w:r>
        <w:rPr>
          <w:rStyle w:val="apple-converted-space"/>
          <w:rFonts w:ascii=".SFUI-Semibold" w:hAnsi=".SFUI-Semibold"/>
          <w:b/>
          <w:bCs/>
        </w:rPr>
        <w:t xml:space="preserve">  </w:t>
      </w:r>
      <w:r>
        <w:rPr>
          <w:rStyle w:val="s1"/>
        </w:rPr>
        <w:t xml:space="preserve">Robust administrative skills, informed by the Data Protection Act 2018 and the </w:t>
      </w:r>
      <w:proofErr w:type="spellStart"/>
      <w:r>
        <w:rPr>
          <w:rStyle w:val="s1"/>
        </w:rPr>
        <w:t>Caldicott</w:t>
      </w:r>
      <w:proofErr w:type="spellEnd"/>
      <w:r>
        <w:rPr>
          <w:rStyle w:val="s1"/>
        </w:rPr>
        <w:t xml:space="preserve"> Principles, facilitate precise and secure record-keeping, thereby </w:t>
      </w:r>
      <w:proofErr w:type="spellStart"/>
      <w:r>
        <w:rPr>
          <w:rStyle w:val="s1"/>
        </w:rPr>
        <w:t>minimizing</w:t>
      </w:r>
      <w:proofErr w:type="spellEnd"/>
      <w:r>
        <w:rPr>
          <w:rStyle w:val="s1"/>
        </w:rPr>
        <w:t xml:space="preserve"> the risk of errors.</w:t>
      </w:r>
      <w:r>
        <w:rPr>
          <w:rStyle w:val="apple-converted-space"/>
          <w:rFonts w:ascii=".SFUI-Semibold" w:hAnsi=".SFUI-Semibold"/>
          <w:b/>
          <w:bCs/>
        </w:rPr>
        <w:t xml:space="preserve">  </w:t>
      </w:r>
      <w:r>
        <w:rPr>
          <w:rStyle w:val="s1"/>
        </w:rPr>
        <w:t>Collaborative efforts among the GP, physiotherapist, care personnel, and her family ensure a coordinated and comprehensive approach to care.</w:t>
      </w:r>
      <w:r>
        <w:rPr>
          <w:rStyle w:val="apple-converted-space"/>
          <w:rFonts w:ascii=".SFUI-Semibold" w:hAnsi=".SFUI-Semibold"/>
          <w:b/>
          <w:bCs/>
        </w:rPr>
        <w:t xml:space="preserve">  </w:t>
      </w:r>
      <w:r>
        <w:rPr>
          <w:rStyle w:val="s1"/>
        </w:rPr>
        <w:t xml:space="preserve">Collectively, these components foster a safe, </w:t>
      </w:r>
      <w:proofErr w:type="spellStart"/>
      <w:r>
        <w:rPr>
          <w:rStyle w:val="s1"/>
        </w:rPr>
        <w:t>person-centered</w:t>
      </w:r>
      <w:proofErr w:type="spellEnd"/>
      <w:r>
        <w:rPr>
          <w:rStyle w:val="s1"/>
        </w:rPr>
        <w:t xml:space="preserve"> strategy that aids recovery, safeguards wellbeing, and adheres to professional standards.</w:t>
      </w:r>
      <w:r>
        <w:rPr>
          <w:rStyle w:val="apple-converted-space"/>
          <w:rFonts w:ascii=".SFUI-Semibold" w:hAnsi=".SFUI-Semibold"/>
          <w:b/>
          <w:bCs/>
        </w:rPr>
        <w:t xml:space="preserve">  </w:t>
      </w:r>
      <w:r>
        <w:rPr>
          <w:rStyle w:val="s1"/>
        </w:rPr>
        <w:t xml:space="preserve">High-quality care transcends mere task completion; it encompasses the integration of communication, </w:t>
      </w:r>
      <w:proofErr w:type="spellStart"/>
      <w:r>
        <w:rPr>
          <w:rStyle w:val="s1"/>
        </w:rPr>
        <w:t>organization</w:t>
      </w:r>
      <w:proofErr w:type="spellEnd"/>
      <w:r>
        <w:rPr>
          <w:rStyle w:val="s1"/>
        </w:rPr>
        <w:t>, and teamwork to effectively address the needs of vulnerable service users.</w:t>
      </w:r>
    </w:p>
    <w:p w14:paraId="0D0B08B9" w14:textId="77777777" w:rsidR="003C177C" w:rsidRDefault="003C177C">
      <w:pPr>
        <w:pStyle w:val="p1"/>
      </w:pPr>
    </w:p>
    <w:p w14:paraId="757A2862"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EmphasizedBody" w:hAnsi="UICTFontTextStyleEmphasizedBody" w:cs="Times New Roman"/>
          <w:b/>
          <w:bCs/>
          <w:kern w:val="0"/>
          <w:sz w:val="29"/>
          <w:szCs w:val="29"/>
          <w14:ligatures w14:val="none"/>
        </w:rPr>
        <w:t>References (Harvard Style)</w:t>
      </w:r>
    </w:p>
    <w:p w14:paraId="6A6C2751"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proofErr w:type="spellStart"/>
      <w:r w:rsidRPr="00A27204">
        <w:rPr>
          <w:rFonts w:ascii="UICTFontTextStyleBody" w:hAnsi="UICTFontTextStyleBody" w:cs="Times New Roman"/>
          <w:kern w:val="0"/>
          <w:sz w:val="29"/>
          <w:szCs w:val="29"/>
          <w14:ligatures w14:val="none"/>
        </w:rPr>
        <w:t>Barnlund</w:t>
      </w:r>
      <w:proofErr w:type="spellEnd"/>
      <w:r w:rsidRPr="00A27204">
        <w:rPr>
          <w:rFonts w:ascii="UICTFontTextStyleBody" w:hAnsi="UICTFontTextStyleBody" w:cs="Times New Roman"/>
          <w:kern w:val="0"/>
          <w:sz w:val="29"/>
          <w:szCs w:val="29"/>
          <w14:ligatures w14:val="none"/>
        </w:rPr>
        <w:t xml:space="preserve">, D.C. (2008) </w:t>
      </w:r>
      <w:r w:rsidRPr="00A27204">
        <w:rPr>
          <w:rFonts w:ascii="UICTFontTextStyleItalicBody" w:hAnsi="UICTFontTextStyleItalicBody" w:cs="Times New Roman"/>
          <w:i/>
          <w:iCs/>
          <w:kern w:val="0"/>
          <w:sz w:val="29"/>
          <w:szCs w:val="29"/>
          <w14:ligatures w14:val="none"/>
        </w:rPr>
        <w:t>A transactional model of communication</w:t>
      </w:r>
      <w:r w:rsidRPr="00A27204">
        <w:rPr>
          <w:rFonts w:ascii="UICTFontTextStyleBody" w:hAnsi="UICTFontTextStyleBody" w:cs="Times New Roman"/>
          <w:kern w:val="0"/>
          <w:sz w:val="29"/>
          <w:szCs w:val="29"/>
          <w14:ligatures w14:val="none"/>
        </w:rPr>
        <w:t xml:space="preserve">. In: K.K. Sereno and C.D. Mortensen (eds.) </w:t>
      </w:r>
      <w:r w:rsidRPr="00A27204">
        <w:rPr>
          <w:rFonts w:ascii="UICTFontTextStyleEmphasizedBody" w:hAnsi="UICTFontTextStyleEmphasizedBody" w:cs="Times New Roman"/>
          <w:b/>
          <w:bCs/>
          <w:kern w:val="0"/>
          <w:sz w:val="29"/>
          <w:szCs w:val="29"/>
          <w14:ligatures w14:val="none"/>
        </w:rPr>
        <w:t>Foundations of Communication Theory</w:t>
      </w:r>
      <w:r w:rsidRPr="00A27204">
        <w:rPr>
          <w:rFonts w:ascii="UICTFontTextStyleBody" w:hAnsi="UICTFontTextStyleBody" w:cs="Times New Roman"/>
          <w:kern w:val="0"/>
          <w:sz w:val="29"/>
          <w:szCs w:val="29"/>
          <w14:ligatures w14:val="none"/>
        </w:rPr>
        <w:t>. New York: Harper &amp; Row.</w:t>
      </w:r>
    </w:p>
    <w:p w14:paraId="522D4809"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Body" w:hAnsi="UICTFontTextStyleBody" w:cs="Times New Roman"/>
          <w:kern w:val="0"/>
          <w:sz w:val="29"/>
          <w:szCs w:val="29"/>
          <w14:ligatures w14:val="none"/>
        </w:rPr>
        <w:t xml:space="preserve">Bashir, S. and Lockwood, A. (2019) </w:t>
      </w:r>
      <w:r w:rsidRPr="00A27204">
        <w:rPr>
          <w:rFonts w:ascii="UICTFontTextStyleItalicBody" w:hAnsi="UICTFontTextStyleItalicBody" w:cs="Times New Roman"/>
          <w:i/>
          <w:iCs/>
          <w:kern w:val="0"/>
          <w:sz w:val="29"/>
          <w:szCs w:val="29"/>
          <w14:ligatures w14:val="none"/>
        </w:rPr>
        <w:t>Equality and diversity in health and social care</w:t>
      </w:r>
      <w:r w:rsidRPr="00A27204">
        <w:rPr>
          <w:rFonts w:ascii="UICTFontTextStyleBody" w:hAnsi="UICTFontTextStyleBody" w:cs="Times New Roman"/>
          <w:kern w:val="0"/>
          <w:sz w:val="29"/>
          <w:szCs w:val="29"/>
          <w14:ligatures w14:val="none"/>
        </w:rPr>
        <w:t xml:space="preserve">. London: </w:t>
      </w:r>
      <w:proofErr w:type="spellStart"/>
      <w:r w:rsidRPr="00A27204">
        <w:rPr>
          <w:rFonts w:ascii="UICTFontTextStyleBody" w:hAnsi="UICTFontTextStyleBody" w:cs="Times New Roman"/>
          <w:kern w:val="0"/>
          <w:sz w:val="29"/>
          <w:szCs w:val="29"/>
          <w14:ligatures w14:val="none"/>
        </w:rPr>
        <w:t>Routledge</w:t>
      </w:r>
      <w:proofErr w:type="spellEnd"/>
      <w:r w:rsidRPr="00A27204">
        <w:rPr>
          <w:rFonts w:ascii="UICTFontTextStyleBody" w:hAnsi="UICTFontTextStyleBody" w:cs="Times New Roman"/>
          <w:kern w:val="0"/>
          <w:sz w:val="29"/>
          <w:szCs w:val="29"/>
          <w14:ligatures w14:val="none"/>
        </w:rPr>
        <w:t>.</w:t>
      </w:r>
    </w:p>
    <w:p w14:paraId="2E31538B"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proofErr w:type="spellStart"/>
      <w:r w:rsidRPr="00A27204">
        <w:rPr>
          <w:rFonts w:ascii="UICTFontTextStyleBody" w:hAnsi="UICTFontTextStyleBody" w:cs="Times New Roman"/>
          <w:kern w:val="0"/>
          <w:sz w:val="29"/>
          <w:szCs w:val="29"/>
          <w14:ligatures w14:val="none"/>
        </w:rPr>
        <w:t>Caldicott</w:t>
      </w:r>
      <w:proofErr w:type="spellEnd"/>
      <w:r w:rsidRPr="00A27204">
        <w:rPr>
          <w:rFonts w:ascii="UICTFontTextStyleBody" w:hAnsi="UICTFontTextStyleBody" w:cs="Times New Roman"/>
          <w:kern w:val="0"/>
          <w:sz w:val="29"/>
          <w:szCs w:val="29"/>
          <w14:ligatures w14:val="none"/>
        </w:rPr>
        <w:t xml:space="preserve">, F. (2016) </w:t>
      </w:r>
      <w:r w:rsidRPr="00A27204">
        <w:rPr>
          <w:rFonts w:ascii="UICTFontTextStyleItalicBody" w:hAnsi="UICTFontTextStyleItalicBody" w:cs="Times New Roman"/>
          <w:i/>
          <w:iCs/>
          <w:kern w:val="0"/>
          <w:sz w:val="29"/>
          <w:szCs w:val="29"/>
          <w14:ligatures w14:val="none"/>
        </w:rPr>
        <w:t xml:space="preserve">The </w:t>
      </w:r>
      <w:proofErr w:type="spellStart"/>
      <w:r w:rsidRPr="00A27204">
        <w:rPr>
          <w:rFonts w:ascii="UICTFontTextStyleItalicBody" w:hAnsi="UICTFontTextStyleItalicBody" w:cs="Times New Roman"/>
          <w:i/>
          <w:iCs/>
          <w:kern w:val="0"/>
          <w:sz w:val="29"/>
          <w:szCs w:val="29"/>
          <w14:ligatures w14:val="none"/>
        </w:rPr>
        <w:t>Caldicott</w:t>
      </w:r>
      <w:proofErr w:type="spellEnd"/>
      <w:r w:rsidRPr="00A27204">
        <w:rPr>
          <w:rFonts w:ascii="UICTFontTextStyleItalicBody" w:hAnsi="UICTFontTextStyleItalicBody" w:cs="Times New Roman"/>
          <w:i/>
          <w:iCs/>
          <w:kern w:val="0"/>
          <w:sz w:val="29"/>
          <w:szCs w:val="29"/>
          <w14:ligatures w14:val="none"/>
        </w:rPr>
        <w:t xml:space="preserve"> Review: Information governance and patient confidentiality</w:t>
      </w:r>
      <w:r w:rsidRPr="00A27204">
        <w:rPr>
          <w:rFonts w:ascii="UICTFontTextStyleBody" w:hAnsi="UICTFontTextStyleBody" w:cs="Times New Roman"/>
          <w:kern w:val="0"/>
          <w:sz w:val="29"/>
          <w:szCs w:val="29"/>
          <w14:ligatures w14:val="none"/>
        </w:rPr>
        <w:t>. London: NHS.</w:t>
      </w:r>
    </w:p>
    <w:p w14:paraId="355EBFE8"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Body" w:hAnsi="UICTFontTextStyleBody" w:cs="Times New Roman"/>
          <w:kern w:val="0"/>
          <w:sz w:val="29"/>
          <w:szCs w:val="29"/>
          <w14:ligatures w14:val="none"/>
        </w:rPr>
        <w:t xml:space="preserve">Harper, A., Ryan, L. and Campbell, R. (2017) ‘Interpreting in healthcare: Supporting vulnerable patients’, </w:t>
      </w:r>
      <w:r w:rsidRPr="00A27204">
        <w:rPr>
          <w:rFonts w:ascii="UICTFontTextStyleItalicBody" w:hAnsi="UICTFontTextStyleItalicBody" w:cs="Times New Roman"/>
          <w:i/>
          <w:iCs/>
          <w:kern w:val="0"/>
          <w:sz w:val="29"/>
          <w:szCs w:val="29"/>
          <w14:ligatures w14:val="none"/>
        </w:rPr>
        <w:t>Journal of Health Communication</w:t>
      </w:r>
      <w:r w:rsidRPr="00A27204">
        <w:rPr>
          <w:rFonts w:ascii="UICTFontTextStyleBody" w:hAnsi="UICTFontTextStyleBody" w:cs="Times New Roman"/>
          <w:kern w:val="0"/>
          <w:sz w:val="29"/>
          <w:szCs w:val="29"/>
          <w14:ligatures w14:val="none"/>
        </w:rPr>
        <w:t>, 22(4), pp. 301–310.</w:t>
      </w:r>
    </w:p>
    <w:p w14:paraId="0EF4FAE8"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proofErr w:type="spellStart"/>
      <w:r w:rsidRPr="00A27204">
        <w:rPr>
          <w:rFonts w:ascii="UICTFontTextStyleBody" w:hAnsi="UICTFontTextStyleBody" w:cs="Times New Roman"/>
          <w:kern w:val="0"/>
          <w:sz w:val="29"/>
          <w:szCs w:val="29"/>
          <w14:ligatures w14:val="none"/>
        </w:rPr>
        <w:t>Nicol</w:t>
      </w:r>
      <w:proofErr w:type="spellEnd"/>
      <w:r w:rsidRPr="00A27204">
        <w:rPr>
          <w:rFonts w:ascii="UICTFontTextStyleBody" w:hAnsi="UICTFontTextStyleBody" w:cs="Times New Roman"/>
          <w:kern w:val="0"/>
          <w:sz w:val="29"/>
          <w:szCs w:val="29"/>
          <w14:ligatures w14:val="none"/>
        </w:rPr>
        <w:t xml:space="preserve">, M. and Hutchinson, P. (2018) </w:t>
      </w:r>
      <w:r w:rsidRPr="00A27204">
        <w:rPr>
          <w:rFonts w:ascii="UICTFontTextStyleItalicBody" w:hAnsi="UICTFontTextStyleItalicBody" w:cs="Times New Roman"/>
          <w:i/>
          <w:iCs/>
          <w:kern w:val="0"/>
          <w:sz w:val="29"/>
          <w:szCs w:val="29"/>
          <w14:ligatures w14:val="none"/>
        </w:rPr>
        <w:t>Health and social care record keeping</w:t>
      </w:r>
      <w:r w:rsidRPr="00A27204">
        <w:rPr>
          <w:rFonts w:ascii="UICTFontTextStyleBody" w:hAnsi="UICTFontTextStyleBody" w:cs="Times New Roman"/>
          <w:kern w:val="0"/>
          <w:sz w:val="29"/>
          <w:szCs w:val="29"/>
          <w14:ligatures w14:val="none"/>
        </w:rPr>
        <w:t>. London: Sage.</w:t>
      </w:r>
    </w:p>
    <w:p w14:paraId="674A3EAA"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Body" w:hAnsi="UICTFontTextStyleBody" w:cs="Times New Roman"/>
          <w:kern w:val="0"/>
          <w:sz w:val="29"/>
          <w:szCs w:val="29"/>
          <w14:ligatures w14:val="none"/>
        </w:rPr>
        <w:t xml:space="preserve">NHS England (2020) </w:t>
      </w:r>
      <w:r w:rsidRPr="00A27204">
        <w:rPr>
          <w:rFonts w:ascii="UICTFontTextStyleItalicBody" w:hAnsi="UICTFontTextStyleItalicBody" w:cs="Times New Roman"/>
          <w:i/>
          <w:iCs/>
          <w:kern w:val="0"/>
          <w:sz w:val="29"/>
          <w:szCs w:val="29"/>
          <w14:ligatures w14:val="none"/>
        </w:rPr>
        <w:t>NHS Code of Practice on record keeping</w:t>
      </w:r>
      <w:r w:rsidRPr="00A27204">
        <w:rPr>
          <w:rFonts w:ascii="UICTFontTextStyleBody" w:hAnsi="UICTFontTextStyleBody" w:cs="Times New Roman"/>
          <w:kern w:val="0"/>
          <w:sz w:val="29"/>
          <w:szCs w:val="29"/>
          <w14:ligatures w14:val="none"/>
        </w:rPr>
        <w:t>. Available at: https://www.england.nhs.uk/ (Accessed: [insert date]).</w:t>
      </w:r>
    </w:p>
    <w:p w14:paraId="2652FC4A"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Body" w:hAnsi="UICTFontTextStyleBody" w:cs="Times New Roman"/>
          <w:kern w:val="0"/>
          <w:sz w:val="29"/>
          <w:szCs w:val="29"/>
          <w14:ligatures w14:val="none"/>
        </w:rPr>
        <w:t xml:space="preserve">Reeves, S., </w:t>
      </w:r>
      <w:proofErr w:type="spellStart"/>
      <w:r w:rsidRPr="00A27204">
        <w:rPr>
          <w:rFonts w:ascii="UICTFontTextStyleBody" w:hAnsi="UICTFontTextStyleBody" w:cs="Times New Roman"/>
          <w:kern w:val="0"/>
          <w:sz w:val="29"/>
          <w:szCs w:val="29"/>
          <w14:ligatures w14:val="none"/>
        </w:rPr>
        <w:t>Pelone</w:t>
      </w:r>
      <w:proofErr w:type="spellEnd"/>
      <w:r w:rsidRPr="00A27204">
        <w:rPr>
          <w:rFonts w:ascii="UICTFontTextStyleBody" w:hAnsi="UICTFontTextStyleBody" w:cs="Times New Roman"/>
          <w:kern w:val="0"/>
          <w:sz w:val="29"/>
          <w:szCs w:val="29"/>
          <w14:ligatures w14:val="none"/>
        </w:rPr>
        <w:t xml:space="preserve">, F., Harrison, R., Goldman, J. and </w:t>
      </w:r>
      <w:proofErr w:type="spellStart"/>
      <w:r w:rsidRPr="00A27204">
        <w:rPr>
          <w:rFonts w:ascii="UICTFontTextStyleBody" w:hAnsi="UICTFontTextStyleBody" w:cs="Times New Roman"/>
          <w:kern w:val="0"/>
          <w:sz w:val="29"/>
          <w:szCs w:val="29"/>
          <w14:ligatures w14:val="none"/>
        </w:rPr>
        <w:t>Zwarenstein</w:t>
      </w:r>
      <w:proofErr w:type="spellEnd"/>
      <w:r w:rsidRPr="00A27204">
        <w:rPr>
          <w:rFonts w:ascii="UICTFontTextStyleBody" w:hAnsi="UICTFontTextStyleBody" w:cs="Times New Roman"/>
          <w:kern w:val="0"/>
          <w:sz w:val="29"/>
          <w:szCs w:val="29"/>
          <w14:ligatures w14:val="none"/>
        </w:rPr>
        <w:t>, M. (2017) ‘</w:t>
      </w:r>
      <w:proofErr w:type="spellStart"/>
      <w:r w:rsidRPr="00A27204">
        <w:rPr>
          <w:rFonts w:ascii="UICTFontTextStyleBody" w:hAnsi="UICTFontTextStyleBody" w:cs="Times New Roman"/>
          <w:kern w:val="0"/>
          <w:sz w:val="29"/>
          <w:szCs w:val="29"/>
          <w14:ligatures w14:val="none"/>
        </w:rPr>
        <w:t>Interprofessional</w:t>
      </w:r>
      <w:proofErr w:type="spellEnd"/>
      <w:r w:rsidRPr="00A27204">
        <w:rPr>
          <w:rFonts w:ascii="UICTFontTextStyleBody" w:hAnsi="UICTFontTextStyleBody" w:cs="Times New Roman"/>
          <w:kern w:val="0"/>
          <w:sz w:val="29"/>
          <w:szCs w:val="29"/>
          <w14:ligatures w14:val="none"/>
        </w:rPr>
        <w:t xml:space="preserve"> collaboration to improve professional practice and healthcare outcomes’, </w:t>
      </w:r>
      <w:r w:rsidRPr="00A27204">
        <w:rPr>
          <w:rFonts w:ascii="UICTFontTextStyleItalicBody" w:hAnsi="UICTFontTextStyleItalicBody" w:cs="Times New Roman"/>
          <w:i/>
          <w:iCs/>
          <w:kern w:val="0"/>
          <w:sz w:val="29"/>
          <w:szCs w:val="29"/>
          <w14:ligatures w14:val="none"/>
        </w:rPr>
        <w:t>Cochrane Database of Systematic Reviews</w:t>
      </w:r>
      <w:r w:rsidRPr="00A27204">
        <w:rPr>
          <w:rFonts w:ascii="UICTFontTextStyleBody" w:hAnsi="UICTFontTextStyleBody" w:cs="Times New Roman"/>
          <w:kern w:val="0"/>
          <w:sz w:val="29"/>
          <w:szCs w:val="29"/>
          <w14:ligatures w14:val="none"/>
        </w:rPr>
        <w:t>, 6(6), pp. 1–48.</w:t>
      </w:r>
    </w:p>
    <w:p w14:paraId="58A57860" w14:textId="77777777" w:rsidR="00A27204" w:rsidRPr="00A27204" w:rsidRDefault="00A27204" w:rsidP="00A27204">
      <w:pPr>
        <w:spacing w:after="0" w:line="240" w:lineRule="auto"/>
        <w:rPr>
          <w:rFonts w:ascii=".AppleSystemUIFont" w:hAnsi=".AppleSystemUIFont" w:cs="Times New Roman"/>
          <w:kern w:val="0"/>
          <w:sz w:val="29"/>
          <w:szCs w:val="29"/>
          <w14:ligatures w14:val="none"/>
        </w:rPr>
      </w:pPr>
      <w:r w:rsidRPr="00A27204">
        <w:rPr>
          <w:rFonts w:ascii="UICTFontTextStyleBody" w:hAnsi="UICTFontTextStyleBody" w:cs="Times New Roman"/>
          <w:kern w:val="0"/>
          <w:sz w:val="29"/>
          <w:szCs w:val="29"/>
          <w14:ligatures w14:val="none"/>
        </w:rPr>
        <w:t xml:space="preserve">UK Government (2018) </w:t>
      </w:r>
      <w:r w:rsidRPr="00A27204">
        <w:rPr>
          <w:rFonts w:ascii="UICTFontTextStyleItalicBody" w:hAnsi="UICTFontTextStyleItalicBody" w:cs="Times New Roman"/>
          <w:i/>
          <w:iCs/>
          <w:kern w:val="0"/>
          <w:sz w:val="29"/>
          <w:szCs w:val="29"/>
          <w14:ligatures w14:val="none"/>
        </w:rPr>
        <w:t>Data Protection Act 2018</w:t>
      </w:r>
      <w:r w:rsidRPr="00A27204">
        <w:rPr>
          <w:rFonts w:ascii="UICTFontTextStyleBody" w:hAnsi="UICTFontTextStyleBody" w:cs="Times New Roman"/>
          <w:kern w:val="0"/>
          <w:sz w:val="29"/>
          <w:szCs w:val="29"/>
          <w14:ligatures w14:val="none"/>
        </w:rPr>
        <w:t>. London: The Stationery Office.</w:t>
      </w:r>
    </w:p>
    <w:p w14:paraId="7357006A" w14:textId="77777777" w:rsidR="00A27204" w:rsidRDefault="00A27204">
      <w:pPr>
        <w:pStyle w:val="p1"/>
      </w:pPr>
    </w:p>
    <w:p w14:paraId="14A7850F" w14:textId="77777777" w:rsidR="00A05165" w:rsidRDefault="00A05165"/>
    <w:sectPr w:rsidR="00A05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UICTFontTextStyleBody">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UICTFontTextStyleEmphasized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A3A"/>
    <w:rsid w:val="00126DCA"/>
    <w:rsid w:val="003C177C"/>
    <w:rsid w:val="004165C6"/>
    <w:rsid w:val="00755CA2"/>
    <w:rsid w:val="00A05165"/>
    <w:rsid w:val="00A27204"/>
    <w:rsid w:val="00AA0FB9"/>
    <w:rsid w:val="00CE71E0"/>
    <w:rsid w:val="00FC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4BC1EE"/>
  <w15:chartTrackingRefBased/>
  <w15:docId w15:val="{3D31D112-26C0-744A-A526-74FF2B7A6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A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1A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1A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1A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1A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1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A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1A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1A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1A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1A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1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A3A"/>
    <w:rPr>
      <w:rFonts w:eastAsiaTheme="majorEastAsia" w:cstheme="majorBidi"/>
      <w:color w:val="272727" w:themeColor="text1" w:themeTint="D8"/>
    </w:rPr>
  </w:style>
  <w:style w:type="paragraph" w:styleId="Title">
    <w:name w:val="Title"/>
    <w:basedOn w:val="Normal"/>
    <w:next w:val="Normal"/>
    <w:link w:val="TitleChar"/>
    <w:uiPriority w:val="10"/>
    <w:qFormat/>
    <w:rsid w:val="00FC1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A3A"/>
    <w:pPr>
      <w:spacing w:before="160"/>
      <w:jc w:val="center"/>
    </w:pPr>
    <w:rPr>
      <w:i/>
      <w:iCs/>
      <w:color w:val="404040" w:themeColor="text1" w:themeTint="BF"/>
    </w:rPr>
  </w:style>
  <w:style w:type="character" w:customStyle="1" w:styleId="QuoteChar">
    <w:name w:val="Quote Char"/>
    <w:basedOn w:val="DefaultParagraphFont"/>
    <w:link w:val="Quote"/>
    <w:uiPriority w:val="29"/>
    <w:rsid w:val="00FC1A3A"/>
    <w:rPr>
      <w:i/>
      <w:iCs/>
      <w:color w:val="404040" w:themeColor="text1" w:themeTint="BF"/>
    </w:rPr>
  </w:style>
  <w:style w:type="paragraph" w:styleId="ListParagraph">
    <w:name w:val="List Paragraph"/>
    <w:basedOn w:val="Normal"/>
    <w:uiPriority w:val="34"/>
    <w:qFormat/>
    <w:rsid w:val="00FC1A3A"/>
    <w:pPr>
      <w:ind w:left="720"/>
      <w:contextualSpacing/>
    </w:pPr>
  </w:style>
  <w:style w:type="character" w:styleId="IntenseEmphasis">
    <w:name w:val="Intense Emphasis"/>
    <w:basedOn w:val="DefaultParagraphFont"/>
    <w:uiPriority w:val="21"/>
    <w:qFormat/>
    <w:rsid w:val="00FC1A3A"/>
    <w:rPr>
      <w:i/>
      <w:iCs/>
      <w:color w:val="2F5496" w:themeColor="accent1" w:themeShade="BF"/>
    </w:rPr>
  </w:style>
  <w:style w:type="paragraph" w:styleId="IntenseQuote">
    <w:name w:val="Intense Quote"/>
    <w:basedOn w:val="Normal"/>
    <w:next w:val="Normal"/>
    <w:link w:val="IntenseQuoteChar"/>
    <w:uiPriority w:val="30"/>
    <w:qFormat/>
    <w:rsid w:val="00FC1A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1A3A"/>
    <w:rPr>
      <w:i/>
      <w:iCs/>
      <w:color w:val="2F5496" w:themeColor="accent1" w:themeShade="BF"/>
    </w:rPr>
  </w:style>
  <w:style w:type="character" w:styleId="IntenseReference">
    <w:name w:val="Intense Reference"/>
    <w:basedOn w:val="DefaultParagraphFont"/>
    <w:uiPriority w:val="32"/>
    <w:qFormat/>
    <w:rsid w:val="00FC1A3A"/>
    <w:rPr>
      <w:b/>
      <w:bCs/>
      <w:smallCaps/>
      <w:color w:val="2F5496" w:themeColor="accent1" w:themeShade="BF"/>
      <w:spacing w:val="5"/>
    </w:rPr>
  </w:style>
  <w:style w:type="paragraph" w:customStyle="1" w:styleId="p1">
    <w:name w:val="p1"/>
    <w:basedOn w:val="Normal"/>
    <w:rsid w:val="004165C6"/>
    <w:pPr>
      <w:spacing w:after="0" w:line="240" w:lineRule="auto"/>
    </w:pPr>
    <w:rPr>
      <w:rFonts w:ascii=".SF UI" w:hAnsi=".SF UI" w:cs="Times New Roman"/>
      <w:kern w:val="0"/>
      <w:sz w:val="29"/>
      <w:szCs w:val="29"/>
      <w14:ligatures w14:val="none"/>
    </w:rPr>
  </w:style>
  <w:style w:type="paragraph" w:customStyle="1" w:styleId="p2">
    <w:name w:val="p2"/>
    <w:basedOn w:val="Normal"/>
    <w:rsid w:val="004165C6"/>
    <w:pPr>
      <w:spacing w:after="0" w:line="240" w:lineRule="auto"/>
    </w:pPr>
    <w:rPr>
      <w:rFonts w:ascii=".SF UI" w:hAnsi=".SF UI" w:cs="Times New Roman"/>
      <w:kern w:val="0"/>
      <w:sz w:val="29"/>
      <w:szCs w:val="29"/>
      <w14:ligatures w14:val="none"/>
    </w:rPr>
  </w:style>
  <w:style w:type="character" w:customStyle="1" w:styleId="s1">
    <w:name w:val="s1"/>
    <w:basedOn w:val="DefaultParagraphFont"/>
    <w:rsid w:val="004165C6"/>
    <w:rPr>
      <w:rFonts w:ascii=".SFUI-Semibold" w:hAnsi=".SFUI-Semibold" w:hint="default"/>
      <w:b/>
      <w:bCs/>
      <w:i w:val="0"/>
      <w:iCs w:val="0"/>
      <w:sz w:val="29"/>
      <w:szCs w:val="29"/>
    </w:rPr>
  </w:style>
  <w:style w:type="character" w:customStyle="1" w:styleId="apple-converted-space">
    <w:name w:val="apple-converted-space"/>
    <w:basedOn w:val="DefaultParagraphFont"/>
    <w:rsid w:val="004165C6"/>
  </w:style>
  <w:style w:type="character" w:customStyle="1" w:styleId="s2">
    <w:name w:val="s2"/>
    <w:basedOn w:val="DefaultParagraphFont"/>
    <w:rsid w:val="00A27204"/>
    <w:rPr>
      <w:rFonts w:ascii="UICTFontTextStyleBody" w:hAnsi="UICTFontTextStyleBody" w:hint="default"/>
      <w:b w:val="0"/>
      <w:bCs w:val="0"/>
      <w:i w:val="0"/>
      <w:iCs w:val="0"/>
      <w:sz w:val="29"/>
      <w:szCs w:val="29"/>
    </w:rPr>
  </w:style>
  <w:style w:type="character" w:customStyle="1" w:styleId="s3">
    <w:name w:val="s3"/>
    <w:basedOn w:val="DefaultParagraphFont"/>
    <w:rsid w:val="00A27204"/>
    <w:rPr>
      <w:rFonts w:ascii="UICTFontTextStyleItalicBody" w:hAnsi="UICTFontTextStyleItalicBody" w:hint="default"/>
      <w:b w:val="0"/>
      <w:bCs w:val="0"/>
      <w:i/>
      <w:iCs/>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1100</Words>
  <Characters>6272</Characters>
  <Application>Microsoft Office Word</Application>
  <DocSecurity>0</DocSecurity>
  <Lines>52</Lines>
  <Paragraphs>14</Paragraphs>
  <ScaleCrop>false</ScaleCrop>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Vienna Hail</dc:creator>
  <cp:keywords/>
  <dc:description/>
  <cp:lastModifiedBy>Vienna Hail</cp:lastModifiedBy>
  <cp:revision>8</cp:revision>
  <dcterms:created xsi:type="dcterms:W3CDTF">2025-10-08T13:26:00Z</dcterms:created>
  <dcterms:modified xsi:type="dcterms:W3CDTF">2025-10-08T13:29:00Z</dcterms:modified>
</cp:coreProperties>
</file>