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87204719"/>
        <w:docPartObj>
          <w:docPartGallery w:val="Cover Pages"/>
          <w:docPartUnique/>
        </w:docPartObj>
      </w:sdtPr>
      <w:sdtContent>
        <w:p w:rsidR="00532382" w:rsidRDefault="00532382">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0BCE8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6BB5" w:rsidRDefault="00126BB5" w:rsidP="00532382">
                                <w:pPr>
                                  <w:pStyle w:val="NoSpacing"/>
                                  <w:jc w:val="right"/>
                                  <w:rPr>
                                    <w:color w:val="595959" w:themeColor="text1" w:themeTint="A6"/>
                                    <w:sz w:val="28"/>
                                    <w:szCs w:val="28"/>
                                  </w:rPr>
                                </w:pPr>
                                <w:r>
                                  <w:rPr>
                                    <w:color w:val="595959" w:themeColor="text1" w:themeTint="A6"/>
                                    <w:sz w:val="28"/>
                                    <w:szCs w:val="28"/>
                                  </w:rPr>
                                  <w:t>Name: Katie Rees</w:t>
                                </w:r>
                              </w:p>
                              <w:p w:rsidR="00126BB5" w:rsidRDefault="00126BB5" w:rsidP="00532382">
                                <w:pPr>
                                  <w:pStyle w:val="NoSpacing"/>
                                  <w:jc w:val="right"/>
                                  <w:rPr>
                                    <w:color w:val="595959" w:themeColor="text1" w:themeTint="A6"/>
                                    <w:sz w:val="28"/>
                                    <w:szCs w:val="28"/>
                                  </w:rPr>
                                </w:pPr>
                                <w:r>
                                  <w:rPr>
                                    <w:color w:val="595959" w:themeColor="text1" w:themeTint="A6"/>
                                    <w:sz w:val="28"/>
                                    <w:szCs w:val="28"/>
                                  </w:rPr>
                                  <w:t>Student Number: 1903413</w:t>
                                </w:r>
                              </w:p>
                              <w:p w:rsidR="00126BB5" w:rsidRDefault="00126BB5" w:rsidP="00532382">
                                <w:pPr>
                                  <w:pStyle w:val="NoSpacing"/>
                                  <w:jc w:val="right"/>
                                  <w:rPr>
                                    <w:color w:val="595959" w:themeColor="text1" w:themeTint="A6"/>
                                    <w:sz w:val="28"/>
                                    <w:szCs w:val="28"/>
                                  </w:rPr>
                                </w:pPr>
                                <w:r>
                                  <w:rPr>
                                    <w:color w:val="595959" w:themeColor="text1" w:themeTint="A6"/>
                                    <w:sz w:val="28"/>
                                    <w:szCs w:val="28"/>
                                  </w:rPr>
                                  <w:t>Date: 24</w:t>
                                </w:r>
                                <w:r w:rsidRPr="00532382">
                                  <w:rPr>
                                    <w:color w:val="595959" w:themeColor="text1" w:themeTint="A6"/>
                                    <w:sz w:val="28"/>
                                    <w:szCs w:val="28"/>
                                    <w:vertAlign w:val="superscript"/>
                                  </w:rPr>
                                  <w:t>th</w:t>
                                </w:r>
                                <w:r>
                                  <w:rPr>
                                    <w:color w:val="595959" w:themeColor="text1" w:themeTint="A6"/>
                                    <w:sz w:val="28"/>
                                    <w:szCs w:val="28"/>
                                  </w:rPr>
                                  <w:t xml:space="preserve"> August 2020</w:t>
                                </w:r>
                              </w:p>
                              <w:p w:rsidR="00126BB5" w:rsidRDefault="00126BB5" w:rsidP="0053238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126BB5" w:rsidRDefault="00126BB5" w:rsidP="00532382">
                          <w:pPr>
                            <w:pStyle w:val="NoSpacing"/>
                            <w:jc w:val="right"/>
                            <w:rPr>
                              <w:color w:val="595959" w:themeColor="text1" w:themeTint="A6"/>
                              <w:sz w:val="28"/>
                              <w:szCs w:val="28"/>
                            </w:rPr>
                          </w:pPr>
                          <w:r>
                            <w:rPr>
                              <w:color w:val="595959" w:themeColor="text1" w:themeTint="A6"/>
                              <w:sz w:val="28"/>
                              <w:szCs w:val="28"/>
                            </w:rPr>
                            <w:t>Name: Katie Rees</w:t>
                          </w:r>
                        </w:p>
                        <w:p w:rsidR="00126BB5" w:rsidRDefault="00126BB5" w:rsidP="00532382">
                          <w:pPr>
                            <w:pStyle w:val="NoSpacing"/>
                            <w:jc w:val="right"/>
                            <w:rPr>
                              <w:color w:val="595959" w:themeColor="text1" w:themeTint="A6"/>
                              <w:sz w:val="28"/>
                              <w:szCs w:val="28"/>
                            </w:rPr>
                          </w:pPr>
                          <w:r>
                            <w:rPr>
                              <w:color w:val="595959" w:themeColor="text1" w:themeTint="A6"/>
                              <w:sz w:val="28"/>
                              <w:szCs w:val="28"/>
                            </w:rPr>
                            <w:t>Student Number: 1903413</w:t>
                          </w:r>
                        </w:p>
                        <w:p w:rsidR="00126BB5" w:rsidRDefault="00126BB5" w:rsidP="00532382">
                          <w:pPr>
                            <w:pStyle w:val="NoSpacing"/>
                            <w:jc w:val="right"/>
                            <w:rPr>
                              <w:color w:val="595959" w:themeColor="text1" w:themeTint="A6"/>
                              <w:sz w:val="28"/>
                              <w:szCs w:val="28"/>
                            </w:rPr>
                          </w:pPr>
                          <w:r>
                            <w:rPr>
                              <w:color w:val="595959" w:themeColor="text1" w:themeTint="A6"/>
                              <w:sz w:val="28"/>
                              <w:szCs w:val="28"/>
                            </w:rPr>
                            <w:t>Date: 24</w:t>
                          </w:r>
                          <w:r w:rsidRPr="00532382">
                            <w:rPr>
                              <w:color w:val="595959" w:themeColor="text1" w:themeTint="A6"/>
                              <w:sz w:val="28"/>
                              <w:szCs w:val="28"/>
                              <w:vertAlign w:val="superscript"/>
                            </w:rPr>
                            <w:t>th</w:t>
                          </w:r>
                          <w:r>
                            <w:rPr>
                              <w:color w:val="595959" w:themeColor="text1" w:themeTint="A6"/>
                              <w:sz w:val="28"/>
                              <w:szCs w:val="28"/>
                            </w:rPr>
                            <w:t xml:space="preserve"> August 2020</w:t>
                          </w:r>
                        </w:p>
                        <w:p w:rsidR="00126BB5" w:rsidRDefault="00126BB5" w:rsidP="0053238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6BB5" w:rsidRDefault="00126BB5" w:rsidP="00532382">
                                <w:pPr>
                                  <w:pStyle w:val="NoSpacing"/>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126BB5" w:rsidRDefault="00126BB5" w:rsidP="00532382">
                          <w:pPr>
                            <w:pStyle w:val="NoSpacing"/>
                            <w:rPr>
                              <w:color w:val="5B9BD5" w:themeColor="accent1"/>
                              <w:sz w:val="28"/>
                              <w:szCs w:val="2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6BB5" w:rsidRDefault="00126BB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Governance, legistlation and ethics work-based project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126BB5" w:rsidRDefault="00126BB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126BB5" w:rsidRDefault="00126BB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Governance, legistlation and ethics work-based project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126BB5" w:rsidRDefault="00126BB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532382" w:rsidRDefault="00532382">
          <w:r>
            <w:br w:type="page"/>
          </w:r>
        </w:p>
      </w:sdtContent>
    </w:sdt>
    <w:sdt>
      <w:sdtPr>
        <w:rPr>
          <w:rFonts w:asciiTheme="minorHAnsi" w:eastAsiaTheme="minorHAnsi" w:hAnsiTheme="minorHAnsi" w:cstheme="minorBidi"/>
          <w:color w:val="auto"/>
          <w:sz w:val="22"/>
          <w:szCs w:val="22"/>
          <w:lang w:val="en-GB"/>
        </w:rPr>
        <w:id w:val="-321351286"/>
        <w:docPartObj>
          <w:docPartGallery w:val="Table of Contents"/>
          <w:docPartUnique/>
        </w:docPartObj>
      </w:sdtPr>
      <w:sdtEndPr>
        <w:rPr>
          <w:b/>
          <w:bCs/>
          <w:noProof/>
        </w:rPr>
      </w:sdtEndPr>
      <w:sdtContent>
        <w:p w:rsidR="00532382" w:rsidRDefault="00532382">
          <w:pPr>
            <w:pStyle w:val="TOCHeading"/>
          </w:pPr>
          <w:r>
            <w:t>Contents</w:t>
          </w:r>
        </w:p>
        <w:p w:rsidR="00126BB5" w:rsidRDefault="005323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22128" w:history="1">
            <w:r w:rsidR="00126BB5" w:rsidRPr="00BD7044">
              <w:rPr>
                <w:rStyle w:val="Hyperlink"/>
                <w:noProof/>
              </w:rPr>
              <w:t>1/ Abstract</w:t>
            </w:r>
            <w:r w:rsidR="00126BB5">
              <w:rPr>
                <w:noProof/>
                <w:webHidden/>
              </w:rPr>
              <w:tab/>
            </w:r>
            <w:r w:rsidR="00126BB5">
              <w:rPr>
                <w:noProof/>
                <w:webHidden/>
              </w:rPr>
              <w:fldChar w:fldCharType="begin"/>
            </w:r>
            <w:r w:rsidR="00126BB5">
              <w:rPr>
                <w:noProof/>
                <w:webHidden/>
              </w:rPr>
              <w:instrText xml:space="preserve"> PAGEREF _Toc50722128 \h </w:instrText>
            </w:r>
            <w:r w:rsidR="00126BB5">
              <w:rPr>
                <w:noProof/>
                <w:webHidden/>
              </w:rPr>
            </w:r>
            <w:r w:rsidR="00126BB5">
              <w:rPr>
                <w:noProof/>
                <w:webHidden/>
              </w:rPr>
              <w:fldChar w:fldCharType="separate"/>
            </w:r>
            <w:r w:rsidR="00126BB5">
              <w:rPr>
                <w:noProof/>
                <w:webHidden/>
              </w:rPr>
              <w:t>2</w:t>
            </w:r>
            <w:r w:rsidR="00126BB5">
              <w:rPr>
                <w:noProof/>
                <w:webHidden/>
              </w:rPr>
              <w:fldChar w:fldCharType="end"/>
            </w:r>
          </w:hyperlink>
        </w:p>
        <w:p w:rsidR="00126BB5" w:rsidRDefault="00126BB5">
          <w:pPr>
            <w:pStyle w:val="TOC1"/>
            <w:tabs>
              <w:tab w:val="right" w:leader="dot" w:pos="9016"/>
            </w:tabs>
            <w:rPr>
              <w:rFonts w:eastAsiaTheme="minorEastAsia"/>
              <w:noProof/>
              <w:lang w:eastAsia="en-GB"/>
            </w:rPr>
          </w:pPr>
          <w:hyperlink w:anchor="_Toc50722129" w:history="1">
            <w:r w:rsidRPr="00BD7044">
              <w:rPr>
                <w:rStyle w:val="Hyperlink"/>
                <w:noProof/>
              </w:rPr>
              <w:t>2/ Report to the Head of Information Governance</w:t>
            </w:r>
            <w:r>
              <w:rPr>
                <w:noProof/>
                <w:webHidden/>
              </w:rPr>
              <w:tab/>
            </w:r>
            <w:r>
              <w:rPr>
                <w:noProof/>
                <w:webHidden/>
              </w:rPr>
              <w:fldChar w:fldCharType="begin"/>
            </w:r>
            <w:r>
              <w:rPr>
                <w:noProof/>
                <w:webHidden/>
              </w:rPr>
              <w:instrText xml:space="preserve"> PAGEREF _Toc50722129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0" w:history="1">
            <w:r w:rsidRPr="00BD7044">
              <w:rPr>
                <w:rStyle w:val="Hyperlink"/>
                <w:noProof/>
              </w:rPr>
              <w:t>2.1/ Summary of Circumstances</w:t>
            </w:r>
            <w:r>
              <w:rPr>
                <w:noProof/>
                <w:webHidden/>
              </w:rPr>
              <w:tab/>
            </w:r>
            <w:r>
              <w:rPr>
                <w:noProof/>
                <w:webHidden/>
              </w:rPr>
              <w:fldChar w:fldCharType="begin"/>
            </w:r>
            <w:r>
              <w:rPr>
                <w:noProof/>
                <w:webHidden/>
              </w:rPr>
              <w:instrText xml:space="preserve"> PAGEREF _Toc50722130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31" w:history="1">
            <w:r w:rsidRPr="00BD7044">
              <w:rPr>
                <w:rStyle w:val="Hyperlink"/>
                <w:noProof/>
              </w:rPr>
              <w:t>2.1.1/ Breach</w:t>
            </w:r>
            <w:r>
              <w:rPr>
                <w:noProof/>
                <w:webHidden/>
              </w:rPr>
              <w:tab/>
            </w:r>
            <w:r>
              <w:rPr>
                <w:noProof/>
                <w:webHidden/>
              </w:rPr>
              <w:fldChar w:fldCharType="begin"/>
            </w:r>
            <w:r>
              <w:rPr>
                <w:noProof/>
                <w:webHidden/>
              </w:rPr>
              <w:instrText xml:space="preserve"> PAGEREF _Toc50722131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32" w:history="1">
            <w:r w:rsidRPr="00BD7044">
              <w:rPr>
                <w:rStyle w:val="Hyperlink"/>
                <w:noProof/>
              </w:rPr>
              <w:t>2.1.2/ Data</w:t>
            </w:r>
            <w:r>
              <w:rPr>
                <w:noProof/>
                <w:webHidden/>
              </w:rPr>
              <w:tab/>
            </w:r>
            <w:r>
              <w:rPr>
                <w:noProof/>
                <w:webHidden/>
              </w:rPr>
              <w:fldChar w:fldCharType="begin"/>
            </w:r>
            <w:r>
              <w:rPr>
                <w:noProof/>
                <w:webHidden/>
              </w:rPr>
              <w:instrText xml:space="preserve"> PAGEREF _Toc50722132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3" w:history="1">
            <w:r w:rsidRPr="00BD7044">
              <w:rPr>
                <w:rStyle w:val="Hyperlink"/>
                <w:noProof/>
              </w:rPr>
              <w:t>2.2/ Data Protection Implications</w:t>
            </w:r>
            <w:r>
              <w:rPr>
                <w:noProof/>
                <w:webHidden/>
              </w:rPr>
              <w:tab/>
            </w:r>
            <w:r>
              <w:rPr>
                <w:noProof/>
                <w:webHidden/>
              </w:rPr>
              <w:fldChar w:fldCharType="begin"/>
            </w:r>
            <w:r>
              <w:rPr>
                <w:noProof/>
                <w:webHidden/>
              </w:rPr>
              <w:instrText xml:space="preserve"> PAGEREF _Toc50722133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34" w:history="1">
            <w:r w:rsidRPr="00BD7044">
              <w:rPr>
                <w:rStyle w:val="Hyperlink"/>
                <w:noProof/>
              </w:rPr>
              <w:t>2.2.1/ Principles</w:t>
            </w:r>
            <w:r>
              <w:rPr>
                <w:noProof/>
                <w:webHidden/>
              </w:rPr>
              <w:tab/>
            </w:r>
            <w:r>
              <w:rPr>
                <w:noProof/>
                <w:webHidden/>
              </w:rPr>
              <w:fldChar w:fldCharType="begin"/>
            </w:r>
            <w:r>
              <w:rPr>
                <w:noProof/>
                <w:webHidden/>
              </w:rPr>
              <w:instrText xml:space="preserve"> PAGEREF _Toc50722134 \h </w:instrText>
            </w:r>
            <w:r>
              <w:rPr>
                <w:noProof/>
                <w:webHidden/>
              </w:rPr>
            </w:r>
            <w:r>
              <w:rPr>
                <w:noProof/>
                <w:webHidden/>
              </w:rPr>
              <w:fldChar w:fldCharType="separate"/>
            </w:r>
            <w:r>
              <w:rPr>
                <w:noProof/>
                <w:webHidden/>
              </w:rPr>
              <w:t>2</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35" w:history="1">
            <w:r w:rsidRPr="00BD7044">
              <w:rPr>
                <w:rStyle w:val="Hyperlink"/>
                <w:noProof/>
              </w:rPr>
              <w:t>2.2.2/ Risk of Exposure</w:t>
            </w:r>
            <w:r>
              <w:rPr>
                <w:noProof/>
                <w:webHidden/>
              </w:rPr>
              <w:tab/>
            </w:r>
            <w:r>
              <w:rPr>
                <w:noProof/>
                <w:webHidden/>
              </w:rPr>
              <w:fldChar w:fldCharType="begin"/>
            </w:r>
            <w:r>
              <w:rPr>
                <w:noProof/>
                <w:webHidden/>
              </w:rPr>
              <w:instrText xml:space="preserve"> PAGEREF _Toc50722135 \h </w:instrText>
            </w:r>
            <w:r>
              <w:rPr>
                <w:noProof/>
                <w:webHidden/>
              </w:rPr>
            </w:r>
            <w:r>
              <w:rPr>
                <w:noProof/>
                <w:webHidden/>
              </w:rPr>
              <w:fldChar w:fldCharType="separate"/>
            </w:r>
            <w:r>
              <w:rPr>
                <w:noProof/>
                <w:webHidden/>
              </w:rPr>
              <w:t>3</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6" w:history="1">
            <w:r w:rsidRPr="00BD7044">
              <w:rPr>
                <w:rStyle w:val="Hyperlink"/>
                <w:noProof/>
              </w:rPr>
              <w:t>2.3/ Organisations Policy</w:t>
            </w:r>
            <w:r>
              <w:rPr>
                <w:noProof/>
                <w:webHidden/>
              </w:rPr>
              <w:tab/>
            </w:r>
            <w:r>
              <w:rPr>
                <w:noProof/>
                <w:webHidden/>
              </w:rPr>
              <w:fldChar w:fldCharType="begin"/>
            </w:r>
            <w:r>
              <w:rPr>
                <w:noProof/>
                <w:webHidden/>
              </w:rPr>
              <w:instrText xml:space="preserve"> PAGEREF _Toc50722136 \h </w:instrText>
            </w:r>
            <w:r>
              <w:rPr>
                <w:noProof/>
                <w:webHidden/>
              </w:rPr>
            </w:r>
            <w:r>
              <w:rPr>
                <w:noProof/>
                <w:webHidden/>
              </w:rPr>
              <w:fldChar w:fldCharType="separate"/>
            </w:r>
            <w:r>
              <w:rPr>
                <w:noProof/>
                <w:webHidden/>
              </w:rPr>
              <w:t>4</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7" w:history="1">
            <w:r w:rsidRPr="00BD7044">
              <w:rPr>
                <w:rStyle w:val="Hyperlink"/>
                <w:noProof/>
              </w:rPr>
              <w:t>2.4/ Actions Following Breach</w:t>
            </w:r>
            <w:r>
              <w:rPr>
                <w:noProof/>
                <w:webHidden/>
              </w:rPr>
              <w:tab/>
            </w:r>
            <w:r>
              <w:rPr>
                <w:noProof/>
                <w:webHidden/>
              </w:rPr>
              <w:fldChar w:fldCharType="begin"/>
            </w:r>
            <w:r>
              <w:rPr>
                <w:noProof/>
                <w:webHidden/>
              </w:rPr>
              <w:instrText xml:space="preserve"> PAGEREF _Toc50722137 \h </w:instrText>
            </w:r>
            <w:r>
              <w:rPr>
                <w:noProof/>
                <w:webHidden/>
              </w:rPr>
            </w:r>
            <w:r>
              <w:rPr>
                <w:noProof/>
                <w:webHidden/>
              </w:rPr>
              <w:fldChar w:fldCharType="separate"/>
            </w:r>
            <w:r>
              <w:rPr>
                <w:noProof/>
                <w:webHidden/>
              </w:rPr>
              <w:t>4</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8" w:history="1">
            <w:r w:rsidRPr="00BD7044">
              <w:rPr>
                <w:rStyle w:val="Hyperlink"/>
                <w:noProof/>
              </w:rPr>
              <w:t>2.5/ Actions towards Victims</w:t>
            </w:r>
            <w:r>
              <w:rPr>
                <w:noProof/>
                <w:webHidden/>
              </w:rPr>
              <w:tab/>
            </w:r>
            <w:r>
              <w:rPr>
                <w:noProof/>
                <w:webHidden/>
              </w:rPr>
              <w:fldChar w:fldCharType="begin"/>
            </w:r>
            <w:r>
              <w:rPr>
                <w:noProof/>
                <w:webHidden/>
              </w:rPr>
              <w:instrText xml:space="preserve"> PAGEREF _Toc50722138 \h </w:instrText>
            </w:r>
            <w:r>
              <w:rPr>
                <w:noProof/>
                <w:webHidden/>
              </w:rPr>
            </w:r>
            <w:r>
              <w:rPr>
                <w:noProof/>
                <w:webHidden/>
              </w:rPr>
              <w:fldChar w:fldCharType="separate"/>
            </w:r>
            <w:r>
              <w:rPr>
                <w:noProof/>
                <w:webHidden/>
              </w:rPr>
              <w:t>5</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39" w:history="1">
            <w:r w:rsidRPr="00BD7044">
              <w:rPr>
                <w:rStyle w:val="Hyperlink"/>
                <w:noProof/>
              </w:rPr>
              <w:t>2.6/ Other Considerations</w:t>
            </w:r>
            <w:r>
              <w:rPr>
                <w:noProof/>
                <w:webHidden/>
              </w:rPr>
              <w:tab/>
            </w:r>
            <w:r>
              <w:rPr>
                <w:noProof/>
                <w:webHidden/>
              </w:rPr>
              <w:fldChar w:fldCharType="begin"/>
            </w:r>
            <w:r>
              <w:rPr>
                <w:noProof/>
                <w:webHidden/>
              </w:rPr>
              <w:instrText xml:space="preserve"> PAGEREF _Toc50722139 \h </w:instrText>
            </w:r>
            <w:r>
              <w:rPr>
                <w:noProof/>
                <w:webHidden/>
              </w:rPr>
            </w:r>
            <w:r>
              <w:rPr>
                <w:noProof/>
                <w:webHidden/>
              </w:rPr>
              <w:fldChar w:fldCharType="separate"/>
            </w:r>
            <w:r>
              <w:rPr>
                <w:noProof/>
                <w:webHidden/>
              </w:rPr>
              <w:t>5</w:t>
            </w:r>
            <w:r>
              <w:rPr>
                <w:noProof/>
                <w:webHidden/>
              </w:rPr>
              <w:fldChar w:fldCharType="end"/>
            </w:r>
          </w:hyperlink>
        </w:p>
        <w:p w:rsidR="00126BB5" w:rsidRDefault="00126BB5">
          <w:pPr>
            <w:pStyle w:val="TOC1"/>
            <w:tabs>
              <w:tab w:val="right" w:leader="dot" w:pos="9016"/>
            </w:tabs>
            <w:rPr>
              <w:rFonts w:eastAsiaTheme="minorEastAsia"/>
              <w:noProof/>
              <w:lang w:eastAsia="en-GB"/>
            </w:rPr>
          </w:pPr>
          <w:hyperlink w:anchor="_Toc50722140" w:history="1">
            <w:r w:rsidRPr="00BD7044">
              <w:rPr>
                <w:rStyle w:val="Hyperlink"/>
                <w:noProof/>
              </w:rPr>
              <w:t>3/ Report to the Executive Board</w:t>
            </w:r>
            <w:r>
              <w:rPr>
                <w:noProof/>
                <w:webHidden/>
              </w:rPr>
              <w:tab/>
            </w:r>
            <w:r>
              <w:rPr>
                <w:noProof/>
                <w:webHidden/>
              </w:rPr>
              <w:fldChar w:fldCharType="begin"/>
            </w:r>
            <w:r>
              <w:rPr>
                <w:noProof/>
                <w:webHidden/>
              </w:rPr>
              <w:instrText xml:space="preserve"> PAGEREF _Toc50722140 \h </w:instrText>
            </w:r>
            <w:r>
              <w:rPr>
                <w:noProof/>
                <w:webHidden/>
              </w:rPr>
            </w:r>
            <w:r>
              <w:rPr>
                <w:noProof/>
                <w:webHidden/>
              </w:rPr>
              <w:fldChar w:fldCharType="separate"/>
            </w:r>
            <w:r>
              <w:rPr>
                <w:noProof/>
                <w:webHidden/>
              </w:rPr>
              <w:t>5</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41" w:history="1">
            <w:r w:rsidRPr="00BD7044">
              <w:rPr>
                <w:rStyle w:val="Hyperlink"/>
                <w:noProof/>
              </w:rPr>
              <w:t>3.1/ Summary</w:t>
            </w:r>
            <w:r>
              <w:rPr>
                <w:noProof/>
                <w:webHidden/>
              </w:rPr>
              <w:tab/>
            </w:r>
            <w:r>
              <w:rPr>
                <w:noProof/>
                <w:webHidden/>
              </w:rPr>
              <w:fldChar w:fldCharType="begin"/>
            </w:r>
            <w:r>
              <w:rPr>
                <w:noProof/>
                <w:webHidden/>
              </w:rPr>
              <w:instrText xml:space="preserve"> PAGEREF _Toc50722141 \h </w:instrText>
            </w:r>
            <w:r>
              <w:rPr>
                <w:noProof/>
                <w:webHidden/>
              </w:rPr>
            </w:r>
            <w:r>
              <w:rPr>
                <w:noProof/>
                <w:webHidden/>
              </w:rPr>
              <w:fldChar w:fldCharType="separate"/>
            </w:r>
            <w:r>
              <w:rPr>
                <w:noProof/>
                <w:webHidden/>
              </w:rPr>
              <w:t>5</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42" w:history="1">
            <w:r w:rsidRPr="00BD7044">
              <w:rPr>
                <w:rStyle w:val="Hyperlink"/>
                <w:noProof/>
              </w:rPr>
              <w:t>3.1.1/ Breach</w:t>
            </w:r>
            <w:r>
              <w:rPr>
                <w:noProof/>
                <w:webHidden/>
              </w:rPr>
              <w:tab/>
            </w:r>
            <w:r>
              <w:rPr>
                <w:noProof/>
                <w:webHidden/>
              </w:rPr>
              <w:fldChar w:fldCharType="begin"/>
            </w:r>
            <w:r>
              <w:rPr>
                <w:noProof/>
                <w:webHidden/>
              </w:rPr>
              <w:instrText xml:space="preserve"> PAGEREF _Toc50722142 \h </w:instrText>
            </w:r>
            <w:r>
              <w:rPr>
                <w:noProof/>
                <w:webHidden/>
              </w:rPr>
            </w:r>
            <w:r>
              <w:rPr>
                <w:noProof/>
                <w:webHidden/>
              </w:rPr>
              <w:fldChar w:fldCharType="separate"/>
            </w:r>
            <w:r>
              <w:rPr>
                <w:noProof/>
                <w:webHidden/>
              </w:rPr>
              <w:t>5</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43" w:history="1">
            <w:r w:rsidRPr="00BD7044">
              <w:rPr>
                <w:rStyle w:val="Hyperlink"/>
                <w:noProof/>
              </w:rPr>
              <w:t>3.1.2/ Data</w:t>
            </w:r>
            <w:r>
              <w:rPr>
                <w:noProof/>
                <w:webHidden/>
              </w:rPr>
              <w:tab/>
            </w:r>
            <w:r>
              <w:rPr>
                <w:noProof/>
                <w:webHidden/>
              </w:rPr>
              <w:fldChar w:fldCharType="begin"/>
            </w:r>
            <w:r>
              <w:rPr>
                <w:noProof/>
                <w:webHidden/>
              </w:rPr>
              <w:instrText xml:space="preserve"> PAGEREF _Toc50722143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44" w:history="1">
            <w:r w:rsidRPr="00BD7044">
              <w:rPr>
                <w:rStyle w:val="Hyperlink"/>
                <w:noProof/>
              </w:rPr>
              <w:t>3.2/ Data Protection Implications</w:t>
            </w:r>
            <w:r>
              <w:rPr>
                <w:noProof/>
                <w:webHidden/>
              </w:rPr>
              <w:tab/>
            </w:r>
            <w:r>
              <w:rPr>
                <w:noProof/>
                <w:webHidden/>
              </w:rPr>
              <w:fldChar w:fldCharType="begin"/>
            </w:r>
            <w:r>
              <w:rPr>
                <w:noProof/>
                <w:webHidden/>
              </w:rPr>
              <w:instrText xml:space="preserve"> PAGEREF _Toc50722144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45" w:history="1">
            <w:r w:rsidRPr="00BD7044">
              <w:rPr>
                <w:rStyle w:val="Hyperlink"/>
                <w:noProof/>
              </w:rPr>
              <w:t>3.2.1/ Principles</w:t>
            </w:r>
            <w:r>
              <w:rPr>
                <w:noProof/>
                <w:webHidden/>
              </w:rPr>
              <w:tab/>
            </w:r>
            <w:r>
              <w:rPr>
                <w:noProof/>
                <w:webHidden/>
              </w:rPr>
              <w:fldChar w:fldCharType="begin"/>
            </w:r>
            <w:r>
              <w:rPr>
                <w:noProof/>
                <w:webHidden/>
              </w:rPr>
              <w:instrText xml:space="preserve"> PAGEREF _Toc50722145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46" w:history="1">
            <w:r w:rsidRPr="00BD7044">
              <w:rPr>
                <w:rStyle w:val="Hyperlink"/>
                <w:noProof/>
              </w:rPr>
              <w:t>3.3/ Risk Matrix</w:t>
            </w:r>
            <w:r>
              <w:rPr>
                <w:noProof/>
                <w:webHidden/>
              </w:rPr>
              <w:tab/>
            </w:r>
            <w:r>
              <w:rPr>
                <w:noProof/>
                <w:webHidden/>
              </w:rPr>
              <w:fldChar w:fldCharType="begin"/>
            </w:r>
            <w:r>
              <w:rPr>
                <w:noProof/>
                <w:webHidden/>
              </w:rPr>
              <w:instrText xml:space="preserve"> PAGEREF _Toc50722146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47" w:history="1">
            <w:r w:rsidRPr="00BD7044">
              <w:rPr>
                <w:rStyle w:val="Hyperlink"/>
                <w:noProof/>
              </w:rPr>
              <w:t>3.3.1/ Likelihood Score</w:t>
            </w:r>
            <w:r>
              <w:rPr>
                <w:noProof/>
                <w:webHidden/>
              </w:rPr>
              <w:tab/>
            </w:r>
            <w:r>
              <w:rPr>
                <w:noProof/>
                <w:webHidden/>
              </w:rPr>
              <w:fldChar w:fldCharType="begin"/>
            </w:r>
            <w:r>
              <w:rPr>
                <w:noProof/>
                <w:webHidden/>
              </w:rPr>
              <w:instrText xml:space="preserve"> PAGEREF _Toc50722147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3"/>
            <w:tabs>
              <w:tab w:val="right" w:leader="dot" w:pos="9016"/>
            </w:tabs>
            <w:rPr>
              <w:rFonts w:eastAsiaTheme="minorEastAsia"/>
              <w:noProof/>
              <w:lang w:eastAsia="en-GB"/>
            </w:rPr>
          </w:pPr>
          <w:hyperlink w:anchor="_Toc50722148" w:history="1">
            <w:r w:rsidRPr="00BD7044">
              <w:rPr>
                <w:rStyle w:val="Hyperlink"/>
                <w:noProof/>
              </w:rPr>
              <w:t>3.3.2/ Impact Score</w:t>
            </w:r>
            <w:r>
              <w:rPr>
                <w:noProof/>
                <w:webHidden/>
              </w:rPr>
              <w:tab/>
            </w:r>
            <w:r>
              <w:rPr>
                <w:noProof/>
                <w:webHidden/>
              </w:rPr>
              <w:fldChar w:fldCharType="begin"/>
            </w:r>
            <w:r>
              <w:rPr>
                <w:noProof/>
                <w:webHidden/>
              </w:rPr>
              <w:instrText xml:space="preserve"> PAGEREF _Toc50722148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49" w:history="1">
            <w:r w:rsidRPr="00BD7044">
              <w:rPr>
                <w:rStyle w:val="Hyperlink"/>
                <w:noProof/>
              </w:rPr>
              <w:t>3.4/ Actions</w:t>
            </w:r>
            <w:r>
              <w:rPr>
                <w:noProof/>
                <w:webHidden/>
              </w:rPr>
              <w:tab/>
            </w:r>
            <w:r>
              <w:rPr>
                <w:noProof/>
                <w:webHidden/>
              </w:rPr>
              <w:fldChar w:fldCharType="begin"/>
            </w:r>
            <w:r>
              <w:rPr>
                <w:noProof/>
                <w:webHidden/>
              </w:rPr>
              <w:instrText xml:space="preserve"> PAGEREF _Toc50722149 \h </w:instrText>
            </w:r>
            <w:r>
              <w:rPr>
                <w:noProof/>
                <w:webHidden/>
              </w:rPr>
            </w:r>
            <w:r>
              <w:rPr>
                <w:noProof/>
                <w:webHidden/>
              </w:rPr>
              <w:fldChar w:fldCharType="separate"/>
            </w:r>
            <w:r>
              <w:rPr>
                <w:noProof/>
                <w:webHidden/>
              </w:rPr>
              <w:t>6</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50" w:history="1">
            <w:r w:rsidRPr="00BD7044">
              <w:rPr>
                <w:rStyle w:val="Hyperlink"/>
                <w:noProof/>
              </w:rPr>
              <w:t>3.5/ Severity</w:t>
            </w:r>
            <w:r>
              <w:rPr>
                <w:noProof/>
                <w:webHidden/>
              </w:rPr>
              <w:tab/>
            </w:r>
            <w:r>
              <w:rPr>
                <w:noProof/>
                <w:webHidden/>
              </w:rPr>
              <w:fldChar w:fldCharType="begin"/>
            </w:r>
            <w:r>
              <w:rPr>
                <w:noProof/>
                <w:webHidden/>
              </w:rPr>
              <w:instrText xml:space="preserve"> PAGEREF _Toc50722150 \h </w:instrText>
            </w:r>
            <w:r>
              <w:rPr>
                <w:noProof/>
                <w:webHidden/>
              </w:rPr>
            </w:r>
            <w:r>
              <w:rPr>
                <w:noProof/>
                <w:webHidden/>
              </w:rPr>
              <w:fldChar w:fldCharType="separate"/>
            </w:r>
            <w:r>
              <w:rPr>
                <w:noProof/>
                <w:webHidden/>
              </w:rPr>
              <w:t>7</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51" w:history="1">
            <w:r w:rsidRPr="00BD7044">
              <w:rPr>
                <w:rStyle w:val="Hyperlink"/>
                <w:noProof/>
              </w:rPr>
              <w:t>3.6/ Other Discoveries</w:t>
            </w:r>
            <w:r>
              <w:rPr>
                <w:noProof/>
                <w:webHidden/>
              </w:rPr>
              <w:tab/>
            </w:r>
            <w:r>
              <w:rPr>
                <w:noProof/>
                <w:webHidden/>
              </w:rPr>
              <w:fldChar w:fldCharType="begin"/>
            </w:r>
            <w:r>
              <w:rPr>
                <w:noProof/>
                <w:webHidden/>
              </w:rPr>
              <w:instrText xml:space="preserve"> PAGEREF _Toc50722151 \h </w:instrText>
            </w:r>
            <w:r>
              <w:rPr>
                <w:noProof/>
                <w:webHidden/>
              </w:rPr>
            </w:r>
            <w:r>
              <w:rPr>
                <w:noProof/>
                <w:webHidden/>
              </w:rPr>
              <w:fldChar w:fldCharType="separate"/>
            </w:r>
            <w:r>
              <w:rPr>
                <w:noProof/>
                <w:webHidden/>
              </w:rPr>
              <w:t>7</w:t>
            </w:r>
            <w:r>
              <w:rPr>
                <w:noProof/>
                <w:webHidden/>
              </w:rPr>
              <w:fldChar w:fldCharType="end"/>
            </w:r>
          </w:hyperlink>
        </w:p>
        <w:p w:rsidR="00126BB5" w:rsidRDefault="00126BB5">
          <w:pPr>
            <w:pStyle w:val="TOC1"/>
            <w:tabs>
              <w:tab w:val="right" w:leader="dot" w:pos="9016"/>
            </w:tabs>
            <w:rPr>
              <w:rFonts w:eastAsiaTheme="minorEastAsia"/>
              <w:noProof/>
              <w:lang w:eastAsia="en-GB"/>
            </w:rPr>
          </w:pPr>
          <w:hyperlink w:anchor="_Toc50722152" w:history="1">
            <w:r w:rsidRPr="00BD7044">
              <w:rPr>
                <w:rStyle w:val="Hyperlink"/>
                <w:noProof/>
              </w:rPr>
              <w:t>4/ Information Governance Committee Report</w:t>
            </w:r>
            <w:r>
              <w:rPr>
                <w:noProof/>
                <w:webHidden/>
              </w:rPr>
              <w:tab/>
            </w:r>
            <w:r>
              <w:rPr>
                <w:noProof/>
                <w:webHidden/>
              </w:rPr>
              <w:fldChar w:fldCharType="begin"/>
            </w:r>
            <w:r>
              <w:rPr>
                <w:noProof/>
                <w:webHidden/>
              </w:rPr>
              <w:instrText xml:space="preserve"> PAGEREF _Toc50722152 \h </w:instrText>
            </w:r>
            <w:r>
              <w:rPr>
                <w:noProof/>
                <w:webHidden/>
              </w:rPr>
            </w:r>
            <w:r>
              <w:rPr>
                <w:noProof/>
                <w:webHidden/>
              </w:rPr>
              <w:fldChar w:fldCharType="separate"/>
            </w:r>
            <w:r>
              <w:rPr>
                <w:noProof/>
                <w:webHidden/>
              </w:rPr>
              <w:t>8</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53" w:history="1">
            <w:r w:rsidRPr="00BD7044">
              <w:rPr>
                <w:rStyle w:val="Hyperlink"/>
                <w:noProof/>
              </w:rPr>
              <w:t>4.1/ Data Breach</w:t>
            </w:r>
            <w:r>
              <w:rPr>
                <w:noProof/>
                <w:webHidden/>
              </w:rPr>
              <w:tab/>
            </w:r>
            <w:r>
              <w:rPr>
                <w:noProof/>
                <w:webHidden/>
              </w:rPr>
              <w:fldChar w:fldCharType="begin"/>
            </w:r>
            <w:r>
              <w:rPr>
                <w:noProof/>
                <w:webHidden/>
              </w:rPr>
              <w:instrText xml:space="preserve"> PAGEREF _Toc50722153 \h </w:instrText>
            </w:r>
            <w:r>
              <w:rPr>
                <w:noProof/>
                <w:webHidden/>
              </w:rPr>
            </w:r>
            <w:r>
              <w:rPr>
                <w:noProof/>
                <w:webHidden/>
              </w:rPr>
              <w:fldChar w:fldCharType="separate"/>
            </w:r>
            <w:r>
              <w:rPr>
                <w:noProof/>
                <w:webHidden/>
              </w:rPr>
              <w:t>8</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54" w:history="1">
            <w:r w:rsidRPr="00BD7044">
              <w:rPr>
                <w:rStyle w:val="Hyperlink"/>
                <w:noProof/>
              </w:rPr>
              <w:t>4.2/ Risk</w:t>
            </w:r>
            <w:r>
              <w:rPr>
                <w:noProof/>
                <w:webHidden/>
              </w:rPr>
              <w:tab/>
            </w:r>
            <w:r>
              <w:rPr>
                <w:noProof/>
                <w:webHidden/>
              </w:rPr>
              <w:fldChar w:fldCharType="begin"/>
            </w:r>
            <w:r>
              <w:rPr>
                <w:noProof/>
                <w:webHidden/>
              </w:rPr>
              <w:instrText xml:space="preserve"> PAGEREF _Toc50722154 \h </w:instrText>
            </w:r>
            <w:r>
              <w:rPr>
                <w:noProof/>
                <w:webHidden/>
              </w:rPr>
            </w:r>
            <w:r>
              <w:rPr>
                <w:noProof/>
                <w:webHidden/>
              </w:rPr>
              <w:fldChar w:fldCharType="separate"/>
            </w:r>
            <w:r>
              <w:rPr>
                <w:noProof/>
                <w:webHidden/>
              </w:rPr>
              <w:t>8</w:t>
            </w:r>
            <w:r>
              <w:rPr>
                <w:noProof/>
                <w:webHidden/>
              </w:rPr>
              <w:fldChar w:fldCharType="end"/>
            </w:r>
          </w:hyperlink>
        </w:p>
        <w:p w:rsidR="00126BB5" w:rsidRDefault="00126BB5">
          <w:pPr>
            <w:pStyle w:val="TOC2"/>
            <w:tabs>
              <w:tab w:val="right" w:leader="dot" w:pos="9016"/>
            </w:tabs>
            <w:rPr>
              <w:rFonts w:eastAsiaTheme="minorEastAsia"/>
              <w:noProof/>
              <w:lang w:eastAsia="en-GB"/>
            </w:rPr>
          </w:pPr>
          <w:hyperlink w:anchor="_Toc50722155" w:history="1">
            <w:r w:rsidRPr="00BD7044">
              <w:rPr>
                <w:rStyle w:val="Hyperlink"/>
                <w:noProof/>
              </w:rPr>
              <w:t>4.3/ Actions</w:t>
            </w:r>
            <w:r>
              <w:rPr>
                <w:noProof/>
                <w:webHidden/>
              </w:rPr>
              <w:tab/>
            </w:r>
            <w:r>
              <w:rPr>
                <w:noProof/>
                <w:webHidden/>
              </w:rPr>
              <w:fldChar w:fldCharType="begin"/>
            </w:r>
            <w:r>
              <w:rPr>
                <w:noProof/>
                <w:webHidden/>
              </w:rPr>
              <w:instrText xml:space="preserve"> PAGEREF _Toc50722155 \h </w:instrText>
            </w:r>
            <w:r>
              <w:rPr>
                <w:noProof/>
                <w:webHidden/>
              </w:rPr>
            </w:r>
            <w:r>
              <w:rPr>
                <w:noProof/>
                <w:webHidden/>
              </w:rPr>
              <w:fldChar w:fldCharType="separate"/>
            </w:r>
            <w:r>
              <w:rPr>
                <w:noProof/>
                <w:webHidden/>
              </w:rPr>
              <w:t>8</w:t>
            </w:r>
            <w:r>
              <w:rPr>
                <w:noProof/>
                <w:webHidden/>
              </w:rPr>
              <w:fldChar w:fldCharType="end"/>
            </w:r>
          </w:hyperlink>
        </w:p>
        <w:p w:rsidR="00126BB5" w:rsidRDefault="00126BB5">
          <w:pPr>
            <w:pStyle w:val="TOC1"/>
            <w:tabs>
              <w:tab w:val="right" w:leader="dot" w:pos="9016"/>
            </w:tabs>
            <w:rPr>
              <w:rFonts w:eastAsiaTheme="minorEastAsia"/>
              <w:noProof/>
              <w:lang w:eastAsia="en-GB"/>
            </w:rPr>
          </w:pPr>
          <w:hyperlink w:anchor="_Toc50722156" w:history="1">
            <w:r w:rsidRPr="00BD7044">
              <w:rPr>
                <w:rStyle w:val="Hyperlink"/>
                <w:noProof/>
              </w:rPr>
              <w:t>References</w:t>
            </w:r>
            <w:r>
              <w:rPr>
                <w:noProof/>
                <w:webHidden/>
              </w:rPr>
              <w:tab/>
            </w:r>
            <w:r>
              <w:rPr>
                <w:noProof/>
                <w:webHidden/>
              </w:rPr>
              <w:fldChar w:fldCharType="begin"/>
            </w:r>
            <w:r>
              <w:rPr>
                <w:noProof/>
                <w:webHidden/>
              </w:rPr>
              <w:instrText xml:space="preserve"> PAGEREF _Toc50722156 \h </w:instrText>
            </w:r>
            <w:r>
              <w:rPr>
                <w:noProof/>
                <w:webHidden/>
              </w:rPr>
            </w:r>
            <w:r>
              <w:rPr>
                <w:noProof/>
                <w:webHidden/>
              </w:rPr>
              <w:fldChar w:fldCharType="separate"/>
            </w:r>
            <w:r>
              <w:rPr>
                <w:noProof/>
                <w:webHidden/>
              </w:rPr>
              <w:t>9</w:t>
            </w:r>
            <w:r>
              <w:rPr>
                <w:noProof/>
                <w:webHidden/>
              </w:rPr>
              <w:fldChar w:fldCharType="end"/>
            </w:r>
          </w:hyperlink>
        </w:p>
        <w:p w:rsidR="00532382" w:rsidRDefault="00532382">
          <w:r>
            <w:rPr>
              <w:b/>
              <w:bCs/>
              <w:noProof/>
            </w:rPr>
            <w:fldChar w:fldCharType="end"/>
          </w:r>
        </w:p>
      </w:sdtContent>
    </w:sdt>
    <w:p w:rsidR="00D71251" w:rsidRDefault="00D71251" w:rsidP="00532382">
      <w:pPr>
        <w:pStyle w:val="Heading1"/>
      </w:pPr>
    </w:p>
    <w:p w:rsidR="005014FD" w:rsidRDefault="00532382" w:rsidP="00532382">
      <w:pPr>
        <w:pStyle w:val="Heading1"/>
      </w:pPr>
      <w:bookmarkStart w:id="0" w:name="_Toc50722128"/>
      <w:r>
        <w:t>1/</w:t>
      </w:r>
      <w:r w:rsidR="007D5B68">
        <w:t xml:space="preserve"> Abstract</w:t>
      </w:r>
      <w:bookmarkEnd w:id="0"/>
    </w:p>
    <w:p w:rsidR="00532382" w:rsidRDefault="00532382">
      <w:r>
        <w:t xml:space="preserve">The following set of reports have been created in the result of a scenario which has breached the data protection legislation. This assignment will include a report to the Head of Information </w:t>
      </w:r>
      <w:r>
        <w:lastRenderedPageBreak/>
        <w:t>Governance, a report to the Executive Board and a discussion note for the</w:t>
      </w:r>
      <w:r w:rsidR="00DD1168">
        <w:t xml:space="preserve"> Information</w:t>
      </w:r>
      <w:r>
        <w:t xml:space="preserve"> Governance Committee. </w:t>
      </w:r>
    </w:p>
    <w:p w:rsidR="00532382" w:rsidRDefault="00532382" w:rsidP="00532382">
      <w:pPr>
        <w:pStyle w:val="Heading1"/>
      </w:pPr>
      <w:bookmarkStart w:id="1" w:name="_Toc50722129"/>
      <w:r>
        <w:t>2/ Report to the Head of Information Governance</w:t>
      </w:r>
      <w:bookmarkEnd w:id="1"/>
    </w:p>
    <w:p w:rsidR="000A332C" w:rsidRPr="000A332C" w:rsidRDefault="000A332C" w:rsidP="000A332C"/>
    <w:p w:rsidR="00532382" w:rsidRDefault="00532382" w:rsidP="00532382">
      <w:pPr>
        <w:pStyle w:val="Heading2"/>
      </w:pPr>
      <w:bookmarkStart w:id="2" w:name="_Toc50722130"/>
      <w:r>
        <w:t>2.1/ Summary of Circumstances</w:t>
      </w:r>
      <w:bookmarkEnd w:id="2"/>
      <w:r>
        <w:t xml:space="preserve"> </w:t>
      </w:r>
    </w:p>
    <w:p w:rsidR="000A332C" w:rsidRPr="000A332C" w:rsidRDefault="000A332C" w:rsidP="000A332C"/>
    <w:p w:rsidR="00532382" w:rsidRDefault="00CE50C6" w:rsidP="003725A9">
      <w:pPr>
        <w:pStyle w:val="Heading3"/>
      </w:pPr>
      <w:bookmarkStart w:id="3" w:name="_Toc50722131"/>
      <w:r>
        <w:t xml:space="preserve">2.1.1/ </w:t>
      </w:r>
      <w:r w:rsidR="003725A9">
        <w:t>Breach</w:t>
      </w:r>
      <w:bookmarkEnd w:id="3"/>
    </w:p>
    <w:p w:rsidR="003725A9" w:rsidRDefault="003725A9" w:rsidP="003725A9">
      <w:r>
        <w:t>An incident has been reported by a manager who has accidentally sent a list of names and addresses of their members of staff, to a member of the public. The manager had meant to send a leaflet however accidentally attached the list of names and addresses instead. This list should not have been stored on their local network</w:t>
      </w:r>
      <w:r w:rsidR="00D71251">
        <w:t>,</w:t>
      </w:r>
      <w:r>
        <w:t xml:space="preserve"> however they had downloaded</w:t>
      </w:r>
      <w:r w:rsidR="00D71251">
        <w:t xml:space="preserve"> the leaflet</w:t>
      </w:r>
      <w:r>
        <w:t xml:space="preserve"> from an operational system to carry out their work in a timely manner. </w:t>
      </w:r>
    </w:p>
    <w:p w:rsidR="000A332C" w:rsidRDefault="000A332C" w:rsidP="003725A9"/>
    <w:p w:rsidR="003725A9" w:rsidRDefault="00CE50C6" w:rsidP="003725A9">
      <w:pPr>
        <w:pStyle w:val="Heading3"/>
      </w:pPr>
      <w:bookmarkStart w:id="4" w:name="_Toc50722132"/>
      <w:r>
        <w:t>2.1.2/ D</w:t>
      </w:r>
      <w:r w:rsidR="003725A9">
        <w:t>ata</w:t>
      </w:r>
      <w:bookmarkEnd w:id="4"/>
    </w:p>
    <w:p w:rsidR="003725A9" w:rsidRDefault="003725A9" w:rsidP="003725A9">
      <w:r>
        <w:t>The data included were names and addresses of staff members and this is held by the manag</w:t>
      </w:r>
      <w:r w:rsidR="000A332C">
        <w:t>er to carry out managerial tasks such as to send correspondence to their home address. It was held to carry out these tasks in a more efficient manner however this is not how the data should be held. Identifiable data should not be stored on a desktop and the manager should carry out these tasks using the operational system</w:t>
      </w:r>
      <w:r w:rsidR="00DD1168">
        <w:t xml:space="preserve"> only</w:t>
      </w:r>
      <w:r w:rsidR="000A332C">
        <w:t>.</w:t>
      </w:r>
    </w:p>
    <w:p w:rsidR="000A332C" w:rsidRDefault="000A332C" w:rsidP="003725A9"/>
    <w:p w:rsidR="000A332C" w:rsidRDefault="000A332C" w:rsidP="000A332C">
      <w:pPr>
        <w:pStyle w:val="Heading2"/>
      </w:pPr>
      <w:bookmarkStart w:id="5" w:name="_Toc50722133"/>
      <w:r>
        <w:t>2.2/ Data Protection Implications</w:t>
      </w:r>
      <w:bookmarkEnd w:id="5"/>
    </w:p>
    <w:p w:rsidR="000A332C" w:rsidRDefault="000A332C" w:rsidP="000A332C">
      <w:r>
        <w:t xml:space="preserve">The data that has been breached only includes names and addresses and is therefore Personal Data. </w:t>
      </w:r>
      <w:r w:rsidR="009C0D27">
        <w:t xml:space="preserve">According to the ICO </w:t>
      </w:r>
      <w:sdt>
        <w:sdtPr>
          <w:id w:val="-1855727218"/>
          <w:citation/>
        </w:sdtPr>
        <w:sdtContent>
          <w:r w:rsidR="009C0D27">
            <w:fldChar w:fldCharType="begin"/>
          </w:r>
          <w:r w:rsidR="009C0D27">
            <w:instrText xml:space="preserve"> CITATION Wha201 \l 2057 </w:instrText>
          </w:r>
          <w:r w:rsidR="009C0D27">
            <w:fldChar w:fldCharType="separate"/>
          </w:r>
          <w:r w:rsidR="00CB1AB9" w:rsidRPr="00CB1AB9">
            <w:rPr>
              <w:noProof/>
            </w:rPr>
            <w:t>[1]</w:t>
          </w:r>
          <w:r w:rsidR="009C0D27">
            <w:fldChar w:fldCharType="end"/>
          </w:r>
        </w:sdtContent>
      </w:sdt>
      <w:r w:rsidR="009C0D27">
        <w:t>, personal data includes anyth</w:t>
      </w:r>
      <w:r w:rsidR="00DD1168">
        <w:t>ing that can relate to a</w:t>
      </w:r>
      <w:r w:rsidR="00FC47BD">
        <w:t>n</w:t>
      </w:r>
      <w:r w:rsidR="00DD1168">
        <w:t xml:space="preserve"> </w:t>
      </w:r>
      <w:r w:rsidR="00FC47BD">
        <w:t>identifiable</w:t>
      </w:r>
      <w:r w:rsidR="009C0D27">
        <w:t xml:space="preserve"> person. This may be from a single piece of data such as name, or can be data that is used in conjunction with another piece of data such as address and date of birth. </w:t>
      </w:r>
      <w:r>
        <w:t>If the data had included for example, ethnic origin or political opinions also, then the data breached would have been both Pers</w:t>
      </w:r>
      <w:r w:rsidR="00B44EB4">
        <w:t xml:space="preserve">onal and Special Category data. For personal data to be lawfully processed, certain conditions must be met. For example, the data subject must have given consent or there must be a legal obligation on the data controller. As none of the conditions are met in this circumstance, GDPR must be engaged. </w:t>
      </w:r>
    </w:p>
    <w:p w:rsidR="00B44EB4" w:rsidRDefault="00B44EB4" w:rsidP="000A332C"/>
    <w:p w:rsidR="00B44EB4" w:rsidRDefault="00B44EB4" w:rsidP="00B44EB4">
      <w:pPr>
        <w:pStyle w:val="Heading3"/>
      </w:pPr>
      <w:bookmarkStart w:id="6" w:name="_Toc50722134"/>
      <w:r>
        <w:t xml:space="preserve">2.2.1/ </w:t>
      </w:r>
      <w:r w:rsidR="006823FD">
        <w:t>Principles</w:t>
      </w:r>
      <w:bookmarkEnd w:id="6"/>
    </w:p>
    <w:p w:rsidR="006823FD" w:rsidRDefault="00274B59" w:rsidP="00BC7BD1">
      <w:r>
        <w:t>There are seven key</w:t>
      </w:r>
      <w:r w:rsidR="00B44EB4">
        <w:t xml:space="preserve"> </w:t>
      </w:r>
      <w:r w:rsidR="006823FD">
        <w:t>principles</w:t>
      </w:r>
      <w:r>
        <w:t xml:space="preserve"> mentioned in GDPR. </w:t>
      </w:r>
      <w:r w:rsidR="00BC7BD1">
        <w:t>In this scenario,</w:t>
      </w:r>
      <w:r>
        <w:t xml:space="preserve"> </w:t>
      </w:r>
      <w:r w:rsidR="00FC47BD">
        <w:t xml:space="preserve">at least </w:t>
      </w:r>
      <w:r>
        <w:t>two</w:t>
      </w:r>
      <w:r w:rsidR="00BC7BD1">
        <w:t xml:space="preserve"> principles of the GDPR have been breached.</w:t>
      </w:r>
      <w:r>
        <w:t xml:space="preserve"> The first principle in GDPR suggests the data must be processed fairly, lawfully and transparently. In this instance, staff members have not been informed or agreed to their data being sent to the public. The second principle that has been breached is the integrity and confidentiality </w:t>
      </w:r>
      <w:r w:rsidR="006823FD">
        <w:t>principle</w:t>
      </w:r>
      <w:r>
        <w:t xml:space="preserve">. </w:t>
      </w:r>
      <w:r w:rsidR="006823FD">
        <w:t xml:space="preserve">It begs the question as to whether the system should allow users to be able to download sensitive material as such from the operational system onto their desktop and also highlights the potential need for further Information Governance training for staff. It could also be considered that the accountability principle has also been breached as the manager has not been compliant with GDPR. Although this </w:t>
      </w:r>
      <w:r w:rsidR="00CE50C6">
        <w:t>principle</w:t>
      </w:r>
      <w:r w:rsidR="00FC47BD">
        <w:t xml:space="preserve"> may</w:t>
      </w:r>
      <w:r w:rsidR="006823FD">
        <w:t xml:space="preserve"> not </w:t>
      </w:r>
      <w:r w:rsidR="00FC47BD">
        <w:t xml:space="preserve">have </w:t>
      </w:r>
      <w:r w:rsidR="006823FD">
        <w:t>been breached in the first instance, a scenario such as this could then go on to breach both the accuracy and storage limitation principle. There data stored privately may not be kept up to date and therefore could eventually become inaccurate and out of date. The information could also easily be forgotten about as it’s not the master</w:t>
      </w:r>
      <w:r w:rsidR="00FC47BD">
        <w:t xml:space="preserve"> </w:t>
      </w:r>
      <w:r w:rsidR="006823FD">
        <w:t xml:space="preserve">copy and could be kept for longer than necessary. </w:t>
      </w:r>
    </w:p>
    <w:p w:rsidR="006823FD" w:rsidRDefault="006823FD" w:rsidP="00BC7BD1"/>
    <w:p w:rsidR="00BC7BD1" w:rsidRDefault="00CE50C6" w:rsidP="00CE50C6">
      <w:pPr>
        <w:pStyle w:val="Heading3"/>
      </w:pPr>
      <w:bookmarkStart w:id="7" w:name="_Toc50722135"/>
      <w:r>
        <w:lastRenderedPageBreak/>
        <w:t>2.2.2/ Risk of Exposure</w:t>
      </w:r>
      <w:bookmarkEnd w:id="7"/>
      <w:r w:rsidR="006823FD">
        <w:t xml:space="preserve"> </w:t>
      </w:r>
    </w:p>
    <w:p w:rsidR="00357DEB" w:rsidRDefault="00A1650E" w:rsidP="00357DEB">
      <w:r>
        <w:t>With reference to the risk matrix in figure 1 below, this scenario could</w:t>
      </w:r>
      <w:r w:rsidR="002926E4">
        <w:t xml:space="preserve"> produce a risk score of nine</w:t>
      </w:r>
      <w:r>
        <w:t>. The severity of the impact, although</w:t>
      </w:r>
      <w:r w:rsidR="001174B2">
        <w:t xml:space="preserve"> it’s</w:t>
      </w:r>
      <w:r>
        <w:t xml:space="preserve"> very personal information</w:t>
      </w:r>
      <w:r w:rsidR="001174B2">
        <w:t xml:space="preserve"> distributed, does not cause serious harm however does cause some impact to those who have been affected. </w:t>
      </w:r>
      <w:r w:rsidR="00F90916">
        <w:t>As this data has only been sent to one member of the public, it’s fair to suggest that this would lower the severity of the breach. If the data had been sent to hundreds of people outside the organisation, it would be w</w:t>
      </w:r>
      <w:r w:rsidR="00FB4DB7">
        <w:t xml:space="preserve">orth considering a score of 12 </w:t>
      </w:r>
      <w:r w:rsidR="00F90916">
        <w:t>or even 15, which would also increase the need to report to the ICO.</w:t>
      </w:r>
      <w:r w:rsidR="00FB4DB7">
        <w:t xml:space="preserve"> This would also be the case if hundreds or even thousands of staff had been affected. It is not clear how many names and addresses are sent but as only one manager is involved, it likely that it would be under a hundred people affected. The more people affected, the higher the impact score. </w:t>
      </w:r>
      <w:r w:rsidR="001174B2">
        <w:t>The likelihood of this happening aga</w:t>
      </w:r>
      <w:r w:rsidR="00FB4DB7">
        <w:t>in, could also be considered ‘Possible’ therefore having a likelihood score of three. I</w:t>
      </w:r>
      <w:r w:rsidR="001174B2">
        <w:t>f nothing i</w:t>
      </w:r>
      <w:r w:rsidR="00FB4DB7">
        <w:t xml:space="preserve">s done to mitigate this risk, then there is the likelihood of the same member of staff repeating the incident or other managers following the same working patterns and becoming at risk of a similar breach also. If the manager is not reminded of her responsibilities under GDPR then they will potentially continue to download personal and special category data onto the desktop, once again increasing the risk of a breach of this kind repeating itself. </w:t>
      </w:r>
      <w:r w:rsidR="002A70C8">
        <w:t>How this data has been held by the manager plays the main role as to how this breach occurred. Actions taken following this breach should attempt to mitigate any further breaches of this kind and should aim to substantially reduce the risk score.</w:t>
      </w:r>
      <w:r w:rsidR="001174B2">
        <w:t xml:space="preserve"> </w:t>
      </w:r>
      <w:r w:rsidR="00FC4D59">
        <w:t>By implementing the actions discussed in section 2.4 of this report,</w:t>
      </w:r>
      <w:r w:rsidR="00513607">
        <w:t xml:space="preserve"> such as training refresh and reminder of the policies</w:t>
      </w:r>
      <w:r w:rsidR="00FC4D59">
        <w:t xml:space="preserve"> we are reducing the likelihood of this scenario recurring and the likelihood score could be reconsidered as ‘rare’</w:t>
      </w:r>
      <w:r w:rsidR="00513607">
        <w:t>. Actions which introduce further security measures, such as password protected documents, could also reduce the impact levels. By introducing password protection, even if this document was sent to the incorrect recipient, they would not be able to view any of the data inside without the correct password. In turn, this would</w:t>
      </w:r>
      <w:r w:rsidR="00FC4D59">
        <w:t xml:space="preserve"> bring down the overall risk score to a three</w:t>
      </w:r>
      <w:r w:rsidR="00513607">
        <w:t>, or even a two</w:t>
      </w:r>
      <w:r w:rsidR="00FC4D59">
        <w:t xml:space="preserve"> and falling into the low risk category. </w:t>
      </w:r>
    </w:p>
    <w:p w:rsidR="00A1650E" w:rsidRDefault="00A1650E" w:rsidP="00357DEB"/>
    <w:p w:rsidR="00A1650E" w:rsidRPr="00357DEB" w:rsidRDefault="00FC47BD" w:rsidP="00357DEB">
      <w:r>
        <w:t>Figure 1. Risk Matrix</w:t>
      </w:r>
    </w:p>
    <w:p w:rsidR="00532382" w:rsidRDefault="007309D1" w:rsidP="00532382">
      <w:r>
        <w:rPr>
          <w:noProof/>
          <w:lang w:eastAsia="en-GB"/>
        </w:rPr>
        <w:drawing>
          <wp:inline distT="0" distB="0" distL="0" distR="0">
            <wp:extent cx="5724525" cy="2190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190750"/>
                    </a:xfrm>
                    <a:prstGeom prst="rect">
                      <a:avLst/>
                    </a:prstGeom>
                    <a:noFill/>
                    <a:ln>
                      <a:noFill/>
                    </a:ln>
                  </pic:spPr>
                </pic:pic>
              </a:graphicData>
            </a:graphic>
          </wp:inline>
        </w:drawing>
      </w:r>
    </w:p>
    <w:p w:rsidR="00A1650E" w:rsidRDefault="00A1650E" w:rsidP="00532382"/>
    <w:p w:rsidR="00A1650E" w:rsidRPr="00532382" w:rsidRDefault="00206619" w:rsidP="00206619">
      <w:pPr>
        <w:pStyle w:val="Heading2"/>
      </w:pPr>
      <w:bookmarkStart w:id="8" w:name="_Toc50722136"/>
      <w:r>
        <w:t>2.3</w:t>
      </w:r>
      <w:r w:rsidR="001174B2">
        <w:t>/ Organisations Policy</w:t>
      </w:r>
      <w:bookmarkEnd w:id="8"/>
    </w:p>
    <w:p w:rsidR="00532382" w:rsidRDefault="004F32D5">
      <w:r>
        <w:t>The All Wale</w:t>
      </w:r>
      <w:r w:rsidR="005F7A00">
        <w:t>s Information Governance Policy</w:t>
      </w:r>
      <w:r w:rsidR="005F7A00">
        <w:t xml:space="preserve"> </w:t>
      </w:r>
      <w:sdt>
        <w:sdtPr>
          <w:id w:val="-1239948240"/>
          <w:citation/>
        </w:sdtPr>
        <w:sdtContent>
          <w:r w:rsidR="005F7A00">
            <w:fldChar w:fldCharType="begin"/>
          </w:r>
          <w:r w:rsidR="005F7A00">
            <w:instrText xml:space="preserve"> CITATION Inf18 \l 2057 </w:instrText>
          </w:r>
          <w:r w:rsidR="005F7A00">
            <w:fldChar w:fldCharType="separate"/>
          </w:r>
          <w:r w:rsidR="00CB1AB9" w:rsidRPr="00CB1AB9">
            <w:rPr>
              <w:noProof/>
            </w:rPr>
            <w:t>[2]</w:t>
          </w:r>
          <w:r w:rsidR="005F7A00">
            <w:fldChar w:fldCharType="end"/>
          </w:r>
        </w:sdtContent>
      </w:sdt>
      <w:r w:rsidR="005F7A00">
        <w:t xml:space="preserve"> </w:t>
      </w:r>
      <w:r>
        <w:t xml:space="preserve">suggests that any records should be held with a planned approach for their creation and their removal. Thus meaning that the NHS Organisation can manage the records to ensure that they are kept up to date and are not kept for longer than necessary. This scenario has gone against the organisations policy and did not have a planned approach for their removal. This information should not have been held for any longer than </w:t>
      </w:r>
      <w:r>
        <w:lastRenderedPageBreak/>
        <w:t xml:space="preserve">necessary. </w:t>
      </w:r>
      <w:r w:rsidR="009F0510">
        <w:t xml:space="preserve">The policy also mentions that data must be processed fairly and to </w:t>
      </w:r>
      <w:r w:rsidR="005F7A00">
        <w:t xml:space="preserve">do </w:t>
      </w:r>
      <w:r w:rsidR="009F0510">
        <w:t xml:space="preserve">so, they must be transparent. In this case, employees would have been unaware of their personal data being held on their managers desktop, let alone consented for it to be distributed to a member of the public. </w:t>
      </w:r>
      <w:r w:rsidR="001E707A">
        <w:t>The policy references record management and explains that their</w:t>
      </w:r>
      <w:r w:rsidR="00D71251">
        <w:t xml:space="preserve"> must</w:t>
      </w:r>
      <w:r w:rsidR="001E707A">
        <w:t xml:space="preserve"> be a planned approach to the management of records from the date of cre</w:t>
      </w:r>
      <w:r w:rsidR="00D71251">
        <w:t>ation to the date of disposal, t</w:t>
      </w:r>
      <w:r w:rsidR="001E707A">
        <w:t xml:space="preserve">hus ensuring that the data can be quality and quantity controlled to ensure data minimisation and that the records are kept up to date. Once this personal data was downloaded on to the </w:t>
      </w:r>
      <w:r w:rsidR="00FB18B1">
        <w:t>manager’s</w:t>
      </w:r>
      <w:r w:rsidR="00D71251">
        <w:t xml:space="preserve"> desktop, the</w:t>
      </w:r>
      <w:r w:rsidR="001E707A">
        <w:t xml:space="preserve"> policy was breached and the data was no longer managed in the appropriate way as stated in the policy. </w:t>
      </w:r>
      <w:r w:rsidR="00FB18B1">
        <w:t>Although the policy has been breached, by reporting the breach to the Information Governance Manager, the manager has followed the breach reporting requirements, assuming the incident was reported immediately. The organisation also holds a ‘Records Management’ Pol</w:t>
      </w:r>
      <w:r w:rsidR="007D5B68">
        <w:t>icy</w:t>
      </w:r>
      <w:r w:rsidR="005F7A00">
        <w:t xml:space="preserve"> </w:t>
      </w:r>
      <w:sdt>
        <w:sdtPr>
          <w:id w:val="-1035499461"/>
          <w:citation/>
        </w:sdtPr>
        <w:sdtContent>
          <w:r w:rsidR="005F7A00">
            <w:fldChar w:fldCharType="begin"/>
          </w:r>
          <w:r w:rsidR="005F7A00">
            <w:rPr>
              <w:noProof/>
            </w:rPr>
            <w:instrText xml:space="preserve">CITATION Inf20 \l 2057 </w:instrText>
          </w:r>
          <w:r w:rsidR="005F7A00">
            <w:fldChar w:fldCharType="separate"/>
          </w:r>
          <w:r w:rsidR="00CB1AB9" w:rsidRPr="00CB1AB9">
            <w:rPr>
              <w:noProof/>
            </w:rPr>
            <w:t>[3]</w:t>
          </w:r>
          <w:r w:rsidR="005F7A00">
            <w:fldChar w:fldCharType="end"/>
          </w:r>
        </w:sdtContent>
      </w:sdt>
      <w:r w:rsidR="007D5B68">
        <w:t xml:space="preserve">. This </w:t>
      </w:r>
      <w:r w:rsidR="00FB18B1">
        <w:t>policy discusses that there is responsibility on individuals within the organisation to ensure any creation o</w:t>
      </w:r>
      <w:r w:rsidR="005F7A00">
        <w:t>r</w:t>
      </w:r>
      <w:r w:rsidR="00FB18B1">
        <w:t xml:space="preserve"> use of records are responsible and expected to abide by this policy. </w:t>
      </w:r>
      <w:r w:rsidR="007D5B68">
        <w:t>It suggests that the quality of the records must be complete and up to date. At the time of downloading, the data should meet this requirement however if these records are updated on the system, this will not be reflected on the downloaded document. The record is no longer as secure as it should be as it is held on the managers desktop. This means that it can be accessible whilst outside of the organisation</w:t>
      </w:r>
      <w:r w:rsidR="005F7A00">
        <w:t>’</w:t>
      </w:r>
      <w:r w:rsidR="007D5B68">
        <w:t>s secure network, thus not meeting the organisation</w:t>
      </w:r>
      <w:r w:rsidR="005F7A00">
        <w:t>’</w:t>
      </w:r>
      <w:r w:rsidR="007D5B68">
        <w:t xml:space="preserve">s security requirements. The policy also states that records should be kept for a minimum period of time, which suggests that the manager should have removed the document from her computer as soon as she completed her task.  </w:t>
      </w:r>
    </w:p>
    <w:p w:rsidR="009F0510" w:rsidRDefault="009F0510"/>
    <w:p w:rsidR="009F0510" w:rsidRDefault="00206619" w:rsidP="00206619">
      <w:pPr>
        <w:pStyle w:val="Heading2"/>
      </w:pPr>
      <w:bookmarkStart w:id="9" w:name="_Toc50722137"/>
      <w:r>
        <w:t>2.4</w:t>
      </w:r>
      <w:r w:rsidR="009F0510">
        <w:t>/ Actions Following Breach</w:t>
      </w:r>
      <w:bookmarkEnd w:id="9"/>
    </w:p>
    <w:p w:rsidR="00AC0630" w:rsidRDefault="00442522" w:rsidP="00AC0630">
      <w:r>
        <w:t>It’s</w:t>
      </w:r>
      <w:r w:rsidR="009F0510">
        <w:t xml:space="preserve"> clear to s</w:t>
      </w:r>
      <w:r>
        <w:t>ee</w:t>
      </w:r>
      <w:r w:rsidR="009F0510">
        <w:t xml:space="preserve"> that this breach has happened due to a member of staff holding personal data on their desktop without any security measures in place such as the document being password protected.</w:t>
      </w:r>
      <w:r w:rsidR="00584396">
        <w:t xml:space="preserve"> If the member of staff were familiar with the Records Management Policy, then it’s fair to say that this breach could have been avoided. There are a wide range of actions that need to be implemented following this breach which can attempt to reduce the risk of such a breach happening again. Firstly, it highlights the need for </w:t>
      </w:r>
      <w:r>
        <w:t xml:space="preserve">all staff within the organisation </w:t>
      </w:r>
      <w:r w:rsidR="00584396">
        <w:t xml:space="preserve">to be reminded of several policies which reference GDPR and the roles and responsibilities of staff when </w:t>
      </w:r>
      <w:r w:rsidR="00AC0630">
        <w:t>holding data</w:t>
      </w:r>
      <w:r w:rsidR="00584396">
        <w:t>. Such policies could be the ‘</w:t>
      </w:r>
      <w:r>
        <w:t>All Wales Information Governance Policy</w:t>
      </w:r>
      <w:r w:rsidR="00584396">
        <w:t>’ and the ‘Records Management’ policy. Encouraging staff to read these could be done by</w:t>
      </w:r>
      <w:r>
        <w:t xml:space="preserve"> email</w:t>
      </w:r>
      <w:r w:rsidR="00584396">
        <w:t xml:space="preserve">ing them to </w:t>
      </w:r>
      <w:r>
        <w:t>the entire workforce.</w:t>
      </w:r>
      <w:r w:rsidR="00584396">
        <w:t xml:space="preserve"> As a policy can be overwhelming, it would be advantageous to create a poster</w:t>
      </w:r>
      <w:r w:rsidR="005F7A00">
        <w:t xml:space="preserve"> </w:t>
      </w:r>
      <w:proofErr w:type="spellStart"/>
      <w:r w:rsidR="005F7A00">
        <w:t>aswell</w:t>
      </w:r>
      <w:proofErr w:type="spellEnd"/>
      <w:r w:rsidR="005F7A00">
        <w:t>,</w:t>
      </w:r>
      <w:r w:rsidR="00584396">
        <w:t xml:space="preserve"> which would act as a constant reminder to staff of their role under GDPR. </w:t>
      </w:r>
      <w:r w:rsidR="00AC0630">
        <w:t xml:space="preserve">As the All Wales Information Governance policy confirms that Information Governance training is mandatory, then the uptake of this training should be reviewed and further training should be offered to all staff to refresh their understanding and could also </w:t>
      </w:r>
      <w:r w:rsidR="005F7A00">
        <w:t>enable</w:t>
      </w:r>
      <w:r w:rsidR="00547B08">
        <w:t xml:space="preserve"> staff with the confidence to highlight bad practice. </w:t>
      </w:r>
      <w:r>
        <w:t>The</w:t>
      </w:r>
      <w:r w:rsidR="00AC0630">
        <w:t xml:space="preserve"> organisation’s</w:t>
      </w:r>
      <w:r>
        <w:t xml:space="preserve"> system that the information was downloaded from should also</w:t>
      </w:r>
      <w:r w:rsidR="00AC0630">
        <w:t xml:space="preserve"> be reviewed and processes should be put in place to </w:t>
      </w:r>
      <w:r>
        <w:t>avoid users being able to download information so easy onto their desktop</w:t>
      </w:r>
      <w:r w:rsidR="00AC0630">
        <w:t xml:space="preserve"> in the future</w:t>
      </w:r>
      <w:r>
        <w:t xml:space="preserve">. The option to download the information should be removed or if </w:t>
      </w:r>
      <w:r w:rsidR="00AC0630">
        <w:t>the</w:t>
      </w:r>
      <w:r>
        <w:t xml:space="preserve"> requir</w:t>
      </w:r>
      <w:r w:rsidR="00AC0630">
        <w:t>ement exists</w:t>
      </w:r>
      <w:r>
        <w:t xml:space="preserve">, </w:t>
      </w:r>
      <w:r w:rsidR="00AC0630">
        <w:t xml:space="preserve">then the file could be </w:t>
      </w:r>
      <w:r>
        <w:t>sent</w:t>
      </w:r>
      <w:r w:rsidR="00AC0630">
        <w:t xml:space="preserve"> straight</w:t>
      </w:r>
      <w:r>
        <w:t xml:space="preserve"> to a secure drive </w:t>
      </w:r>
      <w:r w:rsidR="00AC0630">
        <w:t xml:space="preserve">on the organisations network ensuring </w:t>
      </w:r>
      <w:r w:rsidR="001A47EA">
        <w:t>access can be</w:t>
      </w:r>
      <w:r>
        <w:t xml:space="preserve"> restricted.</w:t>
      </w:r>
      <w:r w:rsidR="00AC0630">
        <w:t xml:space="preserve"> </w:t>
      </w:r>
      <w:r w:rsidR="001A47EA">
        <w:t xml:space="preserve">This scenario however does beg the question as to whether this information should be held by managers at all. It would be useful for a dedicated department, such as Human Resources, </w:t>
      </w:r>
      <w:r w:rsidR="00AC0630">
        <w:t>who already hold personal and special category data</w:t>
      </w:r>
      <w:r w:rsidR="001A47EA">
        <w:t xml:space="preserve">, </w:t>
      </w:r>
      <w:r w:rsidR="00AC0630">
        <w:t xml:space="preserve">to manage any data such as this. As Human Resources would already hold such data, it would be fair to assume that they have the correct </w:t>
      </w:r>
      <w:r w:rsidR="005F7A00">
        <w:t xml:space="preserve">working practices </w:t>
      </w:r>
      <w:r w:rsidR="00AC0630">
        <w:t xml:space="preserve">in place when it comes to processing this kind of data. This would therefore minimise the risk that comes with managers holding records against the organisational policies. </w:t>
      </w:r>
    </w:p>
    <w:p w:rsidR="00AC0630" w:rsidRDefault="00AC0630" w:rsidP="00AC0630"/>
    <w:p w:rsidR="00206619" w:rsidRDefault="00206619" w:rsidP="00AC0630">
      <w:pPr>
        <w:pStyle w:val="Heading2"/>
      </w:pPr>
      <w:bookmarkStart w:id="10" w:name="_Toc50722138"/>
      <w:r>
        <w:lastRenderedPageBreak/>
        <w:t>2.5/ Actions towards Victims</w:t>
      </w:r>
      <w:bookmarkEnd w:id="10"/>
    </w:p>
    <w:p w:rsidR="00D617A4" w:rsidRDefault="00537798" w:rsidP="00206619">
      <w:r>
        <w:t>Due to the lower severity of this scenario, it’s not essential that data subjects are informed. However, morally, it would be advised that they are aware that their information has been leaked and that the organisation is working towards ensuring that a data protection breach such as this does not happen again.</w:t>
      </w:r>
      <w:r w:rsidR="00EA7953">
        <w:t xml:space="preserve"> Following further investigations, it was found that staff sick notes and occupational health reports were also saved onto the managers desktop. If these had also been distributed to the public, then the data would fall under special category data. According to the ICO </w:t>
      </w:r>
      <w:sdt>
        <w:sdtPr>
          <w:id w:val="-237937566"/>
          <w:citation/>
        </w:sdtPr>
        <w:sdtContent>
          <w:r w:rsidR="00391F84">
            <w:fldChar w:fldCharType="begin"/>
          </w:r>
          <w:r w:rsidR="00391F84">
            <w:instrText xml:space="preserve"> CITATION Spe20 \l 2057 </w:instrText>
          </w:r>
          <w:r w:rsidR="00391F84">
            <w:fldChar w:fldCharType="separate"/>
          </w:r>
          <w:r w:rsidR="00CB1AB9" w:rsidRPr="00CB1AB9">
            <w:rPr>
              <w:noProof/>
            </w:rPr>
            <w:t>[4]</w:t>
          </w:r>
          <w:r w:rsidR="00391F84">
            <w:fldChar w:fldCharType="end"/>
          </w:r>
        </w:sdtContent>
      </w:sdt>
      <w:r w:rsidR="00391F84">
        <w:t xml:space="preserve"> </w:t>
      </w:r>
      <w:r w:rsidR="00EA7953">
        <w:t>not only do you have to abide by the principles of Article 6 in the GDPR, you also have to meet one</w:t>
      </w:r>
      <w:r w:rsidR="00D617A4">
        <w:t xml:space="preserve"> of the conditions in Article 9 including explicit consent and vital interests. Due to the sensitivity of special category data, if this data were to have been leaked also, the severity of impact may be considered greater and therefore the risk of exposure may be considered to fall into the ‘high risk’ category. If this was to be the case, then the data subjects should be informed immediately and the data breach should be reported to the ICO. ICO states that a high risk data breach means that data subjects should be informed with no delay suggesting that you may decide to inform the data subjects even before it’s reported to the ICO. </w:t>
      </w:r>
      <w:sdt>
        <w:sdtPr>
          <w:id w:val="-358127720"/>
          <w:citation/>
        </w:sdtPr>
        <w:sdtContent>
          <w:r w:rsidR="00D617A4">
            <w:fldChar w:fldCharType="begin"/>
          </w:r>
          <w:r w:rsidR="00D617A4">
            <w:instrText xml:space="preserve"> CITATION Per20 \l 2057 </w:instrText>
          </w:r>
          <w:r w:rsidR="00D617A4">
            <w:fldChar w:fldCharType="separate"/>
          </w:r>
          <w:r w:rsidR="00CB1AB9" w:rsidRPr="00CB1AB9">
            <w:rPr>
              <w:noProof/>
            </w:rPr>
            <w:t>[5]</w:t>
          </w:r>
          <w:r w:rsidR="00D617A4">
            <w:fldChar w:fldCharType="end"/>
          </w:r>
        </w:sdtContent>
      </w:sdt>
    </w:p>
    <w:p w:rsidR="00D617A4" w:rsidRDefault="00D617A4" w:rsidP="00206619"/>
    <w:p w:rsidR="00206619" w:rsidRDefault="00D617A4" w:rsidP="00D617A4">
      <w:pPr>
        <w:pStyle w:val="Heading2"/>
      </w:pPr>
      <w:bookmarkStart w:id="11" w:name="_Toc50722139"/>
      <w:r>
        <w:t>2.6/ Other Considerations</w:t>
      </w:r>
      <w:bookmarkEnd w:id="11"/>
    </w:p>
    <w:p w:rsidR="00D617A4" w:rsidRDefault="00D617A4" w:rsidP="00D617A4">
      <w:pPr>
        <w:rPr>
          <w:rFonts w:cs="Arial"/>
          <w:color w:val="000000"/>
          <w:szCs w:val="23"/>
          <w:lang w:val="en"/>
        </w:rPr>
      </w:pPr>
      <w:r>
        <w:t xml:space="preserve">Following a data breach, it would also be important to </w:t>
      </w:r>
      <w:r w:rsidR="00F6659A">
        <w:t>ensure the correct procedures are set up to handle any increase in complaints. It is very possible that staff members would be upset regarding the breach of their data leading to an influx of complaints. According to ICO</w:t>
      </w:r>
      <w:r w:rsidR="00391F84">
        <w:t xml:space="preserve"> </w:t>
      </w:r>
      <w:sdt>
        <w:sdtPr>
          <w:id w:val="1302649915"/>
          <w:citation/>
        </w:sdtPr>
        <w:sdtContent>
          <w:r w:rsidR="00391F84">
            <w:fldChar w:fldCharType="begin"/>
          </w:r>
          <w:r w:rsidR="00391F84">
            <w:instrText xml:space="preserve"> CITATION Per20 \l 2057 </w:instrText>
          </w:r>
          <w:r w:rsidR="00391F84">
            <w:fldChar w:fldCharType="separate"/>
          </w:r>
          <w:r w:rsidR="00CB1AB9" w:rsidRPr="00CB1AB9">
            <w:rPr>
              <w:noProof/>
            </w:rPr>
            <w:t>[5]</w:t>
          </w:r>
          <w:r w:rsidR="00391F84">
            <w:fldChar w:fldCharType="end"/>
          </w:r>
        </w:sdtContent>
      </w:sdt>
      <w:r w:rsidR="00F6659A">
        <w:t xml:space="preserve">, the organisation should also consider other bodies which the data breach may need to be reported to such as eIDAS </w:t>
      </w:r>
      <w:r w:rsidR="00F6659A" w:rsidRPr="00F6659A">
        <w:rPr>
          <w:sz w:val="28"/>
        </w:rPr>
        <w:t>(</w:t>
      </w:r>
      <w:r w:rsidR="00F6659A" w:rsidRPr="00F6659A">
        <w:rPr>
          <w:rFonts w:cs="Arial"/>
          <w:color w:val="000000"/>
          <w:szCs w:val="23"/>
          <w:lang w:val="en"/>
        </w:rPr>
        <w:t xml:space="preserve">Electronic Identification and Trust Services) if they are a UK trust service provider. In this scenario, dependent on the nature of the job, there could be a risk of the member of public turning up at a staff member’s house. For example, they could be in pain waiting for an operation and are angry that they have not had an operation date. In this scenario, the </w:t>
      </w:r>
      <w:proofErr w:type="spellStart"/>
      <w:r w:rsidR="00391F84" w:rsidRPr="00F6659A">
        <w:rPr>
          <w:rFonts w:cs="Arial"/>
          <w:color w:val="000000"/>
          <w:szCs w:val="23"/>
          <w:lang w:val="en"/>
        </w:rPr>
        <w:t>organi</w:t>
      </w:r>
      <w:r w:rsidR="00391F84">
        <w:rPr>
          <w:rFonts w:cs="Arial"/>
          <w:color w:val="000000"/>
          <w:szCs w:val="23"/>
          <w:lang w:val="en"/>
        </w:rPr>
        <w:t>s</w:t>
      </w:r>
      <w:r w:rsidR="00391F84" w:rsidRPr="00F6659A">
        <w:rPr>
          <w:rFonts w:cs="Arial"/>
          <w:color w:val="000000"/>
          <w:szCs w:val="23"/>
          <w:lang w:val="en"/>
        </w:rPr>
        <w:t>ation</w:t>
      </w:r>
      <w:proofErr w:type="spellEnd"/>
      <w:r w:rsidR="00F6659A" w:rsidRPr="00F6659A">
        <w:rPr>
          <w:rFonts w:cs="Arial"/>
          <w:color w:val="000000"/>
          <w:szCs w:val="23"/>
          <w:lang w:val="en"/>
        </w:rPr>
        <w:t xml:space="preserve"> may need to consider informing the police.</w:t>
      </w:r>
    </w:p>
    <w:p w:rsidR="00F6659A" w:rsidRDefault="00F6659A" w:rsidP="00F6659A">
      <w:pPr>
        <w:pStyle w:val="Heading1"/>
        <w:rPr>
          <w:lang w:val="en"/>
        </w:rPr>
      </w:pPr>
    </w:p>
    <w:p w:rsidR="00F6659A" w:rsidRDefault="00F6659A" w:rsidP="00F6659A">
      <w:pPr>
        <w:pStyle w:val="Heading1"/>
      </w:pPr>
      <w:bookmarkStart w:id="12" w:name="_Toc50722140"/>
      <w:r>
        <w:t>3/ Report to the Executive Board</w:t>
      </w:r>
      <w:bookmarkEnd w:id="12"/>
    </w:p>
    <w:p w:rsidR="00F6659A" w:rsidRPr="00F6659A" w:rsidRDefault="00F6659A" w:rsidP="00F6659A"/>
    <w:p w:rsidR="00442522" w:rsidRDefault="009C0D27" w:rsidP="00995F4F">
      <w:pPr>
        <w:pStyle w:val="Heading2"/>
      </w:pPr>
      <w:bookmarkStart w:id="13" w:name="_Toc50722141"/>
      <w:r>
        <w:t>3.1/ Summary</w:t>
      </w:r>
      <w:bookmarkEnd w:id="13"/>
    </w:p>
    <w:p w:rsidR="009C0D27" w:rsidRDefault="009C0D27" w:rsidP="009F0510"/>
    <w:p w:rsidR="009C0D27" w:rsidRPr="00995F4F" w:rsidRDefault="00995F4F" w:rsidP="00995F4F">
      <w:pPr>
        <w:pStyle w:val="Heading3"/>
      </w:pPr>
      <w:bookmarkStart w:id="14" w:name="_Toc50722142"/>
      <w:r w:rsidRPr="00995F4F">
        <w:t>3</w:t>
      </w:r>
      <w:r w:rsidR="009C0D27" w:rsidRPr="00995F4F">
        <w:t>.1.1/ Breach</w:t>
      </w:r>
      <w:bookmarkEnd w:id="14"/>
    </w:p>
    <w:p w:rsidR="009C0D27" w:rsidRDefault="009C0D27" w:rsidP="009C0D27">
      <w:r>
        <w:t xml:space="preserve">An incident has been reported by a manager who has accidentally sent a list of names and addresses of their members of staff, to a member of the public. The manager had meant to send a leaflet however accidentally attached the list of names and addresses instead. This list should not have been stored on their local network however they had downloaded from an operational system to carry out their work in a timely manner. </w:t>
      </w:r>
    </w:p>
    <w:p w:rsidR="009C0D27" w:rsidRDefault="009C0D27" w:rsidP="009C0D27"/>
    <w:p w:rsidR="009C0D27" w:rsidRDefault="00995F4F" w:rsidP="009C0D27">
      <w:pPr>
        <w:pStyle w:val="Heading3"/>
      </w:pPr>
      <w:bookmarkStart w:id="15" w:name="_Toc50722143"/>
      <w:r>
        <w:t>3</w:t>
      </w:r>
      <w:r w:rsidR="009C0D27">
        <w:t>.1.2/ Data</w:t>
      </w:r>
      <w:bookmarkEnd w:id="15"/>
    </w:p>
    <w:p w:rsidR="009C0D27" w:rsidRDefault="009C0D27" w:rsidP="009C0D27">
      <w:r>
        <w:t>The data included were names and addresses of staff members and this is held by the manager to carry out managerial tasks such as to send correspondence to their home address. It was held to carry out these tasks in a more efficient manner however this is not how the data should be held. Identifiable data should not be stored on a desktop and the manager should carry out these tasks using the operational system.</w:t>
      </w:r>
      <w:r w:rsidR="00EB7FDB">
        <w:t xml:space="preserve"> </w:t>
      </w:r>
    </w:p>
    <w:p w:rsidR="009C0D27" w:rsidRDefault="009C0D27" w:rsidP="00995F4F">
      <w:pPr>
        <w:pStyle w:val="Heading1"/>
      </w:pPr>
    </w:p>
    <w:p w:rsidR="009C0D27" w:rsidRDefault="00995F4F" w:rsidP="00995F4F">
      <w:pPr>
        <w:pStyle w:val="Heading2"/>
      </w:pPr>
      <w:bookmarkStart w:id="16" w:name="_Toc50722144"/>
      <w:r>
        <w:t>3</w:t>
      </w:r>
      <w:r w:rsidR="009C0D27">
        <w:t>.2/ Data Protection Implications</w:t>
      </w:r>
      <w:bookmarkEnd w:id="16"/>
    </w:p>
    <w:p w:rsidR="009C0D27" w:rsidRDefault="009C0D27" w:rsidP="009F0510"/>
    <w:p w:rsidR="009C0D27" w:rsidRDefault="00995F4F" w:rsidP="00995F4F">
      <w:pPr>
        <w:pStyle w:val="Heading3"/>
      </w:pPr>
      <w:bookmarkStart w:id="17" w:name="_Toc50722145"/>
      <w:r>
        <w:t>3</w:t>
      </w:r>
      <w:r w:rsidR="009C0D27">
        <w:t>.2.1/ Principles</w:t>
      </w:r>
      <w:bookmarkEnd w:id="17"/>
      <w:r w:rsidR="009C0D27">
        <w:t xml:space="preserve"> </w:t>
      </w:r>
    </w:p>
    <w:p w:rsidR="009C0D27" w:rsidRDefault="009C0D27" w:rsidP="009C0D27">
      <w:r>
        <w:t xml:space="preserve">As personal data has been distributed without the data subjects consent, this scenario breached the first principle in GDPR. This principle ensures data is processed fairly, lawfully and transparently. </w:t>
      </w:r>
      <w:r w:rsidR="00B565A8">
        <w:t xml:space="preserve">As there is also no security built in to eliminate the risk of this data breach happening this also goes against the integrity and confidentiality principle. By introducing password protected documents for example, this would have ensured that the member of public who received this data would be unable to open the document and view the data held within. As the manager has not been compliant with GDPR, it can be argued that the accountability principle has also been breached and this may highlight the need for staff to undergo further Information Governance training. Eventually, there is potential for the accuracy and storage limitation principle to be breached also. </w:t>
      </w:r>
    </w:p>
    <w:p w:rsidR="00B565A8" w:rsidRDefault="00B565A8" w:rsidP="009C0D27"/>
    <w:p w:rsidR="00B565A8" w:rsidRDefault="00B565A8" w:rsidP="00995F4F">
      <w:pPr>
        <w:pStyle w:val="Heading2"/>
      </w:pPr>
      <w:bookmarkStart w:id="18" w:name="_Toc50722146"/>
      <w:r>
        <w:t>3.3/ Risk Matrix</w:t>
      </w:r>
      <w:bookmarkEnd w:id="18"/>
      <w:r>
        <w:t xml:space="preserve"> </w:t>
      </w:r>
    </w:p>
    <w:p w:rsidR="009C0D27" w:rsidRDefault="009C0D27" w:rsidP="009F0510"/>
    <w:p w:rsidR="009C0D27" w:rsidRDefault="00B565A8" w:rsidP="00995F4F">
      <w:pPr>
        <w:pStyle w:val="Heading3"/>
      </w:pPr>
      <w:bookmarkStart w:id="19" w:name="_Toc50722147"/>
      <w:r>
        <w:t>3.3.1/ Likelihood Score</w:t>
      </w:r>
      <w:bookmarkEnd w:id="19"/>
    </w:p>
    <w:p w:rsidR="00B565A8" w:rsidRDefault="00B565A8" w:rsidP="009F0510">
      <w:r>
        <w:t xml:space="preserve">With reference to the risk matrix in figure 1, </w:t>
      </w:r>
      <w:r w:rsidR="00D94A1B">
        <w:t xml:space="preserve">it can be argued that </w:t>
      </w:r>
      <w:r>
        <w:t xml:space="preserve">the likelihood score could fall under </w:t>
      </w:r>
      <w:r w:rsidR="00D94A1B">
        <w:t xml:space="preserve">anywhere as high as three. If nothing is done to mitigate the risk, then the likelihood of this repeating itself by the same member of staff, or another individual is most certainly possible. </w:t>
      </w:r>
    </w:p>
    <w:p w:rsidR="00EB7FDB" w:rsidRDefault="00EB7FDB" w:rsidP="009F0510"/>
    <w:p w:rsidR="00D94A1B" w:rsidRDefault="00D94A1B" w:rsidP="00995F4F">
      <w:pPr>
        <w:pStyle w:val="Heading3"/>
      </w:pPr>
      <w:bookmarkStart w:id="20" w:name="_Toc50722148"/>
      <w:r>
        <w:t>3.3.2/ Impact Score</w:t>
      </w:r>
      <w:bookmarkEnd w:id="20"/>
    </w:p>
    <w:p w:rsidR="00D94A1B" w:rsidRDefault="00D94A1B" w:rsidP="009F0510">
      <w:r>
        <w:t>Again, in reference to figure 1, this particular scenario could be scored a three for severity levels. The personal data that has been leaked, could be considered as very personal information as it reveals their home address. If the member of public who received this information, had dealt with any of the data subjects involved in this scenario and were unhappy or upset with their conversion, then this could become dangerous and the member of the public may attempt to get in contact with them. However, the chances of the scenario above are rare, and hopefully would not happen. If this data had been sent to more than one member of the public</w:t>
      </w:r>
      <w:r w:rsidR="00EB7FDB">
        <w:t xml:space="preserve"> or if it affects hundreds or even thousands of staff members</w:t>
      </w:r>
      <w:r>
        <w:t>, then obviously this severity could be considered much higher.</w:t>
      </w:r>
    </w:p>
    <w:p w:rsidR="009726A4" w:rsidRDefault="009726A4" w:rsidP="00995F4F">
      <w:pPr>
        <w:pStyle w:val="Heading2"/>
      </w:pPr>
    </w:p>
    <w:p w:rsidR="009726A4" w:rsidRDefault="009726A4" w:rsidP="00995F4F">
      <w:pPr>
        <w:pStyle w:val="Heading2"/>
      </w:pPr>
      <w:bookmarkStart w:id="21" w:name="_Toc50722149"/>
      <w:r>
        <w:t>3.4/ Actions</w:t>
      </w:r>
      <w:bookmarkEnd w:id="21"/>
    </w:p>
    <w:p w:rsidR="009726A4" w:rsidRDefault="009726A4" w:rsidP="009726A4">
      <w:r>
        <w:t xml:space="preserve">There are several actions that should follow this data breach which will help towards mitigating the risk for potential further data breaches of a similar kind.  This would include ensuring all staff undergo further Information Governance training. This will refresh the staff with the procedures that should be taken to minimise the risk of a data breach. It should inform staff of their responsibilities when it comes to GDPR. The organisation’s system that allowed a user to print off staff member’s names and addresses and save to their desktop should also be reviewed as to whether it needs to implement security measures to stop staff from doing anything of this nature. If there is a requirement for this, then it either needs to be sent straight to a folder on a private network, or needs to be password protected. This </w:t>
      </w:r>
      <w:r w:rsidR="00203C6E">
        <w:t>will reduce the risk of staff confusing such a document with other documents on their desktop. If it</w:t>
      </w:r>
      <w:r w:rsidR="00AB70EF">
        <w:t xml:space="preserve"> i</w:t>
      </w:r>
      <w:r w:rsidR="00203C6E">
        <w:t>s password protected also, it would have removed the possibility of the member of public being able to view the personal data.</w:t>
      </w:r>
      <w:r>
        <w:t xml:space="preserve"> Following this, staff need to be reminded of the All Wales Information Governance Policy </w:t>
      </w:r>
      <w:r w:rsidR="00415C09">
        <w:t xml:space="preserve">which will ensure staff are more aware of their roles and responsibilities. A poster could also be produced and distributed throughout the </w:t>
      </w:r>
      <w:r w:rsidR="00415C09">
        <w:lastRenderedPageBreak/>
        <w:t xml:space="preserve">workplace which will also remind staff of the dangers of not being aware of their Information Governance policy. This approach will be a constant reminder and should be easy to understand and therefore potentially more desirable to read for staff. The managers role to manage staff sickness should also be reviewed as to whether this could be better managed by a designated team such are Human Resources. By taking this responsibility from managers and centralising the management of staff sickness could minimise the risk of this happening again as managers will no longer have to hold onto their staff’s personal details. As human resources would already have this information and a process in place to manage their data, it could be considered less likely for them to </w:t>
      </w:r>
      <w:r w:rsidR="00DE19B9">
        <w:t>leak such data.</w:t>
      </w:r>
      <w:r w:rsidR="00415C09">
        <w:t xml:space="preserve"> </w:t>
      </w:r>
    </w:p>
    <w:p w:rsidR="00DE19B9" w:rsidRDefault="00DE19B9" w:rsidP="00995F4F">
      <w:pPr>
        <w:pStyle w:val="Heading2"/>
      </w:pPr>
    </w:p>
    <w:p w:rsidR="00DE19B9" w:rsidRDefault="00DE19B9" w:rsidP="00995F4F">
      <w:pPr>
        <w:pStyle w:val="Heading2"/>
      </w:pPr>
      <w:bookmarkStart w:id="22" w:name="_Toc50722150"/>
      <w:r>
        <w:t>3.5/ Severity</w:t>
      </w:r>
      <w:bookmarkEnd w:id="22"/>
    </w:p>
    <w:p w:rsidR="00DE19B9" w:rsidRDefault="00DE19B9" w:rsidP="00995F4F">
      <w:pPr>
        <w:pStyle w:val="Heading2"/>
      </w:pPr>
    </w:p>
    <w:p w:rsidR="00FE20C1" w:rsidRDefault="00DE19B9" w:rsidP="00DE19B9">
      <w:r>
        <w:t>Following the likelihood and impact score discussed above, it could be argued that this breach does not need to be reported to the ICO. Although the data that has been breached is personal and easily identifiable, it is vital to note that this data has only been leaked to one member of the public. If this had been leaked to a larger audience, then the risk of this breach would increase and in that scenario, it may have been advised to contact the ICO. The likelihood of this scenario repeating itself has been considered possible, especially if no actions are implemented following this breach. With such data being so easily downloaded onto staff desktop, it would be probable that other managers have similar working practices in place and therefore there may be more than one member of staff with data of this kind saved on their desktop. Further investigation has also found that staff sick notes and occupational health reports are held on their desktop also which would also increase the likelihood of a similar scenario of emailing an incorrect document to the incorrect recipient</w:t>
      </w:r>
      <w:r w:rsidR="00FE20C1">
        <w:t>.</w:t>
      </w:r>
      <w:r>
        <w:t xml:space="preserve"> </w:t>
      </w:r>
    </w:p>
    <w:p w:rsidR="00FE20C1" w:rsidRDefault="00FE20C1" w:rsidP="00DE19B9"/>
    <w:p w:rsidR="00FE20C1" w:rsidRDefault="00FE20C1" w:rsidP="00995F4F">
      <w:pPr>
        <w:pStyle w:val="Heading2"/>
      </w:pPr>
      <w:bookmarkStart w:id="23" w:name="_Toc50722151"/>
      <w:r>
        <w:t>3.6/ Other Discoveries</w:t>
      </w:r>
      <w:bookmarkEnd w:id="23"/>
      <w:r>
        <w:t xml:space="preserve"> </w:t>
      </w:r>
    </w:p>
    <w:p w:rsidR="00FE20C1" w:rsidRDefault="00FE20C1" w:rsidP="00DE19B9">
      <w:r>
        <w:t>Following further investigations, staff sickness notes and occupational health reports were also found on the manager in question’</w:t>
      </w:r>
      <w:r w:rsidR="000A1C26">
        <w:t>s desktop. This creates serious concern as if this data was leaked, this would fall into special category data.</w:t>
      </w:r>
      <w:r w:rsidR="008321B1">
        <w:t xml:space="preserve"> According to the ICO, special category data </w:t>
      </w:r>
      <w:r w:rsidR="005C0403">
        <w:t xml:space="preserve">should have more protection as it is considered more sensitive. To process special category data, you must abide by Article 6 and conform to one of the conditions in Article 9 of GDPR. As an example, this would include explicit consent or vital interests. As special category data is considered higher risk, a DPIA (Data Processing Impact Assessment) should always been considered when processing this kind of data. If special category data was leaked, then the risk assessment would need to be re-evaluated. </w:t>
      </w:r>
      <w:r w:rsidR="005F38EA">
        <w:t xml:space="preserve">With reference to the risk matrix in figure 1, it would be fair to suggest that the likelihood of the scenario recurring would remain similar, however the impact could increase. As this data is a lot more sensitive as it includes their health details, then the impact becomes more severe and it would be sensible to increase the score to four. This increases the risk score to a twelve, and although it is still not considered in the high risk category, it is very close and could be argued that it should be reported to the ICO. It is again important to remember that this information has only been sent to one member of the public, and keeping this in mind allows us to consider not reporting this incident, if it were to happen, to the ICO. The ICO </w:t>
      </w:r>
      <w:sdt>
        <w:sdtPr>
          <w:id w:val="1190269032"/>
          <w:citation/>
        </w:sdtPr>
        <w:sdtContent>
          <w:r w:rsidR="005F38EA">
            <w:fldChar w:fldCharType="begin"/>
          </w:r>
          <w:r w:rsidR="005F38EA">
            <w:instrText xml:space="preserve"> CITATION Dat201 \l 2057 </w:instrText>
          </w:r>
          <w:r w:rsidR="005F38EA">
            <w:fldChar w:fldCharType="separate"/>
          </w:r>
          <w:r w:rsidR="00CB1AB9" w:rsidRPr="00CB1AB9">
            <w:rPr>
              <w:noProof/>
            </w:rPr>
            <w:t>[6]</w:t>
          </w:r>
          <w:r w:rsidR="005F38EA">
            <w:fldChar w:fldCharType="end"/>
          </w:r>
        </w:sdtContent>
      </w:sdt>
      <w:r w:rsidR="005F38EA">
        <w:t xml:space="preserve"> mention that </w:t>
      </w:r>
      <w:r w:rsidR="00995F4F">
        <w:t xml:space="preserve">many DPIA’s that they receive are where there are no actions that can be put in place to reduce the risk. As discuss in section 3 above, there are several actions demonstrated that can be carried out by the organisation which will reduce the risk of this happening again and therefore this potential incident does not need to be report to the ICO. Although the ICO does not need to be informed, it would be sensible to inform the data subjects involved. This is sensitive data, and morally it would be unfair to not inform data subjects of the incident. </w:t>
      </w:r>
    </w:p>
    <w:p w:rsidR="00995F4F" w:rsidRDefault="00995F4F" w:rsidP="00DE19B9"/>
    <w:p w:rsidR="00995F4F" w:rsidRDefault="00995F4F" w:rsidP="00995F4F">
      <w:pPr>
        <w:pStyle w:val="Heading1"/>
      </w:pPr>
      <w:bookmarkStart w:id="24" w:name="_Toc50722152"/>
      <w:r>
        <w:t>4/ Information Governance Committee Report</w:t>
      </w:r>
      <w:bookmarkEnd w:id="24"/>
      <w:r>
        <w:t xml:space="preserve"> </w:t>
      </w:r>
    </w:p>
    <w:p w:rsidR="00995F4F" w:rsidRPr="00995F4F" w:rsidRDefault="00995F4F" w:rsidP="00995F4F"/>
    <w:p w:rsidR="00FE20C1" w:rsidRDefault="00995F4F" w:rsidP="00995F4F">
      <w:pPr>
        <w:pStyle w:val="Heading2"/>
      </w:pPr>
      <w:bookmarkStart w:id="25" w:name="_Toc50722153"/>
      <w:r>
        <w:t>4.1/ Data Breach</w:t>
      </w:r>
      <w:bookmarkEnd w:id="25"/>
    </w:p>
    <w:p w:rsidR="00995F4F" w:rsidRDefault="006D6ACF" w:rsidP="00995F4F">
      <w:r>
        <w:t xml:space="preserve">An incident has been reported to the Information Governance manager where a member of staff has unintentionally disclosed a list of names and addresses of staff working within the organisation to a member of the public. The list of names and addresses were stored on their personal desktop and was mistaken for a leaflet that should have been sent instead. </w:t>
      </w:r>
    </w:p>
    <w:p w:rsidR="006D6ACF" w:rsidRDefault="006D6ACF" w:rsidP="00995F4F"/>
    <w:p w:rsidR="006D6ACF" w:rsidRPr="00995F4F" w:rsidRDefault="006D6ACF" w:rsidP="006D6ACF">
      <w:pPr>
        <w:pStyle w:val="Heading2"/>
      </w:pPr>
      <w:bookmarkStart w:id="26" w:name="_Toc50722154"/>
      <w:r>
        <w:t>4.2/ Risk</w:t>
      </w:r>
      <w:bookmarkEnd w:id="26"/>
    </w:p>
    <w:p w:rsidR="00FE20C1" w:rsidRDefault="006D6ACF" w:rsidP="00DE19B9">
      <w:r>
        <w:t>The risk of this breach has been considered against the risk matrix in figure 1 and a score of 9 has been suggested. The likelihood of this happening again, has been thought of as possible, however the amount of people who download this kind of data onto their desktop would need to be reviewed. If a large number of staff work this way, the likelihood of this repeating itself could be considered higher, especially if they have contact with the public</w:t>
      </w:r>
      <w:r w:rsidR="00C54AD6">
        <w:t xml:space="preserve">. Similarly, it could be considered lower if this is the only member of staff to carry out this working practice, and if they have little contact with the public. </w:t>
      </w:r>
      <w:r w:rsidR="001A0277">
        <w:t xml:space="preserve">The impact has been also been scored at a three suggesting the severity is moderate. This scoring has focused on how easy the data is identifiable. However as the data is personal and not special category, it could be argued that the score should be reduce to minor. </w:t>
      </w:r>
    </w:p>
    <w:p w:rsidR="001A0277" w:rsidRDefault="001A0277" w:rsidP="00DE19B9"/>
    <w:p w:rsidR="001A0277" w:rsidRDefault="001A0277" w:rsidP="001A0277">
      <w:pPr>
        <w:pStyle w:val="Heading2"/>
      </w:pPr>
      <w:bookmarkStart w:id="27" w:name="_Toc50722155"/>
      <w:r>
        <w:t>4.3/ Actions</w:t>
      </w:r>
      <w:bookmarkEnd w:id="27"/>
    </w:p>
    <w:p w:rsidR="001A0277" w:rsidRDefault="001A0277" w:rsidP="001A0277">
      <w:r>
        <w:t xml:space="preserve">Several actions that should be implemented following this breach have been discussed to help reduce the risk. Firstly, the organisation could encourage staff to undergo further mandatory information governance training, with the aim to refresh their awareness of their roles and responsibilities under GDPR. The organisation’s system involved in this breach could also be reviewed, and further security measures could be introduced which </w:t>
      </w:r>
      <w:r w:rsidR="00141EAC">
        <w:t xml:space="preserve">could either stop staff downloaded personal data onto their desktops entirely or they could introduce security mechanisms such as password protection. Furthermore staff should be encourage to educate themselves on the relevant organisational policies, such as the Information Governance Policy. Again, this will remind staff of their roles and responsibilities which will hopefully reduce the risk of a data breach of this kind repeating itself. As policies can be very formal and intimidating, a poster could also be developed, which would offer staff a constant reminder of the severities of a data breach. Finally, a review of working processes around staff details and sickness records should be undertaken. It’s a possibility that centralising any handling of such data, should be done by one department, such as Human Resources. As this department already handles such data, processes should already be in place to attempt to mitigate any data breaches of this kind. </w:t>
      </w:r>
    </w:p>
    <w:p w:rsidR="00CB1AB9" w:rsidRDefault="00CB1AB9" w:rsidP="001A0277"/>
    <w:p w:rsidR="00CB1AB9" w:rsidRDefault="00CB1AB9" w:rsidP="001A0277"/>
    <w:p w:rsidR="00CB1AB9" w:rsidRDefault="00CB1AB9" w:rsidP="001A0277"/>
    <w:p w:rsidR="00CB1AB9" w:rsidRDefault="00CB1AB9" w:rsidP="001A0277"/>
    <w:p w:rsidR="00CB1AB9" w:rsidRDefault="00CB1AB9" w:rsidP="001A0277"/>
    <w:p w:rsidR="00CB1AB9" w:rsidRPr="001A0277" w:rsidRDefault="00CB1AB9" w:rsidP="001A0277">
      <w:bookmarkStart w:id="28" w:name="_GoBack"/>
      <w:bookmarkEnd w:id="28"/>
    </w:p>
    <w:p w:rsidR="009726A4" w:rsidRDefault="009726A4" w:rsidP="00995F4F"/>
    <w:bookmarkStart w:id="29" w:name="_Toc50722156" w:displacedByCustomXml="next"/>
    <w:sdt>
      <w:sdtPr>
        <w:id w:val="-1724120295"/>
        <w:docPartObj>
          <w:docPartGallery w:val="Bibliographies"/>
          <w:docPartUnique/>
        </w:docPartObj>
      </w:sdtPr>
      <w:sdtEndPr>
        <w:rPr>
          <w:rFonts w:asciiTheme="minorHAnsi" w:eastAsiaTheme="minorHAnsi" w:hAnsiTheme="minorHAnsi" w:cstheme="minorBidi"/>
          <w:color w:val="auto"/>
          <w:sz w:val="22"/>
          <w:szCs w:val="22"/>
        </w:rPr>
      </w:sdtEndPr>
      <w:sdtContent>
        <w:p w:rsidR="00126BB5" w:rsidRDefault="00126BB5">
          <w:pPr>
            <w:pStyle w:val="Heading1"/>
          </w:pPr>
          <w:r>
            <w:t>References</w:t>
          </w:r>
          <w:bookmarkEnd w:id="29"/>
        </w:p>
        <w:sdt>
          <w:sdtPr>
            <w:id w:val="-573587230"/>
            <w:bibliography/>
          </w:sdtPr>
          <w:sdtContent>
            <w:p w:rsidR="00CB1AB9" w:rsidRDefault="00126B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5"/>
                <w:gridCol w:w="8761"/>
              </w:tblGrid>
              <w:tr w:rsidR="00CB1AB9">
                <w:trPr>
                  <w:divId w:val="534345089"/>
                  <w:tblCellSpacing w:w="15" w:type="dxa"/>
                </w:trPr>
                <w:tc>
                  <w:tcPr>
                    <w:tcW w:w="50" w:type="pct"/>
                    <w:hideMark/>
                  </w:tcPr>
                  <w:p w:rsidR="00CB1AB9" w:rsidRDefault="00CB1AB9">
                    <w:pPr>
                      <w:pStyle w:val="Bibliography"/>
                      <w:rPr>
                        <w:noProof/>
                        <w:sz w:val="24"/>
                        <w:szCs w:val="24"/>
                      </w:rPr>
                    </w:pPr>
                    <w:r>
                      <w:rPr>
                        <w:noProof/>
                      </w:rPr>
                      <w:t xml:space="preserve">[1] </w:t>
                    </w:r>
                  </w:p>
                </w:tc>
                <w:tc>
                  <w:tcPr>
                    <w:tcW w:w="0" w:type="auto"/>
                    <w:hideMark/>
                  </w:tcPr>
                  <w:p w:rsidR="00CB1AB9" w:rsidRDefault="00CB1AB9">
                    <w:pPr>
                      <w:pStyle w:val="Bibliography"/>
                      <w:rPr>
                        <w:noProof/>
                      </w:rPr>
                    </w:pPr>
                    <w:r>
                      <w:rPr>
                        <w:noProof/>
                      </w:rPr>
                      <w:t>“What is personal data?,” Information Commissioner's Office, [Online]. Available: https://ico.org.uk/for-organisations/guide-to-data-protection/guide-to-the-general-data-protection-regulation-gdpr/key-definitions/what-is-personal-data/. [Accessed 7 September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[2] </w:t>
                    </w:r>
                  </w:p>
                </w:tc>
                <w:tc>
                  <w:tcPr>
                    <w:tcW w:w="0" w:type="auto"/>
                    <w:hideMark/>
                  </w:tcPr>
                  <w:p w:rsidR="00CB1AB9" w:rsidRDefault="00CB1AB9">
                    <w:pPr>
                      <w:pStyle w:val="Bibliography"/>
                      <w:rPr>
                        <w:noProof/>
                      </w:rPr>
                    </w:pPr>
                    <w:r>
                      <w:rPr>
                        <w:noProof/>
                      </w:rPr>
                      <w:t>I. G. M. A. G. P. S. Group, “NHS Wales Information Governance Policy,” 26 June 2018. [Online]. Available: http://www.wales.nhs.uk/sites3/Documents/950/Draft%20All%20Wales%20Information%20Governance%20Policy%20v1.pdf. [Accessed 26 August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[3] </w:t>
                    </w:r>
                  </w:p>
                </w:tc>
                <w:tc>
                  <w:tcPr>
                    <w:tcW w:w="0" w:type="auto"/>
                    <w:hideMark/>
                  </w:tcPr>
                  <w:p w:rsidR="00CB1AB9" w:rsidRDefault="00CB1AB9">
                    <w:pPr>
                      <w:pStyle w:val="Bibliography"/>
                      <w:rPr>
                        <w:noProof/>
                      </w:rPr>
                    </w:pPr>
                    <w:r>
                      <w:rPr>
                        <w:noProof/>
                      </w:rPr>
                      <w:t>I. G. Manager, NHS Wales Informatics Service, February 2018. [Online]. [Accessed 9 September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[4] </w:t>
                    </w:r>
                  </w:p>
                </w:tc>
                <w:tc>
                  <w:tcPr>
                    <w:tcW w:w="0" w:type="auto"/>
                    <w:hideMark/>
                  </w:tcPr>
                  <w:p w:rsidR="00CB1AB9" w:rsidRDefault="00CB1AB9">
                    <w:pPr>
                      <w:pStyle w:val="Bibliography"/>
                      <w:rPr>
                        <w:noProof/>
                      </w:rPr>
                    </w:pPr>
                    <w:r>
                      <w:rPr>
                        <w:noProof/>
                      </w:rPr>
                      <w:t>“Special category data,” Information Commissioner's Office, [Online]. Available: https://ico.org.uk/for-organisations/guide-to-data-protection/guide-to-the-general-data-protection-regulation-gdpr/lawful-basis-for-processing/special-category-data/. [Accessed 26 August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[5] </w:t>
                    </w:r>
                  </w:p>
                </w:tc>
                <w:tc>
                  <w:tcPr>
                    <w:tcW w:w="0" w:type="auto"/>
                    <w:hideMark/>
                  </w:tcPr>
                  <w:p w:rsidR="00CB1AB9" w:rsidRDefault="00CB1AB9">
                    <w:pPr>
                      <w:pStyle w:val="Bibliography"/>
                      <w:rPr>
                        <w:noProof/>
                      </w:rPr>
                    </w:pPr>
                    <w:r>
                      <w:rPr>
                        <w:noProof/>
                      </w:rPr>
                      <w:t>“Personal Data Breaches,” Information Commissioner's Office, [Online]. Available: https://ico.org.uk/for-organisations/guide-to-data-protection/guide-to-the-general-data-protection-regulation-gdpr/personal-data-breaches/. [Accessed 26 August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[6] </w:t>
                    </w:r>
                  </w:p>
                </w:tc>
                <w:tc>
                  <w:tcPr>
                    <w:tcW w:w="0" w:type="auto"/>
                    <w:hideMark/>
                  </w:tcPr>
                  <w:p w:rsidR="00CB1AB9" w:rsidRDefault="00CB1AB9">
                    <w:pPr>
                      <w:pStyle w:val="Bibliography"/>
                      <w:rPr>
                        <w:noProof/>
                      </w:rPr>
                    </w:pPr>
                    <w:r>
                      <w:rPr>
                        <w:noProof/>
                      </w:rPr>
                      <w:t>“Data protection impact assessments,” Information Commisioners Office , [Online]. Available: https://ico.org.uk/for-organisations/guide-to-data-protection/guide-to-the-general-data-protection-regulation-gdpr/accountability-and-governance/data-protection-impact-assessments/. [Accessed 10 September 2020].</w:t>
                    </w:r>
                  </w:p>
                </w:tc>
              </w:tr>
              <w:tr w:rsidR="00CB1AB9">
                <w:trPr>
                  <w:divId w:val="534345089"/>
                  <w:tblCellSpacing w:w="15" w:type="dxa"/>
                </w:trPr>
                <w:tc>
                  <w:tcPr>
                    <w:tcW w:w="50" w:type="pct"/>
                    <w:hideMark/>
                  </w:tcPr>
                  <w:p w:rsidR="00CB1AB9" w:rsidRDefault="00CB1AB9">
                    <w:pPr>
                      <w:pStyle w:val="Bibliography"/>
                      <w:rPr>
                        <w:noProof/>
                      </w:rPr>
                    </w:pPr>
                    <w:r>
                      <w:rPr>
                        <w:noProof/>
                      </w:rPr>
                      <w:t xml:space="preserve">[7] </w:t>
                    </w:r>
                  </w:p>
                </w:tc>
                <w:tc>
                  <w:tcPr>
                    <w:tcW w:w="0" w:type="auto"/>
                    <w:hideMark/>
                  </w:tcPr>
                  <w:p w:rsidR="00CB1AB9" w:rsidRDefault="00CB1AB9">
                    <w:pPr>
                      <w:pStyle w:val="Bibliography"/>
                      <w:rPr>
                        <w:noProof/>
                      </w:rPr>
                    </w:pPr>
                    <w:r>
                      <w:rPr>
                        <w:noProof/>
                      </w:rPr>
                      <w:t>“How do we do a DPIA?,” Information Commissioner's Office, [Online]. Available: https://ico.org.uk/for-organisations/guide-to-data-protection/guide-to-the-general-data-protection-regulation-gdpr/data-protection-impact-assessments-dpias/how-do-we-do-a-dpia/. [Accessed 25 August 2020].</w:t>
                    </w:r>
                  </w:p>
                </w:tc>
              </w:tr>
            </w:tbl>
            <w:p w:rsidR="00CB1AB9" w:rsidRDefault="00CB1AB9">
              <w:pPr>
                <w:divId w:val="534345089"/>
                <w:rPr>
                  <w:rFonts w:eastAsia="Times New Roman"/>
                  <w:noProof/>
                </w:rPr>
              </w:pPr>
            </w:p>
            <w:p w:rsidR="00126BB5" w:rsidRDefault="00126BB5">
              <w:r>
                <w:rPr>
                  <w:b/>
                  <w:bCs/>
                  <w:noProof/>
                </w:rPr>
                <w:fldChar w:fldCharType="end"/>
              </w:r>
            </w:p>
          </w:sdtContent>
        </w:sdt>
      </w:sdtContent>
    </w:sdt>
    <w:p w:rsidR="001A0277" w:rsidRPr="009F0510" w:rsidRDefault="001A0277" w:rsidP="00995F4F"/>
    <w:sectPr w:rsidR="001A0277" w:rsidRPr="009F0510" w:rsidSect="005323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0D71A4"/>
    <w:multiLevelType w:val="hybridMultilevel"/>
    <w:tmpl w:val="F0D0F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644554"/>
    <w:multiLevelType w:val="hybridMultilevel"/>
    <w:tmpl w:val="CB26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F6C6A"/>
    <w:multiLevelType w:val="hybridMultilevel"/>
    <w:tmpl w:val="F9EA41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382"/>
    <w:rsid w:val="00074C9B"/>
    <w:rsid w:val="000A1C26"/>
    <w:rsid w:val="000A332C"/>
    <w:rsid w:val="001174B2"/>
    <w:rsid w:val="00126BB5"/>
    <w:rsid w:val="00141EAC"/>
    <w:rsid w:val="00153C98"/>
    <w:rsid w:val="001A0277"/>
    <w:rsid w:val="001A47EA"/>
    <w:rsid w:val="001E707A"/>
    <w:rsid w:val="00203C6E"/>
    <w:rsid w:val="00206619"/>
    <w:rsid w:val="00274B59"/>
    <w:rsid w:val="002926E4"/>
    <w:rsid w:val="002A70C8"/>
    <w:rsid w:val="002F2004"/>
    <w:rsid w:val="00357DEB"/>
    <w:rsid w:val="003725A9"/>
    <w:rsid w:val="00391F84"/>
    <w:rsid w:val="003A7FA0"/>
    <w:rsid w:val="00415C09"/>
    <w:rsid w:val="00442522"/>
    <w:rsid w:val="004D0E85"/>
    <w:rsid w:val="004F32D5"/>
    <w:rsid w:val="005014FD"/>
    <w:rsid w:val="00513607"/>
    <w:rsid w:val="00532382"/>
    <w:rsid w:val="0053581B"/>
    <w:rsid w:val="00537798"/>
    <w:rsid w:val="00547B08"/>
    <w:rsid w:val="00584396"/>
    <w:rsid w:val="005C0403"/>
    <w:rsid w:val="005F38EA"/>
    <w:rsid w:val="005F7A00"/>
    <w:rsid w:val="006823FD"/>
    <w:rsid w:val="006B3B8C"/>
    <w:rsid w:val="006D6ACF"/>
    <w:rsid w:val="007309D1"/>
    <w:rsid w:val="007D5B68"/>
    <w:rsid w:val="008321B1"/>
    <w:rsid w:val="00856776"/>
    <w:rsid w:val="009537A4"/>
    <w:rsid w:val="009726A4"/>
    <w:rsid w:val="00995F4F"/>
    <w:rsid w:val="009C0D27"/>
    <w:rsid w:val="009F0510"/>
    <w:rsid w:val="00A1650E"/>
    <w:rsid w:val="00AB70EF"/>
    <w:rsid w:val="00AC0630"/>
    <w:rsid w:val="00B44EB4"/>
    <w:rsid w:val="00B565A8"/>
    <w:rsid w:val="00BB543E"/>
    <w:rsid w:val="00BC7BD1"/>
    <w:rsid w:val="00C54AD6"/>
    <w:rsid w:val="00CB1AB9"/>
    <w:rsid w:val="00CD0DA6"/>
    <w:rsid w:val="00CE50C6"/>
    <w:rsid w:val="00D617A4"/>
    <w:rsid w:val="00D71251"/>
    <w:rsid w:val="00D94A1B"/>
    <w:rsid w:val="00DD1168"/>
    <w:rsid w:val="00DE19B9"/>
    <w:rsid w:val="00EA7953"/>
    <w:rsid w:val="00EB7FDB"/>
    <w:rsid w:val="00F6659A"/>
    <w:rsid w:val="00F90916"/>
    <w:rsid w:val="00FB18B1"/>
    <w:rsid w:val="00FB4DB7"/>
    <w:rsid w:val="00FC47BD"/>
    <w:rsid w:val="00FC4D59"/>
    <w:rsid w:val="00FE2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B3C92"/>
  <w15:chartTrackingRefBased/>
  <w15:docId w15:val="{F49653AF-CDD7-4E78-97C1-9656A770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38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23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5A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2382"/>
    <w:pPr>
      <w:spacing w:line="240" w:lineRule="auto"/>
    </w:pPr>
    <w:rPr>
      <w:rFonts w:eastAsiaTheme="minorEastAsia"/>
      <w:lang w:val="en-US"/>
    </w:rPr>
  </w:style>
  <w:style w:type="character" w:customStyle="1" w:styleId="NoSpacingChar">
    <w:name w:val="No Spacing Char"/>
    <w:basedOn w:val="DefaultParagraphFont"/>
    <w:link w:val="NoSpacing"/>
    <w:uiPriority w:val="1"/>
    <w:rsid w:val="00532382"/>
    <w:rPr>
      <w:rFonts w:eastAsiaTheme="minorEastAsia"/>
      <w:lang w:val="en-US"/>
    </w:rPr>
  </w:style>
  <w:style w:type="character" w:customStyle="1" w:styleId="Heading1Char">
    <w:name w:val="Heading 1 Char"/>
    <w:basedOn w:val="DefaultParagraphFont"/>
    <w:link w:val="Heading1"/>
    <w:uiPriority w:val="9"/>
    <w:rsid w:val="0053238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32382"/>
    <w:pPr>
      <w:outlineLvl w:val="9"/>
    </w:pPr>
    <w:rPr>
      <w:lang w:val="en-US"/>
    </w:rPr>
  </w:style>
  <w:style w:type="paragraph" w:styleId="TOC1">
    <w:name w:val="toc 1"/>
    <w:basedOn w:val="Normal"/>
    <w:next w:val="Normal"/>
    <w:autoRedefine/>
    <w:uiPriority w:val="39"/>
    <w:unhideWhenUsed/>
    <w:rsid w:val="00532382"/>
    <w:pPr>
      <w:spacing w:after="100"/>
    </w:pPr>
  </w:style>
  <w:style w:type="character" w:styleId="Hyperlink">
    <w:name w:val="Hyperlink"/>
    <w:basedOn w:val="DefaultParagraphFont"/>
    <w:uiPriority w:val="99"/>
    <w:unhideWhenUsed/>
    <w:rsid w:val="00532382"/>
    <w:rPr>
      <w:color w:val="0563C1" w:themeColor="hyperlink"/>
      <w:u w:val="single"/>
    </w:rPr>
  </w:style>
  <w:style w:type="character" w:customStyle="1" w:styleId="Heading2Char">
    <w:name w:val="Heading 2 Char"/>
    <w:basedOn w:val="DefaultParagraphFont"/>
    <w:link w:val="Heading2"/>
    <w:uiPriority w:val="9"/>
    <w:rsid w:val="0053238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725A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0A332C"/>
    <w:pPr>
      <w:spacing w:after="100"/>
      <w:ind w:left="220"/>
    </w:pPr>
  </w:style>
  <w:style w:type="paragraph" w:styleId="TOC3">
    <w:name w:val="toc 3"/>
    <w:basedOn w:val="Normal"/>
    <w:next w:val="Normal"/>
    <w:autoRedefine/>
    <w:uiPriority w:val="39"/>
    <w:unhideWhenUsed/>
    <w:rsid w:val="000A332C"/>
    <w:pPr>
      <w:spacing w:after="100"/>
      <w:ind w:left="440"/>
    </w:pPr>
  </w:style>
  <w:style w:type="paragraph" w:styleId="ListParagraph">
    <w:name w:val="List Paragraph"/>
    <w:basedOn w:val="Normal"/>
    <w:uiPriority w:val="34"/>
    <w:qFormat/>
    <w:rsid w:val="00BC7BD1"/>
    <w:pPr>
      <w:ind w:left="720"/>
      <w:contextualSpacing/>
    </w:pPr>
  </w:style>
  <w:style w:type="paragraph" w:styleId="Bibliography">
    <w:name w:val="Bibliography"/>
    <w:basedOn w:val="Normal"/>
    <w:next w:val="Normal"/>
    <w:uiPriority w:val="37"/>
    <w:unhideWhenUsed/>
    <w:rsid w:val="0012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3647">
      <w:bodyDiv w:val="1"/>
      <w:marLeft w:val="0"/>
      <w:marRight w:val="0"/>
      <w:marTop w:val="0"/>
      <w:marBottom w:val="0"/>
      <w:divBdr>
        <w:top w:val="none" w:sz="0" w:space="0" w:color="auto"/>
        <w:left w:val="none" w:sz="0" w:space="0" w:color="auto"/>
        <w:bottom w:val="none" w:sz="0" w:space="0" w:color="auto"/>
        <w:right w:val="none" w:sz="0" w:space="0" w:color="auto"/>
      </w:divBdr>
    </w:div>
    <w:div w:id="88741269">
      <w:bodyDiv w:val="1"/>
      <w:marLeft w:val="0"/>
      <w:marRight w:val="0"/>
      <w:marTop w:val="0"/>
      <w:marBottom w:val="0"/>
      <w:divBdr>
        <w:top w:val="none" w:sz="0" w:space="0" w:color="auto"/>
        <w:left w:val="none" w:sz="0" w:space="0" w:color="auto"/>
        <w:bottom w:val="none" w:sz="0" w:space="0" w:color="auto"/>
        <w:right w:val="none" w:sz="0" w:space="0" w:color="auto"/>
      </w:divBdr>
    </w:div>
    <w:div w:id="110318881">
      <w:bodyDiv w:val="1"/>
      <w:marLeft w:val="0"/>
      <w:marRight w:val="0"/>
      <w:marTop w:val="0"/>
      <w:marBottom w:val="0"/>
      <w:divBdr>
        <w:top w:val="none" w:sz="0" w:space="0" w:color="auto"/>
        <w:left w:val="none" w:sz="0" w:space="0" w:color="auto"/>
        <w:bottom w:val="none" w:sz="0" w:space="0" w:color="auto"/>
        <w:right w:val="none" w:sz="0" w:space="0" w:color="auto"/>
      </w:divBdr>
    </w:div>
    <w:div w:id="123738521">
      <w:bodyDiv w:val="1"/>
      <w:marLeft w:val="0"/>
      <w:marRight w:val="0"/>
      <w:marTop w:val="0"/>
      <w:marBottom w:val="0"/>
      <w:divBdr>
        <w:top w:val="none" w:sz="0" w:space="0" w:color="auto"/>
        <w:left w:val="none" w:sz="0" w:space="0" w:color="auto"/>
        <w:bottom w:val="none" w:sz="0" w:space="0" w:color="auto"/>
        <w:right w:val="none" w:sz="0" w:space="0" w:color="auto"/>
      </w:divBdr>
    </w:div>
    <w:div w:id="191309113">
      <w:bodyDiv w:val="1"/>
      <w:marLeft w:val="0"/>
      <w:marRight w:val="0"/>
      <w:marTop w:val="0"/>
      <w:marBottom w:val="0"/>
      <w:divBdr>
        <w:top w:val="none" w:sz="0" w:space="0" w:color="auto"/>
        <w:left w:val="none" w:sz="0" w:space="0" w:color="auto"/>
        <w:bottom w:val="none" w:sz="0" w:space="0" w:color="auto"/>
        <w:right w:val="none" w:sz="0" w:space="0" w:color="auto"/>
      </w:divBdr>
    </w:div>
    <w:div w:id="244388866">
      <w:bodyDiv w:val="1"/>
      <w:marLeft w:val="0"/>
      <w:marRight w:val="0"/>
      <w:marTop w:val="0"/>
      <w:marBottom w:val="0"/>
      <w:divBdr>
        <w:top w:val="none" w:sz="0" w:space="0" w:color="auto"/>
        <w:left w:val="none" w:sz="0" w:space="0" w:color="auto"/>
        <w:bottom w:val="none" w:sz="0" w:space="0" w:color="auto"/>
        <w:right w:val="none" w:sz="0" w:space="0" w:color="auto"/>
      </w:divBdr>
    </w:div>
    <w:div w:id="252053492">
      <w:bodyDiv w:val="1"/>
      <w:marLeft w:val="0"/>
      <w:marRight w:val="0"/>
      <w:marTop w:val="0"/>
      <w:marBottom w:val="0"/>
      <w:divBdr>
        <w:top w:val="none" w:sz="0" w:space="0" w:color="auto"/>
        <w:left w:val="none" w:sz="0" w:space="0" w:color="auto"/>
        <w:bottom w:val="none" w:sz="0" w:space="0" w:color="auto"/>
        <w:right w:val="none" w:sz="0" w:space="0" w:color="auto"/>
      </w:divBdr>
    </w:div>
    <w:div w:id="254479535">
      <w:bodyDiv w:val="1"/>
      <w:marLeft w:val="0"/>
      <w:marRight w:val="0"/>
      <w:marTop w:val="0"/>
      <w:marBottom w:val="0"/>
      <w:divBdr>
        <w:top w:val="none" w:sz="0" w:space="0" w:color="auto"/>
        <w:left w:val="none" w:sz="0" w:space="0" w:color="auto"/>
        <w:bottom w:val="none" w:sz="0" w:space="0" w:color="auto"/>
        <w:right w:val="none" w:sz="0" w:space="0" w:color="auto"/>
      </w:divBdr>
    </w:div>
    <w:div w:id="261186906">
      <w:bodyDiv w:val="1"/>
      <w:marLeft w:val="0"/>
      <w:marRight w:val="0"/>
      <w:marTop w:val="0"/>
      <w:marBottom w:val="0"/>
      <w:divBdr>
        <w:top w:val="none" w:sz="0" w:space="0" w:color="auto"/>
        <w:left w:val="none" w:sz="0" w:space="0" w:color="auto"/>
        <w:bottom w:val="none" w:sz="0" w:space="0" w:color="auto"/>
        <w:right w:val="none" w:sz="0" w:space="0" w:color="auto"/>
      </w:divBdr>
    </w:div>
    <w:div w:id="286859455">
      <w:bodyDiv w:val="1"/>
      <w:marLeft w:val="0"/>
      <w:marRight w:val="0"/>
      <w:marTop w:val="0"/>
      <w:marBottom w:val="0"/>
      <w:divBdr>
        <w:top w:val="none" w:sz="0" w:space="0" w:color="auto"/>
        <w:left w:val="none" w:sz="0" w:space="0" w:color="auto"/>
        <w:bottom w:val="none" w:sz="0" w:space="0" w:color="auto"/>
        <w:right w:val="none" w:sz="0" w:space="0" w:color="auto"/>
      </w:divBdr>
    </w:div>
    <w:div w:id="344284585">
      <w:bodyDiv w:val="1"/>
      <w:marLeft w:val="0"/>
      <w:marRight w:val="0"/>
      <w:marTop w:val="0"/>
      <w:marBottom w:val="0"/>
      <w:divBdr>
        <w:top w:val="none" w:sz="0" w:space="0" w:color="auto"/>
        <w:left w:val="none" w:sz="0" w:space="0" w:color="auto"/>
        <w:bottom w:val="none" w:sz="0" w:space="0" w:color="auto"/>
        <w:right w:val="none" w:sz="0" w:space="0" w:color="auto"/>
      </w:divBdr>
    </w:div>
    <w:div w:id="352147588">
      <w:bodyDiv w:val="1"/>
      <w:marLeft w:val="0"/>
      <w:marRight w:val="0"/>
      <w:marTop w:val="0"/>
      <w:marBottom w:val="0"/>
      <w:divBdr>
        <w:top w:val="none" w:sz="0" w:space="0" w:color="auto"/>
        <w:left w:val="none" w:sz="0" w:space="0" w:color="auto"/>
        <w:bottom w:val="none" w:sz="0" w:space="0" w:color="auto"/>
        <w:right w:val="none" w:sz="0" w:space="0" w:color="auto"/>
      </w:divBdr>
    </w:div>
    <w:div w:id="374089246">
      <w:bodyDiv w:val="1"/>
      <w:marLeft w:val="0"/>
      <w:marRight w:val="0"/>
      <w:marTop w:val="0"/>
      <w:marBottom w:val="0"/>
      <w:divBdr>
        <w:top w:val="none" w:sz="0" w:space="0" w:color="auto"/>
        <w:left w:val="none" w:sz="0" w:space="0" w:color="auto"/>
        <w:bottom w:val="none" w:sz="0" w:space="0" w:color="auto"/>
        <w:right w:val="none" w:sz="0" w:space="0" w:color="auto"/>
      </w:divBdr>
    </w:div>
    <w:div w:id="430586538">
      <w:bodyDiv w:val="1"/>
      <w:marLeft w:val="0"/>
      <w:marRight w:val="0"/>
      <w:marTop w:val="0"/>
      <w:marBottom w:val="0"/>
      <w:divBdr>
        <w:top w:val="none" w:sz="0" w:space="0" w:color="auto"/>
        <w:left w:val="none" w:sz="0" w:space="0" w:color="auto"/>
        <w:bottom w:val="none" w:sz="0" w:space="0" w:color="auto"/>
        <w:right w:val="none" w:sz="0" w:space="0" w:color="auto"/>
      </w:divBdr>
    </w:div>
    <w:div w:id="470027027">
      <w:bodyDiv w:val="1"/>
      <w:marLeft w:val="0"/>
      <w:marRight w:val="0"/>
      <w:marTop w:val="0"/>
      <w:marBottom w:val="0"/>
      <w:divBdr>
        <w:top w:val="none" w:sz="0" w:space="0" w:color="auto"/>
        <w:left w:val="none" w:sz="0" w:space="0" w:color="auto"/>
        <w:bottom w:val="none" w:sz="0" w:space="0" w:color="auto"/>
        <w:right w:val="none" w:sz="0" w:space="0" w:color="auto"/>
      </w:divBdr>
    </w:div>
    <w:div w:id="481194789">
      <w:bodyDiv w:val="1"/>
      <w:marLeft w:val="0"/>
      <w:marRight w:val="0"/>
      <w:marTop w:val="0"/>
      <w:marBottom w:val="0"/>
      <w:divBdr>
        <w:top w:val="none" w:sz="0" w:space="0" w:color="auto"/>
        <w:left w:val="none" w:sz="0" w:space="0" w:color="auto"/>
        <w:bottom w:val="none" w:sz="0" w:space="0" w:color="auto"/>
        <w:right w:val="none" w:sz="0" w:space="0" w:color="auto"/>
      </w:divBdr>
    </w:div>
    <w:div w:id="534345089">
      <w:bodyDiv w:val="1"/>
      <w:marLeft w:val="0"/>
      <w:marRight w:val="0"/>
      <w:marTop w:val="0"/>
      <w:marBottom w:val="0"/>
      <w:divBdr>
        <w:top w:val="none" w:sz="0" w:space="0" w:color="auto"/>
        <w:left w:val="none" w:sz="0" w:space="0" w:color="auto"/>
        <w:bottom w:val="none" w:sz="0" w:space="0" w:color="auto"/>
        <w:right w:val="none" w:sz="0" w:space="0" w:color="auto"/>
      </w:divBdr>
    </w:div>
    <w:div w:id="616912278">
      <w:bodyDiv w:val="1"/>
      <w:marLeft w:val="0"/>
      <w:marRight w:val="0"/>
      <w:marTop w:val="0"/>
      <w:marBottom w:val="0"/>
      <w:divBdr>
        <w:top w:val="none" w:sz="0" w:space="0" w:color="auto"/>
        <w:left w:val="none" w:sz="0" w:space="0" w:color="auto"/>
        <w:bottom w:val="none" w:sz="0" w:space="0" w:color="auto"/>
        <w:right w:val="none" w:sz="0" w:space="0" w:color="auto"/>
      </w:divBdr>
    </w:div>
    <w:div w:id="657805444">
      <w:bodyDiv w:val="1"/>
      <w:marLeft w:val="0"/>
      <w:marRight w:val="0"/>
      <w:marTop w:val="0"/>
      <w:marBottom w:val="0"/>
      <w:divBdr>
        <w:top w:val="none" w:sz="0" w:space="0" w:color="auto"/>
        <w:left w:val="none" w:sz="0" w:space="0" w:color="auto"/>
        <w:bottom w:val="none" w:sz="0" w:space="0" w:color="auto"/>
        <w:right w:val="none" w:sz="0" w:space="0" w:color="auto"/>
      </w:divBdr>
    </w:div>
    <w:div w:id="691735024">
      <w:bodyDiv w:val="1"/>
      <w:marLeft w:val="0"/>
      <w:marRight w:val="0"/>
      <w:marTop w:val="0"/>
      <w:marBottom w:val="0"/>
      <w:divBdr>
        <w:top w:val="none" w:sz="0" w:space="0" w:color="auto"/>
        <w:left w:val="none" w:sz="0" w:space="0" w:color="auto"/>
        <w:bottom w:val="none" w:sz="0" w:space="0" w:color="auto"/>
        <w:right w:val="none" w:sz="0" w:space="0" w:color="auto"/>
      </w:divBdr>
    </w:div>
    <w:div w:id="811942061">
      <w:bodyDiv w:val="1"/>
      <w:marLeft w:val="0"/>
      <w:marRight w:val="0"/>
      <w:marTop w:val="0"/>
      <w:marBottom w:val="0"/>
      <w:divBdr>
        <w:top w:val="none" w:sz="0" w:space="0" w:color="auto"/>
        <w:left w:val="none" w:sz="0" w:space="0" w:color="auto"/>
        <w:bottom w:val="none" w:sz="0" w:space="0" w:color="auto"/>
        <w:right w:val="none" w:sz="0" w:space="0" w:color="auto"/>
      </w:divBdr>
    </w:div>
    <w:div w:id="973290056">
      <w:bodyDiv w:val="1"/>
      <w:marLeft w:val="0"/>
      <w:marRight w:val="0"/>
      <w:marTop w:val="0"/>
      <w:marBottom w:val="0"/>
      <w:divBdr>
        <w:top w:val="none" w:sz="0" w:space="0" w:color="auto"/>
        <w:left w:val="none" w:sz="0" w:space="0" w:color="auto"/>
        <w:bottom w:val="none" w:sz="0" w:space="0" w:color="auto"/>
        <w:right w:val="none" w:sz="0" w:space="0" w:color="auto"/>
      </w:divBdr>
    </w:div>
    <w:div w:id="1014915043">
      <w:bodyDiv w:val="1"/>
      <w:marLeft w:val="0"/>
      <w:marRight w:val="0"/>
      <w:marTop w:val="0"/>
      <w:marBottom w:val="0"/>
      <w:divBdr>
        <w:top w:val="none" w:sz="0" w:space="0" w:color="auto"/>
        <w:left w:val="none" w:sz="0" w:space="0" w:color="auto"/>
        <w:bottom w:val="none" w:sz="0" w:space="0" w:color="auto"/>
        <w:right w:val="none" w:sz="0" w:space="0" w:color="auto"/>
      </w:divBdr>
    </w:div>
    <w:div w:id="1060980458">
      <w:bodyDiv w:val="1"/>
      <w:marLeft w:val="0"/>
      <w:marRight w:val="0"/>
      <w:marTop w:val="0"/>
      <w:marBottom w:val="0"/>
      <w:divBdr>
        <w:top w:val="none" w:sz="0" w:space="0" w:color="auto"/>
        <w:left w:val="none" w:sz="0" w:space="0" w:color="auto"/>
        <w:bottom w:val="none" w:sz="0" w:space="0" w:color="auto"/>
        <w:right w:val="none" w:sz="0" w:space="0" w:color="auto"/>
      </w:divBdr>
    </w:div>
    <w:div w:id="1121067535">
      <w:bodyDiv w:val="1"/>
      <w:marLeft w:val="0"/>
      <w:marRight w:val="0"/>
      <w:marTop w:val="0"/>
      <w:marBottom w:val="0"/>
      <w:divBdr>
        <w:top w:val="none" w:sz="0" w:space="0" w:color="auto"/>
        <w:left w:val="none" w:sz="0" w:space="0" w:color="auto"/>
        <w:bottom w:val="none" w:sz="0" w:space="0" w:color="auto"/>
        <w:right w:val="none" w:sz="0" w:space="0" w:color="auto"/>
      </w:divBdr>
    </w:div>
    <w:div w:id="1141967459">
      <w:bodyDiv w:val="1"/>
      <w:marLeft w:val="0"/>
      <w:marRight w:val="0"/>
      <w:marTop w:val="0"/>
      <w:marBottom w:val="0"/>
      <w:divBdr>
        <w:top w:val="none" w:sz="0" w:space="0" w:color="auto"/>
        <w:left w:val="none" w:sz="0" w:space="0" w:color="auto"/>
        <w:bottom w:val="none" w:sz="0" w:space="0" w:color="auto"/>
        <w:right w:val="none" w:sz="0" w:space="0" w:color="auto"/>
      </w:divBdr>
    </w:div>
    <w:div w:id="1187868668">
      <w:bodyDiv w:val="1"/>
      <w:marLeft w:val="0"/>
      <w:marRight w:val="0"/>
      <w:marTop w:val="0"/>
      <w:marBottom w:val="0"/>
      <w:divBdr>
        <w:top w:val="none" w:sz="0" w:space="0" w:color="auto"/>
        <w:left w:val="none" w:sz="0" w:space="0" w:color="auto"/>
        <w:bottom w:val="none" w:sz="0" w:space="0" w:color="auto"/>
        <w:right w:val="none" w:sz="0" w:space="0" w:color="auto"/>
      </w:divBdr>
    </w:div>
    <w:div w:id="1243493363">
      <w:bodyDiv w:val="1"/>
      <w:marLeft w:val="0"/>
      <w:marRight w:val="0"/>
      <w:marTop w:val="0"/>
      <w:marBottom w:val="0"/>
      <w:divBdr>
        <w:top w:val="none" w:sz="0" w:space="0" w:color="auto"/>
        <w:left w:val="none" w:sz="0" w:space="0" w:color="auto"/>
        <w:bottom w:val="none" w:sz="0" w:space="0" w:color="auto"/>
        <w:right w:val="none" w:sz="0" w:space="0" w:color="auto"/>
      </w:divBdr>
    </w:div>
    <w:div w:id="1256330910">
      <w:bodyDiv w:val="1"/>
      <w:marLeft w:val="0"/>
      <w:marRight w:val="0"/>
      <w:marTop w:val="0"/>
      <w:marBottom w:val="0"/>
      <w:divBdr>
        <w:top w:val="none" w:sz="0" w:space="0" w:color="auto"/>
        <w:left w:val="none" w:sz="0" w:space="0" w:color="auto"/>
        <w:bottom w:val="none" w:sz="0" w:space="0" w:color="auto"/>
        <w:right w:val="none" w:sz="0" w:space="0" w:color="auto"/>
      </w:divBdr>
    </w:div>
    <w:div w:id="1260988390">
      <w:bodyDiv w:val="1"/>
      <w:marLeft w:val="0"/>
      <w:marRight w:val="0"/>
      <w:marTop w:val="0"/>
      <w:marBottom w:val="0"/>
      <w:divBdr>
        <w:top w:val="none" w:sz="0" w:space="0" w:color="auto"/>
        <w:left w:val="none" w:sz="0" w:space="0" w:color="auto"/>
        <w:bottom w:val="none" w:sz="0" w:space="0" w:color="auto"/>
        <w:right w:val="none" w:sz="0" w:space="0" w:color="auto"/>
      </w:divBdr>
    </w:div>
    <w:div w:id="1288245247">
      <w:bodyDiv w:val="1"/>
      <w:marLeft w:val="0"/>
      <w:marRight w:val="0"/>
      <w:marTop w:val="0"/>
      <w:marBottom w:val="0"/>
      <w:divBdr>
        <w:top w:val="none" w:sz="0" w:space="0" w:color="auto"/>
        <w:left w:val="none" w:sz="0" w:space="0" w:color="auto"/>
        <w:bottom w:val="none" w:sz="0" w:space="0" w:color="auto"/>
        <w:right w:val="none" w:sz="0" w:space="0" w:color="auto"/>
      </w:divBdr>
    </w:div>
    <w:div w:id="1360936247">
      <w:bodyDiv w:val="1"/>
      <w:marLeft w:val="0"/>
      <w:marRight w:val="0"/>
      <w:marTop w:val="0"/>
      <w:marBottom w:val="0"/>
      <w:divBdr>
        <w:top w:val="none" w:sz="0" w:space="0" w:color="auto"/>
        <w:left w:val="none" w:sz="0" w:space="0" w:color="auto"/>
        <w:bottom w:val="none" w:sz="0" w:space="0" w:color="auto"/>
        <w:right w:val="none" w:sz="0" w:space="0" w:color="auto"/>
      </w:divBdr>
    </w:div>
    <w:div w:id="1468399835">
      <w:bodyDiv w:val="1"/>
      <w:marLeft w:val="0"/>
      <w:marRight w:val="0"/>
      <w:marTop w:val="0"/>
      <w:marBottom w:val="0"/>
      <w:divBdr>
        <w:top w:val="none" w:sz="0" w:space="0" w:color="auto"/>
        <w:left w:val="none" w:sz="0" w:space="0" w:color="auto"/>
        <w:bottom w:val="none" w:sz="0" w:space="0" w:color="auto"/>
        <w:right w:val="none" w:sz="0" w:space="0" w:color="auto"/>
      </w:divBdr>
    </w:div>
    <w:div w:id="1471050138">
      <w:bodyDiv w:val="1"/>
      <w:marLeft w:val="0"/>
      <w:marRight w:val="0"/>
      <w:marTop w:val="0"/>
      <w:marBottom w:val="0"/>
      <w:divBdr>
        <w:top w:val="none" w:sz="0" w:space="0" w:color="auto"/>
        <w:left w:val="none" w:sz="0" w:space="0" w:color="auto"/>
        <w:bottom w:val="none" w:sz="0" w:space="0" w:color="auto"/>
        <w:right w:val="none" w:sz="0" w:space="0" w:color="auto"/>
      </w:divBdr>
    </w:div>
    <w:div w:id="1473672336">
      <w:bodyDiv w:val="1"/>
      <w:marLeft w:val="0"/>
      <w:marRight w:val="0"/>
      <w:marTop w:val="0"/>
      <w:marBottom w:val="0"/>
      <w:divBdr>
        <w:top w:val="none" w:sz="0" w:space="0" w:color="auto"/>
        <w:left w:val="none" w:sz="0" w:space="0" w:color="auto"/>
        <w:bottom w:val="none" w:sz="0" w:space="0" w:color="auto"/>
        <w:right w:val="none" w:sz="0" w:space="0" w:color="auto"/>
      </w:divBdr>
    </w:div>
    <w:div w:id="1644852257">
      <w:bodyDiv w:val="1"/>
      <w:marLeft w:val="0"/>
      <w:marRight w:val="0"/>
      <w:marTop w:val="0"/>
      <w:marBottom w:val="0"/>
      <w:divBdr>
        <w:top w:val="none" w:sz="0" w:space="0" w:color="auto"/>
        <w:left w:val="none" w:sz="0" w:space="0" w:color="auto"/>
        <w:bottom w:val="none" w:sz="0" w:space="0" w:color="auto"/>
        <w:right w:val="none" w:sz="0" w:space="0" w:color="auto"/>
      </w:divBdr>
    </w:div>
    <w:div w:id="1662351873">
      <w:bodyDiv w:val="1"/>
      <w:marLeft w:val="0"/>
      <w:marRight w:val="0"/>
      <w:marTop w:val="0"/>
      <w:marBottom w:val="0"/>
      <w:divBdr>
        <w:top w:val="none" w:sz="0" w:space="0" w:color="auto"/>
        <w:left w:val="none" w:sz="0" w:space="0" w:color="auto"/>
        <w:bottom w:val="none" w:sz="0" w:space="0" w:color="auto"/>
        <w:right w:val="none" w:sz="0" w:space="0" w:color="auto"/>
      </w:divBdr>
    </w:div>
    <w:div w:id="1834909344">
      <w:bodyDiv w:val="1"/>
      <w:marLeft w:val="0"/>
      <w:marRight w:val="0"/>
      <w:marTop w:val="0"/>
      <w:marBottom w:val="0"/>
      <w:divBdr>
        <w:top w:val="none" w:sz="0" w:space="0" w:color="auto"/>
        <w:left w:val="none" w:sz="0" w:space="0" w:color="auto"/>
        <w:bottom w:val="none" w:sz="0" w:space="0" w:color="auto"/>
        <w:right w:val="none" w:sz="0" w:space="0" w:color="auto"/>
      </w:divBdr>
    </w:div>
    <w:div w:id="1886677743">
      <w:bodyDiv w:val="1"/>
      <w:marLeft w:val="0"/>
      <w:marRight w:val="0"/>
      <w:marTop w:val="0"/>
      <w:marBottom w:val="0"/>
      <w:divBdr>
        <w:top w:val="none" w:sz="0" w:space="0" w:color="auto"/>
        <w:left w:val="none" w:sz="0" w:space="0" w:color="auto"/>
        <w:bottom w:val="none" w:sz="0" w:space="0" w:color="auto"/>
        <w:right w:val="none" w:sz="0" w:space="0" w:color="auto"/>
      </w:divBdr>
    </w:div>
    <w:div w:id="1901864566">
      <w:bodyDiv w:val="1"/>
      <w:marLeft w:val="0"/>
      <w:marRight w:val="0"/>
      <w:marTop w:val="0"/>
      <w:marBottom w:val="0"/>
      <w:divBdr>
        <w:top w:val="none" w:sz="0" w:space="0" w:color="auto"/>
        <w:left w:val="none" w:sz="0" w:space="0" w:color="auto"/>
        <w:bottom w:val="none" w:sz="0" w:space="0" w:color="auto"/>
        <w:right w:val="none" w:sz="0" w:space="0" w:color="auto"/>
      </w:divBdr>
    </w:div>
    <w:div w:id="1937589807">
      <w:bodyDiv w:val="1"/>
      <w:marLeft w:val="0"/>
      <w:marRight w:val="0"/>
      <w:marTop w:val="0"/>
      <w:marBottom w:val="0"/>
      <w:divBdr>
        <w:top w:val="none" w:sz="0" w:space="0" w:color="auto"/>
        <w:left w:val="none" w:sz="0" w:space="0" w:color="auto"/>
        <w:bottom w:val="none" w:sz="0" w:space="0" w:color="auto"/>
        <w:right w:val="none" w:sz="0" w:space="0" w:color="auto"/>
      </w:divBdr>
    </w:div>
    <w:div w:id="2022389985">
      <w:bodyDiv w:val="1"/>
      <w:marLeft w:val="0"/>
      <w:marRight w:val="0"/>
      <w:marTop w:val="0"/>
      <w:marBottom w:val="0"/>
      <w:divBdr>
        <w:top w:val="none" w:sz="0" w:space="0" w:color="auto"/>
        <w:left w:val="none" w:sz="0" w:space="0" w:color="auto"/>
        <w:bottom w:val="none" w:sz="0" w:space="0" w:color="auto"/>
        <w:right w:val="none" w:sz="0" w:space="0" w:color="auto"/>
      </w:divBdr>
    </w:div>
    <w:div w:id="2029788336">
      <w:bodyDiv w:val="1"/>
      <w:marLeft w:val="0"/>
      <w:marRight w:val="0"/>
      <w:marTop w:val="0"/>
      <w:marBottom w:val="0"/>
      <w:divBdr>
        <w:top w:val="none" w:sz="0" w:space="0" w:color="auto"/>
        <w:left w:val="none" w:sz="0" w:space="0" w:color="auto"/>
        <w:bottom w:val="none" w:sz="0" w:space="0" w:color="auto"/>
        <w:right w:val="none" w:sz="0" w:space="0" w:color="auto"/>
      </w:divBdr>
    </w:div>
    <w:div w:id="2089618336">
      <w:bodyDiv w:val="1"/>
      <w:marLeft w:val="0"/>
      <w:marRight w:val="0"/>
      <w:marTop w:val="0"/>
      <w:marBottom w:val="0"/>
      <w:divBdr>
        <w:top w:val="none" w:sz="0" w:space="0" w:color="auto"/>
        <w:left w:val="none" w:sz="0" w:space="0" w:color="auto"/>
        <w:bottom w:val="none" w:sz="0" w:space="0" w:color="auto"/>
        <w:right w:val="none" w:sz="0" w:space="0" w:color="auto"/>
      </w:divBdr>
    </w:div>
    <w:div w:id="210456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How20</b:Tag>
    <b:SourceType>InternetSite</b:SourceType>
    <b:Guid>{99958403-0152-4654-89FA-094F40EC3958}</b:Guid>
    <b:Title>How do we do a DPIA?</b:Title>
    <b:ProductionCompany>Information Commissioner's Office</b:ProductionCompany>
    <b:YearAccessed>2020</b:YearAccessed>
    <b:MonthAccessed>August</b:MonthAccessed>
    <b:DayAccessed>25</b:DayAccessed>
    <b:URL>https://ico.org.uk/for-organisations/guide-to-data-protection/guide-to-the-general-data-protection-regulation-gdpr/data-protection-impact-assessments-dpias/how-do-we-do-a-dpia/</b:URL>
    <b:RefOrder>7</b:RefOrder>
  </b:Source>
  <b:Source>
    <b:Tag>Inf18</b:Tag>
    <b:SourceType>InternetSite</b:SourceType>
    <b:Guid>{4559C60D-8DDD-4D78-9F68-A4FF1E72F6E0}</b:Guid>
    <b:Author>
      <b:Author>
        <b:NameList>
          <b:Person>
            <b:Last>Group</b:Last>
            <b:First>Information</b:First>
            <b:Middle>Governance Management Advisory Group Policy Sub</b:Middle>
          </b:Person>
        </b:NameList>
      </b:Author>
    </b:Author>
    <b:Title>NHS Wales Information Governance Policy </b:Title>
    <b:Year>2018</b:Year>
    <b:Month>June</b:Month>
    <b:Day>26</b:Day>
    <b:YearAccessed>2020</b:YearAccessed>
    <b:MonthAccessed>August </b:MonthAccessed>
    <b:DayAccessed>26</b:DayAccessed>
    <b:URL>http://www.wales.nhs.uk/sites3/Documents/950/Draft%20All%20Wales%20Information%20Governance%20Policy%20v1.pdf</b:URL>
    <b:RefOrder>2</b:RefOrder>
  </b:Source>
  <b:Source>
    <b:Tag>Spe20</b:Tag>
    <b:SourceType>InternetSite</b:SourceType>
    <b:Guid>{C157DB53-A221-4D89-A751-12F6346CD8B7}</b:Guid>
    <b:Title>Special category data</b:Title>
    <b:ProductionCompany>Information Commissioner's Office</b:ProductionCompany>
    <b:YearAccessed>2020</b:YearAccessed>
    <b:MonthAccessed>August</b:MonthAccessed>
    <b:DayAccessed>26</b:DayAccessed>
    <b:URL>https://ico.org.uk/for-organisations/guide-to-data-protection/guide-to-the-general-data-protection-regulation-gdpr/lawful-basis-for-processing/special-category-data/</b:URL>
    <b:RefOrder>4</b:RefOrder>
  </b:Source>
  <b:Source>
    <b:Tag>Per20</b:Tag>
    <b:SourceType>InternetSite</b:SourceType>
    <b:Guid>{B612A647-E002-4529-B372-9A00E93918E5}</b:Guid>
    <b:Title>Personal Data Breaches</b:Title>
    <b:ProductionCompany>Information Commissioner's Office</b:ProductionCompany>
    <b:YearAccessed>2020</b:YearAccessed>
    <b:MonthAccessed>August</b:MonthAccessed>
    <b:DayAccessed>26</b:DayAccessed>
    <b:URL>https://ico.org.uk/for-organisations/guide-to-data-protection/guide-to-the-general-data-protection-regulation-gdpr/personal-data-breaches/</b:URL>
    <b:RefOrder>5</b:RefOrder>
  </b:Source>
  <b:Source>
    <b:Tag>Wha201</b:Tag>
    <b:SourceType>InternetSite</b:SourceType>
    <b:Guid>{AEDF15FA-B250-407A-A322-DF8D5E689697}</b:Guid>
    <b:Title>What is personal data?</b:Title>
    <b:ProductionCompany>Information Commissioner's Office</b:ProductionCompany>
    <b:YearAccessed>2020</b:YearAccessed>
    <b:MonthAccessed>September</b:MonthAccessed>
    <b:DayAccessed>7</b:DayAccessed>
    <b:URL>https://ico.org.uk/for-organisations/guide-to-data-protection/guide-to-the-general-data-protection-regulation-gdpr/key-definitions/what-is-personal-data/</b:URL>
    <b:RefOrder>1</b:RefOrder>
  </b:Source>
  <b:Source>
    <b:Tag>Dat201</b:Tag>
    <b:SourceType>InternetSite</b:SourceType>
    <b:Guid>{C10D5135-7661-4AB9-B017-B61AA0A2EC66}</b:Guid>
    <b:Title>Data protection impact assessments</b:Title>
    <b:ProductionCompany>Information Commisioners Office </b:ProductionCompany>
    <b:YearAccessed>2020</b:YearAccessed>
    <b:MonthAccessed>September</b:MonthAccessed>
    <b:DayAccessed>10</b:DayAccessed>
    <b:URL>https://ico.org.uk/for-organisations/guide-to-data-protection/guide-to-the-general-data-protection-regulation-gdpr/accountability-and-governance/data-protection-impact-assessments/</b:URL>
    <b:RefOrder>6</b:RefOrder>
  </b:Source>
  <b:Source>
    <b:Tag>Inf20</b:Tag>
    <b:SourceType>InternetSite</b:SourceType>
    <b:Guid>{3A2AE64C-335B-4761-A244-972A7B37A325}</b:Guid>
    <b:Author>
      <b:Author>
        <b:NameList>
          <b:Person>
            <b:Last>Manager</b:Last>
            <b:First>Information</b:First>
            <b:Middle>Governance</b:Middle>
          </b:Person>
        </b:NameList>
      </b:Author>
    </b:Author>
    <b:ProductionCompany>NHS Wales Informatics Service</b:ProductionCompany>
    <b:YearAccessed>2020</b:YearAccessed>
    <b:MonthAccessed>September</b:MonthAccessed>
    <b:DayAccessed>9</b:DayAccessed>
    <b:Year>2018</b:Year>
    <b:Month>February </b:Month>
    <b:RefOrder>3</b:RefOrder>
  </b:Source>
</b:Sources>
</file>

<file path=customXml/itemProps1.xml><?xml version="1.0" encoding="utf-8"?>
<ds:datastoreItem xmlns:ds="http://schemas.openxmlformats.org/officeDocument/2006/customXml" ds:itemID="{BBC707AE-470A-4497-B512-5CDC238D0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4239</Words>
  <Characters>24167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Governance, legistlation and ethics work-based project</vt:lpstr>
    </vt:vector>
  </TitlesOfParts>
  <Company>NHS Wales</Company>
  <LinksUpToDate>false</LinksUpToDate>
  <CharactersWithSpaces>28350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Governance, legistlation and ethics work-based project</dc:title>
  <dc:subject/>
  <dc:creator>Name: Katie Rees</dc:creator>
  <cp:keywords/>
  <dc:description/>
  <cp:lastModifiedBy>Katie Rees (NWIS - Software Development)</cp:lastModifiedBy>
  <cp:revision>2</cp:revision>
  <dcterms:created xsi:type="dcterms:W3CDTF">2020-09-11T12:47:00Z</dcterms:created>
  <dcterms:modified xsi:type="dcterms:W3CDTF">2020-09-11T12:47:00Z</dcterms:modified>
</cp:coreProperties>
</file>