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03E38B" w14:textId="3B03843F" w:rsidR="002A069E" w:rsidRPr="00664AD2" w:rsidRDefault="00664AD2" w:rsidP="00664AD2">
      <w:pPr>
        <w:jc w:val="center"/>
        <w:rPr>
          <w:b/>
          <w:bCs/>
          <w:i/>
          <w:iCs/>
          <w:sz w:val="36"/>
          <w:szCs w:val="36"/>
          <w:u w:val="single"/>
        </w:rPr>
      </w:pPr>
      <w:r w:rsidRPr="00664AD2">
        <w:rPr>
          <w:b/>
          <w:bCs/>
          <w:sz w:val="36"/>
          <w:szCs w:val="36"/>
          <w:u w:val="single"/>
        </w:rPr>
        <w:t xml:space="preserve">The Slave-Ship </w:t>
      </w:r>
      <w:r w:rsidRPr="00664AD2">
        <w:rPr>
          <w:b/>
          <w:bCs/>
          <w:i/>
          <w:iCs/>
          <w:sz w:val="36"/>
          <w:szCs w:val="36"/>
          <w:u w:val="single"/>
        </w:rPr>
        <w:t>Zong</w:t>
      </w:r>
    </w:p>
    <w:p w14:paraId="00751BBC" w14:textId="27B5B957" w:rsidR="00A3241C" w:rsidRDefault="00A3241C" w:rsidP="00664AD2">
      <w:pPr>
        <w:spacing w:line="480" w:lineRule="auto"/>
      </w:pPr>
    </w:p>
    <w:p w14:paraId="0194015F" w14:textId="26A8B619" w:rsidR="00A3241C" w:rsidRPr="0054275F" w:rsidRDefault="0054275F" w:rsidP="002020A2">
      <w:pPr>
        <w:spacing w:line="480" w:lineRule="auto"/>
        <w:jc w:val="both"/>
        <w:rPr>
          <w:u w:val="single"/>
        </w:rPr>
      </w:pPr>
      <w:r w:rsidRPr="0054275F">
        <w:rPr>
          <w:u w:val="single"/>
        </w:rPr>
        <w:t>The Ship</w:t>
      </w:r>
    </w:p>
    <w:p w14:paraId="3537BE35" w14:textId="495B039F" w:rsidR="00A3241C" w:rsidRPr="0054275F" w:rsidRDefault="00A3241C" w:rsidP="002020A2">
      <w:pPr>
        <w:spacing w:line="480" w:lineRule="auto"/>
        <w:jc w:val="both"/>
      </w:pPr>
      <w:r>
        <w:t xml:space="preserve">The slave ship </w:t>
      </w:r>
      <w:r>
        <w:rPr>
          <w:i/>
          <w:iCs/>
        </w:rPr>
        <w:t>Zong</w:t>
      </w:r>
      <w:r>
        <w:t xml:space="preserve"> was a slave ship in operation in 1781 transporting slaves from Africa to the Americas. The </w:t>
      </w:r>
      <w:r>
        <w:rPr>
          <w:i/>
          <w:iCs/>
        </w:rPr>
        <w:t>Zong</w:t>
      </w:r>
      <w:r>
        <w:t xml:space="preserve"> appears on the Salve Voyages database just once, completing a journey commencing from the 5</w:t>
      </w:r>
      <w:r w:rsidRPr="00A3241C">
        <w:rPr>
          <w:vertAlign w:val="superscript"/>
        </w:rPr>
        <w:t>th</w:t>
      </w:r>
      <w:r>
        <w:t xml:space="preserve"> of March 1781 and ending on the 30</w:t>
      </w:r>
      <w:r w:rsidRPr="00A3241C">
        <w:rPr>
          <w:vertAlign w:val="superscript"/>
        </w:rPr>
        <w:t>th</w:t>
      </w:r>
      <w:r>
        <w:t xml:space="preserve"> July 1782</w:t>
      </w:r>
      <w:r>
        <w:rPr>
          <w:rStyle w:val="FootnoteReference"/>
        </w:rPr>
        <w:footnoteReference w:id="1"/>
      </w:r>
      <w:r>
        <w:t>.</w:t>
      </w:r>
      <w:r w:rsidR="0054275F">
        <w:t xml:space="preserve"> The cargo space of the </w:t>
      </w:r>
      <w:r w:rsidR="0054275F">
        <w:rPr>
          <w:i/>
          <w:iCs/>
        </w:rPr>
        <w:t>Zong</w:t>
      </w:r>
      <w:r w:rsidR="0054275F">
        <w:t xml:space="preserve"> was approximately </w:t>
      </w:r>
      <w:r w:rsidR="004E5862">
        <w:t>195 standard</w:t>
      </w:r>
      <w:r w:rsidR="0054275F">
        <w:t xml:space="preserve"> tonnes</w:t>
      </w:r>
      <w:r w:rsidR="00B73345">
        <w:t>, being on the smaller size of 18</w:t>
      </w:r>
      <w:r w:rsidR="00B73345" w:rsidRPr="00B73345">
        <w:rPr>
          <w:vertAlign w:val="superscript"/>
        </w:rPr>
        <w:t>th</w:t>
      </w:r>
      <w:r w:rsidR="00B73345">
        <w:t xml:space="preserve"> century cargo ships</w:t>
      </w:r>
      <w:r w:rsidR="00B73345">
        <w:rPr>
          <w:rStyle w:val="FootnoteReference"/>
        </w:rPr>
        <w:footnoteReference w:id="2"/>
      </w:r>
      <w:r w:rsidR="00B73345">
        <w:t xml:space="preserve">. </w:t>
      </w:r>
    </w:p>
    <w:p w14:paraId="18ADB825" w14:textId="059A5346" w:rsidR="0054275F" w:rsidRPr="0054275F" w:rsidRDefault="0054275F" w:rsidP="002020A2">
      <w:pPr>
        <w:spacing w:line="480" w:lineRule="auto"/>
        <w:jc w:val="both"/>
        <w:rPr>
          <w:u w:val="single"/>
        </w:rPr>
      </w:pPr>
    </w:p>
    <w:p w14:paraId="0EB52D62" w14:textId="689BE13D" w:rsidR="0054275F" w:rsidRPr="0054275F" w:rsidRDefault="0054275F" w:rsidP="002020A2">
      <w:pPr>
        <w:spacing w:line="480" w:lineRule="auto"/>
        <w:jc w:val="both"/>
        <w:rPr>
          <w:u w:val="single"/>
        </w:rPr>
      </w:pPr>
      <w:r w:rsidRPr="0054275F">
        <w:rPr>
          <w:u w:val="single"/>
        </w:rPr>
        <w:t>The Crew</w:t>
      </w:r>
    </w:p>
    <w:p w14:paraId="5A82E78D" w14:textId="7B1A3E7E" w:rsidR="0054275F" w:rsidRPr="0049584E" w:rsidRDefault="0049584E" w:rsidP="002020A2">
      <w:pPr>
        <w:spacing w:line="480" w:lineRule="auto"/>
        <w:jc w:val="both"/>
      </w:pPr>
      <w:r>
        <w:t xml:space="preserve">The </w:t>
      </w:r>
      <w:r>
        <w:rPr>
          <w:i/>
          <w:iCs/>
        </w:rPr>
        <w:t xml:space="preserve">Zong </w:t>
      </w:r>
      <w:r>
        <w:t>was owned by the Gregson family, passing hands to William, John, and James, and then being owned  by Edward Wilson and James Aspinall. It was under the ownership of Aspinall during the 1781-2 voyage.  The captain</w:t>
      </w:r>
      <w:r w:rsidR="0058591A">
        <w:t xml:space="preserve"> </w:t>
      </w:r>
      <w:r>
        <w:t xml:space="preserve">of the </w:t>
      </w:r>
      <w:r>
        <w:rPr>
          <w:i/>
          <w:iCs/>
        </w:rPr>
        <w:t xml:space="preserve">Zong </w:t>
      </w:r>
      <w:r>
        <w:t xml:space="preserve">was Luke Collingwood, a previous captain of the </w:t>
      </w:r>
      <w:r>
        <w:rPr>
          <w:i/>
          <w:iCs/>
        </w:rPr>
        <w:t xml:space="preserve">Zong </w:t>
      </w:r>
      <w:r>
        <w:t xml:space="preserve">Edward Howard. Collingwood found himself in the middle of a legal battle after his actions in the </w:t>
      </w:r>
      <w:r>
        <w:rPr>
          <w:i/>
          <w:iCs/>
        </w:rPr>
        <w:t>Zong Massacre</w:t>
      </w:r>
      <w:r>
        <w:t xml:space="preserve"> where the slaves were thrown overboard</w:t>
      </w:r>
      <w:r w:rsidR="0058591A">
        <w:t xml:space="preserve"> so compensation could be derived from insurance agencies. </w:t>
      </w:r>
    </w:p>
    <w:p w14:paraId="25558AE4" w14:textId="1FC11595" w:rsidR="000B2AD7" w:rsidRDefault="000B2AD7" w:rsidP="002020A2">
      <w:pPr>
        <w:spacing w:line="480" w:lineRule="auto"/>
        <w:jc w:val="both"/>
      </w:pPr>
    </w:p>
    <w:p w14:paraId="06D1FD9A" w14:textId="5BE41DEF" w:rsidR="00664AD2" w:rsidRDefault="0054275F" w:rsidP="002020A2">
      <w:pPr>
        <w:spacing w:line="480" w:lineRule="auto"/>
        <w:jc w:val="both"/>
        <w:rPr>
          <w:u w:val="single"/>
        </w:rPr>
      </w:pPr>
      <w:r w:rsidRPr="0054275F">
        <w:rPr>
          <w:u w:val="single"/>
        </w:rPr>
        <w:t>The Voyage</w:t>
      </w:r>
    </w:p>
    <w:p w14:paraId="240B9738" w14:textId="60894F5F" w:rsidR="00664AD2" w:rsidRDefault="00664AD2" w:rsidP="002020A2">
      <w:pPr>
        <w:spacing w:line="480" w:lineRule="auto"/>
        <w:jc w:val="both"/>
      </w:pPr>
    </w:p>
    <w:p w14:paraId="4E388705" w14:textId="1635514B" w:rsidR="004E5862" w:rsidRPr="00664AD2" w:rsidRDefault="004E5862" w:rsidP="002020A2">
      <w:pPr>
        <w:spacing w:line="480" w:lineRule="auto"/>
        <w:jc w:val="both"/>
        <w:rPr>
          <w:u w:val="single"/>
        </w:rPr>
      </w:pPr>
      <w:r>
        <w:t xml:space="preserve">The voyage of the </w:t>
      </w:r>
      <w:r>
        <w:rPr>
          <w:i/>
          <w:iCs/>
        </w:rPr>
        <w:t>Zong</w:t>
      </w:r>
      <w:r>
        <w:t xml:space="preserve"> began on the 5</w:t>
      </w:r>
      <w:r w:rsidRPr="004E5862">
        <w:rPr>
          <w:vertAlign w:val="superscript"/>
        </w:rPr>
        <w:t>th</w:t>
      </w:r>
      <w:r>
        <w:t xml:space="preserve"> of March 1781, departing from Liverpool. The </w:t>
      </w:r>
      <w:r>
        <w:rPr>
          <w:i/>
          <w:iCs/>
        </w:rPr>
        <w:t xml:space="preserve">Zong </w:t>
      </w:r>
      <w:r>
        <w:t xml:space="preserve"> then arrives </w:t>
      </w:r>
      <w:r w:rsidR="000B2AD7">
        <w:t>at least 6</w:t>
      </w:r>
      <w:r>
        <w:t xml:space="preserve"> months later in the Gold Coast a British Crown Colony in modern day Ghana, West </w:t>
      </w:r>
      <w:r>
        <w:lastRenderedPageBreak/>
        <w:t>Africa</w:t>
      </w:r>
      <w:r w:rsidR="000B2AD7">
        <w:rPr>
          <w:rStyle w:val="FootnoteReference"/>
        </w:rPr>
        <w:footnoteReference w:id="3"/>
      </w:r>
      <w:r>
        <w:t xml:space="preserve">. After purchasing slaves from the Cape Coast Castle, the </w:t>
      </w:r>
      <w:r>
        <w:rPr>
          <w:i/>
          <w:iCs/>
        </w:rPr>
        <w:t xml:space="preserve">Zong </w:t>
      </w:r>
      <w:r>
        <w:t xml:space="preserve">also purchased slaves from </w:t>
      </w:r>
      <w:r w:rsidR="000B2AD7">
        <w:t>Anomabu a town about 10 miles from the castle. Departing Africa  on the 6</w:t>
      </w:r>
      <w:r w:rsidR="000B2AD7" w:rsidRPr="000B2AD7">
        <w:rPr>
          <w:vertAlign w:val="superscript"/>
        </w:rPr>
        <w:t>th</w:t>
      </w:r>
      <w:r w:rsidR="000B2AD7">
        <w:t xml:space="preserve"> of September 1781 embarked on the 5,000-mile trip from Ghana to Jamaica. The </w:t>
      </w:r>
      <w:r w:rsidR="000B2AD7">
        <w:rPr>
          <w:i/>
          <w:iCs/>
        </w:rPr>
        <w:t xml:space="preserve">Zong </w:t>
      </w:r>
      <w:r w:rsidR="000B2AD7">
        <w:t>lands in Jamaica  on the 29</w:t>
      </w:r>
      <w:r w:rsidR="000B2AD7" w:rsidRPr="000B2AD7">
        <w:rPr>
          <w:vertAlign w:val="superscript"/>
        </w:rPr>
        <w:t>th</w:t>
      </w:r>
      <w:r w:rsidR="000B2AD7">
        <w:t xml:space="preserve"> December 1781 and spends 5 months in Jamaica, before leaving back for home and arriving in Liverpool on the 30</w:t>
      </w:r>
      <w:r w:rsidR="000B2AD7" w:rsidRPr="000B2AD7">
        <w:rPr>
          <w:vertAlign w:val="superscript"/>
        </w:rPr>
        <w:t>th</w:t>
      </w:r>
      <w:r w:rsidR="000B2AD7">
        <w:t xml:space="preserve"> July 1782.  The trip took a total of amount of 1 year, 4 months, and 25 days. </w:t>
      </w:r>
    </w:p>
    <w:p w14:paraId="0A77CCC7" w14:textId="26EC529F" w:rsidR="000B2AD7" w:rsidRDefault="000B2AD7" w:rsidP="002020A2">
      <w:pPr>
        <w:spacing w:line="480" w:lineRule="auto"/>
        <w:jc w:val="both"/>
      </w:pPr>
    </w:p>
    <w:p w14:paraId="275EF03B" w14:textId="167C679D" w:rsidR="000B2AD7" w:rsidRDefault="002020A2" w:rsidP="002020A2">
      <w:pPr>
        <w:spacing w:line="480" w:lineRule="auto"/>
        <w:jc w:val="both"/>
      </w:pPr>
      <w:r>
        <w:rPr>
          <w:noProof/>
        </w:rPr>
        <w:drawing>
          <wp:anchor distT="0" distB="0" distL="114300" distR="114300" simplePos="0" relativeHeight="251658240" behindDoc="1" locked="0" layoutInCell="1" allowOverlap="1" wp14:anchorId="01893A52" wp14:editId="20D3E784">
            <wp:simplePos x="0" y="0"/>
            <wp:positionH relativeFrom="column">
              <wp:posOffset>-42545</wp:posOffset>
            </wp:positionH>
            <wp:positionV relativeFrom="paragraph">
              <wp:posOffset>66675</wp:posOffset>
            </wp:positionV>
            <wp:extent cx="5528310" cy="263398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55" r="1673"/>
                    <a:stretch/>
                  </pic:blipFill>
                  <pic:spPr bwMode="auto">
                    <a:xfrm>
                      <a:off x="0" y="0"/>
                      <a:ext cx="5528310" cy="2633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E0908E7" w14:textId="7BA74F0B" w:rsidR="000B2AD7" w:rsidRDefault="000B2AD7" w:rsidP="002020A2">
      <w:pPr>
        <w:spacing w:line="480" w:lineRule="auto"/>
        <w:jc w:val="both"/>
      </w:pPr>
    </w:p>
    <w:p w14:paraId="5C9063FD" w14:textId="77777777" w:rsidR="000B2AD7" w:rsidRPr="000B2AD7" w:rsidRDefault="000B2AD7" w:rsidP="002020A2">
      <w:pPr>
        <w:spacing w:line="480" w:lineRule="auto"/>
        <w:jc w:val="both"/>
      </w:pPr>
    </w:p>
    <w:p w14:paraId="6EE88C98" w14:textId="6A66867F" w:rsidR="0054275F" w:rsidRDefault="0054275F" w:rsidP="002020A2">
      <w:pPr>
        <w:spacing w:line="480" w:lineRule="auto"/>
        <w:jc w:val="both"/>
      </w:pPr>
    </w:p>
    <w:p w14:paraId="5CD1CF2A" w14:textId="77777777" w:rsidR="00664AD2" w:rsidRDefault="00664AD2" w:rsidP="002020A2">
      <w:pPr>
        <w:spacing w:line="480" w:lineRule="auto"/>
        <w:jc w:val="both"/>
        <w:rPr>
          <w:u w:val="single"/>
        </w:rPr>
      </w:pPr>
    </w:p>
    <w:p w14:paraId="01E333CF" w14:textId="04472FCB" w:rsidR="00664AD2" w:rsidRDefault="00664AD2" w:rsidP="002020A2">
      <w:pPr>
        <w:spacing w:line="480" w:lineRule="auto"/>
        <w:jc w:val="both"/>
        <w:rPr>
          <w:u w:val="single"/>
        </w:rPr>
      </w:pPr>
    </w:p>
    <w:p w14:paraId="3A013CF1" w14:textId="3D9FC2CF" w:rsidR="00664AD2" w:rsidRDefault="00664AD2" w:rsidP="002020A2">
      <w:pPr>
        <w:spacing w:line="480" w:lineRule="auto"/>
        <w:jc w:val="both"/>
        <w:rPr>
          <w:u w:val="single"/>
        </w:rPr>
      </w:pPr>
    </w:p>
    <w:p w14:paraId="350151B2" w14:textId="77777777" w:rsidR="002020A2" w:rsidRDefault="002020A2" w:rsidP="002020A2">
      <w:pPr>
        <w:spacing w:line="480" w:lineRule="auto"/>
        <w:jc w:val="both"/>
        <w:rPr>
          <w:u w:val="single"/>
        </w:rPr>
      </w:pPr>
    </w:p>
    <w:p w14:paraId="7A42A9E6" w14:textId="7805643B" w:rsidR="0054275F" w:rsidRDefault="0054275F" w:rsidP="002020A2">
      <w:pPr>
        <w:spacing w:line="480" w:lineRule="auto"/>
        <w:jc w:val="both"/>
        <w:rPr>
          <w:u w:val="single"/>
        </w:rPr>
      </w:pPr>
      <w:r w:rsidRPr="0054275F">
        <w:rPr>
          <w:u w:val="single"/>
        </w:rPr>
        <w:t>The Enslaved</w:t>
      </w:r>
    </w:p>
    <w:p w14:paraId="1760E947" w14:textId="08158213" w:rsidR="00664AD2" w:rsidRDefault="00B95D02" w:rsidP="002020A2">
      <w:pPr>
        <w:spacing w:line="480" w:lineRule="auto"/>
        <w:jc w:val="both"/>
      </w:pPr>
      <w:r>
        <w:t xml:space="preserve">The </w:t>
      </w:r>
      <w:r>
        <w:rPr>
          <w:i/>
          <w:iCs/>
        </w:rPr>
        <w:t xml:space="preserve">Zong </w:t>
      </w:r>
      <w:r>
        <w:t xml:space="preserve">bought 440 slaves from the Gold Coast in Africa, but landed with only 208 slaves in Jamaica, 232 died during the middle passage with a mortality rate  of 53%. The </w:t>
      </w:r>
      <w:r>
        <w:rPr>
          <w:i/>
          <w:iCs/>
        </w:rPr>
        <w:t xml:space="preserve">Zong </w:t>
      </w:r>
      <w:r>
        <w:t>is a unique amongst the slave ships as there was a large litigation against the crew</w:t>
      </w:r>
      <w:r w:rsidR="00664AD2">
        <w:t xml:space="preserve"> as d</w:t>
      </w:r>
      <w:r>
        <w:t xml:space="preserve">uring the middle passage, the crew of the </w:t>
      </w:r>
      <w:r>
        <w:rPr>
          <w:i/>
          <w:iCs/>
        </w:rPr>
        <w:t>Zong</w:t>
      </w:r>
      <w:r>
        <w:t xml:space="preserve">  had 132 of the enslaved people thrown overboard in an attempt to defraud insurance agencies </w:t>
      </w:r>
      <w:r w:rsidR="00664AD2">
        <w:t>, with 100 dying from hazardous environment or malnutrition</w:t>
      </w:r>
      <w:r>
        <w:t xml:space="preserve">. The abhorrent murder of </w:t>
      </w:r>
      <w:r>
        <w:lastRenderedPageBreak/>
        <w:t xml:space="preserve">these slaves allowed the case of the </w:t>
      </w:r>
      <w:r>
        <w:rPr>
          <w:i/>
          <w:iCs/>
        </w:rPr>
        <w:t xml:space="preserve">Zong </w:t>
      </w:r>
      <w:r>
        <w:t>to be used frequently by British abolitionists</w:t>
      </w:r>
      <w:r>
        <w:rPr>
          <w:rStyle w:val="FootnoteReference"/>
        </w:rPr>
        <w:footnoteReference w:id="4"/>
      </w:r>
      <w:r>
        <w:t>. The murder of 132 people with the justification being for capital  gain is a prime example of the barbarism and inhumanity of slavers during the slave trade, with those enslaved people being reduced to a number in an equation. This unfortunately is an honest display of the transatlantic slave trade</w:t>
      </w:r>
      <w:r w:rsidR="00C5535E">
        <w:t xml:space="preserve"> during this time, with litigation occurring not for the murder, but for the damage of property. </w:t>
      </w:r>
      <w:r w:rsidR="00664AD2">
        <w:t xml:space="preserve">This is exemplified best by the British Solicitor General, who in refusal to bring charges against the </w:t>
      </w:r>
      <w:r w:rsidR="00664AD2">
        <w:rPr>
          <w:i/>
          <w:iCs/>
        </w:rPr>
        <w:t xml:space="preserve">Zong </w:t>
      </w:r>
      <w:r w:rsidR="00664AD2">
        <w:t xml:space="preserve">said: </w:t>
      </w:r>
    </w:p>
    <w:p w14:paraId="7AC58E72" w14:textId="381A8F9D" w:rsidR="00664AD2" w:rsidRDefault="00664AD2" w:rsidP="00664AD2">
      <w:pPr>
        <w:pStyle w:val="Quote"/>
      </w:pPr>
      <w:r>
        <w:t>“</w:t>
      </w:r>
      <w:r w:rsidRPr="00664AD2">
        <w:t>What is this claim that human people have been thrown overboard? This is a case of chattels or goods. Blacks are goods and property; it is madness to accuse these well-serving honourable men of murder… The case is the same as if wood had been thrown overboard.</w:t>
      </w:r>
      <w:r>
        <w:rPr>
          <w:rStyle w:val="FootnoteReference"/>
        </w:rPr>
        <w:footnoteReference w:id="5"/>
      </w:r>
      <w:r w:rsidRPr="00664AD2">
        <w:t>”</w:t>
      </w:r>
    </w:p>
    <w:p w14:paraId="6E044509" w14:textId="34D963A8" w:rsidR="005D3C0F" w:rsidRDefault="005D3C0F" w:rsidP="005D3C0F"/>
    <w:p w14:paraId="12D0E167" w14:textId="5E8D805C" w:rsidR="005D3C0F" w:rsidRPr="005D3C0F" w:rsidRDefault="005D3C0F" w:rsidP="005D3C0F">
      <w:r>
        <w:t xml:space="preserve">Despite charges being bought against the crew by abolitionist Granville Sharp and Olaudah Equiano, the actions in the case of the </w:t>
      </w:r>
      <w:r>
        <w:rPr>
          <w:i/>
          <w:iCs/>
        </w:rPr>
        <w:t>Zong</w:t>
      </w:r>
      <w:r>
        <w:t xml:space="preserve"> went on to aid other abolitionist movements. </w:t>
      </w:r>
    </w:p>
    <w:p w14:paraId="283B8D5E" w14:textId="77777777" w:rsidR="00664AD2" w:rsidRPr="00664AD2" w:rsidRDefault="00664AD2" w:rsidP="00B95D02">
      <w:pPr>
        <w:spacing w:line="480" w:lineRule="auto"/>
      </w:pPr>
    </w:p>
    <w:p w14:paraId="56D4EDF0" w14:textId="41B8EA40" w:rsidR="008B2192" w:rsidRPr="00415D05" w:rsidRDefault="008B2192" w:rsidP="000B2AD7">
      <w:pPr>
        <w:spacing w:line="480" w:lineRule="auto"/>
        <w:rPr>
          <w:u w:val="single"/>
        </w:rPr>
      </w:pPr>
    </w:p>
    <w:p w14:paraId="780599D2" w14:textId="590FFB46" w:rsidR="008B2192" w:rsidRDefault="008B2192" w:rsidP="002020A2">
      <w:pPr>
        <w:spacing w:line="480" w:lineRule="auto"/>
        <w:jc w:val="both"/>
        <w:rPr>
          <w:u w:val="single"/>
        </w:rPr>
      </w:pPr>
      <w:r w:rsidRPr="00415D05">
        <w:rPr>
          <w:u w:val="single"/>
        </w:rPr>
        <w:t>Archived Materials</w:t>
      </w:r>
    </w:p>
    <w:p w14:paraId="485C02A2" w14:textId="77777777" w:rsidR="00664AD2" w:rsidRPr="00C5535E" w:rsidRDefault="00415D05" w:rsidP="002020A2">
      <w:pPr>
        <w:spacing w:line="480" w:lineRule="auto"/>
        <w:jc w:val="both"/>
      </w:pPr>
      <w:r>
        <w:t>Information gained from the Zong and used on the Slave Voyages databases originated from a myriad of locations. There are the 18</w:t>
      </w:r>
      <w:r w:rsidRPr="00415D05">
        <w:rPr>
          <w:vertAlign w:val="superscript"/>
        </w:rPr>
        <w:t>th</w:t>
      </w:r>
      <w:r>
        <w:t xml:space="preserve"> century session papers  from the House of Commons, which unfortunately due to copyright protection, direct access is not available</w:t>
      </w:r>
      <w:r>
        <w:rPr>
          <w:rStyle w:val="FootnoteReference"/>
        </w:rPr>
        <w:footnoteReference w:id="6"/>
      </w:r>
      <w:r>
        <w:t xml:space="preserve">. There is also mention of the </w:t>
      </w:r>
      <w:r>
        <w:rPr>
          <w:i/>
          <w:iCs/>
        </w:rPr>
        <w:t xml:space="preserve">Zong </w:t>
      </w:r>
      <w:r>
        <w:t xml:space="preserve"> within contemporary newspapers such as the </w:t>
      </w:r>
      <w:r>
        <w:rPr>
          <w:i/>
          <w:iCs/>
        </w:rPr>
        <w:t xml:space="preserve">Royal Gazette (1782) </w:t>
      </w:r>
      <w:r>
        <w:t xml:space="preserve">and the </w:t>
      </w:r>
      <w:r>
        <w:rPr>
          <w:i/>
          <w:iCs/>
        </w:rPr>
        <w:t>Cornwall Chronicle (1781).</w:t>
      </w:r>
      <w:r w:rsidR="0054275F">
        <w:t xml:space="preserve">The </w:t>
      </w:r>
      <w:r w:rsidR="0054275F">
        <w:rPr>
          <w:i/>
          <w:iCs/>
        </w:rPr>
        <w:t>Zong</w:t>
      </w:r>
      <w:r w:rsidR="0054275F">
        <w:t xml:space="preserve"> also appears in Gomer William’s </w:t>
      </w:r>
      <w:r w:rsidR="0054275F">
        <w:rPr>
          <w:i/>
          <w:iCs/>
        </w:rPr>
        <w:t>History of the Liverpool Privateers and Letters of Marque</w:t>
      </w:r>
      <w:r w:rsidR="0054275F">
        <w:t xml:space="preserve">, it is in these papers where accounts of the </w:t>
      </w:r>
      <w:r w:rsidR="0054275F">
        <w:rPr>
          <w:i/>
          <w:iCs/>
        </w:rPr>
        <w:t>Zong</w:t>
      </w:r>
      <w:r w:rsidR="0054275F">
        <w:t xml:space="preserve"> crew throwing slaves overboard  in “order  to defraud the underwriters”</w:t>
      </w:r>
      <w:r w:rsidR="00664AD2">
        <w:t xml:space="preserve"> and claim they did not have enough water for the journey</w:t>
      </w:r>
      <w:r w:rsidR="0054275F">
        <w:rPr>
          <w:rStyle w:val="FootnoteReference"/>
        </w:rPr>
        <w:footnoteReference w:id="7"/>
      </w:r>
      <w:r w:rsidR="0054275F">
        <w:t>.</w:t>
      </w:r>
      <w:r w:rsidR="00C5535E">
        <w:t xml:space="preserve"> The Slave </w:t>
      </w:r>
      <w:r w:rsidR="00C5535E">
        <w:lastRenderedPageBreak/>
        <w:t xml:space="preserve">Voyage Database is an extremely useful in accumulating all the data for slave ships and processing it into one central database. </w:t>
      </w:r>
      <w:r w:rsidR="00664AD2">
        <w:t xml:space="preserve">Unfortunately, the database deals only in numerical data with no context or background history given. If one was to look at the </w:t>
      </w:r>
      <w:r w:rsidR="00664AD2">
        <w:rPr>
          <w:i/>
          <w:iCs/>
        </w:rPr>
        <w:t>Zong</w:t>
      </w:r>
      <w:r w:rsidR="00664AD2">
        <w:t xml:space="preserve"> using only the Ship Voyages Database, the murder of the slaves during the middle passage is not mentioned, a very integral piece of information which has been omitted.</w:t>
      </w:r>
    </w:p>
    <w:p w14:paraId="5527933B" w14:textId="4D9A4181" w:rsidR="00415D05" w:rsidRDefault="00415D05" w:rsidP="002020A2">
      <w:pPr>
        <w:spacing w:line="480" w:lineRule="auto"/>
        <w:jc w:val="both"/>
      </w:pPr>
    </w:p>
    <w:p w14:paraId="31CFD54B" w14:textId="0D367983" w:rsidR="005D3C0F" w:rsidRDefault="005D3C0F" w:rsidP="002020A2">
      <w:pPr>
        <w:spacing w:line="480" w:lineRule="auto"/>
        <w:jc w:val="both"/>
      </w:pPr>
    </w:p>
    <w:p w14:paraId="7DE05334" w14:textId="21E4F012" w:rsidR="005D3C0F" w:rsidRDefault="005D3C0F" w:rsidP="002020A2">
      <w:pPr>
        <w:spacing w:line="480" w:lineRule="auto"/>
        <w:jc w:val="both"/>
      </w:pPr>
    </w:p>
    <w:p w14:paraId="66DAB7E1" w14:textId="6FCD2EAB" w:rsidR="005D3C0F" w:rsidRDefault="005D3C0F" w:rsidP="002020A2">
      <w:pPr>
        <w:spacing w:line="480" w:lineRule="auto"/>
        <w:jc w:val="both"/>
      </w:pPr>
    </w:p>
    <w:p w14:paraId="2D844098" w14:textId="45AEE567" w:rsidR="005D3C0F" w:rsidRDefault="005D3C0F" w:rsidP="002020A2">
      <w:pPr>
        <w:spacing w:line="480" w:lineRule="auto"/>
        <w:jc w:val="both"/>
      </w:pPr>
    </w:p>
    <w:p w14:paraId="61A3869E" w14:textId="5970524F" w:rsidR="005D3C0F" w:rsidRDefault="005D3C0F" w:rsidP="002020A2">
      <w:pPr>
        <w:spacing w:line="480" w:lineRule="auto"/>
        <w:jc w:val="both"/>
      </w:pPr>
    </w:p>
    <w:p w14:paraId="451284A7" w14:textId="7277E058" w:rsidR="005D3C0F" w:rsidRDefault="005D3C0F" w:rsidP="002020A2">
      <w:pPr>
        <w:spacing w:line="480" w:lineRule="auto"/>
        <w:jc w:val="both"/>
      </w:pPr>
    </w:p>
    <w:p w14:paraId="7BE67C76" w14:textId="5441BBAB" w:rsidR="005D3C0F" w:rsidRDefault="005D3C0F" w:rsidP="002020A2">
      <w:pPr>
        <w:spacing w:line="480" w:lineRule="auto"/>
        <w:jc w:val="both"/>
      </w:pPr>
    </w:p>
    <w:p w14:paraId="78C97240" w14:textId="6330E700" w:rsidR="005D3C0F" w:rsidRDefault="005D3C0F" w:rsidP="002020A2">
      <w:pPr>
        <w:spacing w:line="480" w:lineRule="auto"/>
        <w:jc w:val="both"/>
      </w:pPr>
    </w:p>
    <w:p w14:paraId="661ADE9D" w14:textId="2FDB114A" w:rsidR="005D3C0F" w:rsidRDefault="005D3C0F" w:rsidP="002020A2">
      <w:pPr>
        <w:spacing w:line="480" w:lineRule="auto"/>
        <w:jc w:val="both"/>
      </w:pPr>
    </w:p>
    <w:p w14:paraId="02331F13" w14:textId="7E3BD18C" w:rsidR="005D3C0F" w:rsidRDefault="005D3C0F" w:rsidP="002020A2">
      <w:pPr>
        <w:spacing w:line="480" w:lineRule="auto"/>
        <w:jc w:val="both"/>
      </w:pPr>
    </w:p>
    <w:p w14:paraId="57E2EA29" w14:textId="373E12DE" w:rsidR="005D3C0F" w:rsidRDefault="005D3C0F" w:rsidP="002020A2">
      <w:pPr>
        <w:spacing w:line="480" w:lineRule="auto"/>
        <w:jc w:val="both"/>
      </w:pPr>
    </w:p>
    <w:p w14:paraId="63669EAC" w14:textId="72E20605" w:rsidR="005D3C0F" w:rsidRDefault="005D3C0F" w:rsidP="002020A2">
      <w:pPr>
        <w:spacing w:line="480" w:lineRule="auto"/>
        <w:jc w:val="both"/>
      </w:pPr>
    </w:p>
    <w:p w14:paraId="5F7C2169" w14:textId="1184FB91" w:rsidR="005D3C0F" w:rsidRDefault="005D3C0F" w:rsidP="002020A2">
      <w:pPr>
        <w:spacing w:line="480" w:lineRule="auto"/>
        <w:jc w:val="both"/>
      </w:pPr>
    </w:p>
    <w:p w14:paraId="35B3AA7D" w14:textId="77777777" w:rsidR="00CD20B2" w:rsidRPr="00C5535E" w:rsidRDefault="00CD20B2" w:rsidP="002020A2">
      <w:pPr>
        <w:spacing w:line="480" w:lineRule="auto"/>
        <w:jc w:val="both"/>
      </w:pPr>
    </w:p>
    <w:p w14:paraId="36B77113" w14:textId="77777777" w:rsidR="00415D05" w:rsidRDefault="00415D05"/>
    <w:p w14:paraId="354023D7" w14:textId="0E2EB815" w:rsidR="00A3241C" w:rsidRPr="00B95D02" w:rsidRDefault="00A3241C">
      <w:pPr>
        <w:rPr>
          <w:b/>
          <w:bCs/>
          <w:u w:val="single"/>
        </w:rPr>
      </w:pPr>
      <w:r w:rsidRPr="00B95D02">
        <w:rPr>
          <w:b/>
          <w:bCs/>
          <w:u w:val="single"/>
        </w:rPr>
        <w:lastRenderedPageBreak/>
        <w:t>Reference List</w:t>
      </w:r>
    </w:p>
    <w:p w14:paraId="3158AABD" w14:textId="319AD579" w:rsidR="00A3241C" w:rsidRDefault="00A3241C"/>
    <w:p w14:paraId="6C4877CC" w14:textId="77777777" w:rsidR="002020A2" w:rsidRDefault="002020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415D05">
        <w:rPr>
          <w:rFonts w:ascii="Arial" w:hAnsi="Arial" w:cs="Arial"/>
          <w:color w:val="000000"/>
          <w:shd w:val="clear" w:color="auto" w:fill="FFFFFF"/>
        </w:rPr>
        <w:t xml:space="preserve"> </w:t>
      </w:r>
      <w:r>
        <w:rPr>
          <w:rFonts w:ascii="Arial" w:hAnsi="Arial" w:cs="Arial"/>
          <w:color w:val="000000"/>
          <w:shd w:val="clear" w:color="auto" w:fill="FFFFFF"/>
        </w:rPr>
        <w:t>Catalogue</w:t>
      </w:r>
      <w:r>
        <w:rPr>
          <w:rFonts w:ascii="Arial" w:hAnsi="Arial" w:cs="Arial"/>
          <w:color w:val="000000"/>
          <w:sz w:val="20"/>
          <w:szCs w:val="20"/>
          <w:shd w:val="clear" w:color="auto" w:fill="FFFFFF"/>
        </w:rPr>
        <w:t xml:space="preserve"> Record: House Of Commons Sessional Papers Of The Eighteenth Century", </w:t>
      </w:r>
      <w:r>
        <w:rPr>
          <w:rFonts w:ascii="Arial" w:hAnsi="Arial" w:cs="Arial"/>
          <w:i/>
          <w:iCs/>
          <w:color w:val="000000"/>
          <w:sz w:val="20"/>
          <w:szCs w:val="20"/>
          <w:shd w:val="clear" w:color="auto" w:fill="FFFFFF"/>
        </w:rPr>
        <w:t>Hathi Trust Library</w:t>
      </w:r>
      <w:r>
        <w:rPr>
          <w:rFonts w:ascii="Arial" w:hAnsi="Arial" w:cs="Arial"/>
          <w:color w:val="000000"/>
          <w:sz w:val="20"/>
          <w:szCs w:val="20"/>
          <w:shd w:val="clear" w:color="auto" w:fill="FFFFFF"/>
        </w:rPr>
        <w:t> &lt;https://catalog.hathitrust.org/Record/100696640&gt; [Accessed 5 November 2020]</w:t>
      </w:r>
    </w:p>
    <w:p w14:paraId="3328B1F7" w14:textId="77777777" w:rsidR="002020A2" w:rsidRDefault="002020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"Trans-Atlantic Slave Trade - Database", </w:t>
      </w:r>
      <w:r>
        <w:rPr>
          <w:rFonts w:ascii="Arial" w:hAnsi="Arial" w:cs="Arial"/>
          <w:i/>
          <w:iCs/>
          <w:color w:val="000000"/>
          <w:sz w:val="20"/>
          <w:szCs w:val="20"/>
          <w:shd w:val="clear" w:color="auto" w:fill="FFFFFF"/>
        </w:rPr>
        <w:t>Slavevoyages.Org</w:t>
      </w:r>
      <w:r>
        <w:rPr>
          <w:rFonts w:ascii="Arial" w:hAnsi="Arial" w:cs="Arial"/>
          <w:color w:val="000000"/>
          <w:sz w:val="20"/>
          <w:szCs w:val="20"/>
          <w:shd w:val="clear" w:color="auto" w:fill="FFFFFF"/>
        </w:rPr>
        <w:t xml:space="preserve">, 2020 &lt;https://www.slavevoyages.org/voyage/database&gt; [Accessed </w:t>
      </w:r>
      <w:r>
        <w:rPr>
          <w:rFonts w:ascii="Arial" w:hAnsi="Arial" w:cs="Arial"/>
          <w:color w:val="000000"/>
          <w:sz w:val="20"/>
          <w:szCs w:val="20"/>
          <w:shd w:val="clear" w:color="auto" w:fill="FFFFFF"/>
        </w:rPr>
        <w:t>5</w:t>
      </w:r>
      <w:r>
        <w:rPr>
          <w:rFonts w:ascii="Arial" w:hAnsi="Arial" w:cs="Arial"/>
          <w:color w:val="000000"/>
          <w:sz w:val="20"/>
          <w:szCs w:val="20"/>
          <w:shd w:val="clear" w:color="auto" w:fill="FFFFFF"/>
        </w:rPr>
        <w:t xml:space="preserve"> November 2020]</w:t>
      </w:r>
    </w:p>
    <w:p w14:paraId="3B401717" w14:textId="77777777" w:rsidR="002020A2" w:rsidRDefault="002020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Brown, Caroline A, and Johanna X. K Garvey, </w:t>
      </w:r>
      <w:r>
        <w:rPr>
          <w:rFonts w:ascii="Arial" w:hAnsi="Arial" w:cs="Arial"/>
          <w:i/>
          <w:iCs/>
          <w:color w:val="000000"/>
          <w:sz w:val="20"/>
          <w:szCs w:val="20"/>
          <w:shd w:val="clear" w:color="auto" w:fill="FFFFFF"/>
        </w:rPr>
        <w:t>Madness In Black Women's Diasporic Fictions</w:t>
      </w:r>
      <w:r>
        <w:rPr>
          <w:rFonts w:ascii="Arial" w:hAnsi="Arial" w:cs="Arial"/>
          <w:color w:val="000000"/>
          <w:sz w:val="20"/>
          <w:szCs w:val="20"/>
          <w:shd w:val="clear" w:color="auto" w:fill="FFFFFF"/>
        </w:rPr>
        <w:t> (Cham: Palgrave Macmillan, 2017), p. 52</w:t>
      </w:r>
    </w:p>
    <w:p w14:paraId="24C29656" w14:textId="77777777" w:rsidR="002020A2" w:rsidRPr="00A3241C" w:rsidRDefault="002020A2">
      <w:pPr>
        <w:rPr>
          <w:u w:val="single"/>
        </w:rPr>
      </w:pPr>
      <w:r>
        <w:rPr>
          <w:rFonts w:ascii="Arial" w:hAnsi="Arial" w:cs="Arial"/>
          <w:color w:val="000000"/>
          <w:sz w:val="20"/>
          <w:szCs w:val="20"/>
          <w:shd w:val="clear" w:color="auto" w:fill="FFFFFF"/>
        </w:rPr>
        <w:t xml:space="preserve">French, </w:t>
      </w:r>
      <w:r>
        <w:rPr>
          <w:rFonts w:ascii="Arial" w:hAnsi="Arial" w:cs="Arial"/>
          <w:color w:val="000000"/>
          <w:sz w:val="20"/>
          <w:szCs w:val="20"/>
          <w:shd w:val="clear" w:color="auto" w:fill="FFFFFF"/>
        </w:rPr>
        <w:t>Christopher</w:t>
      </w:r>
      <w:r>
        <w:rPr>
          <w:rFonts w:ascii="Arial" w:hAnsi="Arial" w:cs="Arial"/>
          <w:color w:val="000000"/>
          <w:sz w:val="20"/>
          <w:szCs w:val="20"/>
          <w:shd w:val="clear" w:color="auto" w:fill="FFFFFF"/>
        </w:rPr>
        <w:t xml:space="preserve"> J., "Eighteenth-Century Shipping Tonnage Measurements", </w:t>
      </w:r>
      <w:r>
        <w:rPr>
          <w:rFonts w:ascii="Arial" w:hAnsi="Arial" w:cs="Arial"/>
          <w:i/>
          <w:iCs/>
          <w:color w:val="000000"/>
          <w:sz w:val="20"/>
          <w:szCs w:val="20"/>
          <w:shd w:val="clear" w:color="auto" w:fill="FFFFFF"/>
        </w:rPr>
        <w:t>The Journal Of Economic History</w:t>
      </w:r>
      <w:r>
        <w:rPr>
          <w:rFonts w:ascii="Arial" w:hAnsi="Arial" w:cs="Arial"/>
          <w:color w:val="000000"/>
          <w:sz w:val="20"/>
          <w:szCs w:val="20"/>
          <w:shd w:val="clear" w:color="auto" w:fill="FFFFFF"/>
        </w:rPr>
        <w:t>, 33 (1973), 434-443</w:t>
      </w:r>
    </w:p>
    <w:p w14:paraId="580E37EF" w14:textId="77777777" w:rsidR="002020A2" w:rsidRDefault="002020A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Rupprecht</w:t>
      </w:r>
      <w:proofErr w:type="spellEnd"/>
      <w:r>
        <w:rPr>
          <w:rFonts w:ascii="Arial" w:hAnsi="Arial" w:cs="Arial"/>
          <w:color w:val="000000"/>
          <w:sz w:val="20"/>
          <w:szCs w:val="20"/>
          <w:shd w:val="clear" w:color="auto" w:fill="FFFFFF"/>
        </w:rPr>
        <w:t xml:space="preserve">, Anita, "‘A Limited Sort Of Property’: History, Memory And The Slave </w:t>
      </w:r>
      <w:proofErr w:type="spellStart"/>
      <w:r>
        <w:rPr>
          <w:rFonts w:ascii="Arial" w:hAnsi="Arial" w:cs="Arial"/>
          <w:color w:val="000000"/>
          <w:sz w:val="20"/>
          <w:szCs w:val="20"/>
          <w:shd w:val="clear" w:color="auto" w:fill="FFFFFF"/>
        </w:rPr>
        <w:t>Shipzong</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Slavery &amp; Abolition</w:t>
      </w:r>
      <w:r>
        <w:rPr>
          <w:rFonts w:ascii="Arial" w:hAnsi="Arial" w:cs="Arial"/>
          <w:color w:val="000000"/>
          <w:sz w:val="20"/>
          <w:szCs w:val="20"/>
          <w:shd w:val="clear" w:color="auto" w:fill="FFFFFF"/>
        </w:rPr>
        <w:t>, 29 (2008), 265-277</w:t>
      </w:r>
    </w:p>
    <w:p w14:paraId="3484ABBC" w14:textId="77777777" w:rsidR="002020A2" w:rsidRDefault="002020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Gomer, </w:t>
      </w:r>
      <w:r>
        <w:rPr>
          <w:rFonts w:ascii="Arial" w:hAnsi="Arial" w:cs="Arial"/>
          <w:i/>
          <w:iCs/>
          <w:color w:val="000000"/>
          <w:sz w:val="20"/>
          <w:szCs w:val="20"/>
          <w:shd w:val="clear" w:color="auto" w:fill="FFFFFF"/>
        </w:rPr>
        <w:t>History Of The Liverpool Privateers And Letters Of Marque</w:t>
      </w:r>
      <w:r>
        <w:rPr>
          <w:rFonts w:ascii="Arial" w:hAnsi="Arial" w:cs="Arial"/>
          <w:color w:val="000000"/>
          <w:sz w:val="20"/>
          <w:szCs w:val="20"/>
          <w:shd w:val="clear" w:color="auto" w:fill="FFFFFF"/>
        </w:rPr>
        <w:t> (Montreal: McGill-Queen's University Press, 2004)</w:t>
      </w:r>
    </w:p>
    <w:sectPr w:rsidR="002020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750976" w14:textId="77777777" w:rsidR="00A927BD" w:rsidRDefault="00A927BD" w:rsidP="00A3241C">
      <w:pPr>
        <w:spacing w:after="0" w:line="240" w:lineRule="auto"/>
      </w:pPr>
      <w:r>
        <w:separator/>
      </w:r>
    </w:p>
  </w:endnote>
  <w:endnote w:type="continuationSeparator" w:id="0">
    <w:p w14:paraId="264EA68C" w14:textId="77777777" w:rsidR="00A927BD" w:rsidRDefault="00A927BD" w:rsidP="00A32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9156EB" w14:textId="77777777" w:rsidR="00A927BD" w:rsidRDefault="00A927BD" w:rsidP="00A3241C">
      <w:pPr>
        <w:spacing w:after="0" w:line="240" w:lineRule="auto"/>
      </w:pPr>
      <w:r>
        <w:separator/>
      </w:r>
    </w:p>
  </w:footnote>
  <w:footnote w:type="continuationSeparator" w:id="0">
    <w:p w14:paraId="47E26557" w14:textId="77777777" w:rsidR="00A927BD" w:rsidRDefault="00A927BD" w:rsidP="00A3241C">
      <w:pPr>
        <w:spacing w:after="0" w:line="240" w:lineRule="auto"/>
      </w:pPr>
      <w:r>
        <w:continuationSeparator/>
      </w:r>
    </w:p>
  </w:footnote>
  <w:footnote w:id="1">
    <w:p w14:paraId="49BCC57F" w14:textId="0F542FC9" w:rsidR="00A3241C" w:rsidRDefault="00A3241C">
      <w:pPr>
        <w:pStyle w:val="FootnoteText"/>
      </w:pPr>
      <w:r>
        <w:rPr>
          <w:rStyle w:val="FootnoteReference"/>
        </w:rPr>
        <w:footnoteRef/>
      </w:r>
      <w:r>
        <w:t xml:space="preserve"> </w:t>
      </w:r>
      <w:r>
        <w:rPr>
          <w:rFonts w:ascii="Arial" w:hAnsi="Arial" w:cs="Arial"/>
          <w:color w:val="000000"/>
          <w:shd w:val="clear" w:color="auto" w:fill="FFFFFF"/>
        </w:rPr>
        <w:t>"Trans-Atlantic Slave Trade - Database", </w:t>
      </w:r>
      <w:r>
        <w:rPr>
          <w:rFonts w:ascii="Arial" w:hAnsi="Arial" w:cs="Arial"/>
          <w:i/>
          <w:iCs/>
          <w:color w:val="000000"/>
          <w:shd w:val="clear" w:color="auto" w:fill="FFFFFF"/>
        </w:rPr>
        <w:t>Slavevoyages.Org</w:t>
      </w:r>
      <w:r>
        <w:rPr>
          <w:rFonts w:ascii="Arial" w:hAnsi="Arial" w:cs="Arial"/>
          <w:color w:val="000000"/>
          <w:shd w:val="clear" w:color="auto" w:fill="FFFFFF"/>
        </w:rPr>
        <w:t xml:space="preserve">, 2020 &lt;https://www.slavevoyages.org/voyage/database&gt; [Accessed </w:t>
      </w:r>
      <w:r w:rsidR="008B2192">
        <w:rPr>
          <w:rFonts w:ascii="Arial" w:hAnsi="Arial" w:cs="Arial"/>
          <w:color w:val="000000"/>
          <w:shd w:val="clear" w:color="auto" w:fill="FFFFFF"/>
        </w:rPr>
        <w:t>5</w:t>
      </w:r>
      <w:r>
        <w:rPr>
          <w:rFonts w:ascii="Arial" w:hAnsi="Arial" w:cs="Arial"/>
          <w:color w:val="000000"/>
          <w:shd w:val="clear" w:color="auto" w:fill="FFFFFF"/>
        </w:rPr>
        <w:t xml:space="preserve"> November 2020].</w:t>
      </w:r>
    </w:p>
  </w:footnote>
  <w:footnote w:id="2">
    <w:p w14:paraId="64D8CD8B" w14:textId="6785C97E" w:rsidR="00B73345" w:rsidRDefault="00B73345">
      <w:pPr>
        <w:pStyle w:val="FootnoteText"/>
      </w:pPr>
      <w:r>
        <w:rPr>
          <w:rStyle w:val="FootnoteReference"/>
        </w:rPr>
        <w:footnoteRef/>
      </w:r>
      <w:r>
        <w:t xml:space="preserve"> </w:t>
      </w:r>
      <w:r>
        <w:rPr>
          <w:rFonts w:ascii="Arial" w:hAnsi="Arial" w:cs="Arial"/>
          <w:color w:val="000000"/>
          <w:shd w:val="clear" w:color="auto" w:fill="FFFFFF"/>
        </w:rPr>
        <w:t>Christopher</w:t>
      </w:r>
      <w:r>
        <w:rPr>
          <w:rFonts w:ascii="Arial" w:hAnsi="Arial" w:cs="Arial"/>
          <w:color w:val="000000"/>
          <w:shd w:val="clear" w:color="auto" w:fill="FFFFFF"/>
        </w:rPr>
        <w:t xml:space="preserve"> J. French, "Eighteenth-Century Shipping Tonnage Measurements", </w:t>
      </w:r>
      <w:r>
        <w:rPr>
          <w:rFonts w:ascii="Arial" w:hAnsi="Arial" w:cs="Arial"/>
          <w:i/>
          <w:iCs/>
          <w:color w:val="000000"/>
          <w:shd w:val="clear" w:color="auto" w:fill="FFFFFF"/>
        </w:rPr>
        <w:t>The Journal Of Economic History</w:t>
      </w:r>
      <w:r>
        <w:rPr>
          <w:rFonts w:ascii="Arial" w:hAnsi="Arial" w:cs="Arial"/>
          <w:color w:val="000000"/>
          <w:shd w:val="clear" w:color="auto" w:fill="FFFFFF"/>
        </w:rPr>
        <w:t>, 33.2 (1973), 434-443.</w:t>
      </w:r>
    </w:p>
  </w:footnote>
  <w:footnote w:id="3">
    <w:p w14:paraId="1E5C0CE0" w14:textId="15FFF215" w:rsidR="000B2AD7" w:rsidRPr="000B2AD7" w:rsidRDefault="000B2AD7">
      <w:pPr>
        <w:pStyle w:val="FootnoteText"/>
      </w:pPr>
      <w:r>
        <w:rPr>
          <w:rStyle w:val="FootnoteReference"/>
        </w:rPr>
        <w:footnoteRef/>
      </w:r>
      <w:r>
        <w:t xml:space="preserve"> There is no date for the </w:t>
      </w:r>
      <w:r>
        <w:rPr>
          <w:i/>
          <w:iCs/>
        </w:rPr>
        <w:t>Zong’s</w:t>
      </w:r>
      <w:r>
        <w:t xml:space="preserve"> arrival in </w:t>
      </w:r>
      <w:r w:rsidR="00B95D02">
        <w:t>Africa,</w:t>
      </w:r>
      <w:r>
        <w:t xml:space="preserve"> but the departure date show the ship leaving Africa by the beginning of September 1781. </w:t>
      </w:r>
    </w:p>
  </w:footnote>
  <w:footnote w:id="4">
    <w:p w14:paraId="15ABF09D" w14:textId="6F320E31" w:rsidR="00B95D02" w:rsidRDefault="00B95D02">
      <w:pPr>
        <w:pStyle w:val="FootnoteText"/>
      </w:pPr>
      <w:r>
        <w:rPr>
          <w:rStyle w:val="FootnoteReference"/>
        </w:rPr>
        <w:footnoteRef/>
      </w:r>
      <w:r>
        <w:t xml:space="preserve"> </w:t>
      </w:r>
      <w:r>
        <w:rPr>
          <w:rFonts w:ascii="Arial" w:hAnsi="Arial" w:cs="Arial"/>
          <w:color w:val="000000"/>
          <w:shd w:val="clear" w:color="auto" w:fill="FFFFFF"/>
        </w:rPr>
        <w:t xml:space="preserve">Anita </w:t>
      </w:r>
      <w:proofErr w:type="spellStart"/>
      <w:r>
        <w:rPr>
          <w:rFonts w:ascii="Arial" w:hAnsi="Arial" w:cs="Arial"/>
          <w:color w:val="000000"/>
          <w:shd w:val="clear" w:color="auto" w:fill="FFFFFF"/>
        </w:rPr>
        <w:t>Rupprecht</w:t>
      </w:r>
      <w:proofErr w:type="spellEnd"/>
      <w:r>
        <w:rPr>
          <w:rFonts w:ascii="Arial" w:hAnsi="Arial" w:cs="Arial"/>
          <w:color w:val="000000"/>
          <w:shd w:val="clear" w:color="auto" w:fill="FFFFFF"/>
        </w:rPr>
        <w:t>, "‘A Limited Sort Of Property’: History, Memory And The Slave Ship</w:t>
      </w:r>
      <w:r>
        <w:rPr>
          <w:rFonts w:ascii="Arial" w:hAnsi="Arial" w:cs="Arial"/>
          <w:color w:val="000000"/>
          <w:shd w:val="clear" w:color="auto" w:fill="FFFFFF"/>
        </w:rPr>
        <w:t xml:space="preserve"> Z</w:t>
      </w:r>
      <w:r>
        <w:rPr>
          <w:rFonts w:ascii="Arial" w:hAnsi="Arial" w:cs="Arial"/>
          <w:color w:val="000000"/>
          <w:shd w:val="clear" w:color="auto" w:fill="FFFFFF"/>
        </w:rPr>
        <w:t>ong", </w:t>
      </w:r>
      <w:r>
        <w:rPr>
          <w:rFonts w:ascii="Arial" w:hAnsi="Arial" w:cs="Arial"/>
          <w:i/>
          <w:iCs/>
          <w:color w:val="000000"/>
          <w:shd w:val="clear" w:color="auto" w:fill="FFFFFF"/>
        </w:rPr>
        <w:t>Slavery &amp; Abolition</w:t>
      </w:r>
      <w:r>
        <w:rPr>
          <w:rFonts w:ascii="Arial" w:hAnsi="Arial" w:cs="Arial"/>
          <w:color w:val="000000"/>
          <w:shd w:val="clear" w:color="auto" w:fill="FFFFFF"/>
        </w:rPr>
        <w:t>, 29.2 (2008), 265-277.</w:t>
      </w:r>
    </w:p>
  </w:footnote>
  <w:footnote w:id="5">
    <w:p w14:paraId="771880E4" w14:textId="44AE22AD" w:rsidR="00664AD2" w:rsidRDefault="00664AD2">
      <w:pPr>
        <w:pStyle w:val="FootnoteText"/>
      </w:pPr>
      <w:r>
        <w:rPr>
          <w:rStyle w:val="FootnoteReference"/>
        </w:rPr>
        <w:footnoteRef/>
      </w:r>
      <w:r>
        <w:t xml:space="preserve"> </w:t>
      </w:r>
      <w:r>
        <w:rPr>
          <w:rFonts w:ascii="Arial" w:hAnsi="Arial" w:cs="Arial"/>
          <w:color w:val="000000"/>
          <w:shd w:val="clear" w:color="auto" w:fill="FFFFFF"/>
        </w:rPr>
        <w:t>Caroline A</w:t>
      </w:r>
      <w:r>
        <w:rPr>
          <w:rFonts w:ascii="Arial" w:hAnsi="Arial" w:cs="Arial"/>
          <w:color w:val="000000"/>
          <w:shd w:val="clear" w:color="auto" w:fill="FFFFFF"/>
        </w:rPr>
        <w:t>.</w:t>
      </w:r>
      <w:r>
        <w:rPr>
          <w:rFonts w:ascii="Arial" w:hAnsi="Arial" w:cs="Arial"/>
          <w:color w:val="000000"/>
          <w:shd w:val="clear" w:color="auto" w:fill="FFFFFF"/>
        </w:rPr>
        <w:t xml:space="preserve"> Brown and Johanna X. K</w:t>
      </w:r>
      <w:r>
        <w:rPr>
          <w:rFonts w:ascii="Arial" w:hAnsi="Arial" w:cs="Arial"/>
          <w:color w:val="000000"/>
          <w:shd w:val="clear" w:color="auto" w:fill="FFFFFF"/>
        </w:rPr>
        <w:t>.</w:t>
      </w:r>
      <w:r>
        <w:rPr>
          <w:rFonts w:ascii="Arial" w:hAnsi="Arial" w:cs="Arial"/>
          <w:color w:val="000000"/>
          <w:shd w:val="clear" w:color="auto" w:fill="FFFFFF"/>
        </w:rPr>
        <w:t xml:space="preserve"> Garvey, </w:t>
      </w:r>
      <w:r>
        <w:rPr>
          <w:rFonts w:ascii="Arial" w:hAnsi="Arial" w:cs="Arial"/>
          <w:i/>
          <w:iCs/>
          <w:color w:val="000000"/>
          <w:shd w:val="clear" w:color="auto" w:fill="FFFFFF"/>
        </w:rPr>
        <w:t>Madness In Black Women's Diasporic Fictions</w:t>
      </w:r>
      <w:r>
        <w:rPr>
          <w:rFonts w:ascii="Arial" w:hAnsi="Arial" w:cs="Arial"/>
          <w:color w:val="000000"/>
          <w:shd w:val="clear" w:color="auto" w:fill="FFFFFF"/>
        </w:rPr>
        <w:t> (Cham: Palgrave Macmillan, 2017), p. 52.</w:t>
      </w:r>
    </w:p>
  </w:footnote>
  <w:footnote w:id="6">
    <w:p w14:paraId="1FB6B26B" w14:textId="76D9573D" w:rsidR="00415D05" w:rsidRDefault="00415D05">
      <w:pPr>
        <w:pStyle w:val="FootnoteText"/>
      </w:pPr>
      <w:r>
        <w:rPr>
          <w:rStyle w:val="FootnoteReference"/>
        </w:rPr>
        <w:footnoteRef/>
      </w:r>
      <w:r>
        <w:t xml:space="preserve"> </w:t>
      </w:r>
      <w:r>
        <w:rPr>
          <w:rFonts w:ascii="Arial" w:hAnsi="Arial" w:cs="Arial"/>
          <w:color w:val="000000"/>
          <w:shd w:val="clear" w:color="auto" w:fill="FFFFFF"/>
        </w:rPr>
        <w:t>"</w:t>
      </w:r>
      <w:r>
        <w:rPr>
          <w:rFonts w:ascii="Arial" w:hAnsi="Arial" w:cs="Arial"/>
          <w:color w:val="000000"/>
          <w:shd w:val="clear" w:color="auto" w:fill="FFFFFF"/>
        </w:rPr>
        <w:t>Catalogue</w:t>
      </w:r>
      <w:r>
        <w:rPr>
          <w:rFonts w:ascii="Arial" w:hAnsi="Arial" w:cs="Arial"/>
          <w:color w:val="000000"/>
          <w:shd w:val="clear" w:color="auto" w:fill="FFFFFF"/>
        </w:rPr>
        <w:t xml:space="preserve"> Record: House Of Commons Sessional Papers Of The Eighteenth Century", </w:t>
      </w:r>
      <w:r>
        <w:rPr>
          <w:rFonts w:ascii="Arial" w:hAnsi="Arial" w:cs="Arial"/>
          <w:i/>
          <w:iCs/>
          <w:color w:val="000000"/>
          <w:shd w:val="clear" w:color="auto" w:fill="FFFFFF"/>
        </w:rPr>
        <w:t>Hathi Trust Library</w:t>
      </w:r>
      <w:r>
        <w:rPr>
          <w:rFonts w:ascii="Arial" w:hAnsi="Arial" w:cs="Arial"/>
          <w:color w:val="000000"/>
          <w:shd w:val="clear" w:color="auto" w:fill="FFFFFF"/>
        </w:rPr>
        <w:t> &lt;https://catalog.hathitrust.org/Record/100696640&gt; [Accessed 5 November 2020].</w:t>
      </w:r>
    </w:p>
  </w:footnote>
  <w:footnote w:id="7">
    <w:p w14:paraId="41260BCB" w14:textId="6AD48B8B" w:rsidR="0054275F" w:rsidRDefault="0054275F">
      <w:pPr>
        <w:pStyle w:val="FootnoteText"/>
      </w:pPr>
      <w:r>
        <w:rPr>
          <w:rStyle w:val="FootnoteReference"/>
        </w:rPr>
        <w:footnoteRef/>
      </w:r>
      <w:r>
        <w:t xml:space="preserve"> </w:t>
      </w:r>
      <w:r>
        <w:rPr>
          <w:rFonts w:ascii="Arial" w:hAnsi="Arial" w:cs="Arial"/>
          <w:color w:val="000000"/>
          <w:shd w:val="clear" w:color="auto" w:fill="FFFFFF"/>
        </w:rPr>
        <w:t>Gomer Williams, </w:t>
      </w:r>
      <w:r>
        <w:rPr>
          <w:rFonts w:ascii="Arial" w:hAnsi="Arial" w:cs="Arial"/>
          <w:i/>
          <w:iCs/>
          <w:color w:val="000000"/>
          <w:shd w:val="clear" w:color="auto" w:fill="FFFFFF"/>
        </w:rPr>
        <w:t>History Of The Liverpool Privateers And Letters Of Marque</w:t>
      </w:r>
      <w:r>
        <w:rPr>
          <w:rFonts w:ascii="Arial" w:hAnsi="Arial" w:cs="Arial"/>
          <w:color w:val="000000"/>
          <w:shd w:val="clear" w:color="auto" w:fill="FFFFFF"/>
        </w:rPr>
        <w:t> (Montreal: McGill-Queen's University Press, 2004), p. 568.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E718BC"/>
    <w:multiLevelType w:val="multilevel"/>
    <w:tmpl w:val="2672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500538"/>
    <w:multiLevelType w:val="multilevel"/>
    <w:tmpl w:val="DD8E0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2sjQzNTQzNrUwMTFT0lEKTi0uzszPAykwrAUAjLrUnywAAAA="/>
  </w:docVars>
  <w:rsids>
    <w:rsidRoot w:val="005A7085"/>
    <w:rsid w:val="000B2AD7"/>
    <w:rsid w:val="002020A2"/>
    <w:rsid w:val="002A069E"/>
    <w:rsid w:val="00415D05"/>
    <w:rsid w:val="0049584E"/>
    <w:rsid w:val="004E5862"/>
    <w:rsid w:val="0054275F"/>
    <w:rsid w:val="0058591A"/>
    <w:rsid w:val="005A7085"/>
    <w:rsid w:val="005D3C0F"/>
    <w:rsid w:val="00664AD2"/>
    <w:rsid w:val="008B2192"/>
    <w:rsid w:val="008E028D"/>
    <w:rsid w:val="00A3241C"/>
    <w:rsid w:val="00A927BD"/>
    <w:rsid w:val="00B73345"/>
    <w:rsid w:val="00B74A32"/>
    <w:rsid w:val="00B95D02"/>
    <w:rsid w:val="00C5535E"/>
    <w:rsid w:val="00CD20B2"/>
    <w:rsid w:val="00F50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C6E90"/>
  <w15:chartTrackingRefBased/>
  <w15:docId w15:val="{5A13BDD2-B5C5-4C1D-A32A-FFAA0E057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241C"/>
    <w:rPr>
      <w:color w:val="0563C1" w:themeColor="hyperlink"/>
      <w:u w:val="single"/>
    </w:rPr>
  </w:style>
  <w:style w:type="character" w:styleId="UnresolvedMention">
    <w:name w:val="Unresolved Mention"/>
    <w:basedOn w:val="DefaultParagraphFont"/>
    <w:uiPriority w:val="99"/>
    <w:semiHidden/>
    <w:unhideWhenUsed/>
    <w:rsid w:val="00A3241C"/>
    <w:rPr>
      <w:color w:val="605E5C"/>
      <w:shd w:val="clear" w:color="auto" w:fill="E1DFDD"/>
    </w:rPr>
  </w:style>
  <w:style w:type="paragraph" w:styleId="FootnoteText">
    <w:name w:val="footnote text"/>
    <w:basedOn w:val="Normal"/>
    <w:link w:val="FootnoteTextChar"/>
    <w:uiPriority w:val="99"/>
    <w:semiHidden/>
    <w:unhideWhenUsed/>
    <w:rsid w:val="00A324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241C"/>
    <w:rPr>
      <w:sz w:val="20"/>
      <w:szCs w:val="20"/>
    </w:rPr>
  </w:style>
  <w:style w:type="character" w:styleId="FootnoteReference">
    <w:name w:val="footnote reference"/>
    <w:basedOn w:val="DefaultParagraphFont"/>
    <w:uiPriority w:val="99"/>
    <w:semiHidden/>
    <w:unhideWhenUsed/>
    <w:rsid w:val="00A3241C"/>
    <w:rPr>
      <w:vertAlign w:val="superscript"/>
    </w:rPr>
  </w:style>
  <w:style w:type="paragraph" w:styleId="NormalWeb">
    <w:name w:val="Normal (Web)"/>
    <w:basedOn w:val="Normal"/>
    <w:uiPriority w:val="99"/>
    <w:semiHidden/>
    <w:unhideWhenUsed/>
    <w:rsid w:val="00664A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664AD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64AD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147767">
      <w:bodyDiv w:val="1"/>
      <w:marLeft w:val="0"/>
      <w:marRight w:val="0"/>
      <w:marTop w:val="0"/>
      <w:marBottom w:val="0"/>
      <w:divBdr>
        <w:top w:val="none" w:sz="0" w:space="0" w:color="auto"/>
        <w:left w:val="none" w:sz="0" w:space="0" w:color="auto"/>
        <w:bottom w:val="none" w:sz="0" w:space="0" w:color="auto"/>
        <w:right w:val="none" w:sz="0" w:space="0" w:color="auto"/>
      </w:divBdr>
    </w:div>
    <w:div w:id="998777037">
      <w:bodyDiv w:val="1"/>
      <w:marLeft w:val="0"/>
      <w:marRight w:val="0"/>
      <w:marTop w:val="0"/>
      <w:marBottom w:val="0"/>
      <w:divBdr>
        <w:top w:val="none" w:sz="0" w:space="0" w:color="auto"/>
        <w:left w:val="none" w:sz="0" w:space="0" w:color="auto"/>
        <w:bottom w:val="none" w:sz="0" w:space="0" w:color="auto"/>
        <w:right w:val="none" w:sz="0" w:space="0" w:color="auto"/>
      </w:divBdr>
    </w:div>
    <w:div w:id="152281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9E3346-254F-4EF6-85B6-1565AF6D6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5</Pages>
  <Words>770</Words>
  <Characters>4395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cp:keywords/>
  <dc:description/>
  <cp:lastModifiedBy>Scott Smith</cp:lastModifiedBy>
  <cp:revision>10</cp:revision>
  <dcterms:created xsi:type="dcterms:W3CDTF">2020-11-08T17:20:00Z</dcterms:created>
  <dcterms:modified xsi:type="dcterms:W3CDTF">2020-11-08T20:02:00Z</dcterms:modified>
</cp:coreProperties>
</file>