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F9FF" w14:textId="4D96ABD7" w:rsidR="00837693" w:rsidRDefault="00A23775" w:rsidP="00A23775">
      <w:pPr>
        <w:widowControl/>
        <w:autoSpaceDE/>
        <w:autoSpaceDN/>
        <w:spacing w:after="160"/>
        <w:jc w:val="right"/>
        <w:rPr>
          <w:b/>
          <w:bCs/>
        </w:rPr>
      </w:pPr>
      <w:r>
        <w:rPr>
          <w:noProof/>
        </w:rPr>
        <w:drawing>
          <wp:inline distT="0" distB="0" distL="0" distR="0" wp14:anchorId="19950E69" wp14:editId="7A4E2D1B">
            <wp:extent cx="2181225" cy="869867"/>
            <wp:effectExtent l="0" t="0" r="0" b="6985"/>
            <wp:docPr id="3" name="Picture 3"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3600" cy="874802"/>
                    </a:xfrm>
                    <a:prstGeom prst="rect">
                      <a:avLst/>
                    </a:prstGeom>
                    <a:noFill/>
                    <a:ln>
                      <a:noFill/>
                    </a:ln>
                  </pic:spPr>
                </pic:pic>
              </a:graphicData>
            </a:graphic>
          </wp:inline>
        </w:drawing>
      </w:r>
    </w:p>
    <w:p w14:paraId="4DD3C592" w14:textId="77777777" w:rsidR="00837693" w:rsidRDefault="00837693" w:rsidP="00FC1713">
      <w:pPr>
        <w:widowControl/>
        <w:autoSpaceDE/>
        <w:autoSpaceDN/>
        <w:spacing w:after="160"/>
        <w:jc w:val="center"/>
        <w:rPr>
          <w:b/>
          <w:bCs/>
        </w:rPr>
      </w:pPr>
    </w:p>
    <w:p w14:paraId="2B436C7C" w14:textId="59700CBF" w:rsidR="00A23775" w:rsidRDefault="00A23775" w:rsidP="00A23775">
      <w:pPr>
        <w:widowControl/>
        <w:autoSpaceDE/>
        <w:autoSpaceDN/>
        <w:spacing w:after="160"/>
        <w:jc w:val="center"/>
        <w:rPr>
          <w:b/>
          <w:bCs/>
          <w:sz w:val="32"/>
          <w:szCs w:val="28"/>
        </w:rPr>
      </w:pPr>
      <w:r w:rsidRPr="00A23775">
        <w:rPr>
          <w:b/>
          <w:bCs/>
          <w:sz w:val="32"/>
          <w:szCs w:val="28"/>
        </w:rPr>
        <w:t>University of Wale</w:t>
      </w:r>
      <w:r w:rsidR="005056D2">
        <w:rPr>
          <w:b/>
          <w:bCs/>
          <w:sz w:val="32"/>
          <w:szCs w:val="28"/>
        </w:rPr>
        <w:t xml:space="preserve">s </w:t>
      </w:r>
      <w:r w:rsidRPr="00A23775">
        <w:rPr>
          <w:b/>
          <w:bCs/>
          <w:sz w:val="32"/>
          <w:szCs w:val="28"/>
        </w:rPr>
        <w:t>Trinity Saint David</w:t>
      </w:r>
    </w:p>
    <w:p w14:paraId="54A5AACF" w14:textId="77777777" w:rsidR="00A23775" w:rsidRPr="00A23775" w:rsidRDefault="00A23775" w:rsidP="00A23775">
      <w:pPr>
        <w:widowControl/>
        <w:autoSpaceDE/>
        <w:autoSpaceDN/>
        <w:spacing w:after="160"/>
        <w:jc w:val="center"/>
        <w:rPr>
          <w:b/>
          <w:bCs/>
          <w:sz w:val="28"/>
          <w:szCs w:val="24"/>
        </w:rPr>
      </w:pPr>
      <w:r w:rsidRPr="00A23775">
        <w:rPr>
          <w:b/>
          <w:bCs/>
          <w:sz w:val="28"/>
          <w:szCs w:val="24"/>
        </w:rPr>
        <w:t xml:space="preserve">Module Name: Dissertation </w:t>
      </w:r>
    </w:p>
    <w:p w14:paraId="1F43882E" w14:textId="2EFA7EB6" w:rsidR="00837693" w:rsidRPr="00A23775" w:rsidRDefault="00A23775" w:rsidP="00A23775">
      <w:pPr>
        <w:widowControl/>
        <w:autoSpaceDE/>
        <w:autoSpaceDN/>
        <w:spacing w:after="160"/>
        <w:jc w:val="center"/>
        <w:rPr>
          <w:b/>
          <w:bCs/>
          <w:sz w:val="28"/>
          <w:szCs w:val="24"/>
        </w:rPr>
      </w:pPr>
      <w:r w:rsidRPr="00A23775">
        <w:rPr>
          <w:b/>
          <w:bCs/>
          <w:sz w:val="28"/>
          <w:szCs w:val="24"/>
        </w:rPr>
        <w:t xml:space="preserve">Module Code: LCMB 7035 </w:t>
      </w:r>
    </w:p>
    <w:p w14:paraId="5ADBD7DE" w14:textId="1F51DCE6" w:rsidR="00A23775" w:rsidRPr="00A23775" w:rsidRDefault="00A23775" w:rsidP="00A23775">
      <w:pPr>
        <w:widowControl/>
        <w:autoSpaceDE/>
        <w:autoSpaceDN/>
        <w:spacing w:after="160"/>
        <w:jc w:val="center"/>
        <w:rPr>
          <w:b/>
          <w:bCs/>
          <w:sz w:val="28"/>
          <w:szCs w:val="24"/>
        </w:rPr>
      </w:pPr>
      <w:proofErr w:type="spellStart"/>
      <w:r w:rsidRPr="00A23775">
        <w:rPr>
          <w:b/>
          <w:bCs/>
          <w:sz w:val="28"/>
          <w:szCs w:val="24"/>
        </w:rPr>
        <w:t>Programme</w:t>
      </w:r>
      <w:proofErr w:type="spellEnd"/>
      <w:r w:rsidRPr="00A23775">
        <w:rPr>
          <w:b/>
          <w:bCs/>
          <w:sz w:val="28"/>
          <w:szCs w:val="24"/>
        </w:rPr>
        <w:t>: Master of Business Administration</w:t>
      </w:r>
    </w:p>
    <w:p w14:paraId="036E97DB" w14:textId="77777777" w:rsidR="00A23775" w:rsidRDefault="00A23775" w:rsidP="00FC1713">
      <w:pPr>
        <w:widowControl/>
        <w:autoSpaceDE/>
        <w:autoSpaceDN/>
        <w:spacing w:after="160"/>
        <w:jc w:val="center"/>
        <w:rPr>
          <w:b/>
          <w:bCs/>
          <w:sz w:val="28"/>
        </w:rPr>
      </w:pPr>
    </w:p>
    <w:p w14:paraId="24853359" w14:textId="1E9634A6" w:rsidR="00A23775" w:rsidRPr="00A23775" w:rsidRDefault="00A23775" w:rsidP="00FC1713">
      <w:pPr>
        <w:widowControl/>
        <w:autoSpaceDE/>
        <w:autoSpaceDN/>
        <w:spacing w:after="160"/>
        <w:jc w:val="center"/>
        <w:rPr>
          <w:b/>
          <w:bCs/>
          <w:sz w:val="32"/>
          <w:szCs w:val="24"/>
        </w:rPr>
      </w:pPr>
      <w:r w:rsidRPr="00A23775">
        <w:rPr>
          <w:b/>
          <w:bCs/>
          <w:sz w:val="32"/>
          <w:szCs w:val="24"/>
        </w:rPr>
        <w:t xml:space="preserve">Dissertation </w:t>
      </w:r>
      <w:r w:rsidR="00FC1713" w:rsidRPr="00A23775">
        <w:rPr>
          <w:b/>
          <w:bCs/>
          <w:sz w:val="32"/>
          <w:szCs w:val="24"/>
        </w:rPr>
        <w:t xml:space="preserve">Topic: </w:t>
      </w:r>
    </w:p>
    <w:p w14:paraId="122DA75F" w14:textId="1B27E637" w:rsidR="00837693" w:rsidRPr="00A23775" w:rsidRDefault="00A23775" w:rsidP="00A23775">
      <w:pPr>
        <w:widowControl/>
        <w:autoSpaceDE/>
        <w:autoSpaceDN/>
        <w:spacing w:after="160"/>
        <w:jc w:val="center"/>
        <w:rPr>
          <w:b/>
          <w:bCs/>
          <w:i/>
          <w:iCs/>
          <w:sz w:val="32"/>
          <w:szCs w:val="24"/>
        </w:rPr>
      </w:pPr>
      <w:r w:rsidRPr="00A23775">
        <w:rPr>
          <w:b/>
          <w:bCs/>
          <w:i/>
          <w:iCs/>
          <w:sz w:val="32"/>
          <w:szCs w:val="24"/>
        </w:rPr>
        <w:t>“</w:t>
      </w:r>
      <w:r w:rsidR="00A228B7" w:rsidRPr="00A23775">
        <w:rPr>
          <w:b/>
          <w:bCs/>
          <w:i/>
          <w:iCs/>
          <w:sz w:val="32"/>
          <w:szCs w:val="24"/>
        </w:rPr>
        <w:t xml:space="preserve">The </w:t>
      </w:r>
      <w:r w:rsidR="005A0B6B" w:rsidRPr="00A23775">
        <w:rPr>
          <w:b/>
          <w:bCs/>
          <w:i/>
          <w:iCs/>
          <w:sz w:val="32"/>
          <w:szCs w:val="24"/>
        </w:rPr>
        <w:t>i</w:t>
      </w:r>
      <w:r w:rsidR="00A228B7" w:rsidRPr="00A23775">
        <w:rPr>
          <w:b/>
          <w:bCs/>
          <w:i/>
          <w:iCs/>
          <w:sz w:val="32"/>
          <w:szCs w:val="24"/>
        </w:rPr>
        <w:t xml:space="preserve">mpact of </w:t>
      </w:r>
      <w:r w:rsidR="005A0B6B" w:rsidRPr="00A23775">
        <w:rPr>
          <w:b/>
          <w:bCs/>
          <w:i/>
          <w:iCs/>
          <w:sz w:val="32"/>
          <w:szCs w:val="24"/>
        </w:rPr>
        <w:t>s</w:t>
      </w:r>
      <w:r w:rsidR="00A228B7" w:rsidRPr="00A23775">
        <w:rPr>
          <w:b/>
          <w:bCs/>
          <w:i/>
          <w:iCs/>
          <w:sz w:val="32"/>
          <w:szCs w:val="24"/>
        </w:rPr>
        <w:t xml:space="preserve">ustainability </w:t>
      </w:r>
      <w:r w:rsidR="009423A0" w:rsidRPr="00A23775">
        <w:rPr>
          <w:b/>
          <w:bCs/>
          <w:i/>
          <w:iCs/>
          <w:sz w:val="32"/>
          <w:szCs w:val="24"/>
        </w:rPr>
        <w:t>m</w:t>
      </w:r>
      <w:r w:rsidR="00A228B7" w:rsidRPr="00A23775">
        <w:rPr>
          <w:b/>
          <w:bCs/>
          <w:i/>
          <w:iCs/>
          <w:sz w:val="32"/>
          <w:szCs w:val="24"/>
        </w:rPr>
        <w:t xml:space="preserve">arketing </w:t>
      </w:r>
      <w:r w:rsidR="009423A0" w:rsidRPr="00A23775">
        <w:rPr>
          <w:b/>
          <w:bCs/>
          <w:i/>
          <w:iCs/>
          <w:sz w:val="32"/>
          <w:szCs w:val="24"/>
        </w:rPr>
        <w:t>c</w:t>
      </w:r>
      <w:r w:rsidR="00A228B7" w:rsidRPr="00A23775">
        <w:rPr>
          <w:b/>
          <w:bCs/>
          <w:i/>
          <w:iCs/>
          <w:sz w:val="32"/>
          <w:szCs w:val="24"/>
        </w:rPr>
        <w:t xml:space="preserve">ommunication on </w:t>
      </w:r>
      <w:r w:rsidR="009423A0" w:rsidRPr="00A23775">
        <w:rPr>
          <w:b/>
          <w:bCs/>
          <w:i/>
          <w:iCs/>
          <w:sz w:val="32"/>
          <w:szCs w:val="24"/>
        </w:rPr>
        <w:t>b</w:t>
      </w:r>
      <w:r w:rsidR="00A228B7" w:rsidRPr="00A23775">
        <w:rPr>
          <w:b/>
          <w:bCs/>
          <w:i/>
          <w:iCs/>
          <w:sz w:val="32"/>
          <w:szCs w:val="24"/>
        </w:rPr>
        <w:t xml:space="preserve">rand </w:t>
      </w:r>
      <w:r w:rsidR="009423A0" w:rsidRPr="00A23775">
        <w:rPr>
          <w:b/>
          <w:bCs/>
          <w:i/>
          <w:iCs/>
          <w:sz w:val="32"/>
          <w:szCs w:val="24"/>
        </w:rPr>
        <w:t>t</w:t>
      </w:r>
      <w:r w:rsidR="00A228B7" w:rsidRPr="00A23775">
        <w:rPr>
          <w:b/>
          <w:bCs/>
          <w:i/>
          <w:iCs/>
          <w:sz w:val="32"/>
          <w:szCs w:val="24"/>
        </w:rPr>
        <w:t xml:space="preserve">rust: A </w:t>
      </w:r>
      <w:r w:rsidR="009423A0" w:rsidRPr="00A23775">
        <w:rPr>
          <w:b/>
          <w:bCs/>
          <w:i/>
          <w:iCs/>
          <w:sz w:val="32"/>
          <w:szCs w:val="24"/>
        </w:rPr>
        <w:t>m</w:t>
      </w:r>
      <w:r w:rsidR="00A228B7" w:rsidRPr="00A23775">
        <w:rPr>
          <w:b/>
          <w:bCs/>
          <w:i/>
          <w:iCs/>
          <w:sz w:val="32"/>
          <w:szCs w:val="24"/>
        </w:rPr>
        <w:t xml:space="preserve">ultiple </w:t>
      </w:r>
      <w:r w:rsidR="009423A0" w:rsidRPr="00A23775">
        <w:rPr>
          <w:b/>
          <w:bCs/>
          <w:i/>
          <w:iCs/>
          <w:sz w:val="32"/>
          <w:szCs w:val="24"/>
        </w:rPr>
        <w:t>c</w:t>
      </w:r>
      <w:r w:rsidR="00A228B7" w:rsidRPr="00A23775">
        <w:rPr>
          <w:b/>
          <w:bCs/>
          <w:i/>
          <w:iCs/>
          <w:sz w:val="32"/>
          <w:szCs w:val="24"/>
        </w:rPr>
        <w:t xml:space="preserve">ase </w:t>
      </w:r>
      <w:r w:rsidR="009423A0" w:rsidRPr="00A23775">
        <w:rPr>
          <w:b/>
          <w:bCs/>
          <w:i/>
          <w:iCs/>
          <w:sz w:val="32"/>
          <w:szCs w:val="24"/>
        </w:rPr>
        <w:t>s</w:t>
      </w:r>
      <w:r w:rsidR="00A228B7" w:rsidRPr="00A23775">
        <w:rPr>
          <w:b/>
          <w:bCs/>
          <w:i/>
          <w:iCs/>
          <w:sz w:val="32"/>
          <w:szCs w:val="24"/>
        </w:rPr>
        <w:t xml:space="preserve">tudy of </w:t>
      </w:r>
      <w:r w:rsidR="009423A0" w:rsidRPr="00A23775">
        <w:rPr>
          <w:b/>
          <w:bCs/>
          <w:i/>
          <w:iCs/>
          <w:sz w:val="32"/>
          <w:szCs w:val="24"/>
        </w:rPr>
        <w:t>g</w:t>
      </w:r>
      <w:r w:rsidR="00A228B7" w:rsidRPr="00A23775">
        <w:rPr>
          <w:b/>
          <w:bCs/>
          <w:i/>
          <w:iCs/>
          <w:sz w:val="32"/>
          <w:szCs w:val="24"/>
        </w:rPr>
        <w:t xml:space="preserve">rocery </w:t>
      </w:r>
      <w:r w:rsidR="009423A0" w:rsidRPr="00A23775">
        <w:rPr>
          <w:b/>
          <w:bCs/>
          <w:i/>
          <w:iCs/>
          <w:sz w:val="32"/>
          <w:szCs w:val="24"/>
        </w:rPr>
        <w:t>r</w:t>
      </w:r>
      <w:r w:rsidR="00A228B7" w:rsidRPr="00A23775">
        <w:rPr>
          <w:b/>
          <w:bCs/>
          <w:i/>
          <w:iCs/>
          <w:sz w:val="32"/>
          <w:szCs w:val="24"/>
        </w:rPr>
        <w:t>etailers in the UK</w:t>
      </w:r>
      <w:r w:rsidRPr="00A23775">
        <w:rPr>
          <w:b/>
          <w:bCs/>
          <w:i/>
          <w:iCs/>
          <w:sz w:val="32"/>
          <w:szCs w:val="24"/>
        </w:rPr>
        <w:t>”</w:t>
      </w:r>
    </w:p>
    <w:p w14:paraId="6764A593" w14:textId="3D4699DC" w:rsidR="00FC1713" w:rsidRPr="00A23775" w:rsidRDefault="00FC1713" w:rsidP="00A23775">
      <w:pPr>
        <w:widowControl/>
        <w:autoSpaceDE/>
        <w:autoSpaceDN/>
        <w:spacing w:after="160"/>
        <w:rPr>
          <w:b/>
          <w:bCs/>
          <w:sz w:val="32"/>
          <w:szCs w:val="28"/>
        </w:rPr>
      </w:pPr>
    </w:p>
    <w:p w14:paraId="3397F299" w14:textId="3B3BF596" w:rsidR="00FC1713" w:rsidRPr="00A23775" w:rsidRDefault="00FC1713" w:rsidP="00FC1713">
      <w:pPr>
        <w:widowControl/>
        <w:autoSpaceDE/>
        <w:autoSpaceDN/>
        <w:spacing w:after="160"/>
        <w:jc w:val="center"/>
        <w:rPr>
          <w:b/>
          <w:bCs/>
        </w:rPr>
      </w:pPr>
      <w:r w:rsidRPr="00A23775">
        <w:rPr>
          <w:b/>
          <w:bCs/>
        </w:rPr>
        <w:t>Student Name:</w:t>
      </w:r>
      <w:r w:rsidR="006228D2" w:rsidRPr="00A23775">
        <w:rPr>
          <w:b/>
          <w:bCs/>
        </w:rPr>
        <w:t xml:space="preserve"> </w:t>
      </w:r>
      <w:proofErr w:type="spellStart"/>
      <w:r w:rsidR="006228D2" w:rsidRPr="00A23775">
        <w:rPr>
          <w:b/>
          <w:bCs/>
        </w:rPr>
        <w:t>Tanvir</w:t>
      </w:r>
      <w:proofErr w:type="spellEnd"/>
      <w:r w:rsidR="006228D2" w:rsidRPr="00A23775">
        <w:rPr>
          <w:b/>
          <w:bCs/>
        </w:rPr>
        <w:t xml:space="preserve"> Ahmed</w:t>
      </w:r>
    </w:p>
    <w:p w14:paraId="145FD41E" w14:textId="646CDB91" w:rsidR="00FC1713" w:rsidRDefault="00FC1713" w:rsidP="00FC1713">
      <w:pPr>
        <w:widowControl/>
        <w:autoSpaceDE/>
        <w:autoSpaceDN/>
        <w:spacing w:after="160"/>
        <w:jc w:val="center"/>
        <w:rPr>
          <w:b/>
          <w:bCs/>
        </w:rPr>
      </w:pPr>
      <w:r w:rsidRPr="00A23775">
        <w:rPr>
          <w:b/>
          <w:bCs/>
        </w:rPr>
        <w:t>Student ID:</w:t>
      </w:r>
      <w:r w:rsidR="006228D2" w:rsidRPr="00A23775">
        <w:rPr>
          <w:b/>
          <w:bCs/>
        </w:rPr>
        <w:t xml:space="preserve"> 2510639</w:t>
      </w:r>
    </w:p>
    <w:p w14:paraId="3F3039B2" w14:textId="0B936F29" w:rsidR="00A23775" w:rsidRDefault="00A23775" w:rsidP="00FC1713">
      <w:pPr>
        <w:widowControl/>
        <w:autoSpaceDE/>
        <w:autoSpaceDN/>
        <w:spacing w:after="160"/>
        <w:jc w:val="center"/>
        <w:rPr>
          <w:b/>
          <w:bCs/>
        </w:rPr>
      </w:pPr>
      <w:r>
        <w:rPr>
          <w:b/>
          <w:bCs/>
        </w:rPr>
        <w:t xml:space="preserve">Supervisor </w:t>
      </w:r>
      <w:r w:rsidR="00B66F46">
        <w:rPr>
          <w:b/>
          <w:bCs/>
        </w:rPr>
        <w:t xml:space="preserve">Name: Amir </w:t>
      </w:r>
      <w:proofErr w:type="spellStart"/>
      <w:r w:rsidR="00076DEC">
        <w:rPr>
          <w:b/>
          <w:bCs/>
        </w:rPr>
        <w:t>Homayounfard</w:t>
      </w:r>
      <w:proofErr w:type="spellEnd"/>
    </w:p>
    <w:p w14:paraId="65716ACB" w14:textId="51E02271" w:rsidR="00A23775" w:rsidRPr="00A23775" w:rsidRDefault="00A23775" w:rsidP="00FC1713">
      <w:pPr>
        <w:widowControl/>
        <w:autoSpaceDE/>
        <w:autoSpaceDN/>
        <w:spacing w:after="160"/>
        <w:jc w:val="center"/>
        <w:rPr>
          <w:b/>
          <w:bCs/>
        </w:rPr>
      </w:pPr>
      <w:r>
        <w:rPr>
          <w:b/>
          <w:bCs/>
        </w:rPr>
        <w:t xml:space="preserve">Word Count:  </w:t>
      </w:r>
      <w:r w:rsidRPr="00A23775">
        <w:t>Approx. 15</w:t>
      </w:r>
      <w:r>
        <w:t>,</w:t>
      </w:r>
      <w:r w:rsidRPr="00A23775">
        <w:t>905</w:t>
      </w:r>
      <w:r>
        <w:t xml:space="preserve"> (</w:t>
      </w:r>
      <w:r w:rsidRPr="00A23775">
        <w:t xml:space="preserve">excluding abstract, table of </w:t>
      </w:r>
      <w:r>
        <w:t>contents</w:t>
      </w:r>
      <w:r w:rsidRPr="00A23775">
        <w:t>, references and appendix</w:t>
      </w:r>
      <w:r>
        <w:t>)</w:t>
      </w:r>
    </w:p>
    <w:p w14:paraId="15A4E4CF" w14:textId="47834FA0" w:rsidR="00FC1713" w:rsidRDefault="00FC1713" w:rsidP="00FC1713">
      <w:pPr>
        <w:widowControl/>
        <w:autoSpaceDE/>
        <w:autoSpaceDN/>
        <w:spacing w:after="160"/>
        <w:jc w:val="center"/>
        <w:rPr>
          <w:b/>
          <w:bCs/>
        </w:rPr>
      </w:pPr>
      <w:r w:rsidRPr="00A23775">
        <w:rPr>
          <w:b/>
          <w:bCs/>
        </w:rPr>
        <w:t>Date of Submission:</w:t>
      </w:r>
      <w:r w:rsidR="003054A0" w:rsidRPr="00A23775">
        <w:rPr>
          <w:b/>
          <w:bCs/>
        </w:rPr>
        <w:t xml:space="preserve"> </w:t>
      </w:r>
      <w:r w:rsidR="00274D55">
        <w:rPr>
          <w:b/>
          <w:bCs/>
        </w:rPr>
        <w:t>23rd</w:t>
      </w:r>
      <w:r w:rsidR="003054A0" w:rsidRPr="00A23775">
        <w:rPr>
          <w:b/>
          <w:bCs/>
        </w:rPr>
        <w:t xml:space="preserve"> September, 2026</w:t>
      </w:r>
    </w:p>
    <w:p w14:paraId="2A7A4F15" w14:textId="77777777" w:rsidR="00A23775" w:rsidRPr="00A23775" w:rsidRDefault="00A23775" w:rsidP="00FC1713">
      <w:pPr>
        <w:widowControl/>
        <w:autoSpaceDE/>
        <w:autoSpaceDN/>
        <w:spacing w:after="160"/>
        <w:jc w:val="center"/>
        <w:rPr>
          <w:b/>
          <w:bCs/>
        </w:rPr>
      </w:pPr>
    </w:p>
    <w:p w14:paraId="5F4AED38" w14:textId="77777777" w:rsidR="009F5B2D" w:rsidRDefault="009F5B2D">
      <w:pPr>
        <w:widowControl/>
        <w:autoSpaceDE/>
        <w:autoSpaceDN/>
        <w:spacing w:after="160" w:line="259" w:lineRule="auto"/>
        <w:jc w:val="left"/>
      </w:pPr>
      <w:r>
        <w:br w:type="page"/>
      </w:r>
    </w:p>
    <w:p w14:paraId="76AFC35D" w14:textId="77777777" w:rsidR="00D14297" w:rsidRPr="00D14297" w:rsidRDefault="00D14297" w:rsidP="00D14297">
      <w:pPr>
        <w:jc w:val="center"/>
        <w:rPr>
          <w:b/>
          <w:bCs/>
          <w:i/>
          <w:iCs/>
          <w:sz w:val="32"/>
          <w:szCs w:val="28"/>
        </w:rPr>
      </w:pPr>
      <w:r w:rsidRPr="00D14297">
        <w:rPr>
          <w:b/>
          <w:bCs/>
          <w:i/>
          <w:iCs/>
          <w:sz w:val="32"/>
          <w:szCs w:val="28"/>
        </w:rPr>
        <w:lastRenderedPageBreak/>
        <w:t>Cover Letter</w:t>
      </w:r>
    </w:p>
    <w:p w14:paraId="05C43EEB" w14:textId="77777777" w:rsidR="00D14297" w:rsidRDefault="00D14297" w:rsidP="00D14297"/>
    <w:p w14:paraId="4FE6B0BC" w14:textId="386E97D9" w:rsidR="00D14297" w:rsidRPr="00D14297" w:rsidRDefault="00D14297" w:rsidP="00D14297">
      <w:r w:rsidRPr="00D14297">
        <w:t>Dear Dissertation Supervisor,</w:t>
      </w:r>
    </w:p>
    <w:p w14:paraId="13BB4804" w14:textId="77777777" w:rsidR="00E07273" w:rsidRDefault="00E07273" w:rsidP="00E07273">
      <w:r>
        <w:t>Please find enclosed my dissertation entitled “The Impact of Sustainability Marketing Communication on Brand Trust: A Multiple Case Study of Grocery Retailers in the UK.”</w:t>
      </w:r>
    </w:p>
    <w:p w14:paraId="12C68C3C" w14:textId="77777777" w:rsidR="00E07273" w:rsidRDefault="00E07273" w:rsidP="00E07273">
      <w:r>
        <w:t xml:space="preserve">This dissertation investigates sustainability marketing communication within the UK grocery retail sector, with Marks &amp; Spencer (M&amp;S) as the focal case and Tesco, </w:t>
      </w:r>
      <w:proofErr w:type="spellStart"/>
      <w:r>
        <w:t>Asda</w:t>
      </w:r>
      <w:proofErr w:type="spellEnd"/>
      <w:r>
        <w:t xml:space="preserve">, </w:t>
      </w:r>
      <w:proofErr w:type="spellStart"/>
      <w:r>
        <w:t>Morrisons</w:t>
      </w:r>
      <w:proofErr w:type="spellEnd"/>
      <w:r>
        <w:t xml:space="preserve"> and Sainsbury’s as comparator </w:t>
      </w:r>
      <w:proofErr w:type="spellStart"/>
      <w:r>
        <w:t>organisations</w:t>
      </w:r>
      <w:proofErr w:type="spellEnd"/>
      <w:r>
        <w:t>. It covers the credibility and potential brand-trust issue of the clarity of claims, evidence and substantiation, and transparency and consistency across channels.</w:t>
      </w:r>
    </w:p>
    <w:p w14:paraId="18AF8E1B" w14:textId="7316B5BC" w:rsidR="00D14297" w:rsidRPr="00D14297" w:rsidRDefault="00E07273" w:rsidP="00E07273">
      <w:r>
        <w:t>I declare that this dissertation has been prepared in strict adherence with the academic requirements, ethical principles and referencing conventions</w:t>
      </w:r>
      <w:r w:rsidR="00D14297" w:rsidRPr="00D14297">
        <w:t>.</w:t>
      </w:r>
    </w:p>
    <w:p w14:paraId="5BD96188" w14:textId="77777777" w:rsidR="00D14297" w:rsidRDefault="00D14297" w:rsidP="00D14297">
      <w:r w:rsidRPr="00D14297">
        <w:t>Yours sincerely,</w:t>
      </w:r>
    </w:p>
    <w:p w14:paraId="10C9C4FF" w14:textId="38B48970" w:rsidR="00D14297" w:rsidRPr="00A86B51" w:rsidRDefault="00D14297" w:rsidP="00D14297">
      <w:r w:rsidRPr="00D14297">
        <w:rPr>
          <w:b/>
          <w:bCs/>
        </w:rPr>
        <w:t>Student Name:</w:t>
      </w:r>
      <w:r w:rsidR="00A86B51">
        <w:rPr>
          <w:b/>
          <w:bCs/>
        </w:rPr>
        <w:t xml:space="preserve"> </w:t>
      </w:r>
      <w:proofErr w:type="spellStart"/>
      <w:r w:rsidR="00A86B51">
        <w:t>Tanvir</w:t>
      </w:r>
      <w:proofErr w:type="spellEnd"/>
      <w:r w:rsidR="00A86B51">
        <w:t xml:space="preserve"> Ahmed </w:t>
      </w:r>
    </w:p>
    <w:p w14:paraId="3EB17C6C" w14:textId="6710463B" w:rsidR="00D14297" w:rsidRPr="00A86B51" w:rsidRDefault="00D14297" w:rsidP="00D14297">
      <w:r w:rsidRPr="00D14297">
        <w:rPr>
          <w:b/>
          <w:bCs/>
        </w:rPr>
        <w:t>Student ID:</w:t>
      </w:r>
      <w:r w:rsidR="00A86B51">
        <w:rPr>
          <w:b/>
          <w:bCs/>
        </w:rPr>
        <w:t xml:space="preserve"> </w:t>
      </w:r>
      <w:r w:rsidR="00A86B51">
        <w:t>2510639</w:t>
      </w:r>
    </w:p>
    <w:p w14:paraId="30C133A4" w14:textId="10BA2FD5" w:rsidR="00D14297" w:rsidRPr="00A86B51" w:rsidRDefault="00D14297" w:rsidP="00D14297">
      <w:r w:rsidRPr="00D14297">
        <w:rPr>
          <w:b/>
          <w:bCs/>
        </w:rPr>
        <w:t>Module Name:</w:t>
      </w:r>
      <w:r w:rsidR="00A86B51">
        <w:t xml:space="preserve"> Dissertation </w:t>
      </w:r>
    </w:p>
    <w:p w14:paraId="52D91249" w14:textId="241ABCBF" w:rsidR="00D14297" w:rsidRPr="00A86B51" w:rsidRDefault="00D14297" w:rsidP="00D14297">
      <w:r w:rsidRPr="00D14297">
        <w:rPr>
          <w:b/>
          <w:bCs/>
        </w:rPr>
        <w:t>Module Code:</w:t>
      </w:r>
      <w:r w:rsidR="00A86B51">
        <w:rPr>
          <w:b/>
          <w:bCs/>
        </w:rPr>
        <w:t xml:space="preserve"> </w:t>
      </w:r>
      <w:r w:rsidR="00A86B51">
        <w:t>LCMB</w:t>
      </w:r>
      <w:r w:rsidR="006B0E48">
        <w:t xml:space="preserve"> </w:t>
      </w:r>
      <w:r w:rsidR="00A86B51">
        <w:t>7</w:t>
      </w:r>
      <w:r w:rsidR="00820112">
        <w:t>035</w:t>
      </w:r>
    </w:p>
    <w:p w14:paraId="21EB5224" w14:textId="12CD0A3C" w:rsidR="00D14297" w:rsidRPr="00536D87" w:rsidRDefault="00D14297" w:rsidP="00D14297">
      <w:r w:rsidRPr="00D14297">
        <w:rPr>
          <w:b/>
          <w:bCs/>
        </w:rPr>
        <w:t>Date of Submission:</w:t>
      </w:r>
      <w:r w:rsidR="00536D87">
        <w:rPr>
          <w:b/>
          <w:bCs/>
        </w:rPr>
        <w:t xml:space="preserve"> </w:t>
      </w:r>
      <w:r w:rsidR="00951AD6">
        <w:t>23</w:t>
      </w:r>
      <w:r w:rsidR="00951AD6" w:rsidRPr="00951AD6">
        <w:rPr>
          <w:vertAlign w:val="superscript"/>
        </w:rPr>
        <w:t>rd</w:t>
      </w:r>
      <w:r w:rsidR="00951AD6">
        <w:t xml:space="preserve"> </w:t>
      </w:r>
      <w:r w:rsidR="00536D87">
        <w:t>September</w:t>
      </w:r>
      <w:r w:rsidR="006B6D6A">
        <w:t xml:space="preserve">, </w:t>
      </w:r>
      <w:r w:rsidR="00536D87">
        <w:t>2026</w:t>
      </w:r>
    </w:p>
    <w:p w14:paraId="3CA84993" w14:textId="77777777" w:rsidR="00D14297" w:rsidRDefault="00D14297" w:rsidP="00D14297">
      <w:r>
        <w:br w:type="page"/>
      </w:r>
    </w:p>
    <w:p w14:paraId="44F0F0D4" w14:textId="77777777" w:rsidR="00D14297" w:rsidRPr="00D14297" w:rsidRDefault="00D14297" w:rsidP="00D14297">
      <w:pPr>
        <w:rPr>
          <w:b/>
          <w:bCs/>
          <w:i/>
          <w:iCs/>
          <w:sz w:val="32"/>
          <w:szCs w:val="28"/>
        </w:rPr>
      </w:pPr>
      <w:r w:rsidRPr="00D14297">
        <w:rPr>
          <w:b/>
          <w:bCs/>
          <w:i/>
          <w:iCs/>
          <w:sz w:val="32"/>
          <w:szCs w:val="28"/>
        </w:rPr>
        <w:lastRenderedPageBreak/>
        <w:t>AI Acknowledgement</w:t>
      </w:r>
    </w:p>
    <w:p w14:paraId="6A53DD04" w14:textId="5DFC4DA8" w:rsidR="00D14297" w:rsidRPr="00D14297" w:rsidRDefault="00E07273" w:rsidP="00D14297">
      <w:r w:rsidRPr="00E07273">
        <w:t xml:space="preserve">This dissertation was not written using generative AI such as </w:t>
      </w:r>
      <w:proofErr w:type="spellStart"/>
      <w:r w:rsidRPr="00E07273">
        <w:t>OpenAI</w:t>
      </w:r>
      <w:proofErr w:type="spellEnd"/>
      <w:r w:rsidRPr="00E07273">
        <w:t xml:space="preserve"> </w:t>
      </w:r>
      <w:proofErr w:type="spellStart"/>
      <w:r w:rsidRPr="00E07273">
        <w:t>ChatGPT</w:t>
      </w:r>
      <w:proofErr w:type="spellEnd"/>
      <w:r w:rsidRPr="00E07273">
        <w:t xml:space="preserve"> or other AI tools for content generation. The research, analysis of documentary evidence, selection and evaluation of academic and </w:t>
      </w:r>
      <w:proofErr w:type="spellStart"/>
      <w:r w:rsidRPr="00E07273">
        <w:t>organisational</w:t>
      </w:r>
      <w:proofErr w:type="spellEnd"/>
      <w:r w:rsidRPr="00E07273">
        <w:t xml:space="preserve"> sources, development of arguments, interpretation of findings, language, structure and presentation were completed independently by the author. The author has checked all academic decisions, citations and </w:t>
      </w:r>
      <w:r>
        <w:t>references</w:t>
      </w:r>
      <w:r w:rsidRPr="00E07273">
        <w:t xml:space="preserve"> with the original sources used. This declaration is made clearly, following the principles of academic integrity and the University's guidelines for the responsible use and disclosure of generative AI</w:t>
      </w:r>
      <w:r w:rsidR="00D14297" w:rsidRPr="00D14297">
        <w:rPr>
          <w:b/>
          <w:bCs/>
        </w:rPr>
        <w:t>.</w:t>
      </w:r>
    </w:p>
    <w:p w14:paraId="460EC544" w14:textId="77777777" w:rsidR="00D14297" w:rsidRDefault="00D14297" w:rsidP="00D14297">
      <w:r>
        <w:br w:type="page"/>
      </w:r>
    </w:p>
    <w:p w14:paraId="3E9F3DF7" w14:textId="77777777" w:rsidR="00D14297" w:rsidRPr="009F5B2D" w:rsidRDefault="00D14297" w:rsidP="00D14297">
      <w:pPr>
        <w:rPr>
          <w:b/>
          <w:bCs/>
          <w:i/>
          <w:iCs/>
          <w:sz w:val="32"/>
          <w:szCs w:val="28"/>
        </w:rPr>
      </w:pPr>
      <w:r w:rsidRPr="009F5B2D">
        <w:rPr>
          <w:b/>
          <w:bCs/>
          <w:i/>
          <w:iCs/>
          <w:sz w:val="32"/>
          <w:szCs w:val="28"/>
        </w:rPr>
        <w:lastRenderedPageBreak/>
        <w:t>Acknowledgement</w:t>
      </w:r>
    </w:p>
    <w:p w14:paraId="7E1906DE" w14:textId="77777777" w:rsidR="00D14297" w:rsidRPr="009F5B2D" w:rsidRDefault="00D14297" w:rsidP="00D14297">
      <w:r w:rsidRPr="00DE4290">
        <w:t xml:space="preserve">I would like to thank my supervisor for his guidance, constructive feedback and academic support during this dissertation. I also gratefully express my gratitude to the university and academic staff for their provision of knowledge, resources and learning atmosphere to accomplish this research. I would like to express my sincere gratitude to my family and friends for being patient, encouraging and always supporting me throughout the study period. Lastly, I </w:t>
      </w:r>
      <w:proofErr w:type="spellStart"/>
      <w:r w:rsidRPr="00DE4290">
        <w:t>recogni</w:t>
      </w:r>
      <w:r>
        <w:t>s</w:t>
      </w:r>
      <w:r w:rsidRPr="00DE4290">
        <w:t>e</w:t>
      </w:r>
      <w:proofErr w:type="spellEnd"/>
      <w:r w:rsidRPr="00DE4290">
        <w:t xml:space="preserve"> M&amp;S, Tesco, </w:t>
      </w:r>
      <w:proofErr w:type="spellStart"/>
      <w:r w:rsidRPr="00DE4290">
        <w:t>Asda</w:t>
      </w:r>
      <w:proofErr w:type="spellEnd"/>
      <w:r w:rsidRPr="00DE4290">
        <w:t xml:space="preserve">, </w:t>
      </w:r>
      <w:proofErr w:type="spellStart"/>
      <w:r w:rsidRPr="00DE4290">
        <w:t>Morrisons</w:t>
      </w:r>
      <w:proofErr w:type="spellEnd"/>
      <w:r w:rsidRPr="00DE4290">
        <w:t>, Sainsbury's and the relevant regulatory bodies for the publicly available reports, sustainability information and guidance provided in this dissertation for the documentary analysis</w:t>
      </w:r>
      <w:r w:rsidRPr="009F5B2D">
        <w:t>.</w:t>
      </w:r>
    </w:p>
    <w:p w14:paraId="512CCC1C" w14:textId="77777777" w:rsidR="00D14297" w:rsidRDefault="00D14297">
      <w:pPr>
        <w:widowControl/>
        <w:autoSpaceDE/>
        <w:autoSpaceDN/>
        <w:spacing w:after="160" w:line="259" w:lineRule="auto"/>
        <w:jc w:val="left"/>
        <w:rPr>
          <w:b/>
          <w:bCs/>
          <w:i/>
          <w:iCs/>
          <w:sz w:val="32"/>
          <w:szCs w:val="28"/>
        </w:rPr>
      </w:pPr>
      <w:r>
        <w:rPr>
          <w:b/>
          <w:bCs/>
          <w:i/>
          <w:iCs/>
          <w:sz w:val="32"/>
          <w:szCs w:val="28"/>
        </w:rPr>
        <w:br w:type="page"/>
      </w:r>
    </w:p>
    <w:p w14:paraId="0DF5849D" w14:textId="77777777" w:rsidR="00D14297" w:rsidRPr="00D14297" w:rsidRDefault="00D14297" w:rsidP="00D14297">
      <w:pPr>
        <w:rPr>
          <w:b/>
          <w:bCs/>
          <w:i/>
          <w:iCs/>
          <w:sz w:val="32"/>
          <w:szCs w:val="28"/>
        </w:rPr>
      </w:pPr>
      <w:r w:rsidRPr="00D14297">
        <w:rPr>
          <w:b/>
          <w:bCs/>
          <w:i/>
          <w:iCs/>
          <w:sz w:val="32"/>
          <w:szCs w:val="28"/>
        </w:rPr>
        <w:lastRenderedPageBreak/>
        <w:t>Declaration</w:t>
      </w:r>
    </w:p>
    <w:p w14:paraId="436A3BA4" w14:textId="6F36313D" w:rsidR="00E07273" w:rsidRDefault="00E07273" w:rsidP="00E07273">
      <w:r>
        <w:t xml:space="preserve">I declare that this dissertation is my own work, and that all information, ideas and evidence from other people's work have been credited and referenced. </w:t>
      </w:r>
      <w:r w:rsidR="004F4CD4" w:rsidRPr="004F4CD4">
        <w:t>No generative artificial intelligence was used in the preparation of this dissertation, as stated in the AI Acknowledgement</w:t>
      </w:r>
      <w:r>
        <w:t>.</w:t>
      </w:r>
    </w:p>
    <w:p w14:paraId="0A3E1EDD" w14:textId="3DBE73B8" w:rsidR="00D14297" w:rsidRPr="00D14297" w:rsidRDefault="00E07273" w:rsidP="00E07273">
      <w:r w:rsidRPr="00E07273">
        <w:t xml:space="preserve">I declare that, to the best of my knowledge, this work has not been presented, whether as a whole or in part, for any other academic award. I certify that the information, ideas and opinions presented in this dissertation are accurate, are my own and are presented in an ethical, responsible and appropriate manner and </w:t>
      </w:r>
      <w:r w:rsidR="004D048A">
        <w:t xml:space="preserve">I </w:t>
      </w:r>
      <w:r w:rsidRPr="00E07273">
        <w:t>agree that I have done so within the ethical standards of the University</w:t>
      </w:r>
      <w:r>
        <w:t>.</w:t>
      </w:r>
    </w:p>
    <w:p w14:paraId="0C32B4FE" w14:textId="44764090" w:rsidR="00D14297" w:rsidRPr="00A86B51" w:rsidRDefault="00D14297" w:rsidP="00D14297">
      <w:r w:rsidRPr="00D14297">
        <w:rPr>
          <w:b/>
          <w:bCs/>
        </w:rPr>
        <w:t>Student Name:</w:t>
      </w:r>
      <w:r w:rsidR="00A86B51">
        <w:rPr>
          <w:b/>
          <w:bCs/>
        </w:rPr>
        <w:t xml:space="preserve"> </w:t>
      </w:r>
      <w:proofErr w:type="spellStart"/>
      <w:r w:rsidR="00A86B51">
        <w:t>Tanvir</w:t>
      </w:r>
      <w:proofErr w:type="spellEnd"/>
      <w:r w:rsidR="00A86B51">
        <w:t xml:space="preserve"> Ahmed </w:t>
      </w:r>
    </w:p>
    <w:p w14:paraId="10562A4D" w14:textId="4C9D5BD7" w:rsidR="00D14297" w:rsidRPr="00A86B51" w:rsidRDefault="00D14297" w:rsidP="00D14297">
      <w:r w:rsidRPr="00D14297">
        <w:rPr>
          <w:b/>
          <w:bCs/>
        </w:rPr>
        <w:t>Student ID:</w:t>
      </w:r>
      <w:r w:rsidR="00A86B51">
        <w:rPr>
          <w:b/>
          <w:bCs/>
        </w:rPr>
        <w:t xml:space="preserve"> </w:t>
      </w:r>
      <w:r w:rsidR="00A86B51">
        <w:t>251063</w:t>
      </w:r>
      <w:r w:rsidR="00624691">
        <w:t>9</w:t>
      </w:r>
    </w:p>
    <w:p w14:paraId="54A17E06" w14:textId="6F8C9528" w:rsidR="00D14297" w:rsidRPr="00624691" w:rsidRDefault="00D14297" w:rsidP="00D14297">
      <w:r w:rsidRPr="00D14297">
        <w:rPr>
          <w:b/>
          <w:bCs/>
        </w:rPr>
        <w:t>Signature:</w:t>
      </w:r>
      <w:r w:rsidR="00624691">
        <w:rPr>
          <w:b/>
          <w:bCs/>
        </w:rPr>
        <w:t xml:space="preserve"> </w:t>
      </w:r>
      <w:proofErr w:type="spellStart"/>
      <w:r w:rsidR="00624691">
        <w:t>Tanvir</w:t>
      </w:r>
      <w:proofErr w:type="spellEnd"/>
      <w:r w:rsidR="00624691">
        <w:t xml:space="preserve"> Ahmed </w:t>
      </w:r>
    </w:p>
    <w:p w14:paraId="526C92E8" w14:textId="533F7AAF" w:rsidR="00D14297" w:rsidRPr="00624691" w:rsidRDefault="00D14297" w:rsidP="00D14297">
      <w:r w:rsidRPr="00D14297">
        <w:rPr>
          <w:b/>
          <w:bCs/>
        </w:rPr>
        <w:t>Date:</w:t>
      </w:r>
      <w:r w:rsidR="00624691">
        <w:rPr>
          <w:b/>
          <w:bCs/>
        </w:rPr>
        <w:t xml:space="preserve"> </w:t>
      </w:r>
      <w:r w:rsidR="00E9108F">
        <w:t>23</w:t>
      </w:r>
      <w:r w:rsidR="00E9108F" w:rsidRPr="00E9108F">
        <w:rPr>
          <w:vertAlign w:val="superscript"/>
        </w:rPr>
        <w:t>rd</w:t>
      </w:r>
      <w:r w:rsidR="00E9108F">
        <w:t xml:space="preserve"> </w:t>
      </w:r>
      <w:r w:rsidR="00536D87">
        <w:t>Septembe</w:t>
      </w:r>
      <w:r w:rsidR="00D03D7C">
        <w:t xml:space="preserve">r, </w:t>
      </w:r>
      <w:r w:rsidR="00536D87">
        <w:t xml:space="preserve">2026 </w:t>
      </w:r>
    </w:p>
    <w:p w14:paraId="4EAAEA90" w14:textId="77777777" w:rsidR="00D14297" w:rsidRDefault="00D14297">
      <w:pPr>
        <w:widowControl/>
        <w:autoSpaceDE/>
        <w:autoSpaceDN/>
        <w:spacing w:after="160" w:line="259" w:lineRule="auto"/>
        <w:jc w:val="left"/>
        <w:rPr>
          <w:b/>
          <w:bCs/>
          <w:i/>
          <w:iCs/>
          <w:sz w:val="32"/>
          <w:szCs w:val="28"/>
        </w:rPr>
      </w:pPr>
      <w:r>
        <w:rPr>
          <w:b/>
          <w:bCs/>
          <w:i/>
          <w:iCs/>
          <w:sz w:val="32"/>
          <w:szCs w:val="28"/>
        </w:rPr>
        <w:br w:type="page"/>
      </w:r>
    </w:p>
    <w:p w14:paraId="52EDB367" w14:textId="00E43AA8" w:rsidR="009F5B2D" w:rsidRPr="009F5B2D" w:rsidRDefault="009F5B2D" w:rsidP="009F5B2D">
      <w:pPr>
        <w:rPr>
          <w:b/>
          <w:bCs/>
          <w:i/>
          <w:iCs/>
          <w:sz w:val="32"/>
          <w:szCs w:val="28"/>
        </w:rPr>
      </w:pPr>
      <w:r w:rsidRPr="009F5B2D">
        <w:rPr>
          <w:b/>
          <w:bCs/>
          <w:i/>
          <w:iCs/>
          <w:sz w:val="32"/>
          <w:szCs w:val="28"/>
        </w:rPr>
        <w:lastRenderedPageBreak/>
        <w:t>Abstract</w:t>
      </w:r>
    </w:p>
    <w:p w14:paraId="45417604" w14:textId="77777777" w:rsidR="004D048A" w:rsidRDefault="004D048A" w:rsidP="004D048A">
      <w:r>
        <w:t xml:space="preserve">The dissertation explored sustainability marketing communication and its possible implications for brand trust in the UK grocery retail industry, with particular reference to Marks &amp; Spencer (M&amp;S) as the focal case and the others were Tesco, </w:t>
      </w:r>
      <w:proofErr w:type="spellStart"/>
      <w:r>
        <w:t>Asda</w:t>
      </w:r>
      <w:proofErr w:type="spellEnd"/>
      <w:r>
        <w:t xml:space="preserve">, </w:t>
      </w:r>
      <w:proofErr w:type="spellStart"/>
      <w:r>
        <w:t>Morrisons</w:t>
      </w:r>
      <w:proofErr w:type="spellEnd"/>
      <w:r>
        <w:t xml:space="preserve"> and Sainsbury's as the comparator retailers. The four dimensions of sustainability communication credibility studied were: claim clarity, quality of evidence and substantiation, transparency, and cross-channel consistency. Authenticity and the risk of greenwashing were also included as interpretive conditions that impact the credibility of communication and that support the building of trust.</w:t>
      </w:r>
    </w:p>
    <w:p w14:paraId="7B5956AF" w14:textId="23894271" w:rsidR="004D048A" w:rsidRDefault="004D048A" w:rsidP="004D048A">
      <w:r>
        <w:t xml:space="preserve">The research philosophy was </w:t>
      </w:r>
      <w:proofErr w:type="spellStart"/>
      <w:r>
        <w:t>interpretivist</w:t>
      </w:r>
      <w:proofErr w:type="spellEnd"/>
      <w:r>
        <w:t xml:space="preserve">; the method used was mostly inductive with an element of </w:t>
      </w:r>
      <w:proofErr w:type="spellStart"/>
      <w:r>
        <w:t>abductive</w:t>
      </w:r>
      <w:proofErr w:type="spellEnd"/>
      <w:r>
        <w:t xml:space="preserve"> method, and the design of the research was multiple case studies with secondary documentary data. Thematic analysis, within-case comparisons, cross-case comparisons and documentary triangulation were used for </w:t>
      </w:r>
      <w:proofErr w:type="spellStart"/>
      <w:r>
        <w:t>analysing</w:t>
      </w:r>
      <w:proofErr w:type="spellEnd"/>
      <w:r>
        <w:t xml:space="preserve"> annual reports, sustainability and ESG reports, corporate web pages and regulatory documents.</w:t>
      </w:r>
    </w:p>
    <w:p w14:paraId="2D5F729C" w14:textId="478CCB58" w:rsidR="004D048A" w:rsidRDefault="004D048A" w:rsidP="004D048A">
      <w:r>
        <w:t xml:space="preserve">The results show that claim-evidence proportionality and balanced transparency and accessible, consistent evidence in communication channels are necessary for credible sustainability communication. M&amp;S and Tesco and Sainsbury's had relatively strong evidence of balanced reporting; </w:t>
      </w:r>
      <w:proofErr w:type="spellStart"/>
      <w:r>
        <w:t>Asda</w:t>
      </w:r>
      <w:proofErr w:type="spellEnd"/>
      <w:r>
        <w:t xml:space="preserve"> had measurable initiatives that integrated the evidence less well and </w:t>
      </w:r>
      <w:proofErr w:type="spellStart"/>
      <w:r>
        <w:t>Morrisons</w:t>
      </w:r>
      <w:proofErr w:type="spellEnd"/>
      <w:r>
        <w:t xml:space="preserve"> had useful but more diffuse evidence. The study provides three theoretical contributions: the identification of claim-evidence proportionality as a condition of signal credibility, </w:t>
      </w:r>
      <w:proofErr w:type="spellStart"/>
      <w:r>
        <w:t>conceptualisation</w:t>
      </w:r>
      <w:proofErr w:type="spellEnd"/>
      <w:r>
        <w:t xml:space="preserve"> of transparency as a conditional credibility mechanism and credibility and authenticity as intervening mechanisms between sustainability communication and trust-supporting conditions. </w:t>
      </w:r>
    </w:p>
    <w:p w14:paraId="653C36F2" w14:textId="4E12E019" w:rsidR="005F1E33" w:rsidRPr="005F1E33" w:rsidRDefault="004D048A" w:rsidP="004D048A">
      <w:r>
        <w:t>Consumer trust was not directly assessed, and thus the conclusions do not provide a causal effect on brand trust. In a managerial perspective, the most important elements which should be considered to boost communication credibility and avoid reputational and regulatory risk are claim substantiation, balanced transparency, cross-channel traceability and consistency and the prevention of greenwashing</w:t>
      </w:r>
      <w:r w:rsidR="005F1E33" w:rsidRPr="005F1E33">
        <w:t xml:space="preserve">. </w:t>
      </w:r>
    </w:p>
    <w:p w14:paraId="5214D9CC" w14:textId="77777777" w:rsidR="005F1E33" w:rsidRPr="005F1E33" w:rsidRDefault="005F1E33" w:rsidP="005F1E33">
      <w:r w:rsidRPr="005F1E33">
        <w:rPr>
          <w:b/>
          <w:bCs/>
        </w:rPr>
        <w:t>Keywords:</w:t>
      </w:r>
      <w:r w:rsidRPr="005F1E33">
        <w:t xml:space="preserve"> sustainability marketing communication, brand trust, greenwashing, authenticity, </w:t>
      </w:r>
      <w:proofErr w:type="spellStart"/>
      <w:r w:rsidRPr="005F1E33">
        <w:t>Signalling</w:t>
      </w:r>
      <w:proofErr w:type="spellEnd"/>
      <w:r w:rsidRPr="005F1E33">
        <w:t xml:space="preserve"> Theory, M&amp;S, UK grocery retail.</w:t>
      </w:r>
    </w:p>
    <w:p w14:paraId="6A93426B" w14:textId="68D70E19" w:rsidR="009F5B2D" w:rsidRPr="009F5B2D" w:rsidRDefault="009F5B2D" w:rsidP="009F5B2D">
      <w:r w:rsidRPr="009F5B2D">
        <w:t>.</w:t>
      </w:r>
    </w:p>
    <w:p w14:paraId="4BA5A2B6" w14:textId="560109DD" w:rsidR="00FC1713" w:rsidRPr="00FC1713" w:rsidRDefault="00FC1713" w:rsidP="00D14297">
      <w:pPr>
        <w:widowControl/>
        <w:autoSpaceDE/>
        <w:autoSpaceDN/>
        <w:spacing w:after="160" w:line="259" w:lineRule="auto"/>
        <w:jc w:val="left"/>
      </w:pPr>
      <w:r>
        <w:br w:type="page"/>
      </w:r>
    </w:p>
    <w:sdt>
      <w:sdtPr>
        <w:rPr>
          <w:rFonts w:ascii="Times New Roman" w:eastAsia="Calibri" w:hAnsi="Times New Roman" w:cs="Calibri"/>
          <w:color w:val="auto"/>
          <w:sz w:val="24"/>
          <w:szCs w:val="22"/>
        </w:rPr>
        <w:id w:val="-1971507814"/>
        <w:docPartObj>
          <w:docPartGallery w:val="Table of Contents"/>
          <w:docPartUnique/>
        </w:docPartObj>
      </w:sdtPr>
      <w:sdtEndPr>
        <w:rPr>
          <w:b/>
          <w:bCs/>
          <w:noProof/>
        </w:rPr>
      </w:sdtEndPr>
      <w:sdtContent>
        <w:p w14:paraId="25A6A94C" w14:textId="59524C1D" w:rsidR="00FC1713" w:rsidRDefault="00FC1713">
          <w:pPr>
            <w:pStyle w:val="TOCHeading"/>
          </w:pPr>
          <w:r>
            <w:t>Table of Contents</w:t>
          </w:r>
        </w:p>
        <w:p w14:paraId="15BD92A6" w14:textId="65288F07" w:rsidR="002953D8" w:rsidRDefault="00FC1713">
          <w:pPr>
            <w:pStyle w:val="TOC1"/>
            <w:tabs>
              <w:tab w:val="right" w:leader="dot" w:pos="9350"/>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239795010" w:history="1">
            <w:r w:rsidR="002953D8" w:rsidRPr="00226AF2">
              <w:rPr>
                <w:rStyle w:val="Hyperlink"/>
                <w:noProof/>
              </w:rPr>
              <w:t>Chapter 1: Introduction and Rationale</w:t>
            </w:r>
            <w:r w:rsidR="002953D8">
              <w:rPr>
                <w:noProof/>
                <w:webHidden/>
              </w:rPr>
              <w:tab/>
            </w:r>
            <w:r w:rsidR="002953D8">
              <w:rPr>
                <w:noProof/>
                <w:webHidden/>
              </w:rPr>
              <w:fldChar w:fldCharType="begin"/>
            </w:r>
            <w:r w:rsidR="002953D8">
              <w:rPr>
                <w:noProof/>
                <w:webHidden/>
              </w:rPr>
              <w:instrText xml:space="preserve"> PAGEREF _Toc239795010 \h </w:instrText>
            </w:r>
            <w:r w:rsidR="002953D8">
              <w:rPr>
                <w:noProof/>
                <w:webHidden/>
              </w:rPr>
            </w:r>
            <w:r w:rsidR="002953D8">
              <w:rPr>
                <w:noProof/>
                <w:webHidden/>
              </w:rPr>
              <w:fldChar w:fldCharType="separate"/>
            </w:r>
            <w:r w:rsidR="002953D8">
              <w:rPr>
                <w:noProof/>
                <w:webHidden/>
              </w:rPr>
              <w:t>14</w:t>
            </w:r>
            <w:r w:rsidR="002953D8">
              <w:rPr>
                <w:noProof/>
                <w:webHidden/>
              </w:rPr>
              <w:fldChar w:fldCharType="end"/>
            </w:r>
          </w:hyperlink>
        </w:p>
        <w:p w14:paraId="24AFAC2B" w14:textId="1373E22F" w:rsidR="002953D8" w:rsidRDefault="002953D8">
          <w:pPr>
            <w:pStyle w:val="TOC2"/>
            <w:tabs>
              <w:tab w:val="right" w:leader="dot" w:pos="9350"/>
            </w:tabs>
            <w:rPr>
              <w:rFonts w:asciiTheme="minorHAnsi" w:eastAsiaTheme="minorEastAsia" w:hAnsiTheme="minorHAnsi" w:cstheme="minorBidi"/>
              <w:noProof/>
              <w:sz w:val="22"/>
            </w:rPr>
          </w:pPr>
          <w:hyperlink w:anchor="_Toc239795011" w:history="1">
            <w:r w:rsidRPr="00226AF2">
              <w:rPr>
                <w:rStyle w:val="Hyperlink"/>
                <w:noProof/>
              </w:rPr>
              <w:t>1.1. Research Background</w:t>
            </w:r>
            <w:r>
              <w:rPr>
                <w:noProof/>
                <w:webHidden/>
              </w:rPr>
              <w:tab/>
            </w:r>
            <w:r>
              <w:rPr>
                <w:noProof/>
                <w:webHidden/>
              </w:rPr>
              <w:fldChar w:fldCharType="begin"/>
            </w:r>
            <w:r>
              <w:rPr>
                <w:noProof/>
                <w:webHidden/>
              </w:rPr>
              <w:instrText xml:space="preserve"> PAGEREF _Toc239795011 \h </w:instrText>
            </w:r>
            <w:r>
              <w:rPr>
                <w:noProof/>
                <w:webHidden/>
              </w:rPr>
            </w:r>
            <w:r>
              <w:rPr>
                <w:noProof/>
                <w:webHidden/>
              </w:rPr>
              <w:fldChar w:fldCharType="separate"/>
            </w:r>
            <w:r>
              <w:rPr>
                <w:noProof/>
                <w:webHidden/>
              </w:rPr>
              <w:t>14</w:t>
            </w:r>
            <w:r>
              <w:rPr>
                <w:noProof/>
                <w:webHidden/>
              </w:rPr>
              <w:fldChar w:fldCharType="end"/>
            </w:r>
          </w:hyperlink>
        </w:p>
        <w:p w14:paraId="026CBA80" w14:textId="49138489" w:rsidR="002953D8" w:rsidRDefault="002953D8">
          <w:pPr>
            <w:pStyle w:val="TOC2"/>
            <w:tabs>
              <w:tab w:val="right" w:leader="dot" w:pos="9350"/>
            </w:tabs>
            <w:rPr>
              <w:rFonts w:asciiTheme="minorHAnsi" w:eastAsiaTheme="minorEastAsia" w:hAnsiTheme="minorHAnsi" w:cstheme="minorBidi"/>
              <w:noProof/>
              <w:sz w:val="22"/>
            </w:rPr>
          </w:pPr>
          <w:hyperlink w:anchor="_Toc239795012" w:history="1">
            <w:r w:rsidRPr="00226AF2">
              <w:rPr>
                <w:rStyle w:val="Hyperlink"/>
                <w:noProof/>
              </w:rPr>
              <w:t>1.2 Research Rationale</w:t>
            </w:r>
            <w:r>
              <w:rPr>
                <w:noProof/>
                <w:webHidden/>
              </w:rPr>
              <w:tab/>
            </w:r>
            <w:r>
              <w:rPr>
                <w:noProof/>
                <w:webHidden/>
              </w:rPr>
              <w:fldChar w:fldCharType="begin"/>
            </w:r>
            <w:r>
              <w:rPr>
                <w:noProof/>
                <w:webHidden/>
              </w:rPr>
              <w:instrText xml:space="preserve"> PAGEREF _Toc239795012 \h </w:instrText>
            </w:r>
            <w:r>
              <w:rPr>
                <w:noProof/>
                <w:webHidden/>
              </w:rPr>
            </w:r>
            <w:r>
              <w:rPr>
                <w:noProof/>
                <w:webHidden/>
              </w:rPr>
              <w:fldChar w:fldCharType="separate"/>
            </w:r>
            <w:r>
              <w:rPr>
                <w:noProof/>
                <w:webHidden/>
              </w:rPr>
              <w:t>15</w:t>
            </w:r>
            <w:r>
              <w:rPr>
                <w:noProof/>
                <w:webHidden/>
              </w:rPr>
              <w:fldChar w:fldCharType="end"/>
            </w:r>
          </w:hyperlink>
        </w:p>
        <w:p w14:paraId="203B81EA" w14:textId="637881A6" w:rsidR="002953D8" w:rsidRDefault="002953D8">
          <w:pPr>
            <w:pStyle w:val="TOC3"/>
            <w:tabs>
              <w:tab w:val="right" w:leader="dot" w:pos="9350"/>
            </w:tabs>
            <w:rPr>
              <w:rFonts w:asciiTheme="minorHAnsi" w:eastAsiaTheme="minorEastAsia" w:hAnsiTheme="minorHAnsi" w:cstheme="minorBidi"/>
              <w:noProof/>
              <w:sz w:val="22"/>
            </w:rPr>
          </w:pPr>
          <w:hyperlink w:anchor="_Toc239795013" w:history="1">
            <w:r w:rsidRPr="00226AF2">
              <w:rPr>
                <w:rStyle w:val="Hyperlink"/>
                <w:noProof/>
              </w:rPr>
              <w:t>1.2.1 Theoretical Justification</w:t>
            </w:r>
            <w:r>
              <w:rPr>
                <w:noProof/>
                <w:webHidden/>
              </w:rPr>
              <w:tab/>
            </w:r>
            <w:r>
              <w:rPr>
                <w:noProof/>
                <w:webHidden/>
              </w:rPr>
              <w:fldChar w:fldCharType="begin"/>
            </w:r>
            <w:r>
              <w:rPr>
                <w:noProof/>
                <w:webHidden/>
              </w:rPr>
              <w:instrText xml:space="preserve"> PAGEREF _Toc239795013 \h </w:instrText>
            </w:r>
            <w:r>
              <w:rPr>
                <w:noProof/>
                <w:webHidden/>
              </w:rPr>
            </w:r>
            <w:r>
              <w:rPr>
                <w:noProof/>
                <w:webHidden/>
              </w:rPr>
              <w:fldChar w:fldCharType="separate"/>
            </w:r>
            <w:r>
              <w:rPr>
                <w:noProof/>
                <w:webHidden/>
              </w:rPr>
              <w:t>15</w:t>
            </w:r>
            <w:r>
              <w:rPr>
                <w:noProof/>
                <w:webHidden/>
              </w:rPr>
              <w:fldChar w:fldCharType="end"/>
            </w:r>
          </w:hyperlink>
        </w:p>
        <w:p w14:paraId="25F3B771" w14:textId="1CB4E46D" w:rsidR="002953D8" w:rsidRDefault="002953D8">
          <w:pPr>
            <w:pStyle w:val="TOC3"/>
            <w:tabs>
              <w:tab w:val="right" w:leader="dot" w:pos="9350"/>
            </w:tabs>
            <w:rPr>
              <w:rFonts w:asciiTheme="minorHAnsi" w:eastAsiaTheme="minorEastAsia" w:hAnsiTheme="minorHAnsi" w:cstheme="minorBidi"/>
              <w:noProof/>
              <w:sz w:val="22"/>
            </w:rPr>
          </w:pPr>
          <w:hyperlink w:anchor="_Toc239795014" w:history="1">
            <w:r w:rsidRPr="00226AF2">
              <w:rPr>
                <w:rStyle w:val="Hyperlink"/>
                <w:noProof/>
              </w:rPr>
              <w:t>1.2.2 Practical Justification</w:t>
            </w:r>
            <w:r>
              <w:rPr>
                <w:noProof/>
                <w:webHidden/>
              </w:rPr>
              <w:tab/>
            </w:r>
            <w:r>
              <w:rPr>
                <w:noProof/>
                <w:webHidden/>
              </w:rPr>
              <w:fldChar w:fldCharType="begin"/>
            </w:r>
            <w:r>
              <w:rPr>
                <w:noProof/>
                <w:webHidden/>
              </w:rPr>
              <w:instrText xml:space="preserve"> PAGEREF _Toc239795014 \h </w:instrText>
            </w:r>
            <w:r>
              <w:rPr>
                <w:noProof/>
                <w:webHidden/>
              </w:rPr>
            </w:r>
            <w:r>
              <w:rPr>
                <w:noProof/>
                <w:webHidden/>
              </w:rPr>
              <w:fldChar w:fldCharType="separate"/>
            </w:r>
            <w:r>
              <w:rPr>
                <w:noProof/>
                <w:webHidden/>
              </w:rPr>
              <w:t>17</w:t>
            </w:r>
            <w:r>
              <w:rPr>
                <w:noProof/>
                <w:webHidden/>
              </w:rPr>
              <w:fldChar w:fldCharType="end"/>
            </w:r>
          </w:hyperlink>
        </w:p>
        <w:p w14:paraId="11D134D5" w14:textId="29F6FFC7" w:rsidR="002953D8" w:rsidRDefault="002953D8">
          <w:pPr>
            <w:pStyle w:val="TOC2"/>
            <w:tabs>
              <w:tab w:val="right" w:leader="dot" w:pos="9350"/>
            </w:tabs>
            <w:rPr>
              <w:rFonts w:asciiTheme="minorHAnsi" w:eastAsiaTheme="minorEastAsia" w:hAnsiTheme="minorHAnsi" w:cstheme="minorBidi"/>
              <w:noProof/>
              <w:sz w:val="22"/>
            </w:rPr>
          </w:pPr>
          <w:hyperlink w:anchor="_Toc239795015" w:history="1">
            <w:r w:rsidRPr="00226AF2">
              <w:rPr>
                <w:rStyle w:val="Hyperlink"/>
                <w:noProof/>
              </w:rPr>
              <w:t>1.3 Research Contribution and Motivation</w:t>
            </w:r>
            <w:r>
              <w:rPr>
                <w:noProof/>
                <w:webHidden/>
              </w:rPr>
              <w:tab/>
            </w:r>
            <w:r>
              <w:rPr>
                <w:noProof/>
                <w:webHidden/>
              </w:rPr>
              <w:fldChar w:fldCharType="begin"/>
            </w:r>
            <w:r>
              <w:rPr>
                <w:noProof/>
                <w:webHidden/>
              </w:rPr>
              <w:instrText xml:space="preserve"> PAGEREF _Toc239795015 \h </w:instrText>
            </w:r>
            <w:r>
              <w:rPr>
                <w:noProof/>
                <w:webHidden/>
              </w:rPr>
            </w:r>
            <w:r>
              <w:rPr>
                <w:noProof/>
                <w:webHidden/>
              </w:rPr>
              <w:fldChar w:fldCharType="separate"/>
            </w:r>
            <w:r>
              <w:rPr>
                <w:noProof/>
                <w:webHidden/>
              </w:rPr>
              <w:t>18</w:t>
            </w:r>
            <w:r>
              <w:rPr>
                <w:noProof/>
                <w:webHidden/>
              </w:rPr>
              <w:fldChar w:fldCharType="end"/>
            </w:r>
          </w:hyperlink>
        </w:p>
        <w:p w14:paraId="21E48D7F" w14:textId="7BDC8604" w:rsidR="002953D8" w:rsidRDefault="002953D8">
          <w:pPr>
            <w:pStyle w:val="TOC2"/>
            <w:tabs>
              <w:tab w:val="right" w:leader="dot" w:pos="9350"/>
            </w:tabs>
            <w:rPr>
              <w:rFonts w:asciiTheme="minorHAnsi" w:eastAsiaTheme="minorEastAsia" w:hAnsiTheme="minorHAnsi" w:cstheme="minorBidi"/>
              <w:noProof/>
              <w:sz w:val="22"/>
            </w:rPr>
          </w:pPr>
          <w:hyperlink w:anchor="_Toc239795016" w:history="1">
            <w:r w:rsidRPr="00226AF2">
              <w:rPr>
                <w:rStyle w:val="Hyperlink"/>
                <w:noProof/>
              </w:rPr>
              <w:t>1.4 Research Aim, Objectives and Question</w:t>
            </w:r>
            <w:r>
              <w:rPr>
                <w:noProof/>
                <w:webHidden/>
              </w:rPr>
              <w:tab/>
            </w:r>
            <w:r>
              <w:rPr>
                <w:noProof/>
                <w:webHidden/>
              </w:rPr>
              <w:fldChar w:fldCharType="begin"/>
            </w:r>
            <w:r>
              <w:rPr>
                <w:noProof/>
                <w:webHidden/>
              </w:rPr>
              <w:instrText xml:space="preserve"> PAGEREF _Toc239795016 \h </w:instrText>
            </w:r>
            <w:r>
              <w:rPr>
                <w:noProof/>
                <w:webHidden/>
              </w:rPr>
            </w:r>
            <w:r>
              <w:rPr>
                <w:noProof/>
                <w:webHidden/>
              </w:rPr>
              <w:fldChar w:fldCharType="separate"/>
            </w:r>
            <w:r>
              <w:rPr>
                <w:noProof/>
                <w:webHidden/>
              </w:rPr>
              <w:t>19</w:t>
            </w:r>
            <w:r>
              <w:rPr>
                <w:noProof/>
                <w:webHidden/>
              </w:rPr>
              <w:fldChar w:fldCharType="end"/>
            </w:r>
          </w:hyperlink>
        </w:p>
        <w:p w14:paraId="58150ADD" w14:textId="1E34B072" w:rsidR="002953D8" w:rsidRDefault="002953D8">
          <w:pPr>
            <w:pStyle w:val="TOC3"/>
            <w:tabs>
              <w:tab w:val="right" w:leader="dot" w:pos="9350"/>
            </w:tabs>
            <w:rPr>
              <w:rFonts w:asciiTheme="minorHAnsi" w:eastAsiaTheme="minorEastAsia" w:hAnsiTheme="minorHAnsi" w:cstheme="minorBidi"/>
              <w:noProof/>
              <w:sz w:val="22"/>
            </w:rPr>
          </w:pPr>
          <w:hyperlink w:anchor="_Toc239795017" w:history="1">
            <w:r w:rsidRPr="00226AF2">
              <w:rPr>
                <w:rStyle w:val="Hyperlink"/>
                <w:noProof/>
              </w:rPr>
              <w:t>1.4.1 Research Aim</w:t>
            </w:r>
            <w:r>
              <w:rPr>
                <w:noProof/>
                <w:webHidden/>
              </w:rPr>
              <w:tab/>
            </w:r>
            <w:r>
              <w:rPr>
                <w:noProof/>
                <w:webHidden/>
              </w:rPr>
              <w:fldChar w:fldCharType="begin"/>
            </w:r>
            <w:r>
              <w:rPr>
                <w:noProof/>
                <w:webHidden/>
              </w:rPr>
              <w:instrText xml:space="preserve"> PAGEREF _Toc239795017 \h </w:instrText>
            </w:r>
            <w:r>
              <w:rPr>
                <w:noProof/>
                <w:webHidden/>
              </w:rPr>
            </w:r>
            <w:r>
              <w:rPr>
                <w:noProof/>
                <w:webHidden/>
              </w:rPr>
              <w:fldChar w:fldCharType="separate"/>
            </w:r>
            <w:r>
              <w:rPr>
                <w:noProof/>
                <w:webHidden/>
              </w:rPr>
              <w:t>19</w:t>
            </w:r>
            <w:r>
              <w:rPr>
                <w:noProof/>
                <w:webHidden/>
              </w:rPr>
              <w:fldChar w:fldCharType="end"/>
            </w:r>
          </w:hyperlink>
        </w:p>
        <w:p w14:paraId="3A4EB64C" w14:textId="4D30789C" w:rsidR="002953D8" w:rsidRDefault="002953D8">
          <w:pPr>
            <w:pStyle w:val="TOC3"/>
            <w:tabs>
              <w:tab w:val="right" w:leader="dot" w:pos="9350"/>
            </w:tabs>
            <w:rPr>
              <w:rFonts w:asciiTheme="minorHAnsi" w:eastAsiaTheme="minorEastAsia" w:hAnsiTheme="minorHAnsi" w:cstheme="minorBidi"/>
              <w:noProof/>
              <w:sz w:val="22"/>
            </w:rPr>
          </w:pPr>
          <w:hyperlink w:anchor="_Toc239795018" w:history="1">
            <w:r w:rsidRPr="00226AF2">
              <w:rPr>
                <w:rStyle w:val="Hyperlink"/>
                <w:noProof/>
              </w:rPr>
              <w:t>1.4.2 Research Objectives</w:t>
            </w:r>
            <w:r>
              <w:rPr>
                <w:noProof/>
                <w:webHidden/>
              </w:rPr>
              <w:tab/>
            </w:r>
            <w:r>
              <w:rPr>
                <w:noProof/>
                <w:webHidden/>
              </w:rPr>
              <w:fldChar w:fldCharType="begin"/>
            </w:r>
            <w:r>
              <w:rPr>
                <w:noProof/>
                <w:webHidden/>
              </w:rPr>
              <w:instrText xml:space="preserve"> PAGEREF _Toc239795018 \h </w:instrText>
            </w:r>
            <w:r>
              <w:rPr>
                <w:noProof/>
                <w:webHidden/>
              </w:rPr>
            </w:r>
            <w:r>
              <w:rPr>
                <w:noProof/>
                <w:webHidden/>
              </w:rPr>
              <w:fldChar w:fldCharType="separate"/>
            </w:r>
            <w:r>
              <w:rPr>
                <w:noProof/>
                <w:webHidden/>
              </w:rPr>
              <w:t>19</w:t>
            </w:r>
            <w:r>
              <w:rPr>
                <w:noProof/>
                <w:webHidden/>
              </w:rPr>
              <w:fldChar w:fldCharType="end"/>
            </w:r>
          </w:hyperlink>
        </w:p>
        <w:p w14:paraId="78B45EAB" w14:textId="7D455A0B" w:rsidR="002953D8" w:rsidRDefault="002953D8">
          <w:pPr>
            <w:pStyle w:val="TOC3"/>
            <w:tabs>
              <w:tab w:val="right" w:leader="dot" w:pos="9350"/>
            </w:tabs>
            <w:rPr>
              <w:rFonts w:asciiTheme="minorHAnsi" w:eastAsiaTheme="minorEastAsia" w:hAnsiTheme="minorHAnsi" w:cstheme="minorBidi"/>
              <w:noProof/>
              <w:sz w:val="22"/>
            </w:rPr>
          </w:pPr>
          <w:hyperlink w:anchor="_Toc239795019" w:history="1">
            <w:r w:rsidRPr="00226AF2">
              <w:rPr>
                <w:rStyle w:val="Hyperlink"/>
                <w:noProof/>
              </w:rPr>
              <w:t>1.4.3 Research Question</w:t>
            </w:r>
            <w:r>
              <w:rPr>
                <w:noProof/>
                <w:webHidden/>
              </w:rPr>
              <w:tab/>
            </w:r>
            <w:r>
              <w:rPr>
                <w:noProof/>
                <w:webHidden/>
              </w:rPr>
              <w:fldChar w:fldCharType="begin"/>
            </w:r>
            <w:r>
              <w:rPr>
                <w:noProof/>
                <w:webHidden/>
              </w:rPr>
              <w:instrText xml:space="preserve"> PAGEREF _Toc239795019 \h </w:instrText>
            </w:r>
            <w:r>
              <w:rPr>
                <w:noProof/>
                <w:webHidden/>
              </w:rPr>
            </w:r>
            <w:r>
              <w:rPr>
                <w:noProof/>
                <w:webHidden/>
              </w:rPr>
              <w:fldChar w:fldCharType="separate"/>
            </w:r>
            <w:r>
              <w:rPr>
                <w:noProof/>
                <w:webHidden/>
              </w:rPr>
              <w:t>20</w:t>
            </w:r>
            <w:r>
              <w:rPr>
                <w:noProof/>
                <w:webHidden/>
              </w:rPr>
              <w:fldChar w:fldCharType="end"/>
            </w:r>
          </w:hyperlink>
        </w:p>
        <w:p w14:paraId="3AA0B6E4" w14:textId="5EC12D84" w:rsidR="002953D8" w:rsidRDefault="002953D8">
          <w:pPr>
            <w:pStyle w:val="TOC2"/>
            <w:tabs>
              <w:tab w:val="right" w:leader="dot" w:pos="9350"/>
            </w:tabs>
            <w:rPr>
              <w:rFonts w:asciiTheme="minorHAnsi" w:eastAsiaTheme="minorEastAsia" w:hAnsiTheme="minorHAnsi" w:cstheme="minorBidi"/>
              <w:noProof/>
              <w:sz w:val="22"/>
            </w:rPr>
          </w:pPr>
          <w:hyperlink w:anchor="_Toc239795020" w:history="1">
            <w:r w:rsidRPr="00226AF2">
              <w:rPr>
                <w:rStyle w:val="Hyperlink"/>
                <w:noProof/>
              </w:rPr>
              <w:t>1.5 Dissertation Structure</w:t>
            </w:r>
            <w:r>
              <w:rPr>
                <w:noProof/>
                <w:webHidden/>
              </w:rPr>
              <w:tab/>
            </w:r>
            <w:r>
              <w:rPr>
                <w:noProof/>
                <w:webHidden/>
              </w:rPr>
              <w:fldChar w:fldCharType="begin"/>
            </w:r>
            <w:r>
              <w:rPr>
                <w:noProof/>
                <w:webHidden/>
              </w:rPr>
              <w:instrText xml:space="preserve"> PAGEREF _Toc239795020 \h </w:instrText>
            </w:r>
            <w:r>
              <w:rPr>
                <w:noProof/>
                <w:webHidden/>
              </w:rPr>
            </w:r>
            <w:r>
              <w:rPr>
                <w:noProof/>
                <w:webHidden/>
              </w:rPr>
              <w:fldChar w:fldCharType="separate"/>
            </w:r>
            <w:r>
              <w:rPr>
                <w:noProof/>
                <w:webHidden/>
              </w:rPr>
              <w:t>21</w:t>
            </w:r>
            <w:r>
              <w:rPr>
                <w:noProof/>
                <w:webHidden/>
              </w:rPr>
              <w:fldChar w:fldCharType="end"/>
            </w:r>
          </w:hyperlink>
        </w:p>
        <w:p w14:paraId="42950A8A" w14:textId="28013950" w:rsidR="002953D8" w:rsidRDefault="002953D8">
          <w:pPr>
            <w:pStyle w:val="TOC1"/>
            <w:tabs>
              <w:tab w:val="right" w:leader="dot" w:pos="9350"/>
            </w:tabs>
            <w:rPr>
              <w:rFonts w:asciiTheme="minorHAnsi" w:eastAsiaTheme="minorEastAsia" w:hAnsiTheme="minorHAnsi" w:cstheme="minorBidi"/>
              <w:noProof/>
              <w:sz w:val="22"/>
            </w:rPr>
          </w:pPr>
          <w:hyperlink w:anchor="_Toc239795021" w:history="1">
            <w:r w:rsidRPr="00226AF2">
              <w:rPr>
                <w:rStyle w:val="Hyperlink"/>
                <w:bCs/>
                <w:noProof/>
              </w:rPr>
              <w:t>Chapter 2: Literature Review</w:t>
            </w:r>
            <w:r>
              <w:rPr>
                <w:noProof/>
                <w:webHidden/>
              </w:rPr>
              <w:tab/>
            </w:r>
            <w:r>
              <w:rPr>
                <w:noProof/>
                <w:webHidden/>
              </w:rPr>
              <w:fldChar w:fldCharType="begin"/>
            </w:r>
            <w:r>
              <w:rPr>
                <w:noProof/>
                <w:webHidden/>
              </w:rPr>
              <w:instrText xml:space="preserve"> PAGEREF _Toc239795021 \h </w:instrText>
            </w:r>
            <w:r>
              <w:rPr>
                <w:noProof/>
                <w:webHidden/>
              </w:rPr>
            </w:r>
            <w:r>
              <w:rPr>
                <w:noProof/>
                <w:webHidden/>
              </w:rPr>
              <w:fldChar w:fldCharType="separate"/>
            </w:r>
            <w:r>
              <w:rPr>
                <w:noProof/>
                <w:webHidden/>
              </w:rPr>
              <w:t>22</w:t>
            </w:r>
            <w:r>
              <w:rPr>
                <w:noProof/>
                <w:webHidden/>
              </w:rPr>
              <w:fldChar w:fldCharType="end"/>
            </w:r>
          </w:hyperlink>
        </w:p>
        <w:p w14:paraId="6AC2356F" w14:textId="2A2B7F15" w:rsidR="002953D8" w:rsidRDefault="002953D8">
          <w:pPr>
            <w:pStyle w:val="TOC2"/>
            <w:tabs>
              <w:tab w:val="right" w:leader="dot" w:pos="9350"/>
            </w:tabs>
            <w:rPr>
              <w:rFonts w:asciiTheme="minorHAnsi" w:eastAsiaTheme="minorEastAsia" w:hAnsiTheme="minorHAnsi" w:cstheme="minorBidi"/>
              <w:noProof/>
              <w:sz w:val="22"/>
            </w:rPr>
          </w:pPr>
          <w:hyperlink w:anchor="_Toc239795022" w:history="1">
            <w:r w:rsidRPr="00226AF2">
              <w:rPr>
                <w:rStyle w:val="Hyperlink"/>
                <w:noProof/>
              </w:rPr>
              <w:t>2.1 Introduction</w:t>
            </w:r>
            <w:r>
              <w:rPr>
                <w:noProof/>
                <w:webHidden/>
              </w:rPr>
              <w:tab/>
            </w:r>
            <w:r>
              <w:rPr>
                <w:noProof/>
                <w:webHidden/>
              </w:rPr>
              <w:fldChar w:fldCharType="begin"/>
            </w:r>
            <w:r>
              <w:rPr>
                <w:noProof/>
                <w:webHidden/>
              </w:rPr>
              <w:instrText xml:space="preserve"> PAGEREF _Toc239795022 \h </w:instrText>
            </w:r>
            <w:r>
              <w:rPr>
                <w:noProof/>
                <w:webHidden/>
              </w:rPr>
            </w:r>
            <w:r>
              <w:rPr>
                <w:noProof/>
                <w:webHidden/>
              </w:rPr>
              <w:fldChar w:fldCharType="separate"/>
            </w:r>
            <w:r>
              <w:rPr>
                <w:noProof/>
                <w:webHidden/>
              </w:rPr>
              <w:t>22</w:t>
            </w:r>
            <w:r>
              <w:rPr>
                <w:noProof/>
                <w:webHidden/>
              </w:rPr>
              <w:fldChar w:fldCharType="end"/>
            </w:r>
          </w:hyperlink>
        </w:p>
        <w:p w14:paraId="3788D358" w14:textId="4C3E744A" w:rsidR="002953D8" w:rsidRDefault="002953D8">
          <w:pPr>
            <w:pStyle w:val="TOC2"/>
            <w:tabs>
              <w:tab w:val="right" w:leader="dot" w:pos="9350"/>
            </w:tabs>
            <w:rPr>
              <w:rFonts w:asciiTheme="minorHAnsi" w:eastAsiaTheme="minorEastAsia" w:hAnsiTheme="minorHAnsi" w:cstheme="minorBidi"/>
              <w:noProof/>
              <w:sz w:val="22"/>
            </w:rPr>
          </w:pPr>
          <w:hyperlink w:anchor="_Toc239795023" w:history="1">
            <w:r w:rsidRPr="00226AF2">
              <w:rPr>
                <w:rStyle w:val="Hyperlink"/>
                <w:noProof/>
              </w:rPr>
              <w:t>2.2 Thematic Overview of the Literature</w:t>
            </w:r>
            <w:r>
              <w:rPr>
                <w:noProof/>
                <w:webHidden/>
              </w:rPr>
              <w:tab/>
            </w:r>
            <w:r>
              <w:rPr>
                <w:noProof/>
                <w:webHidden/>
              </w:rPr>
              <w:fldChar w:fldCharType="begin"/>
            </w:r>
            <w:r>
              <w:rPr>
                <w:noProof/>
                <w:webHidden/>
              </w:rPr>
              <w:instrText xml:space="preserve"> PAGEREF _Toc239795023 \h </w:instrText>
            </w:r>
            <w:r>
              <w:rPr>
                <w:noProof/>
                <w:webHidden/>
              </w:rPr>
            </w:r>
            <w:r>
              <w:rPr>
                <w:noProof/>
                <w:webHidden/>
              </w:rPr>
              <w:fldChar w:fldCharType="separate"/>
            </w:r>
            <w:r>
              <w:rPr>
                <w:noProof/>
                <w:webHidden/>
              </w:rPr>
              <w:t>22</w:t>
            </w:r>
            <w:r>
              <w:rPr>
                <w:noProof/>
                <w:webHidden/>
              </w:rPr>
              <w:fldChar w:fldCharType="end"/>
            </w:r>
          </w:hyperlink>
        </w:p>
        <w:p w14:paraId="17209FA7" w14:textId="6B48672E" w:rsidR="002953D8" w:rsidRDefault="002953D8">
          <w:pPr>
            <w:pStyle w:val="TOC3"/>
            <w:tabs>
              <w:tab w:val="right" w:leader="dot" w:pos="9350"/>
            </w:tabs>
            <w:rPr>
              <w:rFonts w:asciiTheme="minorHAnsi" w:eastAsiaTheme="minorEastAsia" w:hAnsiTheme="minorHAnsi" w:cstheme="minorBidi"/>
              <w:noProof/>
              <w:sz w:val="22"/>
            </w:rPr>
          </w:pPr>
          <w:hyperlink w:anchor="_Toc239795024" w:history="1">
            <w:r w:rsidRPr="00226AF2">
              <w:rPr>
                <w:rStyle w:val="Hyperlink"/>
                <w:noProof/>
              </w:rPr>
              <w:t>2.2.1 Sustainability Marketing Communication</w:t>
            </w:r>
            <w:r>
              <w:rPr>
                <w:noProof/>
                <w:webHidden/>
              </w:rPr>
              <w:tab/>
            </w:r>
            <w:r>
              <w:rPr>
                <w:noProof/>
                <w:webHidden/>
              </w:rPr>
              <w:fldChar w:fldCharType="begin"/>
            </w:r>
            <w:r>
              <w:rPr>
                <w:noProof/>
                <w:webHidden/>
              </w:rPr>
              <w:instrText xml:space="preserve"> PAGEREF _Toc239795024 \h </w:instrText>
            </w:r>
            <w:r>
              <w:rPr>
                <w:noProof/>
                <w:webHidden/>
              </w:rPr>
            </w:r>
            <w:r>
              <w:rPr>
                <w:noProof/>
                <w:webHidden/>
              </w:rPr>
              <w:fldChar w:fldCharType="separate"/>
            </w:r>
            <w:r>
              <w:rPr>
                <w:noProof/>
                <w:webHidden/>
              </w:rPr>
              <w:t>22</w:t>
            </w:r>
            <w:r>
              <w:rPr>
                <w:noProof/>
                <w:webHidden/>
              </w:rPr>
              <w:fldChar w:fldCharType="end"/>
            </w:r>
          </w:hyperlink>
        </w:p>
        <w:p w14:paraId="5999847C" w14:textId="73D52E14" w:rsidR="002953D8" w:rsidRDefault="002953D8">
          <w:pPr>
            <w:pStyle w:val="TOC3"/>
            <w:tabs>
              <w:tab w:val="right" w:leader="dot" w:pos="9350"/>
            </w:tabs>
            <w:rPr>
              <w:rFonts w:asciiTheme="minorHAnsi" w:eastAsiaTheme="minorEastAsia" w:hAnsiTheme="minorHAnsi" w:cstheme="minorBidi"/>
              <w:noProof/>
              <w:sz w:val="22"/>
            </w:rPr>
          </w:pPr>
          <w:hyperlink w:anchor="_Toc239795025" w:history="1">
            <w:r w:rsidRPr="00226AF2">
              <w:rPr>
                <w:rStyle w:val="Hyperlink"/>
                <w:noProof/>
              </w:rPr>
              <w:t>2.2.2 Claim Clarity, Evidence and Substantiation Quality, Transparency and Cross-Channel Consistency as Credibility Signals</w:t>
            </w:r>
            <w:r>
              <w:rPr>
                <w:noProof/>
                <w:webHidden/>
              </w:rPr>
              <w:tab/>
            </w:r>
            <w:r>
              <w:rPr>
                <w:noProof/>
                <w:webHidden/>
              </w:rPr>
              <w:fldChar w:fldCharType="begin"/>
            </w:r>
            <w:r>
              <w:rPr>
                <w:noProof/>
                <w:webHidden/>
              </w:rPr>
              <w:instrText xml:space="preserve"> PAGEREF _Toc239795025 \h </w:instrText>
            </w:r>
            <w:r>
              <w:rPr>
                <w:noProof/>
                <w:webHidden/>
              </w:rPr>
            </w:r>
            <w:r>
              <w:rPr>
                <w:noProof/>
                <w:webHidden/>
              </w:rPr>
              <w:fldChar w:fldCharType="separate"/>
            </w:r>
            <w:r>
              <w:rPr>
                <w:noProof/>
                <w:webHidden/>
              </w:rPr>
              <w:t>23</w:t>
            </w:r>
            <w:r>
              <w:rPr>
                <w:noProof/>
                <w:webHidden/>
              </w:rPr>
              <w:fldChar w:fldCharType="end"/>
            </w:r>
          </w:hyperlink>
        </w:p>
        <w:p w14:paraId="717C7970" w14:textId="21FE0934" w:rsidR="002953D8" w:rsidRDefault="002953D8">
          <w:pPr>
            <w:pStyle w:val="TOC3"/>
            <w:tabs>
              <w:tab w:val="right" w:leader="dot" w:pos="9350"/>
            </w:tabs>
            <w:rPr>
              <w:rFonts w:asciiTheme="minorHAnsi" w:eastAsiaTheme="minorEastAsia" w:hAnsiTheme="minorHAnsi" w:cstheme="minorBidi"/>
              <w:noProof/>
              <w:sz w:val="22"/>
            </w:rPr>
          </w:pPr>
          <w:hyperlink w:anchor="_Toc239795026" w:history="1">
            <w:r w:rsidRPr="00226AF2">
              <w:rPr>
                <w:rStyle w:val="Hyperlink"/>
                <w:noProof/>
              </w:rPr>
              <w:t>2.2.3 Greenwashing, Consumer Scepticism and the Credibility Deficit</w:t>
            </w:r>
            <w:r>
              <w:rPr>
                <w:noProof/>
                <w:webHidden/>
              </w:rPr>
              <w:tab/>
            </w:r>
            <w:r>
              <w:rPr>
                <w:noProof/>
                <w:webHidden/>
              </w:rPr>
              <w:fldChar w:fldCharType="begin"/>
            </w:r>
            <w:r>
              <w:rPr>
                <w:noProof/>
                <w:webHidden/>
              </w:rPr>
              <w:instrText xml:space="preserve"> PAGEREF _Toc239795026 \h </w:instrText>
            </w:r>
            <w:r>
              <w:rPr>
                <w:noProof/>
                <w:webHidden/>
              </w:rPr>
            </w:r>
            <w:r>
              <w:rPr>
                <w:noProof/>
                <w:webHidden/>
              </w:rPr>
              <w:fldChar w:fldCharType="separate"/>
            </w:r>
            <w:r>
              <w:rPr>
                <w:noProof/>
                <w:webHidden/>
              </w:rPr>
              <w:t>24</w:t>
            </w:r>
            <w:r>
              <w:rPr>
                <w:noProof/>
                <w:webHidden/>
              </w:rPr>
              <w:fldChar w:fldCharType="end"/>
            </w:r>
          </w:hyperlink>
        </w:p>
        <w:p w14:paraId="4F4BA936" w14:textId="2D9E80CE" w:rsidR="002953D8" w:rsidRDefault="002953D8">
          <w:pPr>
            <w:pStyle w:val="TOC3"/>
            <w:tabs>
              <w:tab w:val="right" w:leader="dot" w:pos="9350"/>
            </w:tabs>
            <w:rPr>
              <w:rFonts w:asciiTheme="minorHAnsi" w:eastAsiaTheme="minorEastAsia" w:hAnsiTheme="minorHAnsi" w:cstheme="minorBidi"/>
              <w:noProof/>
              <w:sz w:val="22"/>
            </w:rPr>
          </w:pPr>
          <w:hyperlink w:anchor="_Toc239795027" w:history="1">
            <w:r w:rsidRPr="00226AF2">
              <w:rPr>
                <w:rStyle w:val="Hyperlink"/>
                <w:noProof/>
              </w:rPr>
              <w:t>2.2.4 Authenticity, Green Trust and Brand-Trust Implications</w:t>
            </w:r>
            <w:r>
              <w:rPr>
                <w:noProof/>
                <w:webHidden/>
              </w:rPr>
              <w:tab/>
            </w:r>
            <w:r>
              <w:rPr>
                <w:noProof/>
                <w:webHidden/>
              </w:rPr>
              <w:fldChar w:fldCharType="begin"/>
            </w:r>
            <w:r>
              <w:rPr>
                <w:noProof/>
                <w:webHidden/>
              </w:rPr>
              <w:instrText xml:space="preserve"> PAGEREF _Toc239795027 \h </w:instrText>
            </w:r>
            <w:r>
              <w:rPr>
                <w:noProof/>
                <w:webHidden/>
              </w:rPr>
            </w:r>
            <w:r>
              <w:rPr>
                <w:noProof/>
                <w:webHidden/>
              </w:rPr>
              <w:fldChar w:fldCharType="separate"/>
            </w:r>
            <w:r>
              <w:rPr>
                <w:noProof/>
                <w:webHidden/>
              </w:rPr>
              <w:t>25</w:t>
            </w:r>
            <w:r>
              <w:rPr>
                <w:noProof/>
                <w:webHidden/>
              </w:rPr>
              <w:fldChar w:fldCharType="end"/>
            </w:r>
          </w:hyperlink>
        </w:p>
        <w:p w14:paraId="24A74945" w14:textId="41B1EDC8" w:rsidR="002953D8" w:rsidRDefault="002953D8">
          <w:pPr>
            <w:pStyle w:val="TOC3"/>
            <w:tabs>
              <w:tab w:val="right" w:leader="dot" w:pos="9350"/>
            </w:tabs>
            <w:rPr>
              <w:rFonts w:asciiTheme="minorHAnsi" w:eastAsiaTheme="minorEastAsia" w:hAnsiTheme="minorHAnsi" w:cstheme="minorBidi"/>
              <w:noProof/>
              <w:sz w:val="22"/>
            </w:rPr>
          </w:pPr>
          <w:hyperlink w:anchor="_Toc239795028" w:history="1">
            <w:r w:rsidRPr="00226AF2">
              <w:rPr>
                <w:rStyle w:val="Hyperlink"/>
                <w:noProof/>
              </w:rPr>
              <w:t>2.2.5 Multi-Channel Communication and the UK Grocery Retail Research Gap</w:t>
            </w:r>
            <w:r>
              <w:rPr>
                <w:noProof/>
                <w:webHidden/>
              </w:rPr>
              <w:tab/>
            </w:r>
            <w:r>
              <w:rPr>
                <w:noProof/>
                <w:webHidden/>
              </w:rPr>
              <w:fldChar w:fldCharType="begin"/>
            </w:r>
            <w:r>
              <w:rPr>
                <w:noProof/>
                <w:webHidden/>
              </w:rPr>
              <w:instrText xml:space="preserve"> PAGEREF _Toc239795028 \h </w:instrText>
            </w:r>
            <w:r>
              <w:rPr>
                <w:noProof/>
                <w:webHidden/>
              </w:rPr>
            </w:r>
            <w:r>
              <w:rPr>
                <w:noProof/>
                <w:webHidden/>
              </w:rPr>
              <w:fldChar w:fldCharType="separate"/>
            </w:r>
            <w:r>
              <w:rPr>
                <w:noProof/>
                <w:webHidden/>
              </w:rPr>
              <w:t>26</w:t>
            </w:r>
            <w:r>
              <w:rPr>
                <w:noProof/>
                <w:webHidden/>
              </w:rPr>
              <w:fldChar w:fldCharType="end"/>
            </w:r>
          </w:hyperlink>
        </w:p>
        <w:p w14:paraId="40B2AEF0" w14:textId="3B1323C8" w:rsidR="002953D8" w:rsidRDefault="002953D8">
          <w:pPr>
            <w:pStyle w:val="TOC2"/>
            <w:tabs>
              <w:tab w:val="right" w:leader="dot" w:pos="9350"/>
            </w:tabs>
            <w:rPr>
              <w:rFonts w:asciiTheme="minorHAnsi" w:eastAsiaTheme="minorEastAsia" w:hAnsiTheme="minorHAnsi" w:cstheme="minorBidi"/>
              <w:noProof/>
              <w:sz w:val="22"/>
            </w:rPr>
          </w:pPr>
          <w:hyperlink w:anchor="_Toc239795029" w:history="1">
            <w:r w:rsidRPr="00226AF2">
              <w:rPr>
                <w:rStyle w:val="Hyperlink"/>
                <w:noProof/>
              </w:rPr>
              <w:t>2.3 Theoretical Framework</w:t>
            </w:r>
            <w:r>
              <w:rPr>
                <w:noProof/>
                <w:webHidden/>
              </w:rPr>
              <w:tab/>
            </w:r>
            <w:r>
              <w:rPr>
                <w:noProof/>
                <w:webHidden/>
              </w:rPr>
              <w:fldChar w:fldCharType="begin"/>
            </w:r>
            <w:r>
              <w:rPr>
                <w:noProof/>
                <w:webHidden/>
              </w:rPr>
              <w:instrText xml:space="preserve"> PAGEREF _Toc239795029 \h </w:instrText>
            </w:r>
            <w:r>
              <w:rPr>
                <w:noProof/>
                <w:webHidden/>
              </w:rPr>
            </w:r>
            <w:r>
              <w:rPr>
                <w:noProof/>
                <w:webHidden/>
              </w:rPr>
              <w:fldChar w:fldCharType="separate"/>
            </w:r>
            <w:r>
              <w:rPr>
                <w:noProof/>
                <w:webHidden/>
              </w:rPr>
              <w:t>27</w:t>
            </w:r>
            <w:r>
              <w:rPr>
                <w:noProof/>
                <w:webHidden/>
              </w:rPr>
              <w:fldChar w:fldCharType="end"/>
            </w:r>
          </w:hyperlink>
        </w:p>
        <w:p w14:paraId="21EE02FC" w14:textId="1A2B3EF9" w:rsidR="002953D8" w:rsidRDefault="002953D8">
          <w:pPr>
            <w:pStyle w:val="TOC3"/>
            <w:tabs>
              <w:tab w:val="right" w:leader="dot" w:pos="9350"/>
            </w:tabs>
            <w:rPr>
              <w:rFonts w:asciiTheme="minorHAnsi" w:eastAsiaTheme="minorEastAsia" w:hAnsiTheme="minorHAnsi" w:cstheme="minorBidi"/>
              <w:noProof/>
              <w:sz w:val="22"/>
            </w:rPr>
          </w:pPr>
          <w:hyperlink w:anchor="_Toc239795030" w:history="1">
            <w:r w:rsidRPr="00226AF2">
              <w:rPr>
                <w:rStyle w:val="Hyperlink"/>
                <w:noProof/>
              </w:rPr>
              <w:t>Signalling Theory</w:t>
            </w:r>
            <w:r>
              <w:rPr>
                <w:noProof/>
                <w:webHidden/>
              </w:rPr>
              <w:tab/>
            </w:r>
            <w:r>
              <w:rPr>
                <w:noProof/>
                <w:webHidden/>
              </w:rPr>
              <w:fldChar w:fldCharType="begin"/>
            </w:r>
            <w:r>
              <w:rPr>
                <w:noProof/>
                <w:webHidden/>
              </w:rPr>
              <w:instrText xml:space="preserve"> PAGEREF _Toc239795030 \h </w:instrText>
            </w:r>
            <w:r>
              <w:rPr>
                <w:noProof/>
                <w:webHidden/>
              </w:rPr>
            </w:r>
            <w:r>
              <w:rPr>
                <w:noProof/>
                <w:webHidden/>
              </w:rPr>
              <w:fldChar w:fldCharType="separate"/>
            </w:r>
            <w:r>
              <w:rPr>
                <w:noProof/>
                <w:webHidden/>
              </w:rPr>
              <w:t>27</w:t>
            </w:r>
            <w:r>
              <w:rPr>
                <w:noProof/>
                <w:webHidden/>
              </w:rPr>
              <w:fldChar w:fldCharType="end"/>
            </w:r>
          </w:hyperlink>
        </w:p>
        <w:p w14:paraId="42F53033" w14:textId="2DF5DEBB" w:rsidR="002953D8" w:rsidRDefault="002953D8">
          <w:pPr>
            <w:pStyle w:val="TOC2"/>
            <w:tabs>
              <w:tab w:val="right" w:leader="dot" w:pos="9350"/>
            </w:tabs>
            <w:rPr>
              <w:rFonts w:asciiTheme="minorHAnsi" w:eastAsiaTheme="minorEastAsia" w:hAnsiTheme="minorHAnsi" w:cstheme="minorBidi"/>
              <w:noProof/>
              <w:sz w:val="22"/>
            </w:rPr>
          </w:pPr>
          <w:hyperlink w:anchor="_Toc239795031" w:history="1">
            <w:r w:rsidRPr="00226AF2">
              <w:rPr>
                <w:rStyle w:val="Hyperlink"/>
                <w:noProof/>
              </w:rPr>
              <w:t>2.4 Conceptual Framework</w:t>
            </w:r>
            <w:r>
              <w:rPr>
                <w:noProof/>
                <w:webHidden/>
              </w:rPr>
              <w:tab/>
            </w:r>
            <w:r>
              <w:rPr>
                <w:noProof/>
                <w:webHidden/>
              </w:rPr>
              <w:fldChar w:fldCharType="begin"/>
            </w:r>
            <w:r>
              <w:rPr>
                <w:noProof/>
                <w:webHidden/>
              </w:rPr>
              <w:instrText xml:space="preserve"> PAGEREF _Toc239795031 \h </w:instrText>
            </w:r>
            <w:r>
              <w:rPr>
                <w:noProof/>
                <w:webHidden/>
              </w:rPr>
            </w:r>
            <w:r>
              <w:rPr>
                <w:noProof/>
                <w:webHidden/>
              </w:rPr>
              <w:fldChar w:fldCharType="separate"/>
            </w:r>
            <w:r>
              <w:rPr>
                <w:noProof/>
                <w:webHidden/>
              </w:rPr>
              <w:t>29</w:t>
            </w:r>
            <w:r>
              <w:rPr>
                <w:noProof/>
                <w:webHidden/>
              </w:rPr>
              <w:fldChar w:fldCharType="end"/>
            </w:r>
          </w:hyperlink>
        </w:p>
        <w:p w14:paraId="5346E646" w14:textId="0E99460D" w:rsidR="002953D8" w:rsidRDefault="002953D8">
          <w:pPr>
            <w:pStyle w:val="TOC2"/>
            <w:tabs>
              <w:tab w:val="right" w:leader="dot" w:pos="9350"/>
            </w:tabs>
            <w:rPr>
              <w:rFonts w:asciiTheme="minorHAnsi" w:eastAsiaTheme="minorEastAsia" w:hAnsiTheme="minorHAnsi" w:cstheme="minorBidi"/>
              <w:noProof/>
              <w:sz w:val="22"/>
            </w:rPr>
          </w:pPr>
          <w:hyperlink w:anchor="_Toc239795032" w:history="1">
            <w:r w:rsidRPr="00226AF2">
              <w:rPr>
                <w:rStyle w:val="Hyperlink"/>
                <w:noProof/>
              </w:rPr>
              <w:t>2.5 Critical Summary of Key Literature</w:t>
            </w:r>
            <w:r>
              <w:rPr>
                <w:noProof/>
                <w:webHidden/>
              </w:rPr>
              <w:tab/>
            </w:r>
            <w:r>
              <w:rPr>
                <w:noProof/>
                <w:webHidden/>
              </w:rPr>
              <w:fldChar w:fldCharType="begin"/>
            </w:r>
            <w:r>
              <w:rPr>
                <w:noProof/>
                <w:webHidden/>
              </w:rPr>
              <w:instrText xml:space="preserve"> PAGEREF _Toc239795032 \h </w:instrText>
            </w:r>
            <w:r>
              <w:rPr>
                <w:noProof/>
                <w:webHidden/>
              </w:rPr>
            </w:r>
            <w:r>
              <w:rPr>
                <w:noProof/>
                <w:webHidden/>
              </w:rPr>
              <w:fldChar w:fldCharType="separate"/>
            </w:r>
            <w:r>
              <w:rPr>
                <w:noProof/>
                <w:webHidden/>
              </w:rPr>
              <w:t>32</w:t>
            </w:r>
            <w:r>
              <w:rPr>
                <w:noProof/>
                <w:webHidden/>
              </w:rPr>
              <w:fldChar w:fldCharType="end"/>
            </w:r>
          </w:hyperlink>
        </w:p>
        <w:p w14:paraId="61FCEBC9" w14:textId="32326E47" w:rsidR="002953D8" w:rsidRDefault="002953D8">
          <w:pPr>
            <w:pStyle w:val="TOC2"/>
            <w:tabs>
              <w:tab w:val="right" w:leader="dot" w:pos="9350"/>
            </w:tabs>
            <w:rPr>
              <w:rFonts w:asciiTheme="minorHAnsi" w:eastAsiaTheme="minorEastAsia" w:hAnsiTheme="minorHAnsi" w:cstheme="minorBidi"/>
              <w:noProof/>
              <w:sz w:val="22"/>
            </w:rPr>
          </w:pPr>
          <w:hyperlink w:anchor="_Toc239795033" w:history="1">
            <w:r w:rsidRPr="00226AF2">
              <w:rPr>
                <w:rStyle w:val="Hyperlink"/>
                <w:noProof/>
              </w:rPr>
              <w:t>2.6 Conclusion</w:t>
            </w:r>
            <w:r>
              <w:rPr>
                <w:noProof/>
                <w:webHidden/>
              </w:rPr>
              <w:tab/>
            </w:r>
            <w:r>
              <w:rPr>
                <w:noProof/>
                <w:webHidden/>
              </w:rPr>
              <w:fldChar w:fldCharType="begin"/>
            </w:r>
            <w:r>
              <w:rPr>
                <w:noProof/>
                <w:webHidden/>
              </w:rPr>
              <w:instrText xml:space="preserve"> PAGEREF _Toc239795033 \h </w:instrText>
            </w:r>
            <w:r>
              <w:rPr>
                <w:noProof/>
                <w:webHidden/>
              </w:rPr>
            </w:r>
            <w:r>
              <w:rPr>
                <w:noProof/>
                <w:webHidden/>
              </w:rPr>
              <w:fldChar w:fldCharType="separate"/>
            </w:r>
            <w:r>
              <w:rPr>
                <w:noProof/>
                <w:webHidden/>
              </w:rPr>
              <w:t>33</w:t>
            </w:r>
            <w:r>
              <w:rPr>
                <w:noProof/>
                <w:webHidden/>
              </w:rPr>
              <w:fldChar w:fldCharType="end"/>
            </w:r>
          </w:hyperlink>
        </w:p>
        <w:p w14:paraId="3EEE6E7D" w14:textId="758B2FFE" w:rsidR="002953D8" w:rsidRDefault="002953D8">
          <w:pPr>
            <w:pStyle w:val="TOC1"/>
            <w:tabs>
              <w:tab w:val="right" w:leader="dot" w:pos="9350"/>
            </w:tabs>
            <w:rPr>
              <w:rFonts w:asciiTheme="minorHAnsi" w:eastAsiaTheme="minorEastAsia" w:hAnsiTheme="minorHAnsi" w:cstheme="minorBidi"/>
              <w:noProof/>
              <w:sz w:val="22"/>
            </w:rPr>
          </w:pPr>
          <w:hyperlink w:anchor="_Toc239795034" w:history="1">
            <w:r w:rsidRPr="00226AF2">
              <w:rPr>
                <w:rStyle w:val="Hyperlink"/>
                <w:bCs/>
                <w:noProof/>
              </w:rPr>
              <w:t>Chapter 3: Research Methodology</w:t>
            </w:r>
            <w:r>
              <w:rPr>
                <w:noProof/>
                <w:webHidden/>
              </w:rPr>
              <w:tab/>
            </w:r>
            <w:r>
              <w:rPr>
                <w:noProof/>
                <w:webHidden/>
              </w:rPr>
              <w:fldChar w:fldCharType="begin"/>
            </w:r>
            <w:r>
              <w:rPr>
                <w:noProof/>
                <w:webHidden/>
              </w:rPr>
              <w:instrText xml:space="preserve"> PAGEREF _Toc239795034 \h </w:instrText>
            </w:r>
            <w:r>
              <w:rPr>
                <w:noProof/>
                <w:webHidden/>
              </w:rPr>
            </w:r>
            <w:r>
              <w:rPr>
                <w:noProof/>
                <w:webHidden/>
              </w:rPr>
              <w:fldChar w:fldCharType="separate"/>
            </w:r>
            <w:r>
              <w:rPr>
                <w:noProof/>
                <w:webHidden/>
              </w:rPr>
              <w:t>34</w:t>
            </w:r>
            <w:r>
              <w:rPr>
                <w:noProof/>
                <w:webHidden/>
              </w:rPr>
              <w:fldChar w:fldCharType="end"/>
            </w:r>
          </w:hyperlink>
        </w:p>
        <w:p w14:paraId="5C117D89" w14:textId="02285F00" w:rsidR="002953D8" w:rsidRDefault="002953D8">
          <w:pPr>
            <w:pStyle w:val="TOC2"/>
            <w:tabs>
              <w:tab w:val="right" w:leader="dot" w:pos="9350"/>
            </w:tabs>
            <w:rPr>
              <w:rFonts w:asciiTheme="minorHAnsi" w:eastAsiaTheme="minorEastAsia" w:hAnsiTheme="minorHAnsi" w:cstheme="minorBidi"/>
              <w:noProof/>
              <w:sz w:val="22"/>
            </w:rPr>
          </w:pPr>
          <w:hyperlink w:anchor="_Toc239795035" w:history="1">
            <w:r w:rsidRPr="00226AF2">
              <w:rPr>
                <w:rStyle w:val="Hyperlink"/>
                <w:noProof/>
              </w:rPr>
              <w:t>3.1 Introduction</w:t>
            </w:r>
            <w:r>
              <w:rPr>
                <w:noProof/>
                <w:webHidden/>
              </w:rPr>
              <w:tab/>
            </w:r>
            <w:r>
              <w:rPr>
                <w:noProof/>
                <w:webHidden/>
              </w:rPr>
              <w:fldChar w:fldCharType="begin"/>
            </w:r>
            <w:r>
              <w:rPr>
                <w:noProof/>
                <w:webHidden/>
              </w:rPr>
              <w:instrText xml:space="preserve"> PAGEREF _Toc239795035 \h </w:instrText>
            </w:r>
            <w:r>
              <w:rPr>
                <w:noProof/>
                <w:webHidden/>
              </w:rPr>
            </w:r>
            <w:r>
              <w:rPr>
                <w:noProof/>
                <w:webHidden/>
              </w:rPr>
              <w:fldChar w:fldCharType="separate"/>
            </w:r>
            <w:r>
              <w:rPr>
                <w:noProof/>
                <w:webHidden/>
              </w:rPr>
              <w:t>34</w:t>
            </w:r>
            <w:r>
              <w:rPr>
                <w:noProof/>
                <w:webHidden/>
              </w:rPr>
              <w:fldChar w:fldCharType="end"/>
            </w:r>
          </w:hyperlink>
        </w:p>
        <w:p w14:paraId="2609DF97" w14:textId="11B2F2EB" w:rsidR="002953D8" w:rsidRDefault="002953D8">
          <w:pPr>
            <w:pStyle w:val="TOC2"/>
            <w:tabs>
              <w:tab w:val="right" w:leader="dot" w:pos="9350"/>
            </w:tabs>
            <w:rPr>
              <w:rFonts w:asciiTheme="minorHAnsi" w:eastAsiaTheme="minorEastAsia" w:hAnsiTheme="minorHAnsi" w:cstheme="minorBidi"/>
              <w:noProof/>
              <w:sz w:val="22"/>
            </w:rPr>
          </w:pPr>
          <w:hyperlink w:anchor="_Toc239795036" w:history="1">
            <w:r w:rsidRPr="00226AF2">
              <w:rPr>
                <w:rStyle w:val="Hyperlink"/>
                <w:noProof/>
              </w:rPr>
              <w:t>3.2 Research Philosophy, Approach and Design</w:t>
            </w:r>
            <w:r>
              <w:rPr>
                <w:noProof/>
                <w:webHidden/>
              </w:rPr>
              <w:tab/>
            </w:r>
            <w:r>
              <w:rPr>
                <w:noProof/>
                <w:webHidden/>
              </w:rPr>
              <w:fldChar w:fldCharType="begin"/>
            </w:r>
            <w:r>
              <w:rPr>
                <w:noProof/>
                <w:webHidden/>
              </w:rPr>
              <w:instrText xml:space="preserve"> PAGEREF _Toc239795036 \h </w:instrText>
            </w:r>
            <w:r>
              <w:rPr>
                <w:noProof/>
                <w:webHidden/>
              </w:rPr>
            </w:r>
            <w:r>
              <w:rPr>
                <w:noProof/>
                <w:webHidden/>
              </w:rPr>
              <w:fldChar w:fldCharType="separate"/>
            </w:r>
            <w:r>
              <w:rPr>
                <w:noProof/>
                <w:webHidden/>
              </w:rPr>
              <w:t>35</w:t>
            </w:r>
            <w:r>
              <w:rPr>
                <w:noProof/>
                <w:webHidden/>
              </w:rPr>
              <w:fldChar w:fldCharType="end"/>
            </w:r>
          </w:hyperlink>
        </w:p>
        <w:p w14:paraId="63D37021" w14:textId="655F0164" w:rsidR="002953D8" w:rsidRDefault="002953D8">
          <w:pPr>
            <w:pStyle w:val="TOC3"/>
            <w:tabs>
              <w:tab w:val="right" w:leader="dot" w:pos="9350"/>
            </w:tabs>
            <w:rPr>
              <w:rFonts w:asciiTheme="minorHAnsi" w:eastAsiaTheme="minorEastAsia" w:hAnsiTheme="minorHAnsi" w:cstheme="minorBidi"/>
              <w:noProof/>
              <w:sz w:val="22"/>
            </w:rPr>
          </w:pPr>
          <w:hyperlink w:anchor="_Toc239795037" w:history="1">
            <w:r w:rsidRPr="00226AF2">
              <w:rPr>
                <w:rStyle w:val="Hyperlink"/>
                <w:noProof/>
              </w:rPr>
              <w:t>3.2.1 Research Philosophy</w:t>
            </w:r>
            <w:r>
              <w:rPr>
                <w:noProof/>
                <w:webHidden/>
              </w:rPr>
              <w:tab/>
            </w:r>
            <w:r>
              <w:rPr>
                <w:noProof/>
                <w:webHidden/>
              </w:rPr>
              <w:fldChar w:fldCharType="begin"/>
            </w:r>
            <w:r>
              <w:rPr>
                <w:noProof/>
                <w:webHidden/>
              </w:rPr>
              <w:instrText xml:space="preserve"> PAGEREF _Toc239795037 \h </w:instrText>
            </w:r>
            <w:r>
              <w:rPr>
                <w:noProof/>
                <w:webHidden/>
              </w:rPr>
            </w:r>
            <w:r>
              <w:rPr>
                <w:noProof/>
                <w:webHidden/>
              </w:rPr>
              <w:fldChar w:fldCharType="separate"/>
            </w:r>
            <w:r>
              <w:rPr>
                <w:noProof/>
                <w:webHidden/>
              </w:rPr>
              <w:t>35</w:t>
            </w:r>
            <w:r>
              <w:rPr>
                <w:noProof/>
                <w:webHidden/>
              </w:rPr>
              <w:fldChar w:fldCharType="end"/>
            </w:r>
          </w:hyperlink>
        </w:p>
        <w:p w14:paraId="41819EBE" w14:textId="6845C480" w:rsidR="002953D8" w:rsidRDefault="002953D8">
          <w:pPr>
            <w:pStyle w:val="TOC3"/>
            <w:tabs>
              <w:tab w:val="right" w:leader="dot" w:pos="9350"/>
            </w:tabs>
            <w:rPr>
              <w:rFonts w:asciiTheme="minorHAnsi" w:eastAsiaTheme="minorEastAsia" w:hAnsiTheme="minorHAnsi" w:cstheme="minorBidi"/>
              <w:noProof/>
              <w:sz w:val="22"/>
            </w:rPr>
          </w:pPr>
          <w:hyperlink w:anchor="_Toc239795038" w:history="1">
            <w:r w:rsidRPr="00226AF2">
              <w:rPr>
                <w:rStyle w:val="Hyperlink"/>
                <w:noProof/>
              </w:rPr>
              <w:t>3.2.2 Research Approach</w:t>
            </w:r>
            <w:r>
              <w:rPr>
                <w:noProof/>
                <w:webHidden/>
              </w:rPr>
              <w:tab/>
            </w:r>
            <w:r>
              <w:rPr>
                <w:noProof/>
                <w:webHidden/>
              </w:rPr>
              <w:fldChar w:fldCharType="begin"/>
            </w:r>
            <w:r>
              <w:rPr>
                <w:noProof/>
                <w:webHidden/>
              </w:rPr>
              <w:instrText xml:space="preserve"> PAGEREF _Toc239795038 \h </w:instrText>
            </w:r>
            <w:r>
              <w:rPr>
                <w:noProof/>
                <w:webHidden/>
              </w:rPr>
            </w:r>
            <w:r>
              <w:rPr>
                <w:noProof/>
                <w:webHidden/>
              </w:rPr>
              <w:fldChar w:fldCharType="separate"/>
            </w:r>
            <w:r>
              <w:rPr>
                <w:noProof/>
                <w:webHidden/>
              </w:rPr>
              <w:t>35</w:t>
            </w:r>
            <w:r>
              <w:rPr>
                <w:noProof/>
                <w:webHidden/>
              </w:rPr>
              <w:fldChar w:fldCharType="end"/>
            </w:r>
          </w:hyperlink>
        </w:p>
        <w:p w14:paraId="24B3C96C" w14:textId="3876774C" w:rsidR="002953D8" w:rsidRDefault="002953D8">
          <w:pPr>
            <w:pStyle w:val="TOC3"/>
            <w:tabs>
              <w:tab w:val="right" w:leader="dot" w:pos="9350"/>
            </w:tabs>
            <w:rPr>
              <w:rFonts w:asciiTheme="minorHAnsi" w:eastAsiaTheme="minorEastAsia" w:hAnsiTheme="minorHAnsi" w:cstheme="minorBidi"/>
              <w:noProof/>
              <w:sz w:val="22"/>
            </w:rPr>
          </w:pPr>
          <w:hyperlink w:anchor="_Toc239795039" w:history="1">
            <w:r w:rsidRPr="00226AF2">
              <w:rPr>
                <w:rStyle w:val="Hyperlink"/>
                <w:noProof/>
              </w:rPr>
              <w:t>3.2.3 Research Strategy</w:t>
            </w:r>
            <w:r>
              <w:rPr>
                <w:noProof/>
                <w:webHidden/>
              </w:rPr>
              <w:tab/>
            </w:r>
            <w:r>
              <w:rPr>
                <w:noProof/>
                <w:webHidden/>
              </w:rPr>
              <w:fldChar w:fldCharType="begin"/>
            </w:r>
            <w:r>
              <w:rPr>
                <w:noProof/>
                <w:webHidden/>
              </w:rPr>
              <w:instrText xml:space="preserve"> PAGEREF _Toc239795039 \h </w:instrText>
            </w:r>
            <w:r>
              <w:rPr>
                <w:noProof/>
                <w:webHidden/>
              </w:rPr>
            </w:r>
            <w:r>
              <w:rPr>
                <w:noProof/>
                <w:webHidden/>
              </w:rPr>
              <w:fldChar w:fldCharType="separate"/>
            </w:r>
            <w:r>
              <w:rPr>
                <w:noProof/>
                <w:webHidden/>
              </w:rPr>
              <w:t>35</w:t>
            </w:r>
            <w:r>
              <w:rPr>
                <w:noProof/>
                <w:webHidden/>
              </w:rPr>
              <w:fldChar w:fldCharType="end"/>
            </w:r>
          </w:hyperlink>
        </w:p>
        <w:p w14:paraId="20430B61" w14:textId="12BC524A" w:rsidR="002953D8" w:rsidRDefault="002953D8">
          <w:pPr>
            <w:pStyle w:val="TOC2"/>
            <w:tabs>
              <w:tab w:val="right" w:leader="dot" w:pos="9350"/>
            </w:tabs>
            <w:rPr>
              <w:rFonts w:asciiTheme="minorHAnsi" w:eastAsiaTheme="minorEastAsia" w:hAnsiTheme="minorHAnsi" w:cstheme="minorBidi"/>
              <w:noProof/>
              <w:sz w:val="22"/>
            </w:rPr>
          </w:pPr>
          <w:hyperlink w:anchor="_Toc239795040" w:history="1">
            <w:r w:rsidRPr="00226AF2">
              <w:rPr>
                <w:rStyle w:val="Hyperlink"/>
                <w:noProof/>
              </w:rPr>
              <w:t>3.3 Justification for Case Study Methodology</w:t>
            </w:r>
            <w:r>
              <w:rPr>
                <w:noProof/>
                <w:webHidden/>
              </w:rPr>
              <w:tab/>
            </w:r>
            <w:r>
              <w:rPr>
                <w:noProof/>
                <w:webHidden/>
              </w:rPr>
              <w:fldChar w:fldCharType="begin"/>
            </w:r>
            <w:r>
              <w:rPr>
                <w:noProof/>
                <w:webHidden/>
              </w:rPr>
              <w:instrText xml:space="preserve"> PAGEREF _Toc239795040 \h </w:instrText>
            </w:r>
            <w:r>
              <w:rPr>
                <w:noProof/>
                <w:webHidden/>
              </w:rPr>
            </w:r>
            <w:r>
              <w:rPr>
                <w:noProof/>
                <w:webHidden/>
              </w:rPr>
              <w:fldChar w:fldCharType="separate"/>
            </w:r>
            <w:r>
              <w:rPr>
                <w:noProof/>
                <w:webHidden/>
              </w:rPr>
              <w:t>36</w:t>
            </w:r>
            <w:r>
              <w:rPr>
                <w:noProof/>
                <w:webHidden/>
              </w:rPr>
              <w:fldChar w:fldCharType="end"/>
            </w:r>
          </w:hyperlink>
        </w:p>
        <w:p w14:paraId="4718453B" w14:textId="006621C8" w:rsidR="002953D8" w:rsidRDefault="002953D8">
          <w:pPr>
            <w:pStyle w:val="TOC2"/>
            <w:tabs>
              <w:tab w:val="right" w:leader="dot" w:pos="9350"/>
            </w:tabs>
            <w:rPr>
              <w:rFonts w:asciiTheme="minorHAnsi" w:eastAsiaTheme="minorEastAsia" w:hAnsiTheme="minorHAnsi" w:cstheme="minorBidi"/>
              <w:noProof/>
              <w:sz w:val="22"/>
            </w:rPr>
          </w:pPr>
          <w:hyperlink w:anchor="_Toc239795041" w:history="1">
            <w:r w:rsidRPr="00226AF2">
              <w:rPr>
                <w:rStyle w:val="Hyperlink"/>
                <w:noProof/>
              </w:rPr>
              <w:t>3.4 Case Selection and Sampling Strategy</w:t>
            </w:r>
            <w:r>
              <w:rPr>
                <w:noProof/>
                <w:webHidden/>
              </w:rPr>
              <w:tab/>
            </w:r>
            <w:r>
              <w:rPr>
                <w:noProof/>
                <w:webHidden/>
              </w:rPr>
              <w:fldChar w:fldCharType="begin"/>
            </w:r>
            <w:r>
              <w:rPr>
                <w:noProof/>
                <w:webHidden/>
              </w:rPr>
              <w:instrText xml:space="preserve"> PAGEREF _Toc239795041 \h </w:instrText>
            </w:r>
            <w:r>
              <w:rPr>
                <w:noProof/>
                <w:webHidden/>
              </w:rPr>
            </w:r>
            <w:r>
              <w:rPr>
                <w:noProof/>
                <w:webHidden/>
              </w:rPr>
              <w:fldChar w:fldCharType="separate"/>
            </w:r>
            <w:r>
              <w:rPr>
                <w:noProof/>
                <w:webHidden/>
              </w:rPr>
              <w:t>36</w:t>
            </w:r>
            <w:r>
              <w:rPr>
                <w:noProof/>
                <w:webHidden/>
              </w:rPr>
              <w:fldChar w:fldCharType="end"/>
            </w:r>
          </w:hyperlink>
        </w:p>
        <w:p w14:paraId="0924BCBB" w14:textId="38E60350" w:rsidR="002953D8" w:rsidRDefault="002953D8">
          <w:pPr>
            <w:pStyle w:val="TOC2"/>
            <w:tabs>
              <w:tab w:val="right" w:leader="dot" w:pos="9350"/>
            </w:tabs>
            <w:rPr>
              <w:rFonts w:asciiTheme="minorHAnsi" w:eastAsiaTheme="minorEastAsia" w:hAnsiTheme="minorHAnsi" w:cstheme="minorBidi"/>
              <w:noProof/>
              <w:sz w:val="22"/>
            </w:rPr>
          </w:pPr>
          <w:hyperlink w:anchor="_Toc239795042" w:history="1">
            <w:r w:rsidRPr="00226AF2">
              <w:rPr>
                <w:rStyle w:val="Hyperlink"/>
                <w:noProof/>
              </w:rPr>
              <w:t>3.5 Data Sources and Collection</w:t>
            </w:r>
            <w:r>
              <w:rPr>
                <w:noProof/>
                <w:webHidden/>
              </w:rPr>
              <w:tab/>
            </w:r>
            <w:r>
              <w:rPr>
                <w:noProof/>
                <w:webHidden/>
              </w:rPr>
              <w:fldChar w:fldCharType="begin"/>
            </w:r>
            <w:r>
              <w:rPr>
                <w:noProof/>
                <w:webHidden/>
              </w:rPr>
              <w:instrText xml:space="preserve"> PAGEREF _Toc239795042 \h </w:instrText>
            </w:r>
            <w:r>
              <w:rPr>
                <w:noProof/>
                <w:webHidden/>
              </w:rPr>
            </w:r>
            <w:r>
              <w:rPr>
                <w:noProof/>
                <w:webHidden/>
              </w:rPr>
              <w:fldChar w:fldCharType="separate"/>
            </w:r>
            <w:r>
              <w:rPr>
                <w:noProof/>
                <w:webHidden/>
              </w:rPr>
              <w:t>37</w:t>
            </w:r>
            <w:r>
              <w:rPr>
                <w:noProof/>
                <w:webHidden/>
              </w:rPr>
              <w:fldChar w:fldCharType="end"/>
            </w:r>
          </w:hyperlink>
        </w:p>
        <w:p w14:paraId="616912AC" w14:textId="2B3690AF" w:rsidR="002953D8" w:rsidRDefault="002953D8">
          <w:pPr>
            <w:pStyle w:val="TOC2"/>
            <w:tabs>
              <w:tab w:val="right" w:leader="dot" w:pos="9350"/>
            </w:tabs>
            <w:rPr>
              <w:rFonts w:asciiTheme="minorHAnsi" w:eastAsiaTheme="minorEastAsia" w:hAnsiTheme="minorHAnsi" w:cstheme="minorBidi"/>
              <w:noProof/>
              <w:sz w:val="22"/>
            </w:rPr>
          </w:pPr>
          <w:hyperlink w:anchor="_Toc239795043" w:history="1">
            <w:r w:rsidRPr="00226AF2">
              <w:rPr>
                <w:rStyle w:val="Hyperlink"/>
                <w:noProof/>
              </w:rPr>
              <w:t>3.6 Data Analysis</w:t>
            </w:r>
            <w:r>
              <w:rPr>
                <w:noProof/>
                <w:webHidden/>
              </w:rPr>
              <w:tab/>
            </w:r>
            <w:r>
              <w:rPr>
                <w:noProof/>
                <w:webHidden/>
              </w:rPr>
              <w:fldChar w:fldCharType="begin"/>
            </w:r>
            <w:r>
              <w:rPr>
                <w:noProof/>
                <w:webHidden/>
              </w:rPr>
              <w:instrText xml:space="preserve"> PAGEREF _Toc239795043 \h </w:instrText>
            </w:r>
            <w:r>
              <w:rPr>
                <w:noProof/>
                <w:webHidden/>
              </w:rPr>
            </w:r>
            <w:r>
              <w:rPr>
                <w:noProof/>
                <w:webHidden/>
              </w:rPr>
              <w:fldChar w:fldCharType="separate"/>
            </w:r>
            <w:r>
              <w:rPr>
                <w:noProof/>
                <w:webHidden/>
              </w:rPr>
              <w:t>38</w:t>
            </w:r>
            <w:r>
              <w:rPr>
                <w:noProof/>
                <w:webHidden/>
              </w:rPr>
              <w:fldChar w:fldCharType="end"/>
            </w:r>
          </w:hyperlink>
        </w:p>
        <w:p w14:paraId="16FE27EE" w14:textId="67885296" w:rsidR="002953D8" w:rsidRDefault="002953D8">
          <w:pPr>
            <w:pStyle w:val="TOC2"/>
            <w:tabs>
              <w:tab w:val="right" w:leader="dot" w:pos="9350"/>
            </w:tabs>
            <w:rPr>
              <w:rFonts w:asciiTheme="minorHAnsi" w:eastAsiaTheme="minorEastAsia" w:hAnsiTheme="minorHAnsi" w:cstheme="minorBidi"/>
              <w:noProof/>
              <w:sz w:val="22"/>
            </w:rPr>
          </w:pPr>
          <w:hyperlink w:anchor="_Toc239795044" w:history="1">
            <w:r w:rsidRPr="00226AF2">
              <w:rPr>
                <w:rStyle w:val="Hyperlink"/>
                <w:noProof/>
              </w:rPr>
              <w:t>3.7 Research Quality and Rigour</w:t>
            </w:r>
            <w:r>
              <w:rPr>
                <w:noProof/>
                <w:webHidden/>
              </w:rPr>
              <w:tab/>
            </w:r>
            <w:r>
              <w:rPr>
                <w:noProof/>
                <w:webHidden/>
              </w:rPr>
              <w:fldChar w:fldCharType="begin"/>
            </w:r>
            <w:r>
              <w:rPr>
                <w:noProof/>
                <w:webHidden/>
              </w:rPr>
              <w:instrText xml:space="preserve"> PAGEREF _Toc239795044 \h </w:instrText>
            </w:r>
            <w:r>
              <w:rPr>
                <w:noProof/>
                <w:webHidden/>
              </w:rPr>
            </w:r>
            <w:r>
              <w:rPr>
                <w:noProof/>
                <w:webHidden/>
              </w:rPr>
              <w:fldChar w:fldCharType="separate"/>
            </w:r>
            <w:r>
              <w:rPr>
                <w:noProof/>
                <w:webHidden/>
              </w:rPr>
              <w:t>40</w:t>
            </w:r>
            <w:r>
              <w:rPr>
                <w:noProof/>
                <w:webHidden/>
              </w:rPr>
              <w:fldChar w:fldCharType="end"/>
            </w:r>
          </w:hyperlink>
        </w:p>
        <w:p w14:paraId="2F4E87F7" w14:textId="33F529E9" w:rsidR="002953D8" w:rsidRDefault="002953D8">
          <w:pPr>
            <w:pStyle w:val="TOC2"/>
            <w:tabs>
              <w:tab w:val="right" w:leader="dot" w:pos="9350"/>
            </w:tabs>
            <w:rPr>
              <w:rFonts w:asciiTheme="minorHAnsi" w:eastAsiaTheme="minorEastAsia" w:hAnsiTheme="minorHAnsi" w:cstheme="minorBidi"/>
              <w:noProof/>
              <w:sz w:val="22"/>
            </w:rPr>
          </w:pPr>
          <w:hyperlink w:anchor="_Toc239795045" w:history="1">
            <w:r w:rsidRPr="00226AF2">
              <w:rPr>
                <w:rStyle w:val="Hyperlink"/>
                <w:noProof/>
              </w:rPr>
              <w:t>3.8 Ethical Considerations</w:t>
            </w:r>
            <w:r>
              <w:rPr>
                <w:noProof/>
                <w:webHidden/>
              </w:rPr>
              <w:tab/>
            </w:r>
            <w:r>
              <w:rPr>
                <w:noProof/>
                <w:webHidden/>
              </w:rPr>
              <w:fldChar w:fldCharType="begin"/>
            </w:r>
            <w:r>
              <w:rPr>
                <w:noProof/>
                <w:webHidden/>
              </w:rPr>
              <w:instrText xml:space="preserve"> PAGEREF _Toc239795045 \h </w:instrText>
            </w:r>
            <w:r>
              <w:rPr>
                <w:noProof/>
                <w:webHidden/>
              </w:rPr>
            </w:r>
            <w:r>
              <w:rPr>
                <w:noProof/>
                <w:webHidden/>
              </w:rPr>
              <w:fldChar w:fldCharType="separate"/>
            </w:r>
            <w:r>
              <w:rPr>
                <w:noProof/>
                <w:webHidden/>
              </w:rPr>
              <w:t>43</w:t>
            </w:r>
            <w:r>
              <w:rPr>
                <w:noProof/>
                <w:webHidden/>
              </w:rPr>
              <w:fldChar w:fldCharType="end"/>
            </w:r>
          </w:hyperlink>
        </w:p>
        <w:p w14:paraId="72C2D28A" w14:textId="5C148D00" w:rsidR="002953D8" w:rsidRDefault="002953D8">
          <w:pPr>
            <w:pStyle w:val="TOC2"/>
            <w:tabs>
              <w:tab w:val="right" w:leader="dot" w:pos="9350"/>
            </w:tabs>
            <w:rPr>
              <w:rFonts w:asciiTheme="minorHAnsi" w:eastAsiaTheme="minorEastAsia" w:hAnsiTheme="minorHAnsi" w:cstheme="minorBidi"/>
              <w:noProof/>
              <w:sz w:val="22"/>
            </w:rPr>
          </w:pPr>
          <w:hyperlink w:anchor="_Toc239795046" w:history="1">
            <w:r w:rsidRPr="00226AF2">
              <w:rPr>
                <w:rStyle w:val="Hyperlink"/>
                <w:noProof/>
              </w:rPr>
              <w:t>3.9 Chapter Summary</w:t>
            </w:r>
            <w:r>
              <w:rPr>
                <w:noProof/>
                <w:webHidden/>
              </w:rPr>
              <w:tab/>
            </w:r>
            <w:r>
              <w:rPr>
                <w:noProof/>
                <w:webHidden/>
              </w:rPr>
              <w:fldChar w:fldCharType="begin"/>
            </w:r>
            <w:r>
              <w:rPr>
                <w:noProof/>
                <w:webHidden/>
              </w:rPr>
              <w:instrText xml:space="preserve"> PAGEREF _Toc239795046 \h </w:instrText>
            </w:r>
            <w:r>
              <w:rPr>
                <w:noProof/>
                <w:webHidden/>
              </w:rPr>
            </w:r>
            <w:r>
              <w:rPr>
                <w:noProof/>
                <w:webHidden/>
              </w:rPr>
              <w:fldChar w:fldCharType="separate"/>
            </w:r>
            <w:r>
              <w:rPr>
                <w:noProof/>
                <w:webHidden/>
              </w:rPr>
              <w:t>43</w:t>
            </w:r>
            <w:r>
              <w:rPr>
                <w:noProof/>
                <w:webHidden/>
              </w:rPr>
              <w:fldChar w:fldCharType="end"/>
            </w:r>
          </w:hyperlink>
        </w:p>
        <w:p w14:paraId="3713E0BC" w14:textId="498D36F1" w:rsidR="002953D8" w:rsidRDefault="002953D8">
          <w:pPr>
            <w:pStyle w:val="TOC1"/>
            <w:tabs>
              <w:tab w:val="right" w:leader="dot" w:pos="9350"/>
            </w:tabs>
            <w:rPr>
              <w:rFonts w:asciiTheme="minorHAnsi" w:eastAsiaTheme="minorEastAsia" w:hAnsiTheme="minorHAnsi" w:cstheme="minorBidi"/>
              <w:noProof/>
              <w:sz w:val="22"/>
            </w:rPr>
          </w:pPr>
          <w:hyperlink w:anchor="_Toc239795047" w:history="1">
            <w:r w:rsidRPr="00226AF2">
              <w:rPr>
                <w:rStyle w:val="Hyperlink"/>
                <w:bCs/>
                <w:noProof/>
              </w:rPr>
              <w:t>Chapter 4: Findings</w:t>
            </w:r>
            <w:r>
              <w:rPr>
                <w:noProof/>
                <w:webHidden/>
              </w:rPr>
              <w:tab/>
            </w:r>
            <w:r>
              <w:rPr>
                <w:noProof/>
                <w:webHidden/>
              </w:rPr>
              <w:fldChar w:fldCharType="begin"/>
            </w:r>
            <w:r>
              <w:rPr>
                <w:noProof/>
                <w:webHidden/>
              </w:rPr>
              <w:instrText xml:space="preserve"> PAGEREF _Toc239795047 \h </w:instrText>
            </w:r>
            <w:r>
              <w:rPr>
                <w:noProof/>
                <w:webHidden/>
              </w:rPr>
            </w:r>
            <w:r>
              <w:rPr>
                <w:noProof/>
                <w:webHidden/>
              </w:rPr>
              <w:fldChar w:fldCharType="separate"/>
            </w:r>
            <w:r>
              <w:rPr>
                <w:noProof/>
                <w:webHidden/>
              </w:rPr>
              <w:t>44</w:t>
            </w:r>
            <w:r>
              <w:rPr>
                <w:noProof/>
                <w:webHidden/>
              </w:rPr>
              <w:fldChar w:fldCharType="end"/>
            </w:r>
          </w:hyperlink>
        </w:p>
        <w:p w14:paraId="10A155A8" w14:textId="3BD14048" w:rsidR="002953D8" w:rsidRDefault="002953D8">
          <w:pPr>
            <w:pStyle w:val="TOC2"/>
            <w:tabs>
              <w:tab w:val="right" w:leader="dot" w:pos="9350"/>
            </w:tabs>
            <w:rPr>
              <w:rFonts w:asciiTheme="minorHAnsi" w:eastAsiaTheme="minorEastAsia" w:hAnsiTheme="minorHAnsi" w:cstheme="minorBidi"/>
              <w:noProof/>
              <w:sz w:val="22"/>
            </w:rPr>
          </w:pPr>
          <w:hyperlink w:anchor="_Toc239795048" w:history="1">
            <w:r w:rsidRPr="00226AF2">
              <w:rPr>
                <w:rStyle w:val="Hyperlink"/>
                <w:noProof/>
              </w:rPr>
              <w:t>4.1 Introduction</w:t>
            </w:r>
            <w:r>
              <w:rPr>
                <w:noProof/>
                <w:webHidden/>
              </w:rPr>
              <w:tab/>
            </w:r>
            <w:r>
              <w:rPr>
                <w:noProof/>
                <w:webHidden/>
              </w:rPr>
              <w:fldChar w:fldCharType="begin"/>
            </w:r>
            <w:r>
              <w:rPr>
                <w:noProof/>
                <w:webHidden/>
              </w:rPr>
              <w:instrText xml:space="preserve"> PAGEREF _Toc239795048 \h </w:instrText>
            </w:r>
            <w:r>
              <w:rPr>
                <w:noProof/>
                <w:webHidden/>
              </w:rPr>
            </w:r>
            <w:r>
              <w:rPr>
                <w:noProof/>
                <w:webHidden/>
              </w:rPr>
              <w:fldChar w:fldCharType="separate"/>
            </w:r>
            <w:r>
              <w:rPr>
                <w:noProof/>
                <w:webHidden/>
              </w:rPr>
              <w:t>44</w:t>
            </w:r>
            <w:r>
              <w:rPr>
                <w:noProof/>
                <w:webHidden/>
              </w:rPr>
              <w:fldChar w:fldCharType="end"/>
            </w:r>
          </w:hyperlink>
        </w:p>
        <w:p w14:paraId="185FBAD7" w14:textId="32F1DD47" w:rsidR="002953D8" w:rsidRDefault="002953D8">
          <w:pPr>
            <w:pStyle w:val="TOC2"/>
            <w:tabs>
              <w:tab w:val="right" w:leader="dot" w:pos="9350"/>
            </w:tabs>
            <w:rPr>
              <w:rFonts w:asciiTheme="minorHAnsi" w:eastAsiaTheme="minorEastAsia" w:hAnsiTheme="minorHAnsi" w:cstheme="minorBidi"/>
              <w:noProof/>
              <w:sz w:val="22"/>
            </w:rPr>
          </w:pPr>
          <w:hyperlink w:anchor="_Toc239795049" w:history="1">
            <w:r w:rsidRPr="00226AF2">
              <w:rPr>
                <w:rStyle w:val="Hyperlink"/>
                <w:noProof/>
              </w:rPr>
              <w:t>4.2 Case Study 1: Marks &amp; Spencer</w:t>
            </w:r>
            <w:r>
              <w:rPr>
                <w:noProof/>
                <w:webHidden/>
              </w:rPr>
              <w:tab/>
            </w:r>
            <w:r>
              <w:rPr>
                <w:noProof/>
                <w:webHidden/>
              </w:rPr>
              <w:fldChar w:fldCharType="begin"/>
            </w:r>
            <w:r>
              <w:rPr>
                <w:noProof/>
                <w:webHidden/>
              </w:rPr>
              <w:instrText xml:space="preserve"> PAGEREF _Toc239795049 \h </w:instrText>
            </w:r>
            <w:r>
              <w:rPr>
                <w:noProof/>
                <w:webHidden/>
              </w:rPr>
            </w:r>
            <w:r>
              <w:rPr>
                <w:noProof/>
                <w:webHidden/>
              </w:rPr>
              <w:fldChar w:fldCharType="separate"/>
            </w:r>
            <w:r>
              <w:rPr>
                <w:noProof/>
                <w:webHidden/>
              </w:rPr>
              <w:t>44</w:t>
            </w:r>
            <w:r>
              <w:rPr>
                <w:noProof/>
                <w:webHidden/>
              </w:rPr>
              <w:fldChar w:fldCharType="end"/>
            </w:r>
          </w:hyperlink>
        </w:p>
        <w:p w14:paraId="2B8F9569" w14:textId="74409942" w:rsidR="002953D8" w:rsidRDefault="002953D8">
          <w:pPr>
            <w:pStyle w:val="TOC3"/>
            <w:tabs>
              <w:tab w:val="right" w:leader="dot" w:pos="9350"/>
            </w:tabs>
            <w:rPr>
              <w:rFonts w:asciiTheme="minorHAnsi" w:eastAsiaTheme="minorEastAsia" w:hAnsiTheme="minorHAnsi" w:cstheme="minorBidi"/>
              <w:noProof/>
              <w:sz w:val="22"/>
            </w:rPr>
          </w:pPr>
          <w:hyperlink w:anchor="_Toc239795050" w:history="1">
            <w:r w:rsidRPr="00226AF2">
              <w:rPr>
                <w:rStyle w:val="Hyperlink"/>
                <w:noProof/>
              </w:rPr>
              <w:t>4.2.1 Introduction and Background</w:t>
            </w:r>
            <w:r>
              <w:rPr>
                <w:noProof/>
                <w:webHidden/>
              </w:rPr>
              <w:tab/>
            </w:r>
            <w:r>
              <w:rPr>
                <w:noProof/>
                <w:webHidden/>
              </w:rPr>
              <w:fldChar w:fldCharType="begin"/>
            </w:r>
            <w:r>
              <w:rPr>
                <w:noProof/>
                <w:webHidden/>
              </w:rPr>
              <w:instrText xml:space="preserve"> PAGEREF _Toc239795050 \h </w:instrText>
            </w:r>
            <w:r>
              <w:rPr>
                <w:noProof/>
                <w:webHidden/>
              </w:rPr>
            </w:r>
            <w:r>
              <w:rPr>
                <w:noProof/>
                <w:webHidden/>
              </w:rPr>
              <w:fldChar w:fldCharType="separate"/>
            </w:r>
            <w:r>
              <w:rPr>
                <w:noProof/>
                <w:webHidden/>
              </w:rPr>
              <w:t>44</w:t>
            </w:r>
            <w:r>
              <w:rPr>
                <w:noProof/>
                <w:webHidden/>
              </w:rPr>
              <w:fldChar w:fldCharType="end"/>
            </w:r>
          </w:hyperlink>
        </w:p>
        <w:p w14:paraId="3E63A5AD" w14:textId="6D233C8D" w:rsidR="002953D8" w:rsidRDefault="002953D8">
          <w:pPr>
            <w:pStyle w:val="TOC3"/>
            <w:tabs>
              <w:tab w:val="right" w:leader="dot" w:pos="9350"/>
            </w:tabs>
            <w:rPr>
              <w:rFonts w:asciiTheme="minorHAnsi" w:eastAsiaTheme="minorEastAsia" w:hAnsiTheme="minorHAnsi" w:cstheme="minorBidi"/>
              <w:noProof/>
              <w:sz w:val="22"/>
            </w:rPr>
          </w:pPr>
          <w:hyperlink w:anchor="_Toc239795051" w:history="1">
            <w:r w:rsidRPr="00226AF2">
              <w:rPr>
                <w:rStyle w:val="Hyperlink"/>
                <w:noProof/>
              </w:rPr>
              <w:t>4.2.2 The Challenge or Opportunity</w:t>
            </w:r>
            <w:r>
              <w:rPr>
                <w:noProof/>
                <w:webHidden/>
              </w:rPr>
              <w:tab/>
            </w:r>
            <w:r>
              <w:rPr>
                <w:noProof/>
                <w:webHidden/>
              </w:rPr>
              <w:fldChar w:fldCharType="begin"/>
            </w:r>
            <w:r>
              <w:rPr>
                <w:noProof/>
                <w:webHidden/>
              </w:rPr>
              <w:instrText xml:space="preserve"> PAGEREF _Toc239795051 \h </w:instrText>
            </w:r>
            <w:r>
              <w:rPr>
                <w:noProof/>
                <w:webHidden/>
              </w:rPr>
            </w:r>
            <w:r>
              <w:rPr>
                <w:noProof/>
                <w:webHidden/>
              </w:rPr>
              <w:fldChar w:fldCharType="separate"/>
            </w:r>
            <w:r>
              <w:rPr>
                <w:noProof/>
                <w:webHidden/>
              </w:rPr>
              <w:t>44</w:t>
            </w:r>
            <w:r>
              <w:rPr>
                <w:noProof/>
                <w:webHidden/>
              </w:rPr>
              <w:fldChar w:fldCharType="end"/>
            </w:r>
          </w:hyperlink>
        </w:p>
        <w:p w14:paraId="0FD7B119" w14:textId="7DFD025A" w:rsidR="002953D8" w:rsidRDefault="002953D8">
          <w:pPr>
            <w:pStyle w:val="TOC3"/>
            <w:tabs>
              <w:tab w:val="right" w:leader="dot" w:pos="9350"/>
            </w:tabs>
            <w:rPr>
              <w:rFonts w:asciiTheme="minorHAnsi" w:eastAsiaTheme="minorEastAsia" w:hAnsiTheme="minorHAnsi" w:cstheme="minorBidi"/>
              <w:noProof/>
              <w:sz w:val="22"/>
            </w:rPr>
          </w:pPr>
          <w:hyperlink w:anchor="_Toc239795052" w:history="1">
            <w:r w:rsidRPr="00226AF2">
              <w:rPr>
                <w:rStyle w:val="Hyperlink"/>
                <w:noProof/>
              </w:rPr>
              <w:t>4.2.3 The Approach and Implementation</w:t>
            </w:r>
            <w:r>
              <w:rPr>
                <w:noProof/>
                <w:webHidden/>
              </w:rPr>
              <w:tab/>
            </w:r>
            <w:r>
              <w:rPr>
                <w:noProof/>
                <w:webHidden/>
              </w:rPr>
              <w:fldChar w:fldCharType="begin"/>
            </w:r>
            <w:r>
              <w:rPr>
                <w:noProof/>
                <w:webHidden/>
              </w:rPr>
              <w:instrText xml:space="preserve"> PAGEREF _Toc239795052 \h </w:instrText>
            </w:r>
            <w:r>
              <w:rPr>
                <w:noProof/>
                <w:webHidden/>
              </w:rPr>
            </w:r>
            <w:r>
              <w:rPr>
                <w:noProof/>
                <w:webHidden/>
              </w:rPr>
              <w:fldChar w:fldCharType="separate"/>
            </w:r>
            <w:r>
              <w:rPr>
                <w:noProof/>
                <w:webHidden/>
              </w:rPr>
              <w:t>45</w:t>
            </w:r>
            <w:r>
              <w:rPr>
                <w:noProof/>
                <w:webHidden/>
              </w:rPr>
              <w:fldChar w:fldCharType="end"/>
            </w:r>
          </w:hyperlink>
        </w:p>
        <w:p w14:paraId="60B1B7FD" w14:textId="37C4BCD2" w:rsidR="002953D8" w:rsidRDefault="002953D8">
          <w:pPr>
            <w:pStyle w:val="TOC3"/>
            <w:tabs>
              <w:tab w:val="right" w:leader="dot" w:pos="9350"/>
            </w:tabs>
            <w:rPr>
              <w:rFonts w:asciiTheme="minorHAnsi" w:eastAsiaTheme="minorEastAsia" w:hAnsiTheme="minorHAnsi" w:cstheme="minorBidi"/>
              <w:noProof/>
              <w:sz w:val="22"/>
            </w:rPr>
          </w:pPr>
          <w:hyperlink w:anchor="_Toc239795053" w:history="1">
            <w:r w:rsidRPr="00226AF2">
              <w:rPr>
                <w:rStyle w:val="Hyperlink"/>
                <w:noProof/>
              </w:rPr>
              <w:t>4.2.4 Outcomes and Results</w:t>
            </w:r>
            <w:r>
              <w:rPr>
                <w:noProof/>
                <w:webHidden/>
              </w:rPr>
              <w:tab/>
            </w:r>
            <w:r>
              <w:rPr>
                <w:noProof/>
                <w:webHidden/>
              </w:rPr>
              <w:fldChar w:fldCharType="begin"/>
            </w:r>
            <w:r>
              <w:rPr>
                <w:noProof/>
                <w:webHidden/>
              </w:rPr>
              <w:instrText xml:space="preserve"> PAGEREF _Toc239795053 \h </w:instrText>
            </w:r>
            <w:r>
              <w:rPr>
                <w:noProof/>
                <w:webHidden/>
              </w:rPr>
            </w:r>
            <w:r>
              <w:rPr>
                <w:noProof/>
                <w:webHidden/>
              </w:rPr>
              <w:fldChar w:fldCharType="separate"/>
            </w:r>
            <w:r>
              <w:rPr>
                <w:noProof/>
                <w:webHidden/>
              </w:rPr>
              <w:t>45</w:t>
            </w:r>
            <w:r>
              <w:rPr>
                <w:noProof/>
                <w:webHidden/>
              </w:rPr>
              <w:fldChar w:fldCharType="end"/>
            </w:r>
          </w:hyperlink>
        </w:p>
        <w:p w14:paraId="1CEC4FAF" w14:textId="66FB0AE1" w:rsidR="002953D8" w:rsidRDefault="002953D8">
          <w:pPr>
            <w:pStyle w:val="TOC2"/>
            <w:tabs>
              <w:tab w:val="right" w:leader="dot" w:pos="9350"/>
            </w:tabs>
            <w:rPr>
              <w:rFonts w:asciiTheme="minorHAnsi" w:eastAsiaTheme="minorEastAsia" w:hAnsiTheme="minorHAnsi" w:cstheme="minorBidi"/>
              <w:noProof/>
              <w:sz w:val="22"/>
            </w:rPr>
          </w:pPr>
          <w:hyperlink w:anchor="_Toc239795054" w:history="1">
            <w:r w:rsidRPr="00226AF2">
              <w:rPr>
                <w:rStyle w:val="Hyperlink"/>
                <w:noProof/>
              </w:rPr>
              <w:t>4.3 Case Study 2: Tesco</w:t>
            </w:r>
            <w:r>
              <w:rPr>
                <w:noProof/>
                <w:webHidden/>
              </w:rPr>
              <w:tab/>
            </w:r>
            <w:r>
              <w:rPr>
                <w:noProof/>
                <w:webHidden/>
              </w:rPr>
              <w:fldChar w:fldCharType="begin"/>
            </w:r>
            <w:r>
              <w:rPr>
                <w:noProof/>
                <w:webHidden/>
              </w:rPr>
              <w:instrText xml:space="preserve"> PAGEREF _Toc239795054 \h </w:instrText>
            </w:r>
            <w:r>
              <w:rPr>
                <w:noProof/>
                <w:webHidden/>
              </w:rPr>
            </w:r>
            <w:r>
              <w:rPr>
                <w:noProof/>
                <w:webHidden/>
              </w:rPr>
              <w:fldChar w:fldCharType="separate"/>
            </w:r>
            <w:r>
              <w:rPr>
                <w:noProof/>
                <w:webHidden/>
              </w:rPr>
              <w:t>45</w:t>
            </w:r>
            <w:r>
              <w:rPr>
                <w:noProof/>
                <w:webHidden/>
              </w:rPr>
              <w:fldChar w:fldCharType="end"/>
            </w:r>
          </w:hyperlink>
        </w:p>
        <w:p w14:paraId="30B9C032" w14:textId="6AD0BAEF" w:rsidR="002953D8" w:rsidRDefault="002953D8">
          <w:pPr>
            <w:pStyle w:val="TOC3"/>
            <w:tabs>
              <w:tab w:val="right" w:leader="dot" w:pos="9350"/>
            </w:tabs>
            <w:rPr>
              <w:rFonts w:asciiTheme="minorHAnsi" w:eastAsiaTheme="minorEastAsia" w:hAnsiTheme="minorHAnsi" w:cstheme="minorBidi"/>
              <w:noProof/>
              <w:sz w:val="22"/>
            </w:rPr>
          </w:pPr>
          <w:hyperlink w:anchor="_Toc239795055" w:history="1">
            <w:r w:rsidRPr="00226AF2">
              <w:rPr>
                <w:rStyle w:val="Hyperlink"/>
                <w:noProof/>
              </w:rPr>
              <w:t>4.3.1 Introduction and Background</w:t>
            </w:r>
            <w:r>
              <w:rPr>
                <w:noProof/>
                <w:webHidden/>
              </w:rPr>
              <w:tab/>
            </w:r>
            <w:r>
              <w:rPr>
                <w:noProof/>
                <w:webHidden/>
              </w:rPr>
              <w:fldChar w:fldCharType="begin"/>
            </w:r>
            <w:r>
              <w:rPr>
                <w:noProof/>
                <w:webHidden/>
              </w:rPr>
              <w:instrText xml:space="preserve"> PAGEREF _Toc239795055 \h </w:instrText>
            </w:r>
            <w:r>
              <w:rPr>
                <w:noProof/>
                <w:webHidden/>
              </w:rPr>
            </w:r>
            <w:r>
              <w:rPr>
                <w:noProof/>
                <w:webHidden/>
              </w:rPr>
              <w:fldChar w:fldCharType="separate"/>
            </w:r>
            <w:r>
              <w:rPr>
                <w:noProof/>
                <w:webHidden/>
              </w:rPr>
              <w:t>45</w:t>
            </w:r>
            <w:r>
              <w:rPr>
                <w:noProof/>
                <w:webHidden/>
              </w:rPr>
              <w:fldChar w:fldCharType="end"/>
            </w:r>
          </w:hyperlink>
        </w:p>
        <w:p w14:paraId="610F0CE9" w14:textId="3ED940C6" w:rsidR="002953D8" w:rsidRDefault="002953D8">
          <w:pPr>
            <w:pStyle w:val="TOC3"/>
            <w:tabs>
              <w:tab w:val="right" w:leader="dot" w:pos="9350"/>
            </w:tabs>
            <w:rPr>
              <w:rFonts w:asciiTheme="minorHAnsi" w:eastAsiaTheme="minorEastAsia" w:hAnsiTheme="minorHAnsi" w:cstheme="minorBidi"/>
              <w:noProof/>
              <w:sz w:val="22"/>
            </w:rPr>
          </w:pPr>
          <w:hyperlink w:anchor="_Toc239795056" w:history="1">
            <w:r w:rsidRPr="00226AF2">
              <w:rPr>
                <w:rStyle w:val="Hyperlink"/>
                <w:noProof/>
              </w:rPr>
              <w:t>4.3.2 The Challenge or Opportunity</w:t>
            </w:r>
            <w:r>
              <w:rPr>
                <w:noProof/>
                <w:webHidden/>
              </w:rPr>
              <w:tab/>
            </w:r>
            <w:r>
              <w:rPr>
                <w:noProof/>
                <w:webHidden/>
              </w:rPr>
              <w:fldChar w:fldCharType="begin"/>
            </w:r>
            <w:r>
              <w:rPr>
                <w:noProof/>
                <w:webHidden/>
              </w:rPr>
              <w:instrText xml:space="preserve"> PAGEREF _Toc239795056 \h </w:instrText>
            </w:r>
            <w:r>
              <w:rPr>
                <w:noProof/>
                <w:webHidden/>
              </w:rPr>
            </w:r>
            <w:r>
              <w:rPr>
                <w:noProof/>
                <w:webHidden/>
              </w:rPr>
              <w:fldChar w:fldCharType="separate"/>
            </w:r>
            <w:r>
              <w:rPr>
                <w:noProof/>
                <w:webHidden/>
              </w:rPr>
              <w:t>46</w:t>
            </w:r>
            <w:r>
              <w:rPr>
                <w:noProof/>
                <w:webHidden/>
              </w:rPr>
              <w:fldChar w:fldCharType="end"/>
            </w:r>
          </w:hyperlink>
        </w:p>
        <w:p w14:paraId="196F432E" w14:textId="5B80AD8C" w:rsidR="002953D8" w:rsidRDefault="002953D8">
          <w:pPr>
            <w:pStyle w:val="TOC3"/>
            <w:tabs>
              <w:tab w:val="right" w:leader="dot" w:pos="9350"/>
            </w:tabs>
            <w:rPr>
              <w:rFonts w:asciiTheme="minorHAnsi" w:eastAsiaTheme="minorEastAsia" w:hAnsiTheme="minorHAnsi" w:cstheme="minorBidi"/>
              <w:noProof/>
              <w:sz w:val="22"/>
            </w:rPr>
          </w:pPr>
          <w:hyperlink w:anchor="_Toc239795057" w:history="1">
            <w:r w:rsidRPr="00226AF2">
              <w:rPr>
                <w:rStyle w:val="Hyperlink"/>
                <w:noProof/>
              </w:rPr>
              <w:t>4.3.3 The Approach and Implementation</w:t>
            </w:r>
            <w:r>
              <w:rPr>
                <w:noProof/>
                <w:webHidden/>
              </w:rPr>
              <w:tab/>
            </w:r>
            <w:r>
              <w:rPr>
                <w:noProof/>
                <w:webHidden/>
              </w:rPr>
              <w:fldChar w:fldCharType="begin"/>
            </w:r>
            <w:r>
              <w:rPr>
                <w:noProof/>
                <w:webHidden/>
              </w:rPr>
              <w:instrText xml:space="preserve"> PAGEREF _Toc239795057 \h </w:instrText>
            </w:r>
            <w:r>
              <w:rPr>
                <w:noProof/>
                <w:webHidden/>
              </w:rPr>
            </w:r>
            <w:r>
              <w:rPr>
                <w:noProof/>
                <w:webHidden/>
              </w:rPr>
              <w:fldChar w:fldCharType="separate"/>
            </w:r>
            <w:r>
              <w:rPr>
                <w:noProof/>
                <w:webHidden/>
              </w:rPr>
              <w:t>46</w:t>
            </w:r>
            <w:r>
              <w:rPr>
                <w:noProof/>
                <w:webHidden/>
              </w:rPr>
              <w:fldChar w:fldCharType="end"/>
            </w:r>
          </w:hyperlink>
        </w:p>
        <w:p w14:paraId="5C70EAD7" w14:textId="4172DB08" w:rsidR="002953D8" w:rsidRDefault="002953D8">
          <w:pPr>
            <w:pStyle w:val="TOC3"/>
            <w:tabs>
              <w:tab w:val="right" w:leader="dot" w:pos="9350"/>
            </w:tabs>
            <w:rPr>
              <w:rFonts w:asciiTheme="minorHAnsi" w:eastAsiaTheme="minorEastAsia" w:hAnsiTheme="minorHAnsi" w:cstheme="minorBidi"/>
              <w:noProof/>
              <w:sz w:val="22"/>
            </w:rPr>
          </w:pPr>
          <w:hyperlink w:anchor="_Toc239795058" w:history="1">
            <w:r w:rsidRPr="00226AF2">
              <w:rPr>
                <w:rStyle w:val="Hyperlink"/>
                <w:noProof/>
              </w:rPr>
              <w:t>4.3.4 Outcomes and Results</w:t>
            </w:r>
            <w:r>
              <w:rPr>
                <w:noProof/>
                <w:webHidden/>
              </w:rPr>
              <w:tab/>
            </w:r>
            <w:r>
              <w:rPr>
                <w:noProof/>
                <w:webHidden/>
              </w:rPr>
              <w:fldChar w:fldCharType="begin"/>
            </w:r>
            <w:r>
              <w:rPr>
                <w:noProof/>
                <w:webHidden/>
              </w:rPr>
              <w:instrText xml:space="preserve"> PAGEREF _Toc239795058 \h </w:instrText>
            </w:r>
            <w:r>
              <w:rPr>
                <w:noProof/>
                <w:webHidden/>
              </w:rPr>
            </w:r>
            <w:r>
              <w:rPr>
                <w:noProof/>
                <w:webHidden/>
              </w:rPr>
              <w:fldChar w:fldCharType="separate"/>
            </w:r>
            <w:r>
              <w:rPr>
                <w:noProof/>
                <w:webHidden/>
              </w:rPr>
              <w:t>46</w:t>
            </w:r>
            <w:r>
              <w:rPr>
                <w:noProof/>
                <w:webHidden/>
              </w:rPr>
              <w:fldChar w:fldCharType="end"/>
            </w:r>
          </w:hyperlink>
        </w:p>
        <w:p w14:paraId="72EE1D9C" w14:textId="4D1B86B1" w:rsidR="002953D8" w:rsidRDefault="002953D8">
          <w:pPr>
            <w:pStyle w:val="TOC2"/>
            <w:tabs>
              <w:tab w:val="right" w:leader="dot" w:pos="9350"/>
            </w:tabs>
            <w:rPr>
              <w:rFonts w:asciiTheme="minorHAnsi" w:eastAsiaTheme="minorEastAsia" w:hAnsiTheme="minorHAnsi" w:cstheme="minorBidi"/>
              <w:noProof/>
              <w:sz w:val="22"/>
            </w:rPr>
          </w:pPr>
          <w:hyperlink w:anchor="_Toc239795059" w:history="1">
            <w:r w:rsidRPr="00226AF2">
              <w:rPr>
                <w:rStyle w:val="Hyperlink"/>
                <w:noProof/>
              </w:rPr>
              <w:t>4.4 Case Study 3: Asda</w:t>
            </w:r>
            <w:r>
              <w:rPr>
                <w:noProof/>
                <w:webHidden/>
              </w:rPr>
              <w:tab/>
            </w:r>
            <w:r>
              <w:rPr>
                <w:noProof/>
                <w:webHidden/>
              </w:rPr>
              <w:fldChar w:fldCharType="begin"/>
            </w:r>
            <w:r>
              <w:rPr>
                <w:noProof/>
                <w:webHidden/>
              </w:rPr>
              <w:instrText xml:space="preserve"> PAGEREF _Toc239795059 \h </w:instrText>
            </w:r>
            <w:r>
              <w:rPr>
                <w:noProof/>
                <w:webHidden/>
              </w:rPr>
            </w:r>
            <w:r>
              <w:rPr>
                <w:noProof/>
                <w:webHidden/>
              </w:rPr>
              <w:fldChar w:fldCharType="separate"/>
            </w:r>
            <w:r>
              <w:rPr>
                <w:noProof/>
                <w:webHidden/>
              </w:rPr>
              <w:t>46</w:t>
            </w:r>
            <w:r>
              <w:rPr>
                <w:noProof/>
                <w:webHidden/>
              </w:rPr>
              <w:fldChar w:fldCharType="end"/>
            </w:r>
          </w:hyperlink>
        </w:p>
        <w:p w14:paraId="33F2CBE7" w14:textId="0B548F2C" w:rsidR="002953D8" w:rsidRDefault="002953D8">
          <w:pPr>
            <w:pStyle w:val="TOC3"/>
            <w:tabs>
              <w:tab w:val="right" w:leader="dot" w:pos="9350"/>
            </w:tabs>
            <w:rPr>
              <w:rFonts w:asciiTheme="minorHAnsi" w:eastAsiaTheme="minorEastAsia" w:hAnsiTheme="minorHAnsi" w:cstheme="minorBidi"/>
              <w:noProof/>
              <w:sz w:val="22"/>
            </w:rPr>
          </w:pPr>
          <w:hyperlink w:anchor="_Toc239795060" w:history="1">
            <w:r w:rsidRPr="00226AF2">
              <w:rPr>
                <w:rStyle w:val="Hyperlink"/>
                <w:noProof/>
              </w:rPr>
              <w:t>4.4.1 Introduction and Background</w:t>
            </w:r>
            <w:r>
              <w:rPr>
                <w:noProof/>
                <w:webHidden/>
              </w:rPr>
              <w:tab/>
            </w:r>
            <w:r>
              <w:rPr>
                <w:noProof/>
                <w:webHidden/>
              </w:rPr>
              <w:fldChar w:fldCharType="begin"/>
            </w:r>
            <w:r>
              <w:rPr>
                <w:noProof/>
                <w:webHidden/>
              </w:rPr>
              <w:instrText xml:space="preserve"> PAGEREF _Toc239795060 \h </w:instrText>
            </w:r>
            <w:r>
              <w:rPr>
                <w:noProof/>
                <w:webHidden/>
              </w:rPr>
            </w:r>
            <w:r>
              <w:rPr>
                <w:noProof/>
                <w:webHidden/>
              </w:rPr>
              <w:fldChar w:fldCharType="separate"/>
            </w:r>
            <w:r>
              <w:rPr>
                <w:noProof/>
                <w:webHidden/>
              </w:rPr>
              <w:t>46</w:t>
            </w:r>
            <w:r>
              <w:rPr>
                <w:noProof/>
                <w:webHidden/>
              </w:rPr>
              <w:fldChar w:fldCharType="end"/>
            </w:r>
          </w:hyperlink>
        </w:p>
        <w:p w14:paraId="04853BDB" w14:textId="3F87BF8D" w:rsidR="002953D8" w:rsidRDefault="002953D8">
          <w:pPr>
            <w:pStyle w:val="TOC3"/>
            <w:tabs>
              <w:tab w:val="right" w:leader="dot" w:pos="9350"/>
            </w:tabs>
            <w:rPr>
              <w:rFonts w:asciiTheme="minorHAnsi" w:eastAsiaTheme="minorEastAsia" w:hAnsiTheme="minorHAnsi" w:cstheme="minorBidi"/>
              <w:noProof/>
              <w:sz w:val="22"/>
            </w:rPr>
          </w:pPr>
          <w:hyperlink w:anchor="_Toc239795061" w:history="1">
            <w:r w:rsidRPr="00226AF2">
              <w:rPr>
                <w:rStyle w:val="Hyperlink"/>
                <w:noProof/>
              </w:rPr>
              <w:t>4.4.2 The Challenge or Opportunity</w:t>
            </w:r>
            <w:r>
              <w:rPr>
                <w:noProof/>
                <w:webHidden/>
              </w:rPr>
              <w:tab/>
            </w:r>
            <w:r>
              <w:rPr>
                <w:noProof/>
                <w:webHidden/>
              </w:rPr>
              <w:fldChar w:fldCharType="begin"/>
            </w:r>
            <w:r>
              <w:rPr>
                <w:noProof/>
                <w:webHidden/>
              </w:rPr>
              <w:instrText xml:space="preserve"> PAGEREF _Toc239795061 \h </w:instrText>
            </w:r>
            <w:r>
              <w:rPr>
                <w:noProof/>
                <w:webHidden/>
              </w:rPr>
            </w:r>
            <w:r>
              <w:rPr>
                <w:noProof/>
                <w:webHidden/>
              </w:rPr>
              <w:fldChar w:fldCharType="separate"/>
            </w:r>
            <w:r>
              <w:rPr>
                <w:noProof/>
                <w:webHidden/>
              </w:rPr>
              <w:t>47</w:t>
            </w:r>
            <w:r>
              <w:rPr>
                <w:noProof/>
                <w:webHidden/>
              </w:rPr>
              <w:fldChar w:fldCharType="end"/>
            </w:r>
          </w:hyperlink>
        </w:p>
        <w:p w14:paraId="0655F95C" w14:textId="48C5B9A1" w:rsidR="002953D8" w:rsidRDefault="002953D8">
          <w:pPr>
            <w:pStyle w:val="TOC3"/>
            <w:tabs>
              <w:tab w:val="right" w:leader="dot" w:pos="9350"/>
            </w:tabs>
            <w:rPr>
              <w:rFonts w:asciiTheme="minorHAnsi" w:eastAsiaTheme="minorEastAsia" w:hAnsiTheme="minorHAnsi" w:cstheme="minorBidi"/>
              <w:noProof/>
              <w:sz w:val="22"/>
            </w:rPr>
          </w:pPr>
          <w:hyperlink w:anchor="_Toc239795062" w:history="1">
            <w:r w:rsidRPr="00226AF2">
              <w:rPr>
                <w:rStyle w:val="Hyperlink"/>
                <w:noProof/>
              </w:rPr>
              <w:t>4.4.3 The Approach and Implementation</w:t>
            </w:r>
            <w:r>
              <w:rPr>
                <w:noProof/>
                <w:webHidden/>
              </w:rPr>
              <w:tab/>
            </w:r>
            <w:r>
              <w:rPr>
                <w:noProof/>
                <w:webHidden/>
              </w:rPr>
              <w:fldChar w:fldCharType="begin"/>
            </w:r>
            <w:r>
              <w:rPr>
                <w:noProof/>
                <w:webHidden/>
              </w:rPr>
              <w:instrText xml:space="preserve"> PAGEREF _Toc239795062 \h </w:instrText>
            </w:r>
            <w:r>
              <w:rPr>
                <w:noProof/>
                <w:webHidden/>
              </w:rPr>
            </w:r>
            <w:r>
              <w:rPr>
                <w:noProof/>
                <w:webHidden/>
              </w:rPr>
              <w:fldChar w:fldCharType="separate"/>
            </w:r>
            <w:r>
              <w:rPr>
                <w:noProof/>
                <w:webHidden/>
              </w:rPr>
              <w:t>47</w:t>
            </w:r>
            <w:r>
              <w:rPr>
                <w:noProof/>
                <w:webHidden/>
              </w:rPr>
              <w:fldChar w:fldCharType="end"/>
            </w:r>
          </w:hyperlink>
        </w:p>
        <w:p w14:paraId="2B4BE5C3" w14:textId="21AFA619" w:rsidR="002953D8" w:rsidRDefault="002953D8">
          <w:pPr>
            <w:pStyle w:val="TOC3"/>
            <w:tabs>
              <w:tab w:val="right" w:leader="dot" w:pos="9350"/>
            </w:tabs>
            <w:rPr>
              <w:rFonts w:asciiTheme="minorHAnsi" w:eastAsiaTheme="minorEastAsia" w:hAnsiTheme="minorHAnsi" w:cstheme="minorBidi"/>
              <w:noProof/>
              <w:sz w:val="22"/>
            </w:rPr>
          </w:pPr>
          <w:hyperlink w:anchor="_Toc239795063" w:history="1">
            <w:r w:rsidRPr="00226AF2">
              <w:rPr>
                <w:rStyle w:val="Hyperlink"/>
                <w:noProof/>
              </w:rPr>
              <w:t>4.4.4 Outcomes and Results</w:t>
            </w:r>
            <w:r>
              <w:rPr>
                <w:noProof/>
                <w:webHidden/>
              </w:rPr>
              <w:tab/>
            </w:r>
            <w:r>
              <w:rPr>
                <w:noProof/>
                <w:webHidden/>
              </w:rPr>
              <w:fldChar w:fldCharType="begin"/>
            </w:r>
            <w:r>
              <w:rPr>
                <w:noProof/>
                <w:webHidden/>
              </w:rPr>
              <w:instrText xml:space="preserve"> PAGEREF _Toc239795063 \h </w:instrText>
            </w:r>
            <w:r>
              <w:rPr>
                <w:noProof/>
                <w:webHidden/>
              </w:rPr>
            </w:r>
            <w:r>
              <w:rPr>
                <w:noProof/>
                <w:webHidden/>
              </w:rPr>
              <w:fldChar w:fldCharType="separate"/>
            </w:r>
            <w:r>
              <w:rPr>
                <w:noProof/>
                <w:webHidden/>
              </w:rPr>
              <w:t>47</w:t>
            </w:r>
            <w:r>
              <w:rPr>
                <w:noProof/>
                <w:webHidden/>
              </w:rPr>
              <w:fldChar w:fldCharType="end"/>
            </w:r>
          </w:hyperlink>
        </w:p>
        <w:p w14:paraId="19BA2B2E" w14:textId="1CE80D17" w:rsidR="002953D8" w:rsidRDefault="002953D8">
          <w:pPr>
            <w:pStyle w:val="TOC2"/>
            <w:tabs>
              <w:tab w:val="right" w:leader="dot" w:pos="9350"/>
            </w:tabs>
            <w:rPr>
              <w:rFonts w:asciiTheme="minorHAnsi" w:eastAsiaTheme="minorEastAsia" w:hAnsiTheme="minorHAnsi" w:cstheme="minorBidi"/>
              <w:noProof/>
              <w:sz w:val="22"/>
            </w:rPr>
          </w:pPr>
          <w:hyperlink w:anchor="_Toc239795064" w:history="1">
            <w:r w:rsidRPr="00226AF2">
              <w:rPr>
                <w:rStyle w:val="Hyperlink"/>
                <w:noProof/>
              </w:rPr>
              <w:t>4.5 Case Study 4: Morrisons</w:t>
            </w:r>
            <w:r>
              <w:rPr>
                <w:noProof/>
                <w:webHidden/>
              </w:rPr>
              <w:tab/>
            </w:r>
            <w:r>
              <w:rPr>
                <w:noProof/>
                <w:webHidden/>
              </w:rPr>
              <w:fldChar w:fldCharType="begin"/>
            </w:r>
            <w:r>
              <w:rPr>
                <w:noProof/>
                <w:webHidden/>
              </w:rPr>
              <w:instrText xml:space="preserve"> PAGEREF _Toc239795064 \h </w:instrText>
            </w:r>
            <w:r>
              <w:rPr>
                <w:noProof/>
                <w:webHidden/>
              </w:rPr>
            </w:r>
            <w:r>
              <w:rPr>
                <w:noProof/>
                <w:webHidden/>
              </w:rPr>
              <w:fldChar w:fldCharType="separate"/>
            </w:r>
            <w:r>
              <w:rPr>
                <w:noProof/>
                <w:webHidden/>
              </w:rPr>
              <w:t>48</w:t>
            </w:r>
            <w:r>
              <w:rPr>
                <w:noProof/>
                <w:webHidden/>
              </w:rPr>
              <w:fldChar w:fldCharType="end"/>
            </w:r>
          </w:hyperlink>
        </w:p>
        <w:p w14:paraId="1617462D" w14:textId="2A286C37" w:rsidR="002953D8" w:rsidRDefault="002953D8">
          <w:pPr>
            <w:pStyle w:val="TOC3"/>
            <w:tabs>
              <w:tab w:val="right" w:leader="dot" w:pos="9350"/>
            </w:tabs>
            <w:rPr>
              <w:rFonts w:asciiTheme="minorHAnsi" w:eastAsiaTheme="minorEastAsia" w:hAnsiTheme="minorHAnsi" w:cstheme="minorBidi"/>
              <w:noProof/>
              <w:sz w:val="22"/>
            </w:rPr>
          </w:pPr>
          <w:hyperlink w:anchor="_Toc239795065" w:history="1">
            <w:r w:rsidRPr="00226AF2">
              <w:rPr>
                <w:rStyle w:val="Hyperlink"/>
                <w:noProof/>
              </w:rPr>
              <w:t>4.5.1 Introduction and Background</w:t>
            </w:r>
            <w:r>
              <w:rPr>
                <w:noProof/>
                <w:webHidden/>
              </w:rPr>
              <w:tab/>
            </w:r>
            <w:r>
              <w:rPr>
                <w:noProof/>
                <w:webHidden/>
              </w:rPr>
              <w:fldChar w:fldCharType="begin"/>
            </w:r>
            <w:r>
              <w:rPr>
                <w:noProof/>
                <w:webHidden/>
              </w:rPr>
              <w:instrText xml:space="preserve"> PAGEREF _Toc239795065 \h </w:instrText>
            </w:r>
            <w:r>
              <w:rPr>
                <w:noProof/>
                <w:webHidden/>
              </w:rPr>
            </w:r>
            <w:r>
              <w:rPr>
                <w:noProof/>
                <w:webHidden/>
              </w:rPr>
              <w:fldChar w:fldCharType="separate"/>
            </w:r>
            <w:r>
              <w:rPr>
                <w:noProof/>
                <w:webHidden/>
              </w:rPr>
              <w:t>48</w:t>
            </w:r>
            <w:r>
              <w:rPr>
                <w:noProof/>
                <w:webHidden/>
              </w:rPr>
              <w:fldChar w:fldCharType="end"/>
            </w:r>
          </w:hyperlink>
        </w:p>
        <w:p w14:paraId="15EBE43F" w14:textId="2444FE13" w:rsidR="002953D8" w:rsidRDefault="002953D8">
          <w:pPr>
            <w:pStyle w:val="TOC3"/>
            <w:tabs>
              <w:tab w:val="right" w:leader="dot" w:pos="9350"/>
            </w:tabs>
            <w:rPr>
              <w:rFonts w:asciiTheme="minorHAnsi" w:eastAsiaTheme="minorEastAsia" w:hAnsiTheme="minorHAnsi" w:cstheme="minorBidi"/>
              <w:noProof/>
              <w:sz w:val="22"/>
            </w:rPr>
          </w:pPr>
          <w:hyperlink w:anchor="_Toc239795066" w:history="1">
            <w:r w:rsidRPr="00226AF2">
              <w:rPr>
                <w:rStyle w:val="Hyperlink"/>
                <w:noProof/>
              </w:rPr>
              <w:t>4.5.2 The Challenge or Opportunity</w:t>
            </w:r>
            <w:r>
              <w:rPr>
                <w:noProof/>
                <w:webHidden/>
              </w:rPr>
              <w:tab/>
            </w:r>
            <w:r>
              <w:rPr>
                <w:noProof/>
                <w:webHidden/>
              </w:rPr>
              <w:fldChar w:fldCharType="begin"/>
            </w:r>
            <w:r>
              <w:rPr>
                <w:noProof/>
                <w:webHidden/>
              </w:rPr>
              <w:instrText xml:space="preserve"> PAGEREF _Toc239795066 \h </w:instrText>
            </w:r>
            <w:r>
              <w:rPr>
                <w:noProof/>
                <w:webHidden/>
              </w:rPr>
            </w:r>
            <w:r>
              <w:rPr>
                <w:noProof/>
                <w:webHidden/>
              </w:rPr>
              <w:fldChar w:fldCharType="separate"/>
            </w:r>
            <w:r>
              <w:rPr>
                <w:noProof/>
                <w:webHidden/>
              </w:rPr>
              <w:t>48</w:t>
            </w:r>
            <w:r>
              <w:rPr>
                <w:noProof/>
                <w:webHidden/>
              </w:rPr>
              <w:fldChar w:fldCharType="end"/>
            </w:r>
          </w:hyperlink>
        </w:p>
        <w:p w14:paraId="15A00BB2" w14:textId="286BFC07" w:rsidR="002953D8" w:rsidRDefault="002953D8">
          <w:pPr>
            <w:pStyle w:val="TOC3"/>
            <w:tabs>
              <w:tab w:val="right" w:leader="dot" w:pos="9350"/>
            </w:tabs>
            <w:rPr>
              <w:rFonts w:asciiTheme="minorHAnsi" w:eastAsiaTheme="minorEastAsia" w:hAnsiTheme="minorHAnsi" w:cstheme="minorBidi"/>
              <w:noProof/>
              <w:sz w:val="22"/>
            </w:rPr>
          </w:pPr>
          <w:hyperlink w:anchor="_Toc239795067" w:history="1">
            <w:r w:rsidRPr="00226AF2">
              <w:rPr>
                <w:rStyle w:val="Hyperlink"/>
                <w:noProof/>
              </w:rPr>
              <w:t>4.5.3 The Approach and Implementation</w:t>
            </w:r>
            <w:r>
              <w:rPr>
                <w:noProof/>
                <w:webHidden/>
              </w:rPr>
              <w:tab/>
            </w:r>
            <w:r>
              <w:rPr>
                <w:noProof/>
                <w:webHidden/>
              </w:rPr>
              <w:fldChar w:fldCharType="begin"/>
            </w:r>
            <w:r>
              <w:rPr>
                <w:noProof/>
                <w:webHidden/>
              </w:rPr>
              <w:instrText xml:space="preserve"> PAGEREF _Toc239795067 \h </w:instrText>
            </w:r>
            <w:r>
              <w:rPr>
                <w:noProof/>
                <w:webHidden/>
              </w:rPr>
            </w:r>
            <w:r>
              <w:rPr>
                <w:noProof/>
                <w:webHidden/>
              </w:rPr>
              <w:fldChar w:fldCharType="separate"/>
            </w:r>
            <w:r>
              <w:rPr>
                <w:noProof/>
                <w:webHidden/>
              </w:rPr>
              <w:t>48</w:t>
            </w:r>
            <w:r>
              <w:rPr>
                <w:noProof/>
                <w:webHidden/>
              </w:rPr>
              <w:fldChar w:fldCharType="end"/>
            </w:r>
          </w:hyperlink>
        </w:p>
        <w:p w14:paraId="37ED7817" w14:textId="6D5B2BB8" w:rsidR="002953D8" w:rsidRDefault="002953D8">
          <w:pPr>
            <w:pStyle w:val="TOC3"/>
            <w:tabs>
              <w:tab w:val="right" w:leader="dot" w:pos="9350"/>
            </w:tabs>
            <w:rPr>
              <w:rFonts w:asciiTheme="minorHAnsi" w:eastAsiaTheme="minorEastAsia" w:hAnsiTheme="minorHAnsi" w:cstheme="minorBidi"/>
              <w:noProof/>
              <w:sz w:val="22"/>
            </w:rPr>
          </w:pPr>
          <w:hyperlink w:anchor="_Toc239795068" w:history="1">
            <w:r w:rsidRPr="00226AF2">
              <w:rPr>
                <w:rStyle w:val="Hyperlink"/>
                <w:noProof/>
              </w:rPr>
              <w:t>4.5.4 Outcomes and Results</w:t>
            </w:r>
            <w:r>
              <w:rPr>
                <w:noProof/>
                <w:webHidden/>
              </w:rPr>
              <w:tab/>
            </w:r>
            <w:r>
              <w:rPr>
                <w:noProof/>
                <w:webHidden/>
              </w:rPr>
              <w:fldChar w:fldCharType="begin"/>
            </w:r>
            <w:r>
              <w:rPr>
                <w:noProof/>
                <w:webHidden/>
              </w:rPr>
              <w:instrText xml:space="preserve"> PAGEREF _Toc239795068 \h </w:instrText>
            </w:r>
            <w:r>
              <w:rPr>
                <w:noProof/>
                <w:webHidden/>
              </w:rPr>
            </w:r>
            <w:r>
              <w:rPr>
                <w:noProof/>
                <w:webHidden/>
              </w:rPr>
              <w:fldChar w:fldCharType="separate"/>
            </w:r>
            <w:r>
              <w:rPr>
                <w:noProof/>
                <w:webHidden/>
              </w:rPr>
              <w:t>49</w:t>
            </w:r>
            <w:r>
              <w:rPr>
                <w:noProof/>
                <w:webHidden/>
              </w:rPr>
              <w:fldChar w:fldCharType="end"/>
            </w:r>
          </w:hyperlink>
        </w:p>
        <w:p w14:paraId="2C24EEB0" w14:textId="35F4C332" w:rsidR="002953D8" w:rsidRDefault="002953D8">
          <w:pPr>
            <w:pStyle w:val="TOC2"/>
            <w:tabs>
              <w:tab w:val="right" w:leader="dot" w:pos="9350"/>
            </w:tabs>
            <w:rPr>
              <w:rFonts w:asciiTheme="minorHAnsi" w:eastAsiaTheme="minorEastAsia" w:hAnsiTheme="minorHAnsi" w:cstheme="minorBidi"/>
              <w:noProof/>
              <w:sz w:val="22"/>
            </w:rPr>
          </w:pPr>
          <w:hyperlink w:anchor="_Toc239795069" w:history="1">
            <w:r w:rsidRPr="00226AF2">
              <w:rPr>
                <w:rStyle w:val="Hyperlink"/>
                <w:noProof/>
              </w:rPr>
              <w:t>4.6 Case Study 5: Sainsbury’s</w:t>
            </w:r>
            <w:r>
              <w:rPr>
                <w:noProof/>
                <w:webHidden/>
              </w:rPr>
              <w:tab/>
            </w:r>
            <w:r>
              <w:rPr>
                <w:noProof/>
                <w:webHidden/>
              </w:rPr>
              <w:fldChar w:fldCharType="begin"/>
            </w:r>
            <w:r>
              <w:rPr>
                <w:noProof/>
                <w:webHidden/>
              </w:rPr>
              <w:instrText xml:space="preserve"> PAGEREF _Toc239795069 \h </w:instrText>
            </w:r>
            <w:r>
              <w:rPr>
                <w:noProof/>
                <w:webHidden/>
              </w:rPr>
            </w:r>
            <w:r>
              <w:rPr>
                <w:noProof/>
                <w:webHidden/>
              </w:rPr>
              <w:fldChar w:fldCharType="separate"/>
            </w:r>
            <w:r>
              <w:rPr>
                <w:noProof/>
                <w:webHidden/>
              </w:rPr>
              <w:t>49</w:t>
            </w:r>
            <w:r>
              <w:rPr>
                <w:noProof/>
                <w:webHidden/>
              </w:rPr>
              <w:fldChar w:fldCharType="end"/>
            </w:r>
          </w:hyperlink>
        </w:p>
        <w:p w14:paraId="1FE591BC" w14:textId="6D8BC082" w:rsidR="002953D8" w:rsidRDefault="002953D8">
          <w:pPr>
            <w:pStyle w:val="TOC3"/>
            <w:tabs>
              <w:tab w:val="right" w:leader="dot" w:pos="9350"/>
            </w:tabs>
            <w:rPr>
              <w:rFonts w:asciiTheme="minorHAnsi" w:eastAsiaTheme="minorEastAsia" w:hAnsiTheme="minorHAnsi" w:cstheme="minorBidi"/>
              <w:noProof/>
              <w:sz w:val="22"/>
            </w:rPr>
          </w:pPr>
          <w:hyperlink w:anchor="_Toc239795070" w:history="1">
            <w:r w:rsidRPr="00226AF2">
              <w:rPr>
                <w:rStyle w:val="Hyperlink"/>
                <w:noProof/>
              </w:rPr>
              <w:t>4.6.1 Introduction and Background</w:t>
            </w:r>
            <w:r>
              <w:rPr>
                <w:noProof/>
                <w:webHidden/>
              </w:rPr>
              <w:tab/>
            </w:r>
            <w:r>
              <w:rPr>
                <w:noProof/>
                <w:webHidden/>
              </w:rPr>
              <w:fldChar w:fldCharType="begin"/>
            </w:r>
            <w:r>
              <w:rPr>
                <w:noProof/>
                <w:webHidden/>
              </w:rPr>
              <w:instrText xml:space="preserve"> PAGEREF _Toc239795070 \h </w:instrText>
            </w:r>
            <w:r>
              <w:rPr>
                <w:noProof/>
                <w:webHidden/>
              </w:rPr>
            </w:r>
            <w:r>
              <w:rPr>
                <w:noProof/>
                <w:webHidden/>
              </w:rPr>
              <w:fldChar w:fldCharType="separate"/>
            </w:r>
            <w:r>
              <w:rPr>
                <w:noProof/>
                <w:webHidden/>
              </w:rPr>
              <w:t>49</w:t>
            </w:r>
            <w:r>
              <w:rPr>
                <w:noProof/>
                <w:webHidden/>
              </w:rPr>
              <w:fldChar w:fldCharType="end"/>
            </w:r>
          </w:hyperlink>
        </w:p>
        <w:p w14:paraId="45148AD3" w14:textId="064D9882" w:rsidR="002953D8" w:rsidRDefault="002953D8">
          <w:pPr>
            <w:pStyle w:val="TOC3"/>
            <w:tabs>
              <w:tab w:val="right" w:leader="dot" w:pos="9350"/>
            </w:tabs>
            <w:rPr>
              <w:rFonts w:asciiTheme="minorHAnsi" w:eastAsiaTheme="minorEastAsia" w:hAnsiTheme="minorHAnsi" w:cstheme="minorBidi"/>
              <w:noProof/>
              <w:sz w:val="22"/>
            </w:rPr>
          </w:pPr>
          <w:hyperlink w:anchor="_Toc239795071" w:history="1">
            <w:r w:rsidRPr="00226AF2">
              <w:rPr>
                <w:rStyle w:val="Hyperlink"/>
                <w:noProof/>
              </w:rPr>
              <w:t>4.6.2 The Challenge or Opportunity</w:t>
            </w:r>
            <w:r>
              <w:rPr>
                <w:noProof/>
                <w:webHidden/>
              </w:rPr>
              <w:tab/>
            </w:r>
            <w:r>
              <w:rPr>
                <w:noProof/>
                <w:webHidden/>
              </w:rPr>
              <w:fldChar w:fldCharType="begin"/>
            </w:r>
            <w:r>
              <w:rPr>
                <w:noProof/>
                <w:webHidden/>
              </w:rPr>
              <w:instrText xml:space="preserve"> PAGEREF _Toc239795071 \h </w:instrText>
            </w:r>
            <w:r>
              <w:rPr>
                <w:noProof/>
                <w:webHidden/>
              </w:rPr>
            </w:r>
            <w:r>
              <w:rPr>
                <w:noProof/>
                <w:webHidden/>
              </w:rPr>
              <w:fldChar w:fldCharType="separate"/>
            </w:r>
            <w:r>
              <w:rPr>
                <w:noProof/>
                <w:webHidden/>
              </w:rPr>
              <w:t>49</w:t>
            </w:r>
            <w:r>
              <w:rPr>
                <w:noProof/>
                <w:webHidden/>
              </w:rPr>
              <w:fldChar w:fldCharType="end"/>
            </w:r>
          </w:hyperlink>
        </w:p>
        <w:p w14:paraId="401E9CF7" w14:textId="096EC483" w:rsidR="002953D8" w:rsidRDefault="002953D8">
          <w:pPr>
            <w:pStyle w:val="TOC3"/>
            <w:tabs>
              <w:tab w:val="right" w:leader="dot" w:pos="9350"/>
            </w:tabs>
            <w:rPr>
              <w:rFonts w:asciiTheme="minorHAnsi" w:eastAsiaTheme="minorEastAsia" w:hAnsiTheme="minorHAnsi" w:cstheme="minorBidi"/>
              <w:noProof/>
              <w:sz w:val="22"/>
            </w:rPr>
          </w:pPr>
          <w:hyperlink w:anchor="_Toc239795072" w:history="1">
            <w:r w:rsidRPr="00226AF2">
              <w:rPr>
                <w:rStyle w:val="Hyperlink"/>
                <w:noProof/>
              </w:rPr>
              <w:t>4.6.3 The Approach and Implementation</w:t>
            </w:r>
            <w:r>
              <w:rPr>
                <w:noProof/>
                <w:webHidden/>
              </w:rPr>
              <w:tab/>
            </w:r>
            <w:r>
              <w:rPr>
                <w:noProof/>
                <w:webHidden/>
              </w:rPr>
              <w:fldChar w:fldCharType="begin"/>
            </w:r>
            <w:r>
              <w:rPr>
                <w:noProof/>
                <w:webHidden/>
              </w:rPr>
              <w:instrText xml:space="preserve"> PAGEREF _Toc239795072 \h </w:instrText>
            </w:r>
            <w:r>
              <w:rPr>
                <w:noProof/>
                <w:webHidden/>
              </w:rPr>
            </w:r>
            <w:r>
              <w:rPr>
                <w:noProof/>
                <w:webHidden/>
              </w:rPr>
              <w:fldChar w:fldCharType="separate"/>
            </w:r>
            <w:r>
              <w:rPr>
                <w:noProof/>
                <w:webHidden/>
              </w:rPr>
              <w:t>49</w:t>
            </w:r>
            <w:r>
              <w:rPr>
                <w:noProof/>
                <w:webHidden/>
              </w:rPr>
              <w:fldChar w:fldCharType="end"/>
            </w:r>
          </w:hyperlink>
        </w:p>
        <w:p w14:paraId="7178812D" w14:textId="6D48EFDE" w:rsidR="002953D8" w:rsidRDefault="002953D8">
          <w:pPr>
            <w:pStyle w:val="TOC3"/>
            <w:tabs>
              <w:tab w:val="right" w:leader="dot" w:pos="9350"/>
            </w:tabs>
            <w:rPr>
              <w:rFonts w:asciiTheme="minorHAnsi" w:eastAsiaTheme="minorEastAsia" w:hAnsiTheme="minorHAnsi" w:cstheme="minorBidi"/>
              <w:noProof/>
              <w:sz w:val="22"/>
            </w:rPr>
          </w:pPr>
          <w:hyperlink w:anchor="_Toc239795073" w:history="1">
            <w:r w:rsidRPr="00226AF2">
              <w:rPr>
                <w:rStyle w:val="Hyperlink"/>
                <w:noProof/>
              </w:rPr>
              <w:t>4.6.4 Outcomes and Results</w:t>
            </w:r>
            <w:r>
              <w:rPr>
                <w:noProof/>
                <w:webHidden/>
              </w:rPr>
              <w:tab/>
            </w:r>
            <w:r>
              <w:rPr>
                <w:noProof/>
                <w:webHidden/>
              </w:rPr>
              <w:fldChar w:fldCharType="begin"/>
            </w:r>
            <w:r>
              <w:rPr>
                <w:noProof/>
                <w:webHidden/>
              </w:rPr>
              <w:instrText xml:space="preserve"> PAGEREF _Toc239795073 \h </w:instrText>
            </w:r>
            <w:r>
              <w:rPr>
                <w:noProof/>
                <w:webHidden/>
              </w:rPr>
            </w:r>
            <w:r>
              <w:rPr>
                <w:noProof/>
                <w:webHidden/>
              </w:rPr>
              <w:fldChar w:fldCharType="separate"/>
            </w:r>
            <w:r>
              <w:rPr>
                <w:noProof/>
                <w:webHidden/>
              </w:rPr>
              <w:t>50</w:t>
            </w:r>
            <w:r>
              <w:rPr>
                <w:noProof/>
                <w:webHidden/>
              </w:rPr>
              <w:fldChar w:fldCharType="end"/>
            </w:r>
          </w:hyperlink>
        </w:p>
        <w:p w14:paraId="37008632" w14:textId="33C448E4" w:rsidR="002953D8" w:rsidRDefault="002953D8">
          <w:pPr>
            <w:pStyle w:val="TOC2"/>
            <w:tabs>
              <w:tab w:val="right" w:leader="dot" w:pos="9350"/>
            </w:tabs>
            <w:rPr>
              <w:rFonts w:asciiTheme="minorHAnsi" w:eastAsiaTheme="minorEastAsia" w:hAnsiTheme="minorHAnsi" w:cstheme="minorBidi"/>
              <w:noProof/>
              <w:sz w:val="22"/>
            </w:rPr>
          </w:pPr>
          <w:hyperlink w:anchor="_Toc239795074" w:history="1">
            <w:r w:rsidRPr="00226AF2">
              <w:rPr>
                <w:rStyle w:val="Hyperlink"/>
                <w:noProof/>
              </w:rPr>
              <w:t>4.7 Summary of Cross-Case Analysis</w:t>
            </w:r>
            <w:r>
              <w:rPr>
                <w:noProof/>
                <w:webHidden/>
              </w:rPr>
              <w:tab/>
            </w:r>
            <w:r>
              <w:rPr>
                <w:noProof/>
                <w:webHidden/>
              </w:rPr>
              <w:fldChar w:fldCharType="begin"/>
            </w:r>
            <w:r>
              <w:rPr>
                <w:noProof/>
                <w:webHidden/>
              </w:rPr>
              <w:instrText xml:space="preserve"> PAGEREF _Toc239795074 \h </w:instrText>
            </w:r>
            <w:r>
              <w:rPr>
                <w:noProof/>
                <w:webHidden/>
              </w:rPr>
            </w:r>
            <w:r>
              <w:rPr>
                <w:noProof/>
                <w:webHidden/>
              </w:rPr>
              <w:fldChar w:fldCharType="separate"/>
            </w:r>
            <w:r>
              <w:rPr>
                <w:noProof/>
                <w:webHidden/>
              </w:rPr>
              <w:t>50</w:t>
            </w:r>
            <w:r>
              <w:rPr>
                <w:noProof/>
                <w:webHidden/>
              </w:rPr>
              <w:fldChar w:fldCharType="end"/>
            </w:r>
          </w:hyperlink>
        </w:p>
        <w:p w14:paraId="2A2906E7" w14:textId="432DEBCE" w:rsidR="002953D8" w:rsidRDefault="002953D8">
          <w:pPr>
            <w:pStyle w:val="TOC3"/>
            <w:tabs>
              <w:tab w:val="right" w:leader="dot" w:pos="9350"/>
            </w:tabs>
            <w:rPr>
              <w:rFonts w:asciiTheme="minorHAnsi" w:eastAsiaTheme="minorEastAsia" w:hAnsiTheme="minorHAnsi" w:cstheme="minorBidi"/>
              <w:noProof/>
              <w:sz w:val="22"/>
            </w:rPr>
          </w:pPr>
          <w:hyperlink w:anchor="_Toc239795075" w:history="1">
            <w:r w:rsidRPr="00226AF2">
              <w:rPr>
                <w:rStyle w:val="Hyperlink"/>
                <w:noProof/>
              </w:rPr>
              <w:t>4.7.1 Recurring Triggers Across Cases</w:t>
            </w:r>
            <w:r>
              <w:rPr>
                <w:noProof/>
                <w:webHidden/>
              </w:rPr>
              <w:tab/>
            </w:r>
            <w:r>
              <w:rPr>
                <w:noProof/>
                <w:webHidden/>
              </w:rPr>
              <w:fldChar w:fldCharType="begin"/>
            </w:r>
            <w:r>
              <w:rPr>
                <w:noProof/>
                <w:webHidden/>
              </w:rPr>
              <w:instrText xml:space="preserve"> PAGEREF _Toc239795075 \h </w:instrText>
            </w:r>
            <w:r>
              <w:rPr>
                <w:noProof/>
                <w:webHidden/>
              </w:rPr>
            </w:r>
            <w:r>
              <w:rPr>
                <w:noProof/>
                <w:webHidden/>
              </w:rPr>
              <w:fldChar w:fldCharType="separate"/>
            </w:r>
            <w:r>
              <w:rPr>
                <w:noProof/>
                <w:webHidden/>
              </w:rPr>
              <w:t>50</w:t>
            </w:r>
            <w:r>
              <w:rPr>
                <w:noProof/>
                <w:webHidden/>
              </w:rPr>
              <w:fldChar w:fldCharType="end"/>
            </w:r>
          </w:hyperlink>
        </w:p>
        <w:p w14:paraId="02FAA47D" w14:textId="5DB0A32C" w:rsidR="002953D8" w:rsidRDefault="002953D8">
          <w:pPr>
            <w:pStyle w:val="TOC3"/>
            <w:tabs>
              <w:tab w:val="right" w:leader="dot" w:pos="9350"/>
            </w:tabs>
            <w:rPr>
              <w:rFonts w:asciiTheme="minorHAnsi" w:eastAsiaTheme="minorEastAsia" w:hAnsiTheme="minorHAnsi" w:cstheme="minorBidi"/>
              <w:noProof/>
              <w:sz w:val="22"/>
            </w:rPr>
          </w:pPr>
          <w:hyperlink w:anchor="_Toc239795076" w:history="1">
            <w:r w:rsidRPr="00226AF2">
              <w:rPr>
                <w:rStyle w:val="Hyperlink"/>
                <w:noProof/>
              </w:rPr>
              <w:t>4.7.2 Common Response Patterns</w:t>
            </w:r>
            <w:r>
              <w:rPr>
                <w:noProof/>
                <w:webHidden/>
              </w:rPr>
              <w:tab/>
            </w:r>
            <w:r>
              <w:rPr>
                <w:noProof/>
                <w:webHidden/>
              </w:rPr>
              <w:fldChar w:fldCharType="begin"/>
            </w:r>
            <w:r>
              <w:rPr>
                <w:noProof/>
                <w:webHidden/>
              </w:rPr>
              <w:instrText xml:space="preserve"> PAGEREF _Toc239795076 \h </w:instrText>
            </w:r>
            <w:r>
              <w:rPr>
                <w:noProof/>
                <w:webHidden/>
              </w:rPr>
            </w:r>
            <w:r>
              <w:rPr>
                <w:noProof/>
                <w:webHidden/>
              </w:rPr>
              <w:fldChar w:fldCharType="separate"/>
            </w:r>
            <w:r>
              <w:rPr>
                <w:noProof/>
                <w:webHidden/>
              </w:rPr>
              <w:t>50</w:t>
            </w:r>
            <w:r>
              <w:rPr>
                <w:noProof/>
                <w:webHidden/>
              </w:rPr>
              <w:fldChar w:fldCharType="end"/>
            </w:r>
          </w:hyperlink>
        </w:p>
        <w:p w14:paraId="6484F758" w14:textId="7798ABBF" w:rsidR="002953D8" w:rsidRDefault="002953D8">
          <w:pPr>
            <w:pStyle w:val="TOC3"/>
            <w:tabs>
              <w:tab w:val="right" w:leader="dot" w:pos="9350"/>
            </w:tabs>
            <w:rPr>
              <w:rFonts w:asciiTheme="minorHAnsi" w:eastAsiaTheme="minorEastAsia" w:hAnsiTheme="minorHAnsi" w:cstheme="minorBidi"/>
              <w:noProof/>
              <w:sz w:val="22"/>
            </w:rPr>
          </w:pPr>
          <w:hyperlink w:anchor="_Toc239795077" w:history="1">
            <w:r w:rsidRPr="00226AF2">
              <w:rPr>
                <w:rStyle w:val="Hyperlink"/>
                <w:noProof/>
              </w:rPr>
              <w:t>4.7.3 Major Differences Between the Cases</w:t>
            </w:r>
            <w:r>
              <w:rPr>
                <w:noProof/>
                <w:webHidden/>
              </w:rPr>
              <w:tab/>
            </w:r>
            <w:r>
              <w:rPr>
                <w:noProof/>
                <w:webHidden/>
              </w:rPr>
              <w:fldChar w:fldCharType="begin"/>
            </w:r>
            <w:r>
              <w:rPr>
                <w:noProof/>
                <w:webHidden/>
              </w:rPr>
              <w:instrText xml:space="preserve"> PAGEREF _Toc239795077 \h </w:instrText>
            </w:r>
            <w:r>
              <w:rPr>
                <w:noProof/>
                <w:webHidden/>
              </w:rPr>
            </w:r>
            <w:r>
              <w:rPr>
                <w:noProof/>
                <w:webHidden/>
              </w:rPr>
              <w:fldChar w:fldCharType="separate"/>
            </w:r>
            <w:r>
              <w:rPr>
                <w:noProof/>
                <w:webHidden/>
              </w:rPr>
              <w:t>51</w:t>
            </w:r>
            <w:r>
              <w:rPr>
                <w:noProof/>
                <w:webHidden/>
              </w:rPr>
              <w:fldChar w:fldCharType="end"/>
            </w:r>
          </w:hyperlink>
        </w:p>
        <w:p w14:paraId="5C11E40E" w14:textId="26AB6D9A" w:rsidR="002953D8" w:rsidRDefault="002953D8">
          <w:pPr>
            <w:pStyle w:val="TOC3"/>
            <w:tabs>
              <w:tab w:val="right" w:leader="dot" w:pos="9350"/>
            </w:tabs>
            <w:rPr>
              <w:rFonts w:asciiTheme="minorHAnsi" w:eastAsiaTheme="minorEastAsia" w:hAnsiTheme="minorHAnsi" w:cstheme="minorBidi"/>
              <w:noProof/>
              <w:sz w:val="22"/>
            </w:rPr>
          </w:pPr>
          <w:hyperlink w:anchor="_Toc239795078" w:history="1">
            <w:r w:rsidRPr="00226AF2">
              <w:rPr>
                <w:rStyle w:val="Hyperlink"/>
                <w:noProof/>
              </w:rPr>
              <w:t>4.7.4 Emerging Relationship Between Execution and Results</w:t>
            </w:r>
            <w:r>
              <w:rPr>
                <w:noProof/>
                <w:webHidden/>
              </w:rPr>
              <w:tab/>
            </w:r>
            <w:r>
              <w:rPr>
                <w:noProof/>
                <w:webHidden/>
              </w:rPr>
              <w:fldChar w:fldCharType="begin"/>
            </w:r>
            <w:r>
              <w:rPr>
                <w:noProof/>
                <w:webHidden/>
              </w:rPr>
              <w:instrText xml:space="preserve"> PAGEREF _Toc239795078 \h </w:instrText>
            </w:r>
            <w:r>
              <w:rPr>
                <w:noProof/>
                <w:webHidden/>
              </w:rPr>
            </w:r>
            <w:r>
              <w:rPr>
                <w:noProof/>
                <w:webHidden/>
              </w:rPr>
              <w:fldChar w:fldCharType="separate"/>
            </w:r>
            <w:r>
              <w:rPr>
                <w:noProof/>
                <w:webHidden/>
              </w:rPr>
              <w:t>51</w:t>
            </w:r>
            <w:r>
              <w:rPr>
                <w:noProof/>
                <w:webHidden/>
              </w:rPr>
              <w:fldChar w:fldCharType="end"/>
            </w:r>
          </w:hyperlink>
        </w:p>
        <w:p w14:paraId="3566CBF2" w14:textId="376CCE1B" w:rsidR="002953D8" w:rsidRDefault="002953D8">
          <w:pPr>
            <w:pStyle w:val="TOC2"/>
            <w:tabs>
              <w:tab w:val="right" w:leader="dot" w:pos="9350"/>
            </w:tabs>
            <w:rPr>
              <w:rFonts w:asciiTheme="minorHAnsi" w:eastAsiaTheme="minorEastAsia" w:hAnsiTheme="minorHAnsi" w:cstheme="minorBidi"/>
              <w:noProof/>
              <w:sz w:val="22"/>
            </w:rPr>
          </w:pPr>
          <w:hyperlink w:anchor="_Toc239795079" w:history="1">
            <w:r w:rsidRPr="00226AF2">
              <w:rPr>
                <w:rStyle w:val="Hyperlink"/>
                <w:noProof/>
              </w:rPr>
              <w:t>4.8 Chapter Summary</w:t>
            </w:r>
            <w:r>
              <w:rPr>
                <w:noProof/>
                <w:webHidden/>
              </w:rPr>
              <w:tab/>
            </w:r>
            <w:r>
              <w:rPr>
                <w:noProof/>
                <w:webHidden/>
              </w:rPr>
              <w:fldChar w:fldCharType="begin"/>
            </w:r>
            <w:r>
              <w:rPr>
                <w:noProof/>
                <w:webHidden/>
              </w:rPr>
              <w:instrText xml:space="preserve"> PAGEREF _Toc239795079 \h </w:instrText>
            </w:r>
            <w:r>
              <w:rPr>
                <w:noProof/>
                <w:webHidden/>
              </w:rPr>
            </w:r>
            <w:r>
              <w:rPr>
                <w:noProof/>
                <w:webHidden/>
              </w:rPr>
              <w:fldChar w:fldCharType="separate"/>
            </w:r>
            <w:r>
              <w:rPr>
                <w:noProof/>
                <w:webHidden/>
              </w:rPr>
              <w:t>52</w:t>
            </w:r>
            <w:r>
              <w:rPr>
                <w:noProof/>
                <w:webHidden/>
              </w:rPr>
              <w:fldChar w:fldCharType="end"/>
            </w:r>
          </w:hyperlink>
        </w:p>
        <w:p w14:paraId="43AADB1B" w14:textId="79723FCE" w:rsidR="002953D8" w:rsidRDefault="002953D8">
          <w:pPr>
            <w:pStyle w:val="TOC1"/>
            <w:tabs>
              <w:tab w:val="right" w:leader="dot" w:pos="9350"/>
            </w:tabs>
            <w:rPr>
              <w:rFonts w:asciiTheme="minorHAnsi" w:eastAsiaTheme="minorEastAsia" w:hAnsiTheme="minorHAnsi" w:cstheme="minorBidi"/>
              <w:noProof/>
              <w:sz w:val="22"/>
            </w:rPr>
          </w:pPr>
          <w:hyperlink w:anchor="_Toc239795080" w:history="1">
            <w:r w:rsidRPr="00226AF2">
              <w:rPr>
                <w:rStyle w:val="Hyperlink"/>
                <w:bCs/>
                <w:noProof/>
              </w:rPr>
              <w:t>Chapter 5: Discussion and Analysis</w:t>
            </w:r>
            <w:r>
              <w:rPr>
                <w:noProof/>
                <w:webHidden/>
              </w:rPr>
              <w:tab/>
            </w:r>
            <w:r>
              <w:rPr>
                <w:noProof/>
                <w:webHidden/>
              </w:rPr>
              <w:fldChar w:fldCharType="begin"/>
            </w:r>
            <w:r>
              <w:rPr>
                <w:noProof/>
                <w:webHidden/>
              </w:rPr>
              <w:instrText xml:space="preserve"> PAGEREF _Toc239795080 \h </w:instrText>
            </w:r>
            <w:r>
              <w:rPr>
                <w:noProof/>
                <w:webHidden/>
              </w:rPr>
            </w:r>
            <w:r>
              <w:rPr>
                <w:noProof/>
                <w:webHidden/>
              </w:rPr>
              <w:fldChar w:fldCharType="separate"/>
            </w:r>
            <w:r>
              <w:rPr>
                <w:noProof/>
                <w:webHidden/>
              </w:rPr>
              <w:t>53</w:t>
            </w:r>
            <w:r>
              <w:rPr>
                <w:noProof/>
                <w:webHidden/>
              </w:rPr>
              <w:fldChar w:fldCharType="end"/>
            </w:r>
          </w:hyperlink>
        </w:p>
        <w:p w14:paraId="0CA46CA2" w14:textId="0B88025C" w:rsidR="002953D8" w:rsidRDefault="002953D8">
          <w:pPr>
            <w:pStyle w:val="TOC2"/>
            <w:tabs>
              <w:tab w:val="right" w:leader="dot" w:pos="9350"/>
            </w:tabs>
            <w:rPr>
              <w:rFonts w:asciiTheme="minorHAnsi" w:eastAsiaTheme="minorEastAsia" w:hAnsiTheme="minorHAnsi" w:cstheme="minorBidi"/>
              <w:noProof/>
              <w:sz w:val="22"/>
            </w:rPr>
          </w:pPr>
          <w:hyperlink w:anchor="_Toc239795081" w:history="1">
            <w:r w:rsidRPr="00226AF2">
              <w:rPr>
                <w:rStyle w:val="Hyperlink"/>
                <w:noProof/>
              </w:rPr>
              <w:t>5.1 Purpose and Positioning</w:t>
            </w:r>
            <w:r>
              <w:rPr>
                <w:noProof/>
                <w:webHidden/>
              </w:rPr>
              <w:tab/>
            </w:r>
            <w:r>
              <w:rPr>
                <w:noProof/>
                <w:webHidden/>
              </w:rPr>
              <w:fldChar w:fldCharType="begin"/>
            </w:r>
            <w:r>
              <w:rPr>
                <w:noProof/>
                <w:webHidden/>
              </w:rPr>
              <w:instrText xml:space="preserve"> PAGEREF _Toc239795081 \h </w:instrText>
            </w:r>
            <w:r>
              <w:rPr>
                <w:noProof/>
                <w:webHidden/>
              </w:rPr>
            </w:r>
            <w:r>
              <w:rPr>
                <w:noProof/>
                <w:webHidden/>
              </w:rPr>
              <w:fldChar w:fldCharType="separate"/>
            </w:r>
            <w:r>
              <w:rPr>
                <w:noProof/>
                <w:webHidden/>
              </w:rPr>
              <w:t>53</w:t>
            </w:r>
            <w:r>
              <w:rPr>
                <w:noProof/>
                <w:webHidden/>
              </w:rPr>
              <w:fldChar w:fldCharType="end"/>
            </w:r>
          </w:hyperlink>
        </w:p>
        <w:p w14:paraId="1AE843D1" w14:textId="37234E62" w:rsidR="002953D8" w:rsidRDefault="002953D8">
          <w:pPr>
            <w:pStyle w:val="TOC2"/>
            <w:tabs>
              <w:tab w:val="right" w:leader="dot" w:pos="9350"/>
            </w:tabs>
            <w:rPr>
              <w:rFonts w:asciiTheme="minorHAnsi" w:eastAsiaTheme="minorEastAsia" w:hAnsiTheme="minorHAnsi" w:cstheme="minorBidi"/>
              <w:noProof/>
              <w:sz w:val="22"/>
            </w:rPr>
          </w:pPr>
          <w:hyperlink w:anchor="_Toc239795082" w:history="1">
            <w:r w:rsidRPr="00226AF2">
              <w:rPr>
                <w:rStyle w:val="Hyperlink"/>
                <w:noProof/>
              </w:rPr>
              <w:t>5.2 Analytical Framework and Logic</w:t>
            </w:r>
            <w:r>
              <w:rPr>
                <w:noProof/>
                <w:webHidden/>
              </w:rPr>
              <w:tab/>
            </w:r>
            <w:r>
              <w:rPr>
                <w:noProof/>
                <w:webHidden/>
              </w:rPr>
              <w:fldChar w:fldCharType="begin"/>
            </w:r>
            <w:r>
              <w:rPr>
                <w:noProof/>
                <w:webHidden/>
              </w:rPr>
              <w:instrText xml:space="preserve"> PAGEREF _Toc239795082 \h </w:instrText>
            </w:r>
            <w:r>
              <w:rPr>
                <w:noProof/>
                <w:webHidden/>
              </w:rPr>
            </w:r>
            <w:r>
              <w:rPr>
                <w:noProof/>
                <w:webHidden/>
              </w:rPr>
              <w:fldChar w:fldCharType="separate"/>
            </w:r>
            <w:r>
              <w:rPr>
                <w:noProof/>
                <w:webHidden/>
              </w:rPr>
              <w:t>53</w:t>
            </w:r>
            <w:r>
              <w:rPr>
                <w:noProof/>
                <w:webHidden/>
              </w:rPr>
              <w:fldChar w:fldCharType="end"/>
            </w:r>
          </w:hyperlink>
        </w:p>
        <w:p w14:paraId="5B7E6EE8" w14:textId="6F282938" w:rsidR="002953D8" w:rsidRDefault="002953D8">
          <w:pPr>
            <w:pStyle w:val="TOC2"/>
            <w:tabs>
              <w:tab w:val="right" w:leader="dot" w:pos="9350"/>
            </w:tabs>
            <w:rPr>
              <w:rFonts w:asciiTheme="minorHAnsi" w:eastAsiaTheme="minorEastAsia" w:hAnsiTheme="minorHAnsi" w:cstheme="minorBidi"/>
              <w:noProof/>
              <w:sz w:val="22"/>
            </w:rPr>
          </w:pPr>
          <w:hyperlink w:anchor="_Toc239795083" w:history="1">
            <w:r w:rsidRPr="00226AF2">
              <w:rPr>
                <w:rStyle w:val="Hyperlink"/>
                <w:noProof/>
              </w:rPr>
              <w:t>5.3 Cross-Case Synthesis and Comparison with Literature</w:t>
            </w:r>
            <w:r>
              <w:rPr>
                <w:noProof/>
                <w:webHidden/>
              </w:rPr>
              <w:tab/>
            </w:r>
            <w:r>
              <w:rPr>
                <w:noProof/>
                <w:webHidden/>
              </w:rPr>
              <w:fldChar w:fldCharType="begin"/>
            </w:r>
            <w:r>
              <w:rPr>
                <w:noProof/>
                <w:webHidden/>
              </w:rPr>
              <w:instrText xml:space="preserve"> PAGEREF _Toc239795083 \h </w:instrText>
            </w:r>
            <w:r>
              <w:rPr>
                <w:noProof/>
                <w:webHidden/>
              </w:rPr>
            </w:r>
            <w:r>
              <w:rPr>
                <w:noProof/>
                <w:webHidden/>
              </w:rPr>
              <w:fldChar w:fldCharType="separate"/>
            </w:r>
            <w:r>
              <w:rPr>
                <w:noProof/>
                <w:webHidden/>
              </w:rPr>
              <w:t>54</w:t>
            </w:r>
            <w:r>
              <w:rPr>
                <w:noProof/>
                <w:webHidden/>
              </w:rPr>
              <w:fldChar w:fldCharType="end"/>
            </w:r>
          </w:hyperlink>
        </w:p>
        <w:p w14:paraId="1C71AD26" w14:textId="7195ECF5" w:rsidR="002953D8" w:rsidRDefault="002953D8">
          <w:pPr>
            <w:pStyle w:val="TOC3"/>
            <w:tabs>
              <w:tab w:val="right" w:leader="dot" w:pos="9350"/>
            </w:tabs>
            <w:rPr>
              <w:rFonts w:asciiTheme="minorHAnsi" w:eastAsiaTheme="minorEastAsia" w:hAnsiTheme="minorHAnsi" w:cstheme="minorBidi"/>
              <w:noProof/>
              <w:sz w:val="22"/>
            </w:rPr>
          </w:pPr>
          <w:hyperlink w:anchor="_Toc239795084" w:history="1">
            <w:r w:rsidRPr="00226AF2">
              <w:rPr>
                <w:rStyle w:val="Hyperlink"/>
                <w:noProof/>
              </w:rPr>
              <w:t>5.3.1 Claim Clarity and Substantiation as Credibility Conditions</w:t>
            </w:r>
            <w:r>
              <w:rPr>
                <w:noProof/>
                <w:webHidden/>
              </w:rPr>
              <w:tab/>
            </w:r>
            <w:r>
              <w:rPr>
                <w:noProof/>
                <w:webHidden/>
              </w:rPr>
              <w:fldChar w:fldCharType="begin"/>
            </w:r>
            <w:r>
              <w:rPr>
                <w:noProof/>
                <w:webHidden/>
              </w:rPr>
              <w:instrText xml:space="preserve"> PAGEREF _Toc239795084 \h </w:instrText>
            </w:r>
            <w:r>
              <w:rPr>
                <w:noProof/>
                <w:webHidden/>
              </w:rPr>
            </w:r>
            <w:r>
              <w:rPr>
                <w:noProof/>
                <w:webHidden/>
              </w:rPr>
              <w:fldChar w:fldCharType="separate"/>
            </w:r>
            <w:r>
              <w:rPr>
                <w:noProof/>
                <w:webHidden/>
              </w:rPr>
              <w:t>54</w:t>
            </w:r>
            <w:r>
              <w:rPr>
                <w:noProof/>
                <w:webHidden/>
              </w:rPr>
              <w:fldChar w:fldCharType="end"/>
            </w:r>
          </w:hyperlink>
        </w:p>
        <w:p w14:paraId="500C4FBD" w14:textId="4A23E400" w:rsidR="002953D8" w:rsidRDefault="002953D8">
          <w:pPr>
            <w:pStyle w:val="TOC3"/>
            <w:tabs>
              <w:tab w:val="right" w:leader="dot" w:pos="9350"/>
            </w:tabs>
            <w:rPr>
              <w:rFonts w:asciiTheme="minorHAnsi" w:eastAsiaTheme="minorEastAsia" w:hAnsiTheme="minorHAnsi" w:cstheme="minorBidi"/>
              <w:noProof/>
              <w:sz w:val="22"/>
            </w:rPr>
          </w:pPr>
          <w:hyperlink w:anchor="_Toc239795085" w:history="1">
            <w:r w:rsidRPr="00226AF2">
              <w:rPr>
                <w:rStyle w:val="Hyperlink"/>
                <w:noProof/>
              </w:rPr>
              <w:t>5.3.2 Transparency, Underperformance and Credibility</w:t>
            </w:r>
            <w:r>
              <w:rPr>
                <w:noProof/>
                <w:webHidden/>
              </w:rPr>
              <w:tab/>
            </w:r>
            <w:r>
              <w:rPr>
                <w:noProof/>
                <w:webHidden/>
              </w:rPr>
              <w:fldChar w:fldCharType="begin"/>
            </w:r>
            <w:r>
              <w:rPr>
                <w:noProof/>
                <w:webHidden/>
              </w:rPr>
              <w:instrText xml:space="preserve"> PAGEREF _Toc239795085 \h </w:instrText>
            </w:r>
            <w:r>
              <w:rPr>
                <w:noProof/>
                <w:webHidden/>
              </w:rPr>
            </w:r>
            <w:r>
              <w:rPr>
                <w:noProof/>
                <w:webHidden/>
              </w:rPr>
              <w:fldChar w:fldCharType="separate"/>
            </w:r>
            <w:r>
              <w:rPr>
                <w:noProof/>
                <w:webHidden/>
              </w:rPr>
              <w:t>55</w:t>
            </w:r>
            <w:r>
              <w:rPr>
                <w:noProof/>
                <w:webHidden/>
              </w:rPr>
              <w:fldChar w:fldCharType="end"/>
            </w:r>
          </w:hyperlink>
        </w:p>
        <w:p w14:paraId="035BE3B3" w14:textId="7A2BDCC7" w:rsidR="002953D8" w:rsidRDefault="002953D8">
          <w:pPr>
            <w:pStyle w:val="TOC3"/>
            <w:tabs>
              <w:tab w:val="right" w:leader="dot" w:pos="9350"/>
            </w:tabs>
            <w:rPr>
              <w:rFonts w:asciiTheme="minorHAnsi" w:eastAsiaTheme="minorEastAsia" w:hAnsiTheme="minorHAnsi" w:cstheme="minorBidi"/>
              <w:noProof/>
              <w:sz w:val="22"/>
            </w:rPr>
          </w:pPr>
          <w:hyperlink w:anchor="_Toc239795086" w:history="1">
            <w:r w:rsidRPr="00226AF2">
              <w:rPr>
                <w:rStyle w:val="Hyperlink"/>
                <w:noProof/>
              </w:rPr>
              <w:t>5.3.3 Cross-Channel Consistency and Evidence Accessibility</w:t>
            </w:r>
            <w:r>
              <w:rPr>
                <w:noProof/>
                <w:webHidden/>
              </w:rPr>
              <w:tab/>
            </w:r>
            <w:r>
              <w:rPr>
                <w:noProof/>
                <w:webHidden/>
              </w:rPr>
              <w:fldChar w:fldCharType="begin"/>
            </w:r>
            <w:r>
              <w:rPr>
                <w:noProof/>
                <w:webHidden/>
              </w:rPr>
              <w:instrText xml:space="preserve"> PAGEREF _Toc239795086 \h </w:instrText>
            </w:r>
            <w:r>
              <w:rPr>
                <w:noProof/>
                <w:webHidden/>
              </w:rPr>
            </w:r>
            <w:r>
              <w:rPr>
                <w:noProof/>
                <w:webHidden/>
              </w:rPr>
              <w:fldChar w:fldCharType="separate"/>
            </w:r>
            <w:r>
              <w:rPr>
                <w:noProof/>
                <w:webHidden/>
              </w:rPr>
              <w:t>55</w:t>
            </w:r>
            <w:r>
              <w:rPr>
                <w:noProof/>
                <w:webHidden/>
              </w:rPr>
              <w:fldChar w:fldCharType="end"/>
            </w:r>
          </w:hyperlink>
        </w:p>
        <w:p w14:paraId="773AFBED" w14:textId="5CB6AA8E" w:rsidR="002953D8" w:rsidRDefault="002953D8">
          <w:pPr>
            <w:pStyle w:val="TOC3"/>
            <w:tabs>
              <w:tab w:val="right" w:leader="dot" w:pos="9350"/>
            </w:tabs>
            <w:rPr>
              <w:rFonts w:asciiTheme="minorHAnsi" w:eastAsiaTheme="minorEastAsia" w:hAnsiTheme="minorHAnsi" w:cstheme="minorBidi"/>
              <w:noProof/>
              <w:sz w:val="22"/>
            </w:rPr>
          </w:pPr>
          <w:hyperlink w:anchor="_Toc239795087" w:history="1">
            <w:r w:rsidRPr="00226AF2">
              <w:rPr>
                <w:rStyle w:val="Hyperlink"/>
                <w:noProof/>
              </w:rPr>
              <w:t>5.3.4 Authenticity, Greenwashing Risk and Potential Brand Trust</w:t>
            </w:r>
            <w:r>
              <w:rPr>
                <w:noProof/>
                <w:webHidden/>
              </w:rPr>
              <w:tab/>
            </w:r>
            <w:r>
              <w:rPr>
                <w:noProof/>
                <w:webHidden/>
              </w:rPr>
              <w:fldChar w:fldCharType="begin"/>
            </w:r>
            <w:r>
              <w:rPr>
                <w:noProof/>
                <w:webHidden/>
              </w:rPr>
              <w:instrText xml:space="preserve"> PAGEREF _Toc239795087 \h </w:instrText>
            </w:r>
            <w:r>
              <w:rPr>
                <w:noProof/>
                <w:webHidden/>
              </w:rPr>
            </w:r>
            <w:r>
              <w:rPr>
                <w:noProof/>
                <w:webHidden/>
              </w:rPr>
              <w:fldChar w:fldCharType="separate"/>
            </w:r>
            <w:r>
              <w:rPr>
                <w:noProof/>
                <w:webHidden/>
              </w:rPr>
              <w:t>56</w:t>
            </w:r>
            <w:r>
              <w:rPr>
                <w:noProof/>
                <w:webHidden/>
              </w:rPr>
              <w:fldChar w:fldCharType="end"/>
            </w:r>
          </w:hyperlink>
        </w:p>
        <w:p w14:paraId="2CDFB241" w14:textId="19862B04" w:rsidR="002953D8" w:rsidRDefault="002953D8">
          <w:pPr>
            <w:pStyle w:val="TOC2"/>
            <w:tabs>
              <w:tab w:val="right" w:leader="dot" w:pos="9350"/>
            </w:tabs>
            <w:rPr>
              <w:rFonts w:asciiTheme="minorHAnsi" w:eastAsiaTheme="minorEastAsia" w:hAnsiTheme="minorHAnsi" w:cstheme="minorBidi"/>
              <w:noProof/>
              <w:sz w:val="22"/>
            </w:rPr>
          </w:pPr>
          <w:hyperlink w:anchor="_Toc239795088" w:history="1">
            <w:r w:rsidRPr="00226AF2">
              <w:rPr>
                <w:rStyle w:val="Hyperlink"/>
                <w:noProof/>
              </w:rPr>
              <w:t>5.4 Integration with the Conceptual Framework</w:t>
            </w:r>
            <w:r>
              <w:rPr>
                <w:noProof/>
                <w:webHidden/>
              </w:rPr>
              <w:tab/>
            </w:r>
            <w:r>
              <w:rPr>
                <w:noProof/>
                <w:webHidden/>
              </w:rPr>
              <w:fldChar w:fldCharType="begin"/>
            </w:r>
            <w:r>
              <w:rPr>
                <w:noProof/>
                <w:webHidden/>
              </w:rPr>
              <w:instrText xml:space="preserve"> PAGEREF _Toc239795088 \h </w:instrText>
            </w:r>
            <w:r>
              <w:rPr>
                <w:noProof/>
                <w:webHidden/>
              </w:rPr>
            </w:r>
            <w:r>
              <w:rPr>
                <w:noProof/>
                <w:webHidden/>
              </w:rPr>
              <w:fldChar w:fldCharType="separate"/>
            </w:r>
            <w:r>
              <w:rPr>
                <w:noProof/>
                <w:webHidden/>
              </w:rPr>
              <w:t>57</w:t>
            </w:r>
            <w:r>
              <w:rPr>
                <w:noProof/>
                <w:webHidden/>
              </w:rPr>
              <w:fldChar w:fldCharType="end"/>
            </w:r>
          </w:hyperlink>
        </w:p>
        <w:p w14:paraId="1CC62488" w14:textId="29B895D3" w:rsidR="002953D8" w:rsidRDefault="002953D8">
          <w:pPr>
            <w:pStyle w:val="TOC2"/>
            <w:tabs>
              <w:tab w:val="right" w:leader="dot" w:pos="9350"/>
            </w:tabs>
            <w:rPr>
              <w:rFonts w:asciiTheme="minorHAnsi" w:eastAsiaTheme="minorEastAsia" w:hAnsiTheme="minorHAnsi" w:cstheme="minorBidi"/>
              <w:noProof/>
              <w:sz w:val="22"/>
            </w:rPr>
          </w:pPr>
          <w:hyperlink w:anchor="_Toc239795089" w:history="1">
            <w:r w:rsidRPr="00226AF2">
              <w:rPr>
                <w:rStyle w:val="Hyperlink"/>
                <w:noProof/>
              </w:rPr>
              <w:t>5.5 Robustness Considerations</w:t>
            </w:r>
            <w:r>
              <w:rPr>
                <w:noProof/>
                <w:webHidden/>
              </w:rPr>
              <w:tab/>
            </w:r>
            <w:r>
              <w:rPr>
                <w:noProof/>
                <w:webHidden/>
              </w:rPr>
              <w:fldChar w:fldCharType="begin"/>
            </w:r>
            <w:r>
              <w:rPr>
                <w:noProof/>
                <w:webHidden/>
              </w:rPr>
              <w:instrText xml:space="preserve"> PAGEREF _Toc239795089 \h </w:instrText>
            </w:r>
            <w:r>
              <w:rPr>
                <w:noProof/>
                <w:webHidden/>
              </w:rPr>
            </w:r>
            <w:r>
              <w:rPr>
                <w:noProof/>
                <w:webHidden/>
              </w:rPr>
              <w:fldChar w:fldCharType="separate"/>
            </w:r>
            <w:r>
              <w:rPr>
                <w:noProof/>
                <w:webHidden/>
              </w:rPr>
              <w:t>58</w:t>
            </w:r>
            <w:r>
              <w:rPr>
                <w:noProof/>
                <w:webHidden/>
              </w:rPr>
              <w:fldChar w:fldCharType="end"/>
            </w:r>
          </w:hyperlink>
        </w:p>
        <w:p w14:paraId="787442BB" w14:textId="47A69422" w:rsidR="002953D8" w:rsidRDefault="002953D8">
          <w:pPr>
            <w:pStyle w:val="TOC2"/>
            <w:tabs>
              <w:tab w:val="right" w:leader="dot" w:pos="9350"/>
            </w:tabs>
            <w:rPr>
              <w:rFonts w:asciiTheme="minorHAnsi" w:eastAsiaTheme="minorEastAsia" w:hAnsiTheme="minorHAnsi" w:cstheme="minorBidi"/>
              <w:noProof/>
              <w:sz w:val="22"/>
            </w:rPr>
          </w:pPr>
          <w:hyperlink w:anchor="_Toc239795090" w:history="1">
            <w:r w:rsidRPr="00226AF2">
              <w:rPr>
                <w:rStyle w:val="Hyperlink"/>
                <w:noProof/>
              </w:rPr>
              <w:t>5.6 Practical Synthesis and Bridge to Chapter 6</w:t>
            </w:r>
            <w:r>
              <w:rPr>
                <w:noProof/>
                <w:webHidden/>
              </w:rPr>
              <w:tab/>
            </w:r>
            <w:r>
              <w:rPr>
                <w:noProof/>
                <w:webHidden/>
              </w:rPr>
              <w:fldChar w:fldCharType="begin"/>
            </w:r>
            <w:r>
              <w:rPr>
                <w:noProof/>
                <w:webHidden/>
              </w:rPr>
              <w:instrText xml:space="preserve"> PAGEREF _Toc239795090 \h </w:instrText>
            </w:r>
            <w:r>
              <w:rPr>
                <w:noProof/>
                <w:webHidden/>
              </w:rPr>
            </w:r>
            <w:r>
              <w:rPr>
                <w:noProof/>
                <w:webHidden/>
              </w:rPr>
              <w:fldChar w:fldCharType="separate"/>
            </w:r>
            <w:r>
              <w:rPr>
                <w:noProof/>
                <w:webHidden/>
              </w:rPr>
              <w:t>59</w:t>
            </w:r>
            <w:r>
              <w:rPr>
                <w:noProof/>
                <w:webHidden/>
              </w:rPr>
              <w:fldChar w:fldCharType="end"/>
            </w:r>
          </w:hyperlink>
        </w:p>
        <w:p w14:paraId="1F30EB29" w14:textId="2D03C7B1" w:rsidR="002953D8" w:rsidRDefault="002953D8">
          <w:pPr>
            <w:pStyle w:val="TOC2"/>
            <w:tabs>
              <w:tab w:val="right" w:leader="dot" w:pos="9350"/>
            </w:tabs>
            <w:rPr>
              <w:rFonts w:asciiTheme="minorHAnsi" w:eastAsiaTheme="minorEastAsia" w:hAnsiTheme="minorHAnsi" w:cstheme="minorBidi"/>
              <w:noProof/>
              <w:sz w:val="22"/>
            </w:rPr>
          </w:pPr>
          <w:hyperlink w:anchor="_Toc239795091" w:history="1">
            <w:r w:rsidRPr="00226AF2">
              <w:rPr>
                <w:rStyle w:val="Hyperlink"/>
                <w:noProof/>
              </w:rPr>
              <w:t>5.7 Chapter Summary</w:t>
            </w:r>
            <w:r>
              <w:rPr>
                <w:noProof/>
                <w:webHidden/>
              </w:rPr>
              <w:tab/>
            </w:r>
            <w:r>
              <w:rPr>
                <w:noProof/>
                <w:webHidden/>
              </w:rPr>
              <w:fldChar w:fldCharType="begin"/>
            </w:r>
            <w:r>
              <w:rPr>
                <w:noProof/>
                <w:webHidden/>
              </w:rPr>
              <w:instrText xml:space="preserve"> PAGEREF _Toc239795091 \h </w:instrText>
            </w:r>
            <w:r>
              <w:rPr>
                <w:noProof/>
                <w:webHidden/>
              </w:rPr>
            </w:r>
            <w:r>
              <w:rPr>
                <w:noProof/>
                <w:webHidden/>
              </w:rPr>
              <w:fldChar w:fldCharType="separate"/>
            </w:r>
            <w:r>
              <w:rPr>
                <w:noProof/>
                <w:webHidden/>
              </w:rPr>
              <w:t>60</w:t>
            </w:r>
            <w:r>
              <w:rPr>
                <w:noProof/>
                <w:webHidden/>
              </w:rPr>
              <w:fldChar w:fldCharType="end"/>
            </w:r>
          </w:hyperlink>
        </w:p>
        <w:p w14:paraId="32BA34AD" w14:textId="3C083592" w:rsidR="002953D8" w:rsidRDefault="002953D8">
          <w:pPr>
            <w:pStyle w:val="TOC1"/>
            <w:tabs>
              <w:tab w:val="right" w:leader="dot" w:pos="9350"/>
            </w:tabs>
            <w:rPr>
              <w:rFonts w:asciiTheme="minorHAnsi" w:eastAsiaTheme="minorEastAsia" w:hAnsiTheme="minorHAnsi" w:cstheme="minorBidi"/>
              <w:noProof/>
              <w:sz w:val="22"/>
            </w:rPr>
          </w:pPr>
          <w:hyperlink w:anchor="_Toc239795092" w:history="1">
            <w:r w:rsidRPr="00226AF2">
              <w:rPr>
                <w:rStyle w:val="Hyperlink"/>
                <w:bCs/>
                <w:noProof/>
              </w:rPr>
              <w:t>Chapter 6: Conclusion</w:t>
            </w:r>
            <w:r>
              <w:rPr>
                <w:noProof/>
                <w:webHidden/>
              </w:rPr>
              <w:tab/>
            </w:r>
            <w:r>
              <w:rPr>
                <w:noProof/>
                <w:webHidden/>
              </w:rPr>
              <w:fldChar w:fldCharType="begin"/>
            </w:r>
            <w:r>
              <w:rPr>
                <w:noProof/>
                <w:webHidden/>
              </w:rPr>
              <w:instrText xml:space="preserve"> PAGEREF _Toc239795092 \h </w:instrText>
            </w:r>
            <w:r>
              <w:rPr>
                <w:noProof/>
                <w:webHidden/>
              </w:rPr>
            </w:r>
            <w:r>
              <w:rPr>
                <w:noProof/>
                <w:webHidden/>
              </w:rPr>
              <w:fldChar w:fldCharType="separate"/>
            </w:r>
            <w:r>
              <w:rPr>
                <w:noProof/>
                <w:webHidden/>
              </w:rPr>
              <w:t>61</w:t>
            </w:r>
            <w:r>
              <w:rPr>
                <w:noProof/>
                <w:webHidden/>
              </w:rPr>
              <w:fldChar w:fldCharType="end"/>
            </w:r>
          </w:hyperlink>
        </w:p>
        <w:p w14:paraId="2C838DD7" w14:textId="11BB5F39" w:rsidR="002953D8" w:rsidRDefault="002953D8">
          <w:pPr>
            <w:pStyle w:val="TOC2"/>
            <w:tabs>
              <w:tab w:val="right" w:leader="dot" w:pos="9350"/>
            </w:tabs>
            <w:rPr>
              <w:rFonts w:asciiTheme="minorHAnsi" w:eastAsiaTheme="minorEastAsia" w:hAnsiTheme="minorHAnsi" w:cstheme="minorBidi"/>
              <w:noProof/>
              <w:sz w:val="22"/>
            </w:rPr>
          </w:pPr>
          <w:hyperlink w:anchor="_Toc239795093" w:history="1">
            <w:r w:rsidRPr="00226AF2">
              <w:rPr>
                <w:rStyle w:val="Hyperlink"/>
                <w:noProof/>
              </w:rPr>
              <w:t>6.1 Introduction</w:t>
            </w:r>
            <w:r>
              <w:rPr>
                <w:noProof/>
                <w:webHidden/>
              </w:rPr>
              <w:tab/>
            </w:r>
            <w:r>
              <w:rPr>
                <w:noProof/>
                <w:webHidden/>
              </w:rPr>
              <w:fldChar w:fldCharType="begin"/>
            </w:r>
            <w:r>
              <w:rPr>
                <w:noProof/>
                <w:webHidden/>
              </w:rPr>
              <w:instrText xml:space="preserve"> PAGEREF _Toc239795093 \h </w:instrText>
            </w:r>
            <w:r>
              <w:rPr>
                <w:noProof/>
                <w:webHidden/>
              </w:rPr>
            </w:r>
            <w:r>
              <w:rPr>
                <w:noProof/>
                <w:webHidden/>
              </w:rPr>
              <w:fldChar w:fldCharType="separate"/>
            </w:r>
            <w:r>
              <w:rPr>
                <w:noProof/>
                <w:webHidden/>
              </w:rPr>
              <w:t>61</w:t>
            </w:r>
            <w:r>
              <w:rPr>
                <w:noProof/>
                <w:webHidden/>
              </w:rPr>
              <w:fldChar w:fldCharType="end"/>
            </w:r>
          </w:hyperlink>
        </w:p>
        <w:p w14:paraId="4DE54566" w14:textId="1DCF0CB9" w:rsidR="002953D8" w:rsidRDefault="002953D8">
          <w:pPr>
            <w:pStyle w:val="TOC2"/>
            <w:tabs>
              <w:tab w:val="right" w:leader="dot" w:pos="9350"/>
            </w:tabs>
            <w:rPr>
              <w:rFonts w:asciiTheme="minorHAnsi" w:eastAsiaTheme="minorEastAsia" w:hAnsiTheme="minorHAnsi" w:cstheme="minorBidi"/>
              <w:noProof/>
              <w:sz w:val="22"/>
            </w:rPr>
          </w:pPr>
          <w:hyperlink w:anchor="_Toc239795094" w:history="1">
            <w:r w:rsidRPr="00226AF2">
              <w:rPr>
                <w:rStyle w:val="Hyperlink"/>
                <w:noProof/>
              </w:rPr>
              <w:t>6.2 Summary of Key Findings</w:t>
            </w:r>
            <w:r>
              <w:rPr>
                <w:noProof/>
                <w:webHidden/>
              </w:rPr>
              <w:tab/>
            </w:r>
            <w:r>
              <w:rPr>
                <w:noProof/>
                <w:webHidden/>
              </w:rPr>
              <w:fldChar w:fldCharType="begin"/>
            </w:r>
            <w:r>
              <w:rPr>
                <w:noProof/>
                <w:webHidden/>
              </w:rPr>
              <w:instrText xml:space="preserve"> PAGEREF _Toc239795094 \h </w:instrText>
            </w:r>
            <w:r>
              <w:rPr>
                <w:noProof/>
                <w:webHidden/>
              </w:rPr>
            </w:r>
            <w:r>
              <w:rPr>
                <w:noProof/>
                <w:webHidden/>
              </w:rPr>
              <w:fldChar w:fldCharType="separate"/>
            </w:r>
            <w:r>
              <w:rPr>
                <w:noProof/>
                <w:webHidden/>
              </w:rPr>
              <w:t>61</w:t>
            </w:r>
            <w:r>
              <w:rPr>
                <w:noProof/>
                <w:webHidden/>
              </w:rPr>
              <w:fldChar w:fldCharType="end"/>
            </w:r>
          </w:hyperlink>
        </w:p>
        <w:p w14:paraId="6FA44127" w14:textId="7827930C" w:rsidR="002953D8" w:rsidRDefault="002953D8">
          <w:pPr>
            <w:pStyle w:val="TOC2"/>
            <w:tabs>
              <w:tab w:val="right" w:leader="dot" w:pos="9350"/>
            </w:tabs>
            <w:rPr>
              <w:rFonts w:asciiTheme="minorHAnsi" w:eastAsiaTheme="minorEastAsia" w:hAnsiTheme="minorHAnsi" w:cstheme="minorBidi"/>
              <w:noProof/>
              <w:sz w:val="22"/>
            </w:rPr>
          </w:pPr>
          <w:hyperlink w:anchor="_Toc239795095" w:history="1">
            <w:r w:rsidRPr="00226AF2">
              <w:rPr>
                <w:rStyle w:val="Hyperlink"/>
                <w:noProof/>
              </w:rPr>
              <w:t>6.3 Theoretical Implications</w:t>
            </w:r>
            <w:r>
              <w:rPr>
                <w:noProof/>
                <w:webHidden/>
              </w:rPr>
              <w:tab/>
            </w:r>
            <w:r>
              <w:rPr>
                <w:noProof/>
                <w:webHidden/>
              </w:rPr>
              <w:fldChar w:fldCharType="begin"/>
            </w:r>
            <w:r>
              <w:rPr>
                <w:noProof/>
                <w:webHidden/>
              </w:rPr>
              <w:instrText xml:space="preserve"> PAGEREF _Toc239795095 \h </w:instrText>
            </w:r>
            <w:r>
              <w:rPr>
                <w:noProof/>
                <w:webHidden/>
              </w:rPr>
            </w:r>
            <w:r>
              <w:rPr>
                <w:noProof/>
                <w:webHidden/>
              </w:rPr>
              <w:fldChar w:fldCharType="separate"/>
            </w:r>
            <w:r>
              <w:rPr>
                <w:noProof/>
                <w:webHidden/>
              </w:rPr>
              <w:t>62</w:t>
            </w:r>
            <w:r>
              <w:rPr>
                <w:noProof/>
                <w:webHidden/>
              </w:rPr>
              <w:fldChar w:fldCharType="end"/>
            </w:r>
          </w:hyperlink>
        </w:p>
        <w:p w14:paraId="0B6472FA" w14:textId="79A30132" w:rsidR="002953D8" w:rsidRDefault="002953D8">
          <w:pPr>
            <w:pStyle w:val="TOC3"/>
            <w:tabs>
              <w:tab w:val="right" w:leader="dot" w:pos="9350"/>
            </w:tabs>
            <w:rPr>
              <w:rFonts w:asciiTheme="minorHAnsi" w:eastAsiaTheme="minorEastAsia" w:hAnsiTheme="minorHAnsi" w:cstheme="minorBidi"/>
              <w:noProof/>
              <w:sz w:val="22"/>
            </w:rPr>
          </w:pPr>
          <w:hyperlink w:anchor="_Toc239795096" w:history="1">
            <w:r w:rsidRPr="00226AF2">
              <w:rPr>
                <w:rStyle w:val="Hyperlink"/>
                <w:noProof/>
              </w:rPr>
              <w:t>6.3.1 Contribution 1: Evidence Proportionality as a Condition of Signal Credibility</w:t>
            </w:r>
            <w:r>
              <w:rPr>
                <w:noProof/>
                <w:webHidden/>
              </w:rPr>
              <w:tab/>
            </w:r>
            <w:r>
              <w:rPr>
                <w:noProof/>
                <w:webHidden/>
              </w:rPr>
              <w:fldChar w:fldCharType="begin"/>
            </w:r>
            <w:r>
              <w:rPr>
                <w:noProof/>
                <w:webHidden/>
              </w:rPr>
              <w:instrText xml:space="preserve"> PAGEREF _Toc239795096 \h </w:instrText>
            </w:r>
            <w:r>
              <w:rPr>
                <w:noProof/>
                <w:webHidden/>
              </w:rPr>
            </w:r>
            <w:r>
              <w:rPr>
                <w:noProof/>
                <w:webHidden/>
              </w:rPr>
              <w:fldChar w:fldCharType="separate"/>
            </w:r>
            <w:r>
              <w:rPr>
                <w:noProof/>
                <w:webHidden/>
              </w:rPr>
              <w:t>62</w:t>
            </w:r>
            <w:r>
              <w:rPr>
                <w:noProof/>
                <w:webHidden/>
              </w:rPr>
              <w:fldChar w:fldCharType="end"/>
            </w:r>
          </w:hyperlink>
        </w:p>
        <w:p w14:paraId="279B9366" w14:textId="2A8852C4" w:rsidR="002953D8" w:rsidRDefault="002953D8">
          <w:pPr>
            <w:pStyle w:val="TOC3"/>
            <w:tabs>
              <w:tab w:val="right" w:leader="dot" w:pos="9350"/>
            </w:tabs>
            <w:rPr>
              <w:rFonts w:asciiTheme="minorHAnsi" w:eastAsiaTheme="minorEastAsia" w:hAnsiTheme="minorHAnsi" w:cstheme="minorBidi"/>
              <w:noProof/>
              <w:sz w:val="22"/>
            </w:rPr>
          </w:pPr>
          <w:hyperlink w:anchor="_Toc239795097" w:history="1">
            <w:r w:rsidRPr="00226AF2">
              <w:rPr>
                <w:rStyle w:val="Hyperlink"/>
                <w:noProof/>
              </w:rPr>
              <w:t>6.3.2 Contribution 2: Transparency as a Conditional Credibility Mechanism</w:t>
            </w:r>
            <w:r>
              <w:rPr>
                <w:noProof/>
                <w:webHidden/>
              </w:rPr>
              <w:tab/>
            </w:r>
            <w:r>
              <w:rPr>
                <w:noProof/>
                <w:webHidden/>
              </w:rPr>
              <w:fldChar w:fldCharType="begin"/>
            </w:r>
            <w:r>
              <w:rPr>
                <w:noProof/>
                <w:webHidden/>
              </w:rPr>
              <w:instrText xml:space="preserve"> PAGEREF _Toc239795097 \h </w:instrText>
            </w:r>
            <w:r>
              <w:rPr>
                <w:noProof/>
                <w:webHidden/>
              </w:rPr>
            </w:r>
            <w:r>
              <w:rPr>
                <w:noProof/>
                <w:webHidden/>
              </w:rPr>
              <w:fldChar w:fldCharType="separate"/>
            </w:r>
            <w:r>
              <w:rPr>
                <w:noProof/>
                <w:webHidden/>
              </w:rPr>
              <w:t>62</w:t>
            </w:r>
            <w:r>
              <w:rPr>
                <w:noProof/>
                <w:webHidden/>
              </w:rPr>
              <w:fldChar w:fldCharType="end"/>
            </w:r>
          </w:hyperlink>
        </w:p>
        <w:p w14:paraId="16727AD6" w14:textId="14973F6A" w:rsidR="002953D8" w:rsidRDefault="002953D8">
          <w:pPr>
            <w:pStyle w:val="TOC3"/>
            <w:tabs>
              <w:tab w:val="right" w:leader="dot" w:pos="9350"/>
            </w:tabs>
            <w:rPr>
              <w:rFonts w:asciiTheme="minorHAnsi" w:eastAsiaTheme="minorEastAsia" w:hAnsiTheme="minorHAnsi" w:cstheme="minorBidi"/>
              <w:noProof/>
              <w:sz w:val="22"/>
            </w:rPr>
          </w:pPr>
          <w:hyperlink w:anchor="_Toc239795098" w:history="1">
            <w:r w:rsidRPr="00226AF2">
              <w:rPr>
                <w:rStyle w:val="Hyperlink"/>
                <w:noProof/>
              </w:rPr>
              <w:t>6.3.3 Contribution 3: Credibility and Authenticity as Intervening Mechanisms between Communication and Brand Trust</w:t>
            </w:r>
            <w:r>
              <w:rPr>
                <w:noProof/>
                <w:webHidden/>
              </w:rPr>
              <w:tab/>
            </w:r>
            <w:r>
              <w:rPr>
                <w:noProof/>
                <w:webHidden/>
              </w:rPr>
              <w:fldChar w:fldCharType="begin"/>
            </w:r>
            <w:r>
              <w:rPr>
                <w:noProof/>
                <w:webHidden/>
              </w:rPr>
              <w:instrText xml:space="preserve"> PAGEREF _Toc239795098 \h </w:instrText>
            </w:r>
            <w:r>
              <w:rPr>
                <w:noProof/>
                <w:webHidden/>
              </w:rPr>
            </w:r>
            <w:r>
              <w:rPr>
                <w:noProof/>
                <w:webHidden/>
              </w:rPr>
              <w:fldChar w:fldCharType="separate"/>
            </w:r>
            <w:r>
              <w:rPr>
                <w:noProof/>
                <w:webHidden/>
              </w:rPr>
              <w:t>63</w:t>
            </w:r>
            <w:r>
              <w:rPr>
                <w:noProof/>
                <w:webHidden/>
              </w:rPr>
              <w:fldChar w:fldCharType="end"/>
            </w:r>
          </w:hyperlink>
        </w:p>
        <w:p w14:paraId="40DF21DC" w14:textId="145BAD09" w:rsidR="002953D8" w:rsidRDefault="002953D8">
          <w:pPr>
            <w:pStyle w:val="TOC2"/>
            <w:tabs>
              <w:tab w:val="right" w:leader="dot" w:pos="9350"/>
            </w:tabs>
            <w:rPr>
              <w:rFonts w:asciiTheme="minorHAnsi" w:eastAsiaTheme="minorEastAsia" w:hAnsiTheme="minorHAnsi" w:cstheme="minorBidi"/>
              <w:noProof/>
              <w:sz w:val="22"/>
            </w:rPr>
          </w:pPr>
          <w:hyperlink w:anchor="_Toc239795099" w:history="1">
            <w:r w:rsidRPr="00226AF2">
              <w:rPr>
                <w:rStyle w:val="Hyperlink"/>
                <w:noProof/>
              </w:rPr>
              <w:t>6.4 Managerial Implications</w:t>
            </w:r>
            <w:r>
              <w:rPr>
                <w:noProof/>
                <w:webHidden/>
              </w:rPr>
              <w:tab/>
            </w:r>
            <w:r>
              <w:rPr>
                <w:noProof/>
                <w:webHidden/>
              </w:rPr>
              <w:fldChar w:fldCharType="begin"/>
            </w:r>
            <w:r>
              <w:rPr>
                <w:noProof/>
                <w:webHidden/>
              </w:rPr>
              <w:instrText xml:space="preserve"> PAGEREF _Toc239795099 \h </w:instrText>
            </w:r>
            <w:r>
              <w:rPr>
                <w:noProof/>
                <w:webHidden/>
              </w:rPr>
            </w:r>
            <w:r>
              <w:rPr>
                <w:noProof/>
                <w:webHidden/>
              </w:rPr>
              <w:fldChar w:fldCharType="separate"/>
            </w:r>
            <w:r>
              <w:rPr>
                <w:noProof/>
                <w:webHidden/>
              </w:rPr>
              <w:t>65</w:t>
            </w:r>
            <w:r>
              <w:rPr>
                <w:noProof/>
                <w:webHidden/>
              </w:rPr>
              <w:fldChar w:fldCharType="end"/>
            </w:r>
          </w:hyperlink>
        </w:p>
        <w:p w14:paraId="4B22BEA7" w14:textId="409F8B85" w:rsidR="002953D8" w:rsidRDefault="002953D8">
          <w:pPr>
            <w:pStyle w:val="TOC2"/>
            <w:tabs>
              <w:tab w:val="right" w:leader="dot" w:pos="9350"/>
            </w:tabs>
            <w:rPr>
              <w:rFonts w:asciiTheme="minorHAnsi" w:eastAsiaTheme="minorEastAsia" w:hAnsiTheme="minorHAnsi" w:cstheme="minorBidi"/>
              <w:noProof/>
              <w:sz w:val="22"/>
            </w:rPr>
          </w:pPr>
          <w:hyperlink w:anchor="_Toc239795100" w:history="1">
            <w:r w:rsidRPr="00226AF2">
              <w:rPr>
                <w:rStyle w:val="Hyperlink"/>
                <w:noProof/>
              </w:rPr>
              <w:t>6.5 Limitations and Directions for Future Research</w:t>
            </w:r>
            <w:r>
              <w:rPr>
                <w:noProof/>
                <w:webHidden/>
              </w:rPr>
              <w:tab/>
            </w:r>
            <w:r>
              <w:rPr>
                <w:noProof/>
                <w:webHidden/>
              </w:rPr>
              <w:fldChar w:fldCharType="begin"/>
            </w:r>
            <w:r>
              <w:rPr>
                <w:noProof/>
                <w:webHidden/>
              </w:rPr>
              <w:instrText xml:space="preserve"> PAGEREF _Toc239795100 \h </w:instrText>
            </w:r>
            <w:r>
              <w:rPr>
                <w:noProof/>
                <w:webHidden/>
              </w:rPr>
            </w:r>
            <w:r>
              <w:rPr>
                <w:noProof/>
                <w:webHidden/>
              </w:rPr>
              <w:fldChar w:fldCharType="separate"/>
            </w:r>
            <w:r>
              <w:rPr>
                <w:noProof/>
                <w:webHidden/>
              </w:rPr>
              <w:t>68</w:t>
            </w:r>
            <w:r>
              <w:rPr>
                <w:noProof/>
                <w:webHidden/>
              </w:rPr>
              <w:fldChar w:fldCharType="end"/>
            </w:r>
          </w:hyperlink>
        </w:p>
        <w:p w14:paraId="0EF8DC52" w14:textId="1BCF408C" w:rsidR="002953D8" w:rsidRDefault="002953D8">
          <w:pPr>
            <w:pStyle w:val="TOC2"/>
            <w:tabs>
              <w:tab w:val="right" w:leader="dot" w:pos="9350"/>
            </w:tabs>
            <w:rPr>
              <w:rFonts w:asciiTheme="minorHAnsi" w:eastAsiaTheme="minorEastAsia" w:hAnsiTheme="minorHAnsi" w:cstheme="minorBidi"/>
              <w:noProof/>
              <w:sz w:val="22"/>
            </w:rPr>
          </w:pPr>
          <w:hyperlink w:anchor="_Toc239795101" w:history="1">
            <w:r w:rsidRPr="00226AF2">
              <w:rPr>
                <w:rStyle w:val="Hyperlink"/>
                <w:noProof/>
              </w:rPr>
              <w:t>6.6 Closing Statement</w:t>
            </w:r>
            <w:r>
              <w:rPr>
                <w:noProof/>
                <w:webHidden/>
              </w:rPr>
              <w:tab/>
            </w:r>
            <w:r>
              <w:rPr>
                <w:noProof/>
                <w:webHidden/>
              </w:rPr>
              <w:fldChar w:fldCharType="begin"/>
            </w:r>
            <w:r>
              <w:rPr>
                <w:noProof/>
                <w:webHidden/>
              </w:rPr>
              <w:instrText xml:space="preserve"> PAGEREF _Toc239795101 \h </w:instrText>
            </w:r>
            <w:r>
              <w:rPr>
                <w:noProof/>
                <w:webHidden/>
              </w:rPr>
            </w:r>
            <w:r>
              <w:rPr>
                <w:noProof/>
                <w:webHidden/>
              </w:rPr>
              <w:fldChar w:fldCharType="separate"/>
            </w:r>
            <w:r>
              <w:rPr>
                <w:noProof/>
                <w:webHidden/>
              </w:rPr>
              <w:t>68</w:t>
            </w:r>
            <w:r>
              <w:rPr>
                <w:noProof/>
                <w:webHidden/>
              </w:rPr>
              <w:fldChar w:fldCharType="end"/>
            </w:r>
          </w:hyperlink>
        </w:p>
        <w:p w14:paraId="7C28EC7C" w14:textId="2D95BAE0" w:rsidR="002953D8" w:rsidRDefault="002953D8">
          <w:pPr>
            <w:pStyle w:val="TOC1"/>
            <w:tabs>
              <w:tab w:val="right" w:leader="dot" w:pos="9350"/>
            </w:tabs>
            <w:rPr>
              <w:rFonts w:asciiTheme="minorHAnsi" w:eastAsiaTheme="minorEastAsia" w:hAnsiTheme="minorHAnsi" w:cstheme="minorBidi"/>
              <w:noProof/>
              <w:sz w:val="22"/>
            </w:rPr>
          </w:pPr>
          <w:hyperlink w:anchor="_Toc239795102" w:history="1">
            <w:r w:rsidRPr="00226AF2">
              <w:rPr>
                <w:rStyle w:val="Hyperlink"/>
                <w:noProof/>
              </w:rPr>
              <w:t>References</w:t>
            </w:r>
            <w:r>
              <w:rPr>
                <w:noProof/>
                <w:webHidden/>
              </w:rPr>
              <w:tab/>
            </w:r>
            <w:r>
              <w:rPr>
                <w:noProof/>
                <w:webHidden/>
              </w:rPr>
              <w:fldChar w:fldCharType="begin"/>
            </w:r>
            <w:r>
              <w:rPr>
                <w:noProof/>
                <w:webHidden/>
              </w:rPr>
              <w:instrText xml:space="preserve"> PAGEREF _Toc239795102 \h </w:instrText>
            </w:r>
            <w:r>
              <w:rPr>
                <w:noProof/>
                <w:webHidden/>
              </w:rPr>
            </w:r>
            <w:r>
              <w:rPr>
                <w:noProof/>
                <w:webHidden/>
              </w:rPr>
              <w:fldChar w:fldCharType="separate"/>
            </w:r>
            <w:r>
              <w:rPr>
                <w:noProof/>
                <w:webHidden/>
              </w:rPr>
              <w:t>70</w:t>
            </w:r>
            <w:r>
              <w:rPr>
                <w:noProof/>
                <w:webHidden/>
              </w:rPr>
              <w:fldChar w:fldCharType="end"/>
            </w:r>
          </w:hyperlink>
        </w:p>
        <w:p w14:paraId="490541D0" w14:textId="15F07EFD" w:rsidR="002953D8" w:rsidRDefault="002953D8">
          <w:pPr>
            <w:pStyle w:val="TOC1"/>
            <w:tabs>
              <w:tab w:val="right" w:leader="dot" w:pos="9350"/>
            </w:tabs>
            <w:rPr>
              <w:rFonts w:asciiTheme="minorHAnsi" w:eastAsiaTheme="minorEastAsia" w:hAnsiTheme="minorHAnsi" w:cstheme="minorBidi"/>
              <w:noProof/>
              <w:sz w:val="22"/>
            </w:rPr>
          </w:pPr>
          <w:hyperlink w:anchor="_Toc239795103" w:history="1">
            <w:r w:rsidRPr="00226AF2">
              <w:rPr>
                <w:rStyle w:val="Hyperlink"/>
                <w:noProof/>
              </w:rPr>
              <w:t>Appendices</w:t>
            </w:r>
            <w:r>
              <w:rPr>
                <w:noProof/>
                <w:webHidden/>
              </w:rPr>
              <w:tab/>
            </w:r>
            <w:r>
              <w:rPr>
                <w:noProof/>
                <w:webHidden/>
              </w:rPr>
              <w:fldChar w:fldCharType="begin"/>
            </w:r>
            <w:r>
              <w:rPr>
                <w:noProof/>
                <w:webHidden/>
              </w:rPr>
              <w:instrText xml:space="preserve"> PAGEREF _Toc239795103 \h </w:instrText>
            </w:r>
            <w:r>
              <w:rPr>
                <w:noProof/>
                <w:webHidden/>
              </w:rPr>
            </w:r>
            <w:r>
              <w:rPr>
                <w:noProof/>
                <w:webHidden/>
              </w:rPr>
              <w:fldChar w:fldCharType="separate"/>
            </w:r>
            <w:r>
              <w:rPr>
                <w:noProof/>
                <w:webHidden/>
              </w:rPr>
              <w:t>80</w:t>
            </w:r>
            <w:r>
              <w:rPr>
                <w:noProof/>
                <w:webHidden/>
              </w:rPr>
              <w:fldChar w:fldCharType="end"/>
            </w:r>
          </w:hyperlink>
        </w:p>
        <w:p w14:paraId="69BAB0A3" w14:textId="67B97123" w:rsidR="002953D8" w:rsidRDefault="002953D8">
          <w:pPr>
            <w:pStyle w:val="TOC2"/>
            <w:tabs>
              <w:tab w:val="right" w:leader="dot" w:pos="9350"/>
            </w:tabs>
            <w:rPr>
              <w:rFonts w:asciiTheme="minorHAnsi" w:eastAsiaTheme="minorEastAsia" w:hAnsiTheme="minorHAnsi" w:cstheme="minorBidi"/>
              <w:noProof/>
              <w:sz w:val="22"/>
            </w:rPr>
          </w:pPr>
          <w:hyperlink w:anchor="_Toc239795104" w:history="1">
            <w:r w:rsidRPr="00226AF2">
              <w:rPr>
                <w:rStyle w:val="Hyperlink"/>
                <w:noProof/>
              </w:rPr>
              <w:t>Appendix A: Proposed Conceptual Framing</w:t>
            </w:r>
            <w:r>
              <w:rPr>
                <w:noProof/>
                <w:webHidden/>
              </w:rPr>
              <w:tab/>
            </w:r>
            <w:r>
              <w:rPr>
                <w:noProof/>
                <w:webHidden/>
              </w:rPr>
              <w:fldChar w:fldCharType="begin"/>
            </w:r>
            <w:r>
              <w:rPr>
                <w:noProof/>
                <w:webHidden/>
              </w:rPr>
              <w:instrText xml:space="preserve"> PAGEREF _Toc239795104 \h </w:instrText>
            </w:r>
            <w:r>
              <w:rPr>
                <w:noProof/>
                <w:webHidden/>
              </w:rPr>
            </w:r>
            <w:r>
              <w:rPr>
                <w:noProof/>
                <w:webHidden/>
              </w:rPr>
              <w:fldChar w:fldCharType="separate"/>
            </w:r>
            <w:r>
              <w:rPr>
                <w:noProof/>
                <w:webHidden/>
              </w:rPr>
              <w:t>80</w:t>
            </w:r>
            <w:r>
              <w:rPr>
                <w:noProof/>
                <w:webHidden/>
              </w:rPr>
              <w:fldChar w:fldCharType="end"/>
            </w:r>
          </w:hyperlink>
        </w:p>
        <w:p w14:paraId="3A174285" w14:textId="28C9CE15" w:rsidR="002953D8" w:rsidRDefault="002953D8">
          <w:pPr>
            <w:pStyle w:val="TOC2"/>
            <w:tabs>
              <w:tab w:val="right" w:leader="dot" w:pos="9350"/>
            </w:tabs>
            <w:rPr>
              <w:rFonts w:asciiTheme="minorHAnsi" w:eastAsiaTheme="minorEastAsia" w:hAnsiTheme="minorHAnsi" w:cstheme="minorBidi"/>
              <w:noProof/>
              <w:sz w:val="22"/>
            </w:rPr>
          </w:pPr>
          <w:hyperlink w:anchor="_Toc239795105" w:history="1">
            <w:r w:rsidRPr="00226AF2">
              <w:rPr>
                <w:rStyle w:val="Hyperlink"/>
                <w:noProof/>
              </w:rPr>
              <w:t>Appendix B: Operationalisation of the Conceptual Framework for Documentary Analysis</w:t>
            </w:r>
            <w:r>
              <w:rPr>
                <w:noProof/>
                <w:webHidden/>
              </w:rPr>
              <w:tab/>
            </w:r>
            <w:r>
              <w:rPr>
                <w:noProof/>
                <w:webHidden/>
              </w:rPr>
              <w:fldChar w:fldCharType="begin"/>
            </w:r>
            <w:r>
              <w:rPr>
                <w:noProof/>
                <w:webHidden/>
              </w:rPr>
              <w:instrText xml:space="preserve"> PAGEREF _Toc239795105 \h </w:instrText>
            </w:r>
            <w:r>
              <w:rPr>
                <w:noProof/>
                <w:webHidden/>
              </w:rPr>
            </w:r>
            <w:r>
              <w:rPr>
                <w:noProof/>
                <w:webHidden/>
              </w:rPr>
              <w:fldChar w:fldCharType="separate"/>
            </w:r>
            <w:r>
              <w:rPr>
                <w:noProof/>
                <w:webHidden/>
              </w:rPr>
              <w:t>81</w:t>
            </w:r>
            <w:r>
              <w:rPr>
                <w:noProof/>
                <w:webHidden/>
              </w:rPr>
              <w:fldChar w:fldCharType="end"/>
            </w:r>
          </w:hyperlink>
        </w:p>
        <w:p w14:paraId="295FB1F9" w14:textId="487FA4A9" w:rsidR="002953D8" w:rsidRDefault="002953D8">
          <w:pPr>
            <w:pStyle w:val="TOC2"/>
            <w:tabs>
              <w:tab w:val="right" w:leader="dot" w:pos="9350"/>
            </w:tabs>
            <w:rPr>
              <w:rFonts w:asciiTheme="minorHAnsi" w:eastAsiaTheme="minorEastAsia" w:hAnsiTheme="minorHAnsi" w:cstheme="minorBidi"/>
              <w:noProof/>
              <w:sz w:val="22"/>
            </w:rPr>
          </w:pPr>
          <w:hyperlink w:anchor="_Toc239795106" w:history="1">
            <w:r w:rsidRPr="00226AF2">
              <w:rPr>
                <w:rStyle w:val="Hyperlink"/>
                <w:noProof/>
              </w:rPr>
              <w:t>Appendix C: Cross-Case Analytical Findings Matrix</w:t>
            </w:r>
            <w:r>
              <w:rPr>
                <w:noProof/>
                <w:webHidden/>
              </w:rPr>
              <w:tab/>
            </w:r>
            <w:r>
              <w:rPr>
                <w:noProof/>
                <w:webHidden/>
              </w:rPr>
              <w:fldChar w:fldCharType="begin"/>
            </w:r>
            <w:r>
              <w:rPr>
                <w:noProof/>
                <w:webHidden/>
              </w:rPr>
              <w:instrText xml:space="preserve"> PAGEREF _Toc239795106 \h </w:instrText>
            </w:r>
            <w:r>
              <w:rPr>
                <w:noProof/>
                <w:webHidden/>
              </w:rPr>
            </w:r>
            <w:r>
              <w:rPr>
                <w:noProof/>
                <w:webHidden/>
              </w:rPr>
              <w:fldChar w:fldCharType="separate"/>
            </w:r>
            <w:r>
              <w:rPr>
                <w:noProof/>
                <w:webHidden/>
              </w:rPr>
              <w:t>82</w:t>
            </w:r>
            <w:r>
              <w:rPr>
                <w:noProof/>
                <w:webHidden/>
              </w:rPr>
              <w:fldChar w:fldCharType="end"/>
            </w:r>
          </w:hyperlink>
        </w:p>
        <w:p w14:paraId="573B6623" w14:textId="3568EFE2" w:rsidR="002953D8" w:rsidRDefault="002953D8">
          <w:pPr>
            <w:pStyle w:val="TOC2"/>
            <w:tabs>
              <w:tab w:val="right" w:leader="dot" w:pos="9350"/>
            </w:tabs>
            <w:rPr>
              <w:rFonts w:asciiTheme="minorHAnsi" w:eastAsiaTheme="minorEastAsia" w:hAnsiTheme="minorHAnsi" w:cstheme="minorBidi"/>
              <w:noProof/>
              <w:sz w:val="22"/>
            </w:rPr>
          </w:pPr>
          <w:hyperlink w:anchor="_Toc239795107" w:history="1">
            <w:r w:rsidRPr="00226AF2">
              <w:rPr>
                <w:rStyle w:val="Hyperlink"/>
                <w:noProof/>
              </w:rPr>
              <w:t>Appendix D: Quantitative Sustainability Evidence and Target-Progress Matrix</w:t>
            </w:r>
            <w:r>
              <w:rPr>
                <w:noProof/>
                <w:webHidden/>
              </w:rPr>
              <w:tab/>
            </w:r>
            <w:r>
              <w:rPr>
                <w:noProof/>
                <w:webHidden/>
              </w:rPr>
              <w:fldChar w:fldCharType="begin"/>
            </w:r>
            <w:r>
              <w:rPr>
                <w:noProof/>
                <w:webHidden/>
              </w:rPr>
              <w:instrText xml:space="preserve"> PAGEREF _Toc239795107 \h </w:instrText>
            </w:r>
            <w:r>
              <w:rPr>
                <w:noProof/>
                <w:webHidden/>
              </w:rPr>
            </w:r>
            <w:r>
              <w:rPr>
                <w:noProof/>
                <w:webHidden/>
              </w:rPr>
              <w:fldChar w:fldCharType="separate"/>
            </w:r>
            <w:r>
              <w:rPr>
                <w:noProof/>
                <w:webHidden/>
              </w:rPr>
              <w:t>83</w:t>
            </w:r>
            <w:r>
              <w:rPr>
                <w:noProof/>
                <w:webHidden/>
              </w:rPr>
              <w:fldChar w:fldCharType="end"/>
            </w:r>
          </w:hyperlink>
        </w:p>
        <w:p w14:paraId="1CCA2DE6" w14:textId="31B637C1" w:rsidR="002953D8" w:rsidRDefault="002953D8">
          <w:pPr>
            <w:pStyle w:val="TOC2"/>
            <w:tabs>
              <w:tab w:val="right" w:leader="dot" w:pos="9350"/>
            </w:tabs>
            <w:rPr>
              <w:rFonts w:asciiTheme="minorHAnsi" w:eastAsiaTheme="minorEastAsia" w:hAnsiTheme="minorHAnsi" w:cstheme="minorBidi"/>
              <w:noProof/>
              <w:sz w:val="22"/>
            </w:rPr>
          </w:pPr>
        </w:p>
        <w:p w14:paraId="4ED63FAF" w14:textId="77777777" w:rsidR="000B6E0E" w:rsidRDefault="00FC1713" w:rsidP="00E8461D">
          <w:pPr>
            <w:rPr>
              <w:b/>
              <w:bCs/>
              <w:noProof/>
            </w:rPr>
          </w:pPr>
          <w:r>
            <w:rPr>
              <w:b/>
              <w:bCs/>
              <w:noProof/>
            </w:rPr>
            <w:fldChar w:fldCharType="end"/>
          </w:r>
        </w:p>
      </w:sdtContent>
    </w:sdt>
    <w:p w14:paraId="0C9DB50F" w14:textId="76DDB3A7" w:rsidR="00FE5D3B" w:rsidRPr="000B6E0E" w:rsidRDefault="005659F7" w:rsidP="00E8461D">
      <w:pPr>
        <w:rPr>
          <w:b/>
          <w:bCs/>
          <w:noProof/>
        </w:rPr>
      </w:pPr>
      <w:r>
        <w:t xml:space="preserve">   </w:t>
      </w:r>
      <w:r w:rsidR="00F864BC">
        <w:t xml:space="preserve">Appendix </w:t>
      </w:r>
      <w:r w:rsidR="00300959">
        <w:t xml:space="preserve">E : Cross-Case Discussion </w:t>
      </w:r>
      <w:r w:rsidR="0019002C">
        <w:t>Synthesis Matrix………………………</w:t>
      </w:r>
      <w:r>
        <w:t>…</w:t>
      </w:r>
      <w:r w:rsidR="0019002C">
        <w:t>…</w:t>
      </w:r>
      <w:r w:rsidR="00056B82">
        <w:t>.</w:t>
      </w:r>
      <w:r w:rsidR="00C83A62">
        <w:t>.</w:t>
      </w:r>
      <w:r w:rsidR="0019002C">
        <w:t>…</w:t>
      </w:r>
      <w:r w:rsidR="005431F8">
        <w:t>…</w:t>
      </w:r>
      <w:r w:rsidR="00056B82">
        <w:t>…</w:t>
      </w:r>
      <w:r w:rsidR="0019002C">
        <w:t>….</w:t>
      </w:r>
      <w:r w:rsidR="005431F8">
        <w:t xml:space="preserve">84 </w:t>
      </w:r>
    </w:p>
    <w:p w14:paraId="06D0B5DD" w14:textId="06BFB0AC" w:rsidR="00FE5D3B" w:rsidRDefault="00FE5D3B" w:rsidP="005A71A4">
      <w:pPr>
        <w:widowControl/>
        <w:autoSpaceDE/>
        <w:autoSpaceDN/>
        <w:spacing w:after="160" w:line="259" w:lineRule="auto"/>
        <w:jc w:val="left"/>
        <w:rPr>
          <w:b/>
          <w:bCs/>
          <w:i/>
          <w:iCs/>
          <w:sz w:val="32"/>
          <w:szCs w:val="28"/>
        </w:rPr>
      </w:pPr>
    </w:p>
    <w:p w14:paraId="41571FE5" w14:textId="77777777" w:rsidR="00FE5D3B" w:rsidRDefault="00FE5D3B" w:rsidP="005A71A4">
      <w:pPr>
        <w:widowControl/>
        <w:autoSpaceDE/>
        <w:autoSpaceDN/>
        <w:spacing w:after="160" w:line="259" w:lineRule="auto"/>
        <w:jc w:val="left"/>
        <w:rPr>
          <w:b/>
          <w:bCs/>
          <w:i/>
          <w:iCs/>
          <w:sz w:val="32"/>
          <w:szCs w:val="28"/>
        </w:rPr>
      </w:pPr>
    </w:p>
    <w:p w14:paraId="38A6DF91" w14:textId="77777777" w:rsidR="00FE5D3B" w:rsidRDefault="00FE5D3B" w:rsidP="005A71A4">
      <w:pPr>
        <w:widowControl/>
        <w:autoSpaceDE/>
        <w:autoSpaceDN/>
        <w:spacing w:after="160" w:line="259" w:lineRule="auto"/>
        <w:jc w:val="left"/>
        <w:rPr>
          <w:b/>
          <w:bCs/>
          <w:i/>
          <w:iCs/>
          <w:sz w:val="32"/>
          <w:szCs w:val="28"/>
        </w:rPr>
      </w:pPr>
    </w:p>
    <w:p w14:paraId="25A707C4" w14:textId="77777777" w:rsidR="00FE5D3B" w:rsidRDefault="00FE5D3B" w:rsidP="005A71A4">
      <w:pPr>
        <w:widowControl/>
        <w:autoSpaceDE/>
        <w:autoSpaceDN/>
        <w:spacing w:after="160" w:line="259" w:lineRule="auto"/>
        <w:jc w:val="left"/>
        <w:rPr>
          <w:b/>
          <w:bCs/>
          <w:i/>
          <w:iCs/>
          <w:sz w:val="32"/>
          <w:szCs w:val="28"/>
        </w:rPr>
      </w:pPr>
    </w:p>
    <w:p w14:paraId="5683F32B" w14:textId="77777777" w:rsidR="00FE5D3B" w:rsidRDefault="00FE5D3B" w:rsidP="005A71A4">
      <w:pPr>
        <w:widowControl/>
        <w:autoSpaceDE/>
        <w:autoSpaceDN/>
        <w:spacing w:after="160" w:line="259" w:lineRule="auto"/>
        <w:jc w:val="left"/>
        <w:rPr>
          <w:b/>
          <w:bCs/>
          <w:i/>
          <w:iCs/>
          <w:sz w:val="32"/>
          <w:szCs w:val="28"/>
        </w:rPr>
      </w:pPr>
    </w:p>
    <w:p w14:paraId="74857C0D" w14:textId="77777777" w:rsidR="00FE5D3B" w:rsidRDefault="00FE5D3B" w:rsidP="005A71A4">
      <w:pPr>
        <w:widowControl/>
        <w:autoSpaceDE/>
        <w:autoSpaceDN/>
        <w:spacing w:after="160" w:line="259" w:lineRule="auto"/>
        <w:jc w:val="left"/>
        <w:rPr>
          <w:b/>
          <w:bCs/>
          <w:i/>
          <w:iCs/>
          <w:sz w:val="32"/>
          <w:szCs w:val="28"/>
        </w:rPr>
      </w:pPr>
    </w:p>
    <w:p w14:paraId="34A55EB1" w14:textId="77777777" w:rsidR="00FE5D3B" w:rsidRDefault="00FE5D3B" w:rsidP="005A71A4">
      <w:pPr>
        <w:widowControl/>
        <w:autoSpaceDE/>
        <w:autoSpaceDN/>
        <w:spacing w:after="160" w:line="259" w:lineRule="auto"/>
        <w:jc w:val="left"/>
        <w:rPr>
          <w:b/>
          <w:bCs/>
          <w:i/>
          <w:iCs/>
          <w:sz w:val="32"/>
          <w:szCs w:val="28"/>
        </w:rPr>
      </w:pPr>
    </w:p>
    <w:p w14:paraId="5C2DE3A8" w14:textId="77777777" w:rsidR="00FE5D3B" w:rsidRDefault="00FE5D3B" w:rsidP="005A71A4">
      <w:pPr>
        <w:widowControl/>
        <w:autoSpaceDE/>
        <w:autoSpaceDN/>
        <w:spacing w:after="160" w:line="259" w:lineRule="auto"/>
        <w:jc w:val="left"/>
        <w:rPr>
          <w:b/>
          <w:bCs/>
          <w:i/>
          <w:iCs/>
          <w:sz w:val="32"/>
          <w:szCs w:val="28"/>
        </w:rPr>
      </w:pPr>
    </w:p>
    <w:p w14:paraId="3E4F19D8" w14:textId="77777777" w:rsidR="00FE5D3B" w:rsidRDefault="00FE5D3B" w:rsidP="005A71A4">
      <w:pPr>
        <w:widowControl/>
        <w:autoSpaceDE/>
        <w:autoSpaceDN/>
        <w:spacing w:after="160" w:line="259" w:lineRule="auto"/>
        <w:jc w:val="left"/>
        <w:rPr>
          <w:b/>
          <w:bCs/>
          <w:i/>
          <w:iCs/>
          <w:sz w:val="32"/>
          <w:szCs w:val="28"/>
        </w:rPr>
      </w:pPr>
    </w:p>
    <w:p w14:paraId="26F01DB2" w14:textId="77777777" w:rsidR="00FE5D3B" w:rsidRDefault="00FE5D3B" w:rsidP="005A71A4">
      <w:pPr>
        <w:widowControl/>
        <w:autoSpaceDE/>
        <w:autoSpaceDN/>
        <w:spacing w:after="160" w:line="259" w:lineRule="auto"/>
        <w:jc w:val="left"/>
        <w:rPr>
          <w:b/>
          <w:bCs/>
          <w:i/>
          <w:iCs/>
          <w:sz w:val="32"/>
          <w:szCs w:val="28"/>
        </w:rPr>
      </w:pPr>
    </w:p>
    <w:p w14:paraId="4E86B99B" w14:textId="77777777" w:rsidR="00FE5D3B" w:rsidRDefault="00FE5D3B" w:rsidP="005A71A4">
      <w:pPr>
        <w:widowControl/>
        <w:autoSpaceDE/>
        <w:autoSpaceDN/>
        <w:spacing w:after="160" w:line="259" w:lineRule="auto"/>
        <w:jc w:val="left"/>
        <w:rPr>
          <w:b/>
          <w:bCs/>
          <w:i/>
          <w:iCs/>
          <w:sz w:val="32"/>
          <w:szCs w:val="28"/>
        </w:rPr>
      </w:pPr>
    </w:p>
    <w:p w14:paraId="7B1F9ED5" w14:textId="77777777" w:rsidR="00FE5D3B" w:rsidRDefault="00FE5D3B" w:rsidP="005A71A4">
      <w:pPr>
        <w:widowControl/>
        <w:autoSpaceDE/>
        <w:autoSpaceDN/>
        <w:spacing w:after="160" w:line="259" w:lineRule="auto"/>
        <w:jc w:val="left"/>
        <w:rPr>
          <w:b/>
          <w:bCs/>
          <w:i/>
          <w:iCs/>
          <w:sz w:val="32"/>
          <w:szCs w:val="28"/>
        </w:rPr>
      </w:pPr>
    </w:p>
    <w:p w14:paraId="075A3AB6" w14:textId="77777777" w:rsidR="00FE5D3B" w:rsidRDefault="00FE5D3B" w:rsidP="005A71A4">
      <w:pPr>
        <w:widowControl/>
        <w:autoSpaceDE/>
        <w:autoSpaceDN/>
        <w:spacing w:after="160" w:line="259" w:lineRule="auto"/>
        <w:jc w:val="left"/>
        <w:rPr>
          <w:b/>
          <w:bCs/>
          <w:i/>
          <w:iCs/>
          <w:sz w:val="32"/>
          <w:szCs w:val="28"/>
        </w:rPr>
      </w:pPr>
    </w:p>
    <w:p w14:paraId="11C126F4" w14:textId="77777777" w:rsidR="00FE5D3B" w:rsidRDefault="00FE5D3B" w:rsidP="005A71A4">
      <w:pPr>
        <w:widowControl/>
        <w:autoSpaceDE/>
        <w:autoSpaceDN/>
        <w:spacing w:after="160" w:line="259" w:lineRule="auto"/>
        <w:jc w:val="left"/>
        <w:rPr>
          <w:b/>
          <w:bCs/>
          <w:i/>
          <w:iCs/>
          <w:sz w:val="32"/>
          <w:szCs w:val="28"/>
        </w:rPr>
      </w:pPr>
    </w:p>
    <w:p w14:paraId="2F484022" w14:textId="77777777" w:rsidR="00FE5D3B" w:rsidRDefault="00FE5D3B" w:rsidP="005A71A4">
      <w:pPr>
        <w:widowControl/>
        <w:autoSpaceDE/>
        <w:autoSpaceDN/>
        <w:spacing w:after="160" w:line="259" w:lineRule="auto"/>
        <w:jc w:val="left"/>
        <w:rPr>
          <w:b/>
          <w:bCs/>
          <w:i/>
          <w:iCs/>
          <w:sz w:val="32"/>
          <w:szCs w:val="28"/>
        </w:rPr>
      </w:pPr>
    </w:p>
    <w:p w14:paraId="4F3D8D77" w14:textId="77777777" w:rsidR="00FE5D3B" w:rsidRDefault="00FE5D3B" w:rsidP="005A71A4">
      <w:pPr>
        <w:widowControl/>
        <w:autoSpaceDE/>
        <w:autoSpaceDN/>
        <w:spacing w:after="160" w:line="259" w:lineRule="auto"/>
        <w:jc w:val="left"/>
        <w:rPr>
          <w:b/>
          <w:bCs/>
          <w:i/>
          <w:iCs/>
          <w:sz w:val="32"/>
          <w:szCs w:val="28"/>
        </w:rPr>
      </w:pPr>
    </w:p>
    <w:p w14:paraId="61F19CCD" w14:textId="77777777" w:rsidR="00FE5D3B" w:rsidRDefault="00FE5D3B" w:rsidP="005A71A4">
      <w:pPr>
        <w:widowControl/>
        <w:autoSpaceDE/>
        <w:autoSpaceDN/>
        <w:spacing w:after="160" w:line="259" w:lineRule="auto"/>
        <w:jc w:val="left"/>
        <w:rPr>
          <w:b/>
          <w:bCs/>
          <w:i/>
          <w:iCs/>
          <w:sz w:val="32"/>
          <w:szCs w:val="28"/>
        </w:rPr>
      </w:pPr>
    </w:p>
    <w:p w14:paraId="2157DC9C" w14:textId="77777777" w:rsidR="00FE5D3B" w:rsidRDefault="00FE5D3B" w:rsidP="005A71A4">
      <w:pPr>
        <w:widowControl/>
        <w:autoSpaceDE/>
        <w:autoSpaceDN/>
        <w:spacing w:after="160" w:line="259" w:lineRule="auto"/>
        <w:jc w:val="left"/>
        <w:rPr>
          <w:b/>
          <w:bCs/>
          <w:i/>
          <w:iCs/>
          <w:sz w:val="32"/>
          <w:szCs w:val="28"/>
        </w:rPr>
      </w:pPr>
    </w:p>
    <w:p w14:paraId="03A9EB2B" w14:textId="77777777" w:rsidR="00FE5D3B" w:rsidRDefault="00FE5D3B" w:rsidP="005A71A4">
      <w:pPr>
        <w:widowControl/>
        <w:autoSpaceDE/>
        <w:autoSpaceDN/>
        <w:spacing w:after="160" w:line="259" w:lineRule="auto"/>
        <w:jc w:val="left"/>
        <w:rPr>
          <w:b/>
          <w:bCs/>
          <w:i/>
          <w:iCs/>
          <w:sz w:val="32"/>
          <w:szCs w:val="28"/>
        </w:rPr>
      </w:pPr>
    </w:p>
    <w:p w14:paraId="6F3AD276" w14:textId="77777777" w:rsidR="00FE5D3B" w:rsidRDefault="00FE5D3B" w:rsidP="005A71A4">
      <w:pPr>
        <w:widowControl/>
        <w:autoSpaceDE/>
        <w:autoSpaceDN/>
        <w:spacing w:after="160" w:line="259" w:lineRule="auto"/>
        <w:jc w:val="left"/>
        <w:rPr>
          <w:b/>
          <w:bCs/>
          <w:i/>
          <w:iCs/>
          <w:sz w:val="32"/>
          <w:szCs w:val="28"/>
        </w:rPr>
      </w:pPr>
    </w:p>
    <w:p w14:paraId="5D3AC1AE" w14:textId="77777777" w:rsidR="00621A76" w:rsidRDefault="00621A76" w:rsidP="005A71A4">
      <w:pPr>
        <w:widowControl/>
        <w:autoSpaceDE/>
        <w:autoSpaceDN/>
        <w:spacing w:after="160" w:line="259" w:lineRule="auto"/>
        <w:jc w:val="left"/>
        <w:rPr>
          <w:b/>
          <w:bCs/>
          <w:i/>
          <w:iCs/>
          <w:sz w:val="32"/>
          <w:szCs w:val="28"/>
        </w:rPr>
      </w:pPr>
    </w:p>
    <w:p w14:paraId="5321B955" w14:textId="77777777" w:rsidR="00621A76" w:rsidRDefault="00621A76" w:rsidP="005A71A4">
      <w:pPr>
        <w:widowControl/>
        <w:autoSpaceDE/>
        <w:autoSpaceDN/>
        <w:spacing w:after="160" w:line="259" w:lineRule="auto"/>
        <w:jc w:val="left"/>
        <w:rPr>
          <w:b/>
          <w:bCs/>
          <w:i/>
          <w:iCs/>
          <w:sz w:val="32"/>
          <w:szCs w:val="28"/>
        </w:rPr>
      </w:pPr>
    </w:p>
    <w:p w14:paraId="72933A55" w14:textId="77777777" w:rsidR="00621A76" w:rsidRDefault="00621A76" w:rsidP="005A71A4">
      <w:pPr>
        <w:widowControl/>
        <w:autoSpaceDE/>
        <w:autoSpaceDN/>
        <w:spacing w:after="160" w:line="259" w:lineRule="auto"/>
        <w:jc w:val="left"/>
        <w:rPr>
          <w:b/>
          <w:bCs/>
          <w:i/>
          <w:iCs/>
          <w:sz w:val="32"/>
          <w:szCs w:val="28"/>
        </w:rPr>
      </w:pPr>
    </w:p>
    <w:p w14:paraId="0BEB8ECA" w14:textId="77777777" w:rsidR="007950CB" w:rsidRDefault="007950CB" w:rsidP="005A71A4">
      <w:pPr>
        <w:widowControl/>
        <w:autoSpaceDE/>
        <w:autoSpaceDN/>
        <w:spacing w:after="160" w:line="259" w:lineRule="auto"/>
        <w:jc w:val="left"/>
        <w:rPr>
          <w:b/>
          <w:bCs/>
          <w:i/>
          <w:iCs/>
          <w:sz w:val="32"/>
          <w:szCs w:val="28"/>
        </w:rPr>
      </w:pPr>
    </w:p>
    <w:p w14:paraId="7FEA42EE" w14:textId="320F3185" w:rsidR="005A71A4" w:rsidRPr="004F4CD4" w:rsidRDefault="00546EBA" w:rsidP="005A71A4">
      <w:pPr>
        <w:widowControl/>
        <w:autoSpaceDE/>
        <w:autoSpaceDN/>
        <w:spacing w:after="160" w:line="259" w:lineRule="auto"/>
        <w:jc w:val="left"/>
        <w:rPr>
          <w:b/>
          <w:bCs/>
          <w:i/>
          <w:iCs/>
          <w:sz w:val="32"/>
          <w:szCs w:val="28"/>
        </w:rPr>
      </w:pPr>
      <w:r>
        <w:rPr>
          <w:b/>
          <w:bCs/>
          <w:i/>
          <w:iCs/>
          <w:sz w:val="32"/>
          <w:szCs w:val="28"/>
        </w:rPr>
        <w:lastRenderedPageBreak/>
        <w:t>Li</w:t>
      </w:r>
      <w:r w:rsidR="005A71A4" w:rsidRPr="004F4CD4">
        <w:rPr>
          <w:b/>
          <w:bCs/>
          <w:i/>
          <w:iCs/>
          <w:sz w:val="32"/>
          <w:szCs w:val="28"/>
        </w:rPr>
        <w:t>st of Figures</w:t>
      </w:r>
    </w:p>
    <w:p w14:paraId="0D2D3611" w14:textId="530E6998" w:rsidR="002953D8" w:rsidRDefault="005A71A4">
      <w:pPr>
        <w:pStyle w:val="TableofFigures"/>
        <w:tabs>
          <w:tab w:val="right" w:leader="dot" w:pos="9350"/>
        </w:tabs>
        <w:rPr>
          <w:rFonts w:asciiTheme="minorHAnsi" w:eastAsiaTheme="minorEastAsia" w:hAnsiTheme="minorHAnsi" w:cstheme="minorBidi"/>
          <w:noProof/>
          <w:sz w:val="22"/>
        </w:rPr>
      </w:pPr>
      <w:r>
        <w:fldChar w:fldCharType="begin"/>
      </w:r>
      <w:r>
        <w:instrText xml:space="preserve"> TOC \h \z \c "Figure" </w:instrText>
      </w:r>
      <w:r>
        <w:fldChar w:fldCharType="separate"/>
      </w:r>
      <w:hyperlink w:anchor="_Toc239794904" w:history="1">
        <w:r w:rsidR="002953D8" w:rsidRPr="008D19FE">
          <w:rPr>
            <w:rStyle w:val="Hyperlink"/>
            <w:noProof/>
          </w:rPr>
          <w:t>Figure 1: Multiple case framing of M&amp;S with comparator UK grocery retailers. Source: Self-made based on Marks and Spencer Group plc (2025), Tesco plc (2026), Asda Group Ltd (2025), J Sainsbury plc (2025) and Morrisons (2025).</w:t>
        </w:r>
        <w:r w:rsidR="002953D8">
          <w:rPr>
            <w:noProof/>
            <w:webHidden/>
          </w:rPr>
          <w:tab/>
        </w:r>
        <w:r w:rsidR="002953D8">
          <w:rPr>
            <w:noProof/>
            <w:webHidden/>
          </w:rPr>
          <w:fldChar w:fldCharType="begin"/>
        </w:r>
        <w:r w:rsidR="002953D8">
          <w:rPr>
            <w:noProof/>
            <w:webHidden/>
          </w:rPr>
          <w:instrText xml:space="preserve"> PAGEREF _Toc239794904 \h </w:instrText>
        </w:r>
        <w:r w:rsidR="002953D8">
          <w:rPr>
            <w:noProof/>
            <w:webHidden/>
          </w:rPr>
        </w:r>
        <w:r w:rsidR="002953D8">
          <w:rPr>
            <w:noProof/>
            <w:webHidden/>
          </w:rPr>
          <w:fldChar w:fldCharType="separate"/>
        </w:r>
        <w:r w:rsidR="002953D8">
          <w:rPr>
            <w:noProof/>
            <w:webHidden/>
          </w:rPr>
          <w:t>14</w:t>
        </w:r>
        <w:r w:rsidR="002953D8">
          <w:rPr>
            <w:noProof/>
            <w:webHidden/>
          </w:rPr>
          <w:fldChar w:fldCharType="end"/>
        </w:r>
      </w:hyperlink>
    </w:p>
    <w:p w14:paraId="1A7FE91E" w14:textId="73B51B31" w:rsidR="002953D8" w:rsidRDefault="002953D8">
      <w:pPr>
        <w:pStyle w:val="TableofFigures"/>
        <w:tabs>
          <w:tab w:val="right" w:leader="dot" w:pos="9350"/>
        </w:tabs>
        <w:rPr>
          <w:rFonts w:asciiTheme="minorHAnsi" w:eastAsiaTheme="minorEastAsia" w:hAnsiTheme="minorHAnsi" w:cstheme="minorBidi"/>
          <w:noProof/>
          <w:sz w:val="22"/>
        </w:rPr>
      </w:pPr>
      <w:hyperlink w:anchor="_Toc239794905" w:history="1">
        <w:r w:rsidRPr="008D19FE">
          <w:rPr>
            <w:rStyle w:val="Hyperlink"/>
            <w:noProof/>
          </w:rPr>
          <w:t>Figure 2: Conceptual Framework; Source: Self-made, developed from the literature reviewed</w:t>
        </w:r>
        <w:r>
          <w:rPr>
            <w:noProof/>
            <w:webHidden/>
          </w:rPr>
          <w:tab/>
        </w:r>
        <w:r>
          <w:rPr>
            <w:noProof/>
            <w:webHidden/>
          </w:rPr>
          <w:fldChar w:fldCharType="begin"/>
        </w:r>
        <w:r>
          <w:rPr>
            <w:noProof/>
            <w:webHidden/>
          </w:rPr>
          <w:instrText xml:space="preserve"> PAGEREF _Toc239794905 \h </w:instrText>
        </w:r>
        <w:r>
          <w:rPr>
            <w:noProof/>
            <w:webHidden/>
          </w:rPr>
        </w:r>
        <w:r>
          <w:rPr>
            <w:noProof/>
            <w:webHidden/>
          </w:rPr>
          <w:fldChar w:fldCharType="separate"/>
        </w:r>
        <w:r>
          <w:rPr>
            <w:noProof/>
            <w:webHidden/>
          </w:rPr>
          <w:t>30</w:t>
        </w:r>
        <w:r>
          <w:rPr>
            <w:noProof/>
            <w:webHidden/>
          </w:rPr>
          <w:fldChar w:fldCharType="end"/>
        </w:r>
      </w:hyperlink>
    </w:p>
    <w:p w14:paraId="381EED8E" w14:textId="18DDC300" w:rsidR="002953D8" w:rsidRDefault="002953D8">
      <w:pPr>
        <w:pStyle w:val="TableofFigures"/>
        <w:tabs>
          <w:tab w:val="right" w:leader="dot" w:pos="9350"/>
        </w:tabs>
        <w:rPr>
          <w:rFonts w:asciiTheme="minorHAnsi" w:eastAsiaTheme="minorEastAsia" w:hAnsiTheme="minorHAnsi" w:cstheme="minorBidi"/>
          <w:noProof/>
          <w:sz w:val="22"/>
        </w:rPr>
      </w:pPr>
      <w:hyperlink w:anchor="_Toc239794906" w:history="1">
        <w:r w:rsidRPr="008D19FE">
          <w:rPr>
            <w:rStyle w:val="Hyperlink"/>
            <w:noProof/>
          </w:rPr>
          <w:t>Figure 3: Research Onion; Source: Saunders, Lewis and Thornhill (2024)</w:t>
        </w:r>
        <w:r>
          <w:rPr>
            <w:noProof/>
            <w:webHidden/>
          </w:rPr>
          <w:tab/>
        </w:r>
        <w:r>
          <w:rPr>
            <w:noProof/>
            <w:webHidden/>
          </w:rPr>
          <w:fldChar w:fldCharType="begin"/>
        </w:r>
        <w:r>
          <w:rPr>
            <w:noProof/>
            <w:webHidden/>
          </w:rPr>
          <w:instrText xml:space="preserve"> PAGEREF _Toc239794906 \h </w:instrText>
        </w:r>
        <w:r>
          <w:rPr>
            <w:noProof/>
            <w:webHidden/>
          </w:rPr>
        </w:r>
        <w:r>
          <w:rPr>
            <w:noProof/>
            <w:webHidden/>
          </w:rPr>
          <w:fldChar w:fldCharType="separate"/>
        </w:r>
        <w:r>
          <w:rPr>
            <w:noProof/>
            <w:webHidden/>
          </w:rPr>
          <w:t>34</w:t>
        </w:r>
        <w:r>
          <w:rPr>
            <w:noProof/>
            <w:webHidden/>
          </w:rPr>
          <w:fldChar w:fldCharType="end"/>
        </w:r>
      </w:hyperlink>
    </w:p>
    <w:p w14:paraId="158C2945" w14:textId="0DB12D41" w:rsidR="002953D8" w:rsidRDefault="002953D8">
      <w:pPr>
        <w:pStyle w:val="TableofFigures"/>
        <w:tabs>
          <w:tab w:val="right" w:leader="dot" w:pos="9350"/>
        </w:tabs>
        <w:rPr>
          <w:rFonts w:asciiTheme="minorHAnsi" w:eastAsiaTheme="minorEastAsia" w:hAnsiTheme="minorHAnsi" w:cstheme="minorBidi"/>
          <w:noProof/>
          <w:sz w:val="22"/>
        </w:rPr>
      </w:pPr>
      <w:hyperlink w:anchor="_Toc239794907" w:history="1">
        <w:r w:rsidRPr="008D19FE">
          <w:rPr>
            <w:rStyle w:val="Hyperlink"/>
            <w:noProof/>
          </w:rPr>
          <w:t>Figure 4: Refined Sustainability–Trust Pathway. Source: Self-made based on the Chapter 2 conceptual framework and Chapter 5 findings.</w:t>
        </w:r>
        <w:r>
          <w:rPr>
            <w:noProof/>
            <w:webHidden/>
          </w:rPr>
          <w:tab/>
        </w:r>
        <w:r>
          <w:rPr>
            <w:noProof/>
            <w:webHidden/>
          </w:rPr>
          <w:fldChar w:fldCharType="begin"/>
        </w:r>
        <w:r>
          <w:rPr>
            <w:noProof/>
            <w:webHidden/>
          </w:rPr>
          <w:instrText xml:space="preserve"> PAGEREF _Toc239794907 \h </w:instrText>
        </w:r>
        <w:r>
          <w:rPr>
            <w:noProof/>
            <w:webHidden/>
          </w:rPr>
        </w:r>
        <w:r>
          <w:rPr>
            <w:noProof/>
            <w:webHidden/>
          </w:rPr>
          <w:fldChar w:fldCharType="separate"/>
        </w:r>
        <w:r>
          <w:rPr>
            <w:noProof/>
            <w:webHidden/>
          </w:rPr>
          <w:t>58</w:t>
        </w:r>
        <w:r>
          <w:rPr>
            <w:noProof/>
            <w:webHidden/>
          </w:rPr>
          <w:fldChar w:fldCharType="end"/>
        </w:r>
      </w:hyperlink>
    </w:p>
    <w:p w14:paraId="3DF735E7" w14:textId="77777777" w:rsidR="000C5B08" w:rsidRDefault="005A71A4" w:rsidP="005A71A4">
      <w:pPr>
        <w:widowControl/>
        <w:autoSpaceDE/>
        <w:autoSpaceDN/>
        <w:spacing w:after="160" w:line="259" w:lineRule="auto"/>
        <w:jc w:val="left"/>
      </w:pPr>
      <w:r>
        <w:fldChar w:fldCharType="end"/>
      </w:r>
    </w:p>
    <w:p w14:paraId="399C3389" w14:textId="77777777" w:rsidR="000C5B08" w:rsidRDefault="000C5B08" w:rsidP="005A71A4">
      <w:pPr>
        <w:widowControl/>
        <w:autoSpaceDE/>
        <w:autoSpaceDN/>
        <w:spacing w:after="160" w:line="259" w:lineRule="auto"/>
        <w:jc w:val="left"/>
      </w:pPr>
    </w:p>
    <w:p w14:paraId="053A773E" w14:textId="77777777" w:rsidR="000C5B08" w:rsidRDefault="000C5B08" w:rsidP="005A71A4">
      <w:pPr>
        <w:widowControl/>
        <w:autoSpaceDE/>
        <w:autoSpaceDN/>
        <w:spacing w:after="160" w:line="259" w:lineRule="auto"/>
        <w:jc w:val="left"/>
      </w:pPr>
    </w:p>
    <w:p w14:paraId="45DC2B83" w14:textId="77777777" w:rsidR="000C5B08" w:rsidRDefault="000C5B08" w:rsidP="005A71A4">
      <w:pPr>
        <w:widowControl/>
        <w:autoSpaceDE/>
        <w:autoSpaceDN/>
        <w:spacing w:after="160" w:line="259" w:lineRule="auto"/>
        <w:jc w:val="left"/>
      </w:pPr>
    </w:p>
    <w:p w14:paraId="4541232E" w14:textId="77777777" w:rsidR="000C5B08" w:rsidRDefault="000C5B08" w:rsidP="005A71A4">
      <w:pPr>
        <w:widowControl/>
        <w:autoSpaceDE/>
        <w:autoSpaceDN/>
        <w:spacing w:after="160" w:line="259" w:lineRule="auto"/>
        <w:jc w:val="left"/>
      </w:pPr>
    </w:p>
    <w:p w14:paraId="75889C5B" w14:textId="77777777" w:rsidR="000C5B08" w:rsidRDefault="000C5B08" w:rsidP="005A71A4">
      <w:pPr>
        <w:widowControl/>
        <w:autoSpaceDE/>
        <w:autoSpaceDN/>
        <w:spacing w:after="160" w:line="259" w:lineRule="auto"/>
        <w:jc w:val="left"/>
      </w:pPr>
    </w:p>
    <w:p w14:paraId="6C28B455" w14:textId="77777777" w:rsidR="000C5B08" w:rsidRDefault="000C5B08" w:rsidP="005A71A4">
      <w:pPr>
        <w:widowControl/>
        <w:autoSpaceDE/>
        <w:autoSpaceDN/>
        <w:spacing w:after="160" w:line="259" w:lineRule="auto"/>
        <w:jc w:val="left"/>
      </w:pPr>
    </w:p>
    <w:p w14:paraId="052F4F68" w14:textId="77777777" w:rsidR="000C5B08" w:rsidRDefault="000C5B08" w:rsidP="005A71A4">
      <w:pPr>
        <w:widowControl/>
        <w:autoSpaceDE/>
        <w:autoSpaceDN/>
        <w:spacing w:after="160" w:line="259" w:lineRule="auto"/>
        <w:jc w:val="left"/>
      </w:pPr>
    </w:p>
    <w:p w14:paraId="1823FC38" w14:textId="77777777" w:rsidR="000C5B08" w:rsidRDefault="000C5B08" w:rsidP="005A71A4">
      <w:pPr>
        <w:widowControl/>
        <w:autoSpaceDE/>
        <w:autoSpaceDN/>
        <w:spacing w:after="160" w:line="259" w:lineRule="auto"/>
        <w:jc w:val="left"/>
      </w:pPr>
    </w:p>
    <w:p w14:paraId="1F49F869" w14:textId="77777777" w:rsidR="000C5B08" w:rsidRDefault="000C5B08" w:rsidP="005A71A4">
      <w:pPr>
        <w:widowControl/>
        <w:autoSpaceDE/>
        <w:autoSpaceDN/>
        <w:spacing w:after="160" w:line="259" w:lineRule="auto"/>
        <w:jc w:val="left"/>
      </w:pPr>
    </w:p>
    <w:p w14:paraId="653AEC9C" w14:textId="77777777" w:rsidR="000C5B08" w:rsidRDefault="000C5B08" w:rsidP="005A71A4">
      <w:pPr>
        <w:widowControl/>
        <w:autoSpaceDE/>
        <w:autoSpaceDN/>
        <w:spacing w:after="160" w:line="259" w:lineRule="auto"/>
        <w:jc w:val="left"/>
      </w:pPr>
    </w:p>
    <w:p w14:paraId="68BDC1BE" w14:textId="77777777" w:rsidR="000C5B08" w:rsidRDefault="000C5B08" w:rsidP="005A71A4">
      <w:pPr>
        <w:widowControl/>
        <w:autoSpaceDE/>
        <w:autoSpaceDN/>
        <w:spacing w:after="160" w:line="259" w:lineRule="auto"/>
        <w:jc w:val="left"/>
      </w:pPr>
    </w:p>
    <w:p w14:paraId="6F65FC7D" w14:textId="77777777" w:rsidR="000C5B08" w:rsidRDefault="000C5B08" w:rsidP="005A71A4">
      <w:pPr>
        <w:widowControl/>
        <w:autoSpaceDE/>
        <w:autoSpaceDN/>
        <w:spacing w:after="160" w:line="259" w:lineRule="auto"/>
        <w:jc w:val="left"/>
      </w:pPr>
    </w:p>
    <w:p w14:paraId="6F58BD21" w14:textId="77777777" w:rsidR="000C5B08" w:rsidRDefault="000C5B08" w:rsidP="005A71A4">
      <w:pPr>
        <w:widowControl/>
        <w:autoSpaceDE/>
        <w:autoSpaceDN/>
        <w:spacing w:after="160" w:line="259" w:lineRule="auto"/>
        <w:jc w:val="left"/>
      </w:pPr>
    </w:p>
    <w:p w14:paraId="09454BD2" w14:textId="77777777" w:rsidR="000C5B08" w:rsidRDefault="000C5B08" w:rsidP="005A71A4">
      <w:pPr>
        <w:widowControl/>
        <w:autoSpaceDE/>
        <w:autoSpaceDN/>
        <w:spacing w:after="160" w:line="259" w:lineRule="auto"/>
        <w:jc w:val="left"/>
      </w:pPr>
    </w:p>
    <w:p w14:paraId="6B452B0E" w14:textId="77777777" w:rsidR="000C5B08" w:rsidRDefault="000C5B08" w:rsidP="005A71A4">
      <w:pPr>
        <w:widowControl/>
        <w:autoSpaceDE/>
        <w:autoSpaceDN/>
        <w:spacing w:after="160" w:line="259" w:lineRule="auto"/>
        <w:jc w:val="left"/>
      </w:pPr>
    </w:p>
    <w:p w14:paraId="0CC7DB84" w14:textId="77777777" w:rsidR="000C5B08" w:rsidRDefault="000C5B08" w:rsidP="005A71A4">
      <w:pPr>
        <w:widowControl/>
        <w:autoSpaceDE/>
        <w:autoSpaceDN/>
        <w:spacing w:after="160" w:line="259" w:lineRule="auto"/>
        <w:jc w:val="left"/>
      </w:pPr>
    </w:p>
    <w:p w14:paraId="419DDCF4" w14:textId="77777777" w:rsidR="000C5B08" w:rsidRDefault="000C5B08" w:rsidP="005A71A4">
      <w:pPr>
        <w:widowControl/>
        <w:autoSpaceDE/>
        <w:autoSpaceDN/>
        <w:spacing w:after="160" w:line="259" w:lineRule="auto"/>
        <w:jc w:val="left"/>
      </w:pPr>
    </w:p>
    <w:p w14:paraId="067A1ADE" w14:textId="77777777" w:rsidR="000C5B08" w:rsidRDefault="000C5B08" w:rsidP="005A71A4">
      <w:pPr>
        <w:widowControl/>
        <w:autoSpaceDE/>
        <w:autoSpaceDN/>
        <w:spacing w:after="160" w:line="259" w:lineRule="auto"/>
        <w:jc w:val="left"/>
      </w:pPr>
    </w:p>
    <w:p w14:paraId="6F26797A" w14:textId="77777777" w:rsidR="000C5B08" w:rsidRDefault="000C5B08" w:rsidP="005A71A4">
      <w:pPr>
        <w:widowControl/>
        <w:autoSpaceDE/>
        <w:autoSpaceDN/>
        <w:spacing w:after="160" w:line="259" w:lineRule="auto"/>
        <w:jc w:val="left"/>
      </w:pPr>
    </w:p>
    <w:p w14:paraId="08DB675A" w14:textId="77777777" w:rsidR="000C5B08" w:rsidRDefault="000C5B08" w:rsidP="005A71A4">
      <w:pPr>
        <w:widowControl/>
        <w:autoSpaceDE/>
        <w:autoSpaceDN/>
        <w:spacing w:after="160" w:line="259" w:lineRule="auto"/>
        <w:jc w:val="left"/>
      </w:pPr>
    </w:p>
    <w:p w14:paraId="2F3D4AE2" w14:textId="320F1D14" w:rsidR="002953D8" w:rsidRDefault="005A71A4" w:rsidP="005A71A4">
      <w:pPr>
        <w:widowControl/>
        <w:autoSpaceDE/>
        <w:autoSpaceDN/>
        <w:spacing w:after="160" w:line="259" w:lineRule="auto"/>
        <w:jc w:val="left"/>
      </w:pPr>
      <w:r w:rsidRPr="004F4CD4">
        <w:rPr>
          <w:b/>
          <w:bCs/>
          <w:i/>
          <w:iCs/>
          <w:sz w:val="32"/>
          <w:szCs w:val="28"/>
        </w:rPr>
        <w:lastRenderedPageBreak/>
        <w:t>List of Tables</w:t>
      </w:r>
      <w:r w:rsidRPr="004F4CD4">
        <w:rPr>
          <w:b/>
          <w:bCs/>
          <w:i/>
          <w:iCs/>
        </w:rPr>
        <w:fldChar w:fldCharType="begin"/>
      </w:r>
      <w:r w:rsidRPr="004F4CD4">
        <w:rPr>
          <w:b/>
          <w:bCs/>
          <w:i/>
          <w:iCs/>
        </w:rPr>
        <w:instrText xml:space="preserve"> TOC \h \z \c "Table" </w:instrText>
      </w:r>
      <w:r w:rsidRPr="004F4CD4">
        <w:rPr>
          <w:b/>
          <w:bCs/>
          <w:i/>
          <w:iCs/>
        </w:rPr>
        <w:fldChar w:fldCharType="end"/>
      </w:r>
      <w:r>
        <w:rPr>
          <w:b/>
          <w:bCs/>
          <w:i/>
          <w:iCs/>
        </w:rPr>
        <w:fldChar w:fldCharType="begin"/>
      </w:r>
      <w:r w:rsidRPr="004F4CD4">
        <w:rPr>
          <w:b/>
          <w:bCs/>
          <w:i/>
          <w:iCs/>
        </w:rPr>
        <w:instrText xml:space="preserve"> TOC \h \z \c "Table" </w:instrText>
      </w:r>
      <w:r>
        <w:rPr>
          <w:b/>
          <w:bCs/>
          <w:i/>
          <w:iCs/>
        </w:rPr>
        <w:fldChar w:fldCharType="separate"/>
      </w:r>
    </w:p>
    <w:p w14:paraId="5D6E9764" w14:textId="025FB856" w:rsidR="002953D8" w:rsidRDefault="002953D8">
      <w:pPr>
        <w:pStyle w:val="TableofFigures"/>
        <w:tabs>
          <w:tab w:val="right" w:leader="dot" w:pos="9350"/>
        </w:tabs>
        <w:rPr>
          <w:rFonts w:asciiTheme="minorHAnsi" w:eastAsiaTheme="minorEastAsia" w:hAnsiTheme="minorHAnsi" w:cstheme="minorBidi"/>
          <w:noProof/>
          <w:sz w:val="22"/>
        </w:rPr>
      </w:pPr>
      <w:hyperlink w:anchor="_Toc239794893" w:history="1">
        <w:r w:rsidRPr="009D0746">
          <w:rPr>
            <w:rStyle w:val="Hyperlink"/>
            <w:noProof/>
          </w:rPr>
          <w:t>Table 1:Critical Summary of Key Literature</w:t>
        </w:r>
        <w:r>
          <w:rPr>
            <w:noProof/>
            <w:webHidden/>
          </w:rPr>
          <w:tab/>
        </w:r>
        <w:r>
          <w:rPr>
            <w:noProof/>
            <w:webHidden/>
          </w:rPr>
          <w:fldChar w:fldCharType="begin"/>
        </w:r>
        <w:r>
          <w:rPr>
            <w:noProof/>
            <w:webHidden/>
          </w:rPr>
          <w:instrText xml:space="preserve"> PAGEREF _Toc239794893 \h </w:instrText>
        </w:r>
        <w:r>
          <w:rPr>
            <w:noProof/>
            <w:webHidden/>
          </w:rPr>
        </w:r>
        <w:r>
          <w:rPr>
            <w:noProof/>
            <w:webHidden/>
          </w:rPr>
          <w:fldChar w:fldCharType="separate"/>
        </w:r>
        <w:r>
          <w:rPr>
            <w:noProof/>
            <w:webHidden/>
          </w:rPr>
          <w:t>32</w:t>
        </w:r>
        <w:r>
          <w:rPr>
            <w:noProof/>
            <w:webHidden/>
          </w:rPr>
          <w:fldChar w:fldCharType="end"/>
        </w:r>
      </w:hyperlink>
    </w:p>
    <w:p w14:paraId="76B2C89E" w14:textId="133656A1" w:rsidR="002953D8" w:rsidRDefault="002953D8">
      <w:pPr>
        <w:pStyle w:val="TableofFigures"/>
        <w:tabs>
          <w:tab w:val="right" w:leader="dot" w:pos="9350"/>
        </w:tabs>
        <w:rPr>
          <w:rFonts w:asciiTheme="minorHAnsi" w:eastAsiaTheme="minorEastAsia" w:hAnsiTheme="minorHAnsi" w:cstheme="minorBidi"/>
          <w:noProof/>
          <w:sz w:val="22"/>
        </w:rPr>
      </w:pPr>
      <w:hyperlink w:anchor="_Toc239794894" w:history="1">
        <w:r w:rsidRPr="009D0746">
          <w:rPr>
            <w:rStyle w:val="Hyperlink"/>
            <w:noProof/>
          </w:rPr>
          <w:t>Table 2: Case Selection Logic</w:t>
        </w:r>
        <w:r>
          <w:rPr>
            <w:noProof/>
            <w:webHidden/>
          </w:rPr>
          <w:tab/>
        </w:r>
        <w:r>
          <w:rPr>
            <w:noProof/>
            <w:webHidden/>
          </w:rPr>
          <w:fldChar w:fldCharType="begin"/>
        </w:r>
        <w:r>
          <w:rPr>
            <w:noProof/>
            <w:webHidden/>
          </w:rPr>
          <w:instrText xml:space="preserve"> PAGEREF _Toc239794894 \h </w:instrText>
        </w:r>
        <w:r>
          <w:rPr>
            <w:noProof/>
            <w:webHidden/>
          </w:rPr>
        </w:r>
        <w:r>
          <w:rPr>
            <w:noProof/>
            <w:webHidden/>
          </w:rPr>
          <w:fldChar w:fldCharType="separate"/>
        </w:r>
        <w:r>
          <w:rPr>
            <w:noProof/>
            <w:webHidden/>
          </w:rPr>
          <w:t>37</w:t>
        </w:r>
        <w:r>
          <w:rPr>
            <w:noProof/>
            <w:webHidden/>
          </w:rPr>
          <w:fldChar w:fldCharType="end"/>
        </w:r>
      </w:hyperlink>
    </w:p>
    <w:p w14:paraId="43C747D0" w14:textId="42DFF4E5" w:rsidR="002953D8" w:rsidRDefault="002953D8">
      <w:pPr>
        <w:pStyle w:val="TableofFigures"/>
        <w:tabs>
          <w:tab w:val="right" w:leader="dot" w:pos="9350"/>
        </w:tabs>
        <w:rPr>
          <w:rFonts w:asciiTheme="minorHAnsi" w:eastAsiaTheme="minorEastAsia" w:hAnsiTheme="minorHAnsi" w:cstheme="minorBidi"/>
          <w:noProof/>
          <w:sz w:val="22"/>
        </w:rPr>
      </w:pPr>
      <w:hyperlink w:anchor="_Toc239794895" w:history="1">
        <w:r w:rsidRPr="009D0746">
          <w:rPr>
            <w:rStyle w:val="Hyperlink"/>
            <w:noProof/>
          </w:rPr>
          <w:t>Table 3: Documentary Evidence Log</w:t>
        </w:r>
        <w:r>
          <w:rPr>
            <w:noProof/>
            <w:webHidden/>
          </w:rPr>
          <w:tab/>
        </w:r>
        <w:r>
          <w:rPr>
            <w:noProof/>
            <w:webHidden/>
          </w:rPr>
          <w:fldChar w:fldCharType="begin"/>
        </w:r>
        <w:r>
          <w:rPr>
            <w:noProof/>
            <w:webHidden/>
          </w:rPr>
          <w:instrText xml:space="preserve"> PAGEREF _Toc239794895 \h </w:instrText>
        </w:r>
        <w:r>
          <w:rPr>
            <w:noProof/>
            <w:webHidden/>
          </w:rPr>
        </w:r>
        <w:r>
          <w:rPr>
            <w:noProof/>
            <w:webHidden/>
          </w:rPr>
          <w:fldChar w:fldCharType="separate"/>
        </w:r>
        <w:r>
          <w:rPr>
            <w:noProof/>
            <w:webHidden/>
          </w:rPr>
          <w:t>40</w:t>
        </w:r>
        <w:r>
          <w:rPr>
            <w:noProof/>
            <w:webHidden/>
          </w:rPr>
          <w:fldChar w:fldCharType="end"/>
        </w:r>
      </w:hyperlink>
    </w:p>
    <w:p w14:paraId="4F1ADE7D" w14:textId="28EDEA72" w:rsidR="002953D8" w:rsidRDefault="002953D8">
      <w:pPr>
        <w:pStyle w:val="TableofFigures"/>
        <w:tabs>
          <w:tab w:val="right" w:leader="dot" w:pos="9350"/>
        </w:tabs>
        <w:rPr>
          <w:rFonts w:asciiTheme="minorHAnsi" w:eastAsiaTheme="minorEastAsia" w:hAnsiTheme="minorHAnsi" w:cstheme="minorBidi"/>
          <w:noProof/>
          <w:sz w:val="22"/>
        </w:rPr>
      </w:pPr>
      <w:hyperlink w:anchor="_Toc239794896" w:history="1">
        <w:r w:rsidRPr="009D0746">
          <w:rPr>
            <w:rStyle w:val="Hyperlink"/>
            <w:noProof/>
          </w:rPr>
          <w:t>Table 4: Cross-Case Findings Summary</w:t>
        </w:r>
        <w:r>
          <w:rPr>
            <w:noProof/>
            <w:webHidden/>
          </w:rPr>
          <w:tab/>
        </w:r>
        <w:r>
          <w:rPr>
            <w:noProof/>
            <w:webHidden/>
          </w:rPr>
          <w:fldChar w:fldCharType="begin"/>
        </w:r>
        <w:r>
          <w:rPr>
            <w:noProof/>
            <w:webHidden/>
          </w:rPr>
          <w:instrText xml:space="preserve"> PAGEREF _Toc239794896 \h </w:instrText>
        </w:r>
        <w:r>
          <w:rPr>
            <w:noProof/>
            <w:webHidden/>
          </w:rPr>
        </w:r>
        <w:r>
          <w:rPr>
            <w:noProof/>
            <w:webHidden/>
          </w:rPr>
          <w:fldChar w:fldCharType="separate"/>
        </w:r>
        <w:r>
          <w:rPr>
            <w:noProof/>
            <w:webHidden/>
          </w:rPr>
          <w:t>51</w:t>
        </w:r>
        <w:r>
          <w:rPr>
            <w:noProof/>
            <w:webHidden/>
          </w:rPr>
          <w:fldChar w:fldCharType="end"/>
        </w:r>
      </w:hyperlink>
    </w:p>
    <w:p w14:paraId="54D638C7" w14:textId="48375356" w:rsidR="002953D8" w:rsidRDefault="002953D8">
      <w:pPr>
        <w:pStyle w:val="TableofFigures"/>
        <w:tabs>
          <w:tab w:val="right" w:leader="dot" w:pos="9350"/>
        </w:tabs>
        <w:rPr>
          <w:rFonts w:asciiTheme="minorHAnsi" w:eastAsiaTheme="minorEastAsia" w:hAnsiTheme="minorHAnsi" w:cstheme="minorBidi"/>
          <w:noProof/>
          <w:sz w:val="22"/>
        </w:rPr>
      </w:pPr>
      <w:hyperlink w:anchor="_Toc239794897" w:history="1">
        <w:r w:rsidRPr="009D0746">
          <w:rPr>
            <w:rStyle w:val="Hyperlink"/>
            <w:noProof/>
          </w:rPr>
          <w:t>Table 5: Cross-Case Credibility Comparison</w:t>
        </w:r>
        <w:r>
          <w:rPr>
            <w:noProof/>
            <w:webHidden/>
          </w:rPr>
          <w:tab/>
        </w:r>
        <w:r>
          <w:rPr>
            <w:noProof/>
            <w:webHidden/>
          </w:rPr>
          <w:fldChar w:fldCharType="begin"/>
        </w:r>
        <w:r>
          <w:rPr>
            <w:noProof/>
            <w:webHidden/>
          </w:rPr>
          <w:instrText xml:space="preserve"> PAGEREF _Toc239794897 \h </w:instrText>
        </w:r>
        <w:r>
          <w:rPr>
            <w:noProof/>
            <w:webHidden/>
          </w:rPr>
        </w:r>
        <w:r>
          <w:rPr>
            <w:noProof/>
            <w:webHidden/>
          </w:rPr>
          <w:fldChar w:fldCharType="separate"/>
        </w:r>
        <w:r>
          <w:rPr>
            <w:noProof/>
            <w:webHidden/>
          </w:rPr>
          <w:t>56</w:t>
        </w:r>
        <w:r>
          <w:rPr>
            <w:noProof/>
            <w:webHidden/>
          </w:rPr>
          <w:fldChar w:fldCharType="end"/>
        </w:r>
      </w:hyperlink>
    </w:p>
    <w:p w14:paraId="394CFC31" w14:textId="43BB23B6" w:rsidR="002953D8" w:rsidRDefault="002953D8">
      <w:pPr>
        <w:pStyle w:val="TableofFigures"/>
        <w:tabs>
          <w:tab w:val="right" w:leader="dot" w:pos="9350"/>
        </w:tabs>
        <w:rPr>
          <w:rFonts w:asciiTheme="minorHAnsi" w:eastAsiaTheme="minorEastAsia" w:hAnsiTheme="minorHAnsi" w:cstheme="minorBidi"/>
          <w:noProof/>
          <w:sz w:val="22"/>
        </w:rPr>
      </w:pPr>
      <w:hyperlink w:anchor="_Toc239794898" w:history="1">
        <w:r w:rsidRPr="009D0746">
          <w:rPr>
            <w:rStyle w:val="Hyperlink"/>
            <w:noProof/>
          </w:rPr>
          <w:t>Table 6: Managerial Action and Control Framework</w:t>
        </w:r>
        <w:r>
          <w:rPr>
            <w:noProof/>
            <w:webHidden/>
          </w:rPr>
          <w:tab/>
        </w:r>
        <w:r>
          <w:rPr>
            <w:noProof/>
            <w:webHidden/>
          </w:rPr>
          <w:fldChar w:fldCharType="begin"/>
        </w:r>
        <w:r>
          <w:rPr>
            <w:noProof/>
            <w:webHidden/>
          </w:rPr>
          <w:instrText xml:space="preserve"> PAGEREF _Toc239794898 \h </w:instrText>
        </w:r>
        <w:r>
          <w:rPr>
            <w:noProof/>
            <w:webHidden/>
          </w:rPr>
        </w:r>
        <w:r>
          <w:rPr>
            <w:noProof/>
            <w:webHidden/>
          </w:rPr>
          <w:fldChar w:fldCharType="separate"/>
        </w:r>
        <w:r>
          <w:rPr>
            <w:noProof/>
            <w:webHidden/>
          </w:rPr>
          <w:t>65</w:t>
        </w:r>
        <w:r>
          <w:rPr>
            <w:noProof/>
            <w:webHidden/>
          </w:rPr>
          <w:fldChar w:fldCharType="end"/>
        </w:r>
      </w:hyperlink>
    </w:p>
    <w:p w14:paraId="5973ABBB" w14:textId="28CF05E5" w:rsidR="002953D8" w:rsidRDefault="002953D8">
      <w:pPr>
        <w:pStyle w:val="TableofFigures"/>
        <w:tabs>
          <w:tab w:val="right" w:leader="dot" w:pos="9350"/>
        </w:tabs>
        <w:rPr>
          <w:rFonts w:asciiTheme="minorHAnsi" w:eastAsiaTheme="minorEastAsia" w:hAnsiTheme="minorHAnsi" w:cstheme="minorBidi"/>
          <w:noProof/>
          <w:sz w:val="22"/>
        </w:rPr>
      </w:pPr>
      <w:hyperlink w:anchor="_Toc239794899" w:history="1">
        <w:r w:rsidRPr="009D0746">
          <w:rPr>
            <w:rStyle w:val="Hyperlink"/>
            <w:noProof/>
          </w:rPr>
          <w:t>Table 7: Proposed Conceptual Framing</w:t>
        </w:r>
        <w:r>
          <w:rPr>
            <w:noProof/>
            <w:webHidden/>
          </w:rPr>
          <w:tab/>
        </w:r>
        <w:r>
          <w:rPr>
            <w:noProof/>
            <w:webHidden/>
          </w:rPr>
          <w:fldChar w:fldCharType="begin"/>
        </w:r>
        <w:r>
          <w:rPr>
            <w:noProof/>
            <w:webHidden/>
          </w:rPr>
          <w:instrText xml:space="preserve"> PAGEREF _Toc239794899 \h </w:instrText>
        </w:r>
        <w:r>
          <w:rPr>
            <w:noProof/>
            <w:webHidden/>
          </w:rPr>
        </w:r>
        <w:r>
          <w:rPr>
            <w:noProof/>
            <w:webHidden/>
          </w:rPr>
          <w:fldChar w:fldCharType="separate"/>
        </w:r>
        <w:r>
          <w:rPr>
            <w:noProof/>
            <w:webHidden/>
          </w:rPr>
          <w:t>80</w:t>
        </w:r>
        <w:r>
          <w:rPr>
            <w:noProof/>
            <w:webHidden/>
          </w:rPr>
          <w:fldChar w:fldCharType="end"/>
        </w:r>
      </w:hyperlink>
    </w:p>
    <w:p w14:paraId="45900D29" w14:textId="70DECDDA" w:rsidR="002953D8" w:rsidRDefault="002953D8">
      <w:pPr>
        <w:pStyle w:val="TableofFigures"/>
        <w:tabs>
          <w:tab w:val="right" w:leader="dot" w:pos="9350"/>
        </w:tabs>
        <w:rPr>
          <w:rFonts w:asciiTheme="minorHAnsi" w:eastAsiaTheme="minorEastAsia" w:hAnsiTheme="minorHAnsi" w:cstheme="minorBidi"/>
          <w:noProof/>
          <w:sz w:val="22"/>
        </w:rPr>
      </w:pPr>
      <w:hyperlink w:anchor="_Toc239794900" w:history="1">
        <w:r w:rsidRPr="009D0746">
          <w:rPr>
            <w:rStyle w:val="Hyperlink"/>
            <w:noProof/>
          </w:rPr>
          <w:t>Table 8: Operationalisation of the Conceptual Framework for Documentary Analysis</w:t>
        </w:r>
        <w:r>
          <w:rPr>
            <w:noProof/>
            <w:webHidden/>
          </w:rPr>
          <w:tab/>
        </w:r>
        <w:r>
          <w:rPr>
            <w:noProof/>
            <w:webHidden/>
          </w:rPr>
          <w:fldChar w:fldCharType="begin"/>
        </w:r>
        <w:r>
          <w:rPr>
            <w:noProof/>
            <w:webHidden/>
          </w:rPr>
          <w:instrText xml:space="preserve"> PAGEREF _Toc239794900 \h </w:instrText>
        </w:r>
        <w:r>
          <w:rPr>
            <w:noProof/>
            <w:webHidden/>
          </w:rPr>
        </w:r>
        <w:r>
          <w:rPr>
            <w:noProof/>
            <w:webHidden/>
          </w:rPr>
          <w:fldChar w:fldCharType="separate"/>
        </w:r>
        <w:r>
          <w:rPr>
            <w:noProof/>
            <w:webHidden/>
          </w:rPr>
          <w:t>81</w:t>
        </w:r>
        <w:r>
          <w:rPr>
            <w:noProof/>
            <w:webHidden/>
          </w:rPr>
          <w:fldChar w:fldCharType="end"/>
        </w:r>
      </w:hyperlink>
    </w:p>
    <w:p w14:paraId="4255AAC5" w14:textId="1006EE82" w:rsidR="002953D8" w:rsidRDefault="002953D8">
      <w:pPr>
        <w:pStyle w:val="TableofFigures"/>
        <w:tabs>
          <w:tab w:val="right" w:leader="dot" w:pos="9350"/>
        </w:tabs>
        <w:rPr>
          <w:rFonts w:asciiTheme="minorHAnsi" w:eastAsiaTheme="minorEastAsia" w:hAnsiTheme="minorHAnsi" w:cstheme="minorBidi"/>
          <w:noProof/>
          <w:sz w:val="22"/>
        </w:rPr>
      </w:pPr>
      <w:hyperlink w:anchor="_Toc239794901" w:history="1">
        <w:r w:rsidRPr="009D0746">
          <w:rPr>
            <w:rStyle w:val="Hyperlink"/>
            <w:noProof/>
          </w:rPr>
          <w:t>Table 9: Cross-Case Analytical Findings Matrix</w:t>
        </w:r>
        <w:r>
          <w:rPr>
            <w:noProof/>
            <w:webHidden/>
          </w:rPr>
          <w:tab/>
        </w:r>
        <w:r>
          <w:rPr>
            <w:noProof/>
            <w:webHidden/>
          </w:rPr>
          <w:fldChar w:fldCharType="begin"/>
        </w:r>
        <w:r>
          <w:rPr>
            <w:noProof/>
            <w:webHidden/>
          </w:rPr>
          <w:instrText xml:space="preserve"> PAGEREF _Toc239794901 \h </w:instrText>
        </w:r>
        <w:r>
          <w:rPr>
            <w:noProof/>
            <w:webHidden/>
          </w:rPr>
        </w:r>
        <w:r>
          <w:rPr>
            <w:noProof/>
            <w:webHidden/>
          </w:rPr>
          <w:fldChar w:fldCharType="separate"/>
        </w:r>
        <w:r>
          <w:rPr>
            <w:noProof/>
            <w:webHidden/>
          </w:rPr>
          <w:t>82</w:t>
        </w:r>
        <w:r>
          <w:rPr>
            <w:noProof/>
            <w:webHidden/>
          </w:rPr>
          <w:fldChar w:fldCharType="end"/>
        </w:r>
      </w:hyperlink>
    </w:p>
    <w:p w14:paraId="6B852F57" w14:textId="11FEC160" w:rsidR="002953D8" w:rsidRDefault="002953D8">
      <w:pPr>
        <w:pStyle w:val="TableofFigures"/>
        <w:tabs>
          <w:tab w:val="right" w:leader="dot" w:pos="9350"/>
        </w:tabs>
        <w:rPr>
          <w:rFonts w:asciiTheme="minorHAnsi" w:eastAsiaTheme="minorEastAsia" w:hAnsiTheme="minorHAnsi" w:cstheme="minorBidi"/>
          <w:noProof/>
          <w:sz w:val="22"/>
        </w:rPr>
      </w:pPr>
      <w:hyperlink w:anchor="_Toc239794902" w:history="1">
        <w:r w:rsidRPr="009D0746">
          <w:rPr>
            <w:rStyle w:val="Hyperlink"/>
            <w:noProof/>
          </w:rPr>
          <w:t>Table 10: Quantitative Sustainability Evidence and Target-Progress Matrix</w:t>
        </w:r>
        <w:r>
          <w:rPr>
            <w:noProof/>
            <w:webHidden/>
          </w:rPr>
          <w:tab/>
        </w:r>
        <w:r>
          <w:rPr>
            <w:noProof/>
            <w:webHidden/>
          </w:rPr>
          <w:fldChar w:fldCharType="begin"/>
        </w:r>
        <w:r>
          <w:rPr>
            <w:noProof/>
            <w:webHidden/>
          </w:rPr>
          <w:instrText xml:space="preserve"> PAGEREF _Toc239794902 \h </w:instrText>
        </w:r>
        <w:r>
          <w:rPr>
            <w:noProof/>
            <w:webHidden/>
          </w:rPr>
        </w:r>
        <w:r>
          <w:rPr>
            <w:noProof/>
            <w:webHidden/>
          </w:rPr>
          <w:fldChar w:fldCharType="separate"/>
        </w:r>
        <w:r>
          <w:rPr>
            <w:noProof/>
            <w:webHidden/>
          </w:rPr>
          <w:t>83</w:t>
        </w:r>
        <w:r>
          <w:rPr>
            <w:noProof/>
            <w:webHidden/>
          </w:rPr>
          <w:fldChar w:fldCharType="end"/>
        </w:r>
      </w:hyperlink>
    </w:p>
    <w:p w14:paraId="6F760C65" w14:textId="0BAF0FEA" w:rsidR="002953D8" w:rsidRDefault="002953D8">
      <w:pPr>
        <w:pStyle w:val="TableofFigures"/>
        <w:tabs>
          <w:tab w:val="right" w:leader="dot" w:pos="9350"/>
        </w:tabs>
        <w:rPr>
          <w:rFonts w:asciiTheme="minorHAnsi" w:eastAsiaTheme="minorEastAsia" w:hAnsiTheme="minorHAnsi" w:cstheme="minorBidi"/>
          <w:noProof/>
          <w:sz w:val="22"/>
        </w:rPr>
      </w:pPr>
      <w:hyperlink w:anchor="_Toc239794903" w:history="1">
        <w:r w:rsidRPr="009D0746">
          <w:rPr>
            <w:rStyle w:val="Hyperlink"/>
            <w:noProof/>
          </w:rPr>
          <w:t>Table 11: Cross-Case Discussion Synthesis Matrix</w:t>
        </w:r>
        <w:r>
          <w:rPr>
            <w:noProof/>
            <w:webHidden/>
          </w:rPr>
          <w:tab/>
        </w:r>
        <w:r>
          <w:rPr>
            <w:noProof/>
            <w:webHidden/>
          </w:rPr>
          <w:fldChar w:fldCharType="begin"/>
        </w:r>
        <w:r>
          <w:rPr>
            <w:noProof/>
            <w:webHidden/>
          </w:rPr>
          <w:instrText xml:space="preserve"> PAGEREF _Toc239794903 \h </w:instrText>
        </w:r>
        <w:r>
          <w:rPr>
            <w:noProof/>
            <w:webHidden/>
          </w:rPr>
        </w:r>
        <w:r>
          <w:rPr>
            <w:noProof/>
            <w:webHidden/>
          </w:rPr>
          <w:fldChar w:fldCharType="separate"/>
        </w:r>
        <w:r>
          <w:rPr>
            <w:noProof/>
            <w:webHidden/>
          </w:rPr>
          <w:t>84</w:t>
        </w:r>
        <w:r>
          <w:rPr>
            <w:noProof/>
            <w:webHidden/>
          </w:rPr>
          <w:fldChar w:fldCharType="end"/>
        </w:r>
      </w:hyperlink>
    </w:p>
    <w:p w14:paraId="699A56D1" w14:textId="0BBBAB51" w:rsidR="00FC1713" w:rsidRDefault="005A71A4" w:rsidP="005A71A4">
      <w:pPr>
        <w:widowControl/>
        <w:autoSpaceDE/>
        <w:autoSpaceDN/>
        <w:spacing w:after="160" w:line="259" w:lineRule="auto"/>
        <w:jc w:val="left"/>
        <w:rPr>
          <w:rFonts w:eastAsiaTheme="majorEastAsia" w:cstheme="majorBidi"/>
          <w:b/>
          <w:i/>
          <w:color w:val="657C9C" w:themeColor="text2" w:themeTint="BF"/>
          <w:sz w:val="32"/>
          <w:szCs w:val="40"/>
        </w:rPr>
      </w:pPr>
      <w:r>
        <w:fldChar w:fldCharType="end"/>
      </w:r>
      <w:r w:rsidR="00FC1713">
        <w:br w:type="page"/>
      </w:r>
    </w:p>
    <w:p w14:paraId="1CDACDD9" w14:textId="79A5D2F1" w:rsidR="008202AE" w:rsidRPr="008202AE" w:rsidRDefault="008202AE" w:rsidP="008202AE">
      <w:pPr>
        <w:pStyle w:val="Heading1"/>
        <w:jc w:val="center"/>
      </w:pPr>
      <w:bookmarkStart w:id="0" w:name="_Toc239795010"/>
      <w:r w:rsidRPr="008202AE">
        <w:lastRenderedPageBreak/>
        <w:t>Chapter 1: Introduction and Rationale</w:t>
      </w:r>
      <w:bookmarkEnd w:id="0"/>
    </w:p>
    <w:p w14:paraId="03EDD168" w14:textId="2FCB1469" w:rsidR="008202AE" w:rsidRPr="008202AE" w:rsidRDefault="008202AE" w:rsidP="008202AE">
      <w:pPr>
        <w:pStyle w:val="Heading2"/>
      </w:pPr>
      <w:bookmarkStart w:id="1" w:name="_Toc239795011"/>
      <w:r w:rsidRPr="008202AE">
        <w:t>1.1. Research Background</w:t>
      </w:r>
      <w:bookmarkEnd w:id="1"/>
    </w:p>
    <w:p w14:paraId="55873F3F" w14:textId="7C5B422F" w:rsidR="008202AE" w:rsidRPr="008202AE" w:rsidRDefault="00B90618" w:rsidP="008202AE">
      <w:r w:rsidRPr="00B90618">
        <w:t>The UK grocery retail market offers a context for studying sustainability marketing communication</w:t>
      </w:r>
      <w:r>
        <w:t>,</w:t>
      </w:r>
      <w:r w:rsidRPr="00B90618">
        <w:t xml:space="preserve"> as price, convenience, and quality are becoming significant factors in the competition between the major grocery retailers, as is environmental responsibility. M&amp;S is a particular focus case due to the fact that the food business is a part of the clothing and home and beauty business, so communicating its sustainability touches on the sourcing, packaging, energy, waste and supply-chain standards of both businesses. For 2024/25, M&amp;S had group revenues of £13.8 billion, with </w:t>
      </w:r>
      <w:r>
        <w:t>its</w:t>
      </w:r>
      <w:r w:rsidRPr="00B90618">
        <w:t xml:space="preserve"> food sales increasing by 8.7% and </w:t>
      </w:r>
      <w:r>
        <w:t>its</w:t>
      </w:r>
      <w:r w:rsidRPr="00B90618">
        <w:t xml:space="preserve"> Fashion, Home and Beauty sales increasing by 3.5% (Marks and Spencer Group plc, 2025). Plan A also offers a sound sustainability agenda and ambition to have a net zero value chain by 2040 (Marks and Spencer Group plc, 2025). In this study, M&amp;S is used as the focal case company, while other grocery retailers, namely Tesco, </w:t>
      </w:r>
      <w:proofErr w:type="spellStart"/>
      <w:r w:rsidRPr="00B90618">
        <w:t>Asda</w:t>
      </w:r>
      <w:proofErr w:type="spellEnd"/>
      <w:r w:rsidRPr="00B90618">
        <w:t xml:space="preserve">, </w:t>
      </w:r>
      <w:proofErr w:type="spellStart"/>
      <w:r w:rsidRPr="00B90618">
        <w:t>Morrisons</w:t>
      </w:r>
      <w:proofErr w:type="spellEnd"/>
      <w:r w:rsidRPr="00B90618">
        <w:t xml:space="preserve"> and Sainsbury's</w:t>
      </w:r>
      <w:r>
        <w:t>,</w:t>
      </w:r>
      <w:r w:rsidRPr="00B90618">
        <w:t xml:space="preserve"> are used as comparator companies in the grocery retail sector in the UK</w:t>
      </w:r>
      <w:r w:rsidR="008E21A2" w:rsidRPr="008E21A2">
        <w:t>.</w:t>
      </w:r>
    </w:p>
    <w:p w14:paraId="086865AA" w14:textId="77777777" w:rsidR="00C5622F" w:rsidRDefault="001C534D" w:rsidP="00C5622F">
      <w:pPr>
        <w:keepNext/>
      </w:pPr>
      <w:r w:rsidRPr="001C534D">
        <w:rPr>
          <w:noProof/>
        </w:rPr>
        <w:drawing>
          <wp:inline distT="0" distB="0" distL="0" distR="0" wp14:anchorId="72898EF8" wp14:editId="05CD36CB">
            <wp:extent cx="5943600" cy="29279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927985"/>
                    </a:xfrm>
                    <a:prstGeom prst="rect">
                      <a:avLst/>
                    </a:prstGeom>
                  </pic:spPr>
                </pic:pic>
              </a:graphicData>
            </a:graphic>
          </wp:inline>
        </w:drawing>
      </w:r>
    </w:p>
    <w:p w14:paraId="7D0D1ADA" w14:textId="39D5C3F2" w:rsidR="00653248" w:rsidRDefault="00C5622F" w:rsidP="00C5622F">
      <w:pPr>
        <w:pStyle w:val="Caption"/>
        <w:jc w:val="center"/>
      </w:pPr>
      <w:bookmarkStart w:id="2" w:name="_Toc239794904"/>
      <w:r>
        <w:t xml:space="preserve">Figure </w:t>
      </w:r>
      <w:r w:rsidR="00F175CF">
        <w:fldChar w:fldCharType="begin"/>
      </w:r>
      <w:r w:rsidR="00F175CF">
        <w:instrText xml:space="preserve"> SEQ Figure \* ARABIC </w:instrText>
      </w:r>
      <w:r w:rsidR="00F175CF">
        <w:fldChar w:fldCharType="separate"/>
      </w:r>
      <w:r w:rsidR="00F175CF">
        <w:rPr>
          <w:noProof/>
        </w:rPr>
        <w:t>1</w:t>
      </w:r>
      <w:r w:rsidR="00F175CF">
        <w:rPr>
          <w:noProof/>
        </w:rPr>
        <w:fldChar w:fldCharType="end"/>
      </w:r>
      <w:r>
        <w:t>:</w:t>
      </w:r>
      <w:r w:rsidRPr="00401BDF">
        <w:t xml:space="preserve"> Multiple case framing of M&amp;S with comparator UK grocery retailers. Source: Self-made based on Marks and Spencer Group plc (2025), Tesco plc (2026), </w:t>
      </w:r>
      <w:proofErr w:type="spellStart"/>
      <w:r w:rsidRPr="00401BDF">
        <w:t>Asda</w:t>
      </w:r>
      <w:proofErr w:type="spellEnd"/>
      <w:r w:rsidRPr="00401BDF">
        <w:t xml:space="preserve"> Group Ltd (2025), J Sainsbury plc (2025) and </w:t>
      </w:r>
      <w:proofErr w:type="spellStart"/>
      <w:r w:rsidRPr="00401BDF">
        <w:t>Morrisons</w:t>
      </w:r>
      <w:proofErr w:type="spellEnd"/>
      <w:r w:rsidRPr="00401BDF">
        <w:t xml:space="preserve"> (2025).</w:t>
      </w:r>
      <w:bookmarkEnd w:id="2"/>
    </w:p>
    <w:p w14:paraId="6E3A2C52" w14:textId="77777777" w:rsidR="000C5B08" w:rsidRDefault="005669B4" w:rsidP="005669B4">
      <w:r>
        <w:t xml:space="preserve">Figure 1 helps to clarify the case-selection logic for this study. M&amp;S is included in the </w:t>
      </w:r>
      <w:proofErr w:type="spellStart"/>
      <w:r>
        <w:t>centre</w:t>
      </w:r>
      <w:proofErr w:type="spellEnd"/>
      <w:r>
        <w:t xml:space="preserve"> as it is the focal case, whilst there are comparator retailers in the form of Tesco, </w:t>
      </w:r>
      <w:proofErr w:type="spellStart"/>
      <w:r>
        <w:t>Asda</w:t>
      </w:r>
      <w:proofErr w:type="spellEnd"/>
      <w:r>
        <w:t xml:space="preserve">, Sainsbury’s and </w:t>
      </w:r>
      <w:proofErr w:type="spellStart"/>
      <w:r>
        <w:t>Morrisons</w:t>
      </w:r>
      <w:proofErr w:type="spellEnd"/>
      <w:r>
        <w:t>. The scale/market indicator for each retailer gives an idea of its commercial position</w:t>
      </w:r>
    </w:p>
    <w:p w14:paraId="67064845" w14:textId="21E8776C" w:rsidR="005669B4" w:rsidRDefault="005669B4" w:rsidP="005669B4">
      <w:r>
        <w:lastRenderedPageBreak/>
        <w:t xml:space="preserve">and the relevance statement explains why each case is relevant to the comparison. This design illustrates that M&amp;S is not explored without being related to other elements. The study, instead, relies on different market positions of retailers and contexts for communicating sustainability to deepen the foundation for cross-case analysis. The figure is also directly connected to the later documentary analysis, where all five retailers are </w:t>
      </w:r>
      <w:proofErr w:type="spellStart"/>
      <w:r w:rsidR="00CD1606">
        <w:t>analysed</w:t>
      </w:r>
      <w:proofErr w:type="spellEnd"/>
      <w:r>
        <w:t xml:space="preserve"> with respect to clarity of claims, supporting evidence and the consistency and transparency of the message. This also helps to make clearer the purpose of each case in comparison.</w:t>
      </w:r>
    </w:p>
    <w:p w14:paraId="770F7F57" w14:textId="77777777" w:rsidR="005669B4" w:rsidRDefault="005669B4" w:rsidP="005669B4"/>
    <w:p w14:paraId="6145F13E" w14:textId="06587A86" w:rsidR="008202AE" w:rsidRPr="006A5025" w:rsidRDefault="005669B4" w:rsidP="005669B4">
      <w:pPr>
        <w:rPr>
          <w:color w:val="FF0000"/>
        </w:rPr>
      </w:pPr>
      <w:r>
        <w:t>The following dimensions are crucial as they are important for the credibility of sustainability communication: clear, transparent, evidence-based and in line with practice. For Marketing messages to be effective</w:t>
      </w:r>
      <w:r w:rsidR="00CD1606">
        <w:t>,</w:t>
      </w:r>
      <w:r>
        <w:t xml:space="preserve"> they need to be meaningful, differentiated and believable (Kotler et al., 2026). Environmental claims that are vague and/or exaggerated can diminish green brand trust and authenticity (Wu and Liu, 2022). Environmental claims need therefore to be accurate, transparent and substantiated (ASA, 2023). Regulatory guidance on clear and evidenced green claims similarly suggests these expectations</w:t>
      </w:r>
      <w:r w:rsidR="00CD1606">
        <w:t xml:space="preserve"> (CMA, 2024)</w:t>
      </w:r>
      <w:r>
        <w:t xml:space="preserve">. Consumer </w:t>
      </w:r>
      <w:proofErr w:type="spellStart"/>
      <w:r>
        <w:t>scepticism</w:t>
      </w:r>
      <w:proofErr w:type="spellEnd"/>
      <w:r>
        <w:t xml:space="preserve"> is also relevant as 57% of UK consumers think businesses deceive the public about the environmental, social and economic effects (GS1 UK, 2024). As a result, this study does not measure </w:t>
      </w:r>
      <w:r w:rsidR="00CD1606">
        <w:t>consumers'</w:t>
      </w:r>
      <w:r>
        <w:t xml:space="preserve"> trust directly, but rather examines credibility signals and their potential as signals of </w:t>
      </w:r>
      <w:r w:rsidR="00CD1606">
        <w:t>brand trust</w:t>
      </w:r>
      <w:r w:rsidR="0097644A" w:rsidRPr="00B90618">
        <w:t>.</w:t>
      </w:r>
    </w:p>
    <w:p w14:paraId="4141FA68" w14:textId="77777777" w:rsidR="00653248" w:rsidRPr="00653248" w:rsidRDefault="00653248" w:rsidP="00653248">
      <w:pPr>
        <w:pStyle w:val="Heading2"/>
      </w:pPr>
      <w:bookmarkStart w:id="3" w:name="_Toc239795012"/>
      <w:r w:rsidRPr="00653248">
        <w:t>1.2 Research Rationale</w:t>
      </w:r>
      <w:bookmarkEnd w:id="3"/>
    </w:p>
    <w:p w14:paraId="1B302D04" w14:textId="77777777" w:rsidR="00653248" w:rsidRPr="00653248" w:rsidRDefault="00653248" w:rsidP="00653248">
      <w:pPr>
        <w:pStyle w:val="Heading3"/>
      </w:pPr>
      <w:bookmarkStart w:id="4" w:name="_Toc239795013"/>
      <w:r w:rsidRPr="00653248">
        <w:t>1.2.1 Theoretical Justification</w:t>
      </w:r>
      <w:bookmarkEnd w:id="4"/>
    </w:p>
    <w:p w14:paraId="697536C6" w14:textId="77777777" w:rsidR="00A86578" w:rsidRDefault="0097644A" w:rsidP="00653248">
      <w:r w:rsidRPr="0097644A">
        <w:t xml:space="preserve">As seen in the existing literature, sustainability marketing communication is now a key element of the brand as companies aim to communicate their responsibility, credibility and </w:t>
      </w:r>
      <w:r>
        <w:t>long-term</w:t>
      </w:r>
      <w:r w:rsidRPr="0097644A">
        <w:t xml:space="preserve"> value through it. From a marketing point of view, the greater the clarity, differentiation and substantiation of the messages, the stronger the brand (Kotler et al., 2026). </w:t>
      </w:r>
      <w:r w:rsidR="00B90618" w:rsidRPr="00B90618">
        <w:t>In the sustainability arena, brand trust becomes particularly crucial since it is hard for consumers to confirm sustainability-related information concerning emissions, sourcing, packaging, waste, and ethical practices. Hence, honesty, consistency and clarity are vital for sustainability communication to build the credibility of the communication conditions related to brand trust</w:t>
      </w:r>
      <w:r w:rsidR="006A5025" w:rsidRPr="00B90618">
        <w:t>.</w:t>
      </w:r>
      <w:r w:rsidRPr="00B90618">
        <w:t xml:space="preserve"> </w:t>
      </w:r>
      <w:r w:rsidRPr="0097644A">
        <w:t xml:space="preserve">However, the basis of customer relationships is confidence in </w:t>
      </w:r>
      <w:r>
        <w:t xml:space="preserve">an </w:t>
      </w:r>
      <w:proofErr w:type="spellStart"/>
      <w:r>
        <w:t>organisation's</w:t>
      </w:r>
      <w:proofErr w:type="spellEnd"/>
      <w:r w:rsidRPr="0097644A">
        <w:t xml:space="preserve"> promises, so sustainability messages need </w:t>
      </w:r>
    </w:p>
    <w:p w14:paraId="223BC600" w14:textId="50C33215" w:rsidR="00653248" w:rsidRPr="00653248" w:rsidRDefault="0097644A" w:rsidP="00653248">
      <w:r w:rsidRPr="0097644A">
        <w:t xml:space="preserve">to be evaluated as relationship-building </w:t>
      </w:r>
      <w:r w:rsidR="00D20EFE">
        <w:t>messages</w:t>
      </w:r>
      <w:r w:rsidRPr="0097644A">
        <w:t xml:space="preserve">, </w:t>
      </w:r>
      <w:r w:rsidR="00FC306C" w:rsidRPr="00FC306C">
        <w:t xml:space="preserve">rather than simply as promotional </w:t>
      </w:r>
      <w:r w:rsidR="00FC306C" w:rsidRPr="00FC306C">
        <w:lastRenderedPageBreak/>
        <w:t>communication</w:t>
      </w:r>
      <w:r w:rsidR="005669B4">
        <w:t xml:space="preserve"> (</w:t>
      </w:r>
      <w:r w:rsidR="005669B4" w:rsidRPr="0097644A">
        <w:t>Prior et al.</w:t>
      </w:r>
      <w:r w:rsidR="005669B4">
        <w:t>,</w:t>
      </w:r>
      <w:r w:rsidR="005669B4" w:rsidRPr="0097644A">
        <w:t xml:space="preserve"> 2024)</w:t>
      </w:r>
      <w:r w:rsidRPr="0097644A">
        <w:t xml:space="preserve">. Additionally, from the green marketing research perspective, the perception of authenticity of environmental claims and their congruence with the broader </w:t>
      </w:r>
      <w:proofErr w:type="spellStart"/>
      <w:r>
        <w:t>organisational</w:t>
      </w:r>
      <w:proofErr w:type="spellEnd"/>
      <w:r>
        <w:t xml:space="preserve"> </w:t>
      </w:r>
      <w:proofErr w:type="spellStart"/>
      <w:r>
        <w:t>behaviour</w:t>
      </w:r>
      <w:proofErr w:type="spellEnd"/>
      <w:r w:rsidRPr="0097644A">
        <w:t xml:space="preserve"> influence trust (Jamal et al., 2023). </w:t>
      </w:r>
      <w:r w:rsidR="00F53A57" w:rsidRPr="00F53A57">
        <w:t>Greenwashing further complicates this relationship by creating uncertainty about the authenticity and credibility of sustainability claims</w:t>
      </w:r>
      <w:r w:rsidRPr="0097644A">
        <w:t xml:space="preserve">.  </w:t>
      </w:r>
      <w:r w:rsidR="005669B4">
        <w:t>G</w:t>
      </w:r>
      <w:r w:rsidRPr="0097644A">
        <w:t>reen marketing can enhance brand trust</w:t>
      </w:r>
      <w:r>
        <w:t>,</w:t>
      </w:r>
      <w:r w:rsidRPr="0097644A">
        <w:t xml:space="preserve"> which is lessened when consumers are aware of </w:t>
      </w:r>
      <w:r w:rsidR="006A5025">
        <w:t>greenwashing</w:t>
      </w:r>
      <w:r w:rsidR="005669B4">
        <w:t xml:space="preserve"> (</w:t>
      </w:r>
      <w:r w:rsidR="005669B4" w:rsidRPr="0097644A">
        <w:t>Wu and Liu</w:t>
      </w:r>
      <w:r w:rsidR="005669B4">
        <w:t xml:space="preserve">, </w:t>
      </w:r>
      <w:r w:rsidR="005669B4" w:rsidRPr="0097644A">
        <w:t>2022)</w:t>
      </w:r>
      <w:r w:rsidRPr="0097644A">
        <w:t>. Likewise</w:t>
      </w:r>
      <w:r w:rsidR="005669B4">
        <w:t xml:space="preserve">, </w:t>
      </w:r>
      <w:r w:rsidRPr="0097644A">
        <w:t>brand image and satisfaction are also influential factors in green trust, but become weaker if firms claim to be greener than they actually are</w:t>
      </w:r>
      <w:r w:rsidR="005669B4">
        <w:t xml:space="preserve"> (</w:t>
      </w:r>
      <w:r w:rsidR="005669B4" w:rsidRPr="0097644A">
        <w:t>Ha et al.</w:t>
      </w:r>
      <w:r w:rsidR="005669B4">
        <w:t xml:space="preserve">, </w:t>
      </w:r>
      <w:r w:rsidR="005669B4" w:rsidRPr="0097644A">
        <w:t>2022)</w:t>
      </w:r>
      <w:r w:rsidRPr="0097644A">
        <w:t xml:space="preserve">. This study is thus guided by the theory on green trust, </w:t>
      </w:r>
      <w:r>
        <w:t xml:space="preserve">the </w:t>
      </w:r>
      <w:r w:rsidRPr="0097644A">
        <w:t xml:space="preserve">literature on greenwashing and </w:t>
      </w:r>
      <w:proofErr w:type="spellStart"/>
      <w:r w:rsidRPr="0097644A">
        <w:t>signalling</w:t>
      </w:r>
      <w:proofErr w:type="spellEnd"/>
      <w:r w:rsidRPr="0097644A">
        <w:t xml:space="preserve"> theory</w:t>
      </w:r>
      <w:r w:rsidR="0088768F" w:rsidRPr="0088768F">
        <w:t>.</w:t>
      </w:r>
    </w:p>
    <w:p w14:paraId="6A27B5C7" w14:textId="70579C23" w:rsidR="00653248" w:rsidRPr="00653248" w:rsidRDefault="00B90618" w:rsidP="00653248">
      <w:r w:rsidRPr="00B90618">
        <w:t>It is not as evident how sustainability marketing communication and brand trust are related within the established UK grocery retail market with its growing number of sustainability claims</w:t>
      </w:r>
      <w:r w:rsidR="0097644A" w:rsidRPr="00B90618">
        <w:t>.</w:t>
      </w:r>
      <w:r w:rsidR="0097644A" w:rsidRPr="0097644A">
        <w:t xml:space="preserve"> Previous studies have tried to understand the phenomenon of green marketing and greenwashing in a general sense, but </w:t>
      </w:r>
      <w:r w:rsidR="00265295">
        <w:t>have given</w:t>
      </w:r>
      <w:r w:rsidR="007F0820">
        <w:t xml:space="preserve"> limited attention</w:t>
      </w:r>
      <w:r w:rsidR="0097644A" w:rsidRPr="0097644A">
        <w:t xml:space="preserve"> to </w:t>
      </w:r>
      <w:r w:rsidR="007F0820">
        <w:t xml:space="preserve">the combination of </w:t>
      </w:r>
      <w:r w:rsidR="007F0820" w:rsidRPr="0097644A">
        <w:t>claim</w:t>
      </w:r>
      <w:r w:rsidR="007F0820">
        <w:t xml:space="preserve"> </w:t>
      </w:r>
      <w:r w:rsidR="0097644A" w:rsidRPr="0097644A">
        <w:t>clari</w:t>
      </w:r>
      <w:r w:rsidR="007F0820">
        <w:t>ty</w:t>
      </w:r>
      <w:r w:rsidR="0097644A" w:rsidRPr="0097644A">
        <w:t xml:space="preserve">, evidence quality, </w:t>
      </w:r>
      <w:r w:rsidR="007F0820">
        <w:t>cross-</w:t>
      </w:r>
      <w:r w:rsidR="0097644A" w:rsidRPr="0097644A">
        <w:t xml:space="preserve">channel consistency, or </w:t>
      </w:r>
      <w:r w:rsidR="001418C8" w:rsidRPr="001418C8">
        <w:t>cross-case comparison</w:t>
      </w:r>
      <w:r w:rsidR="007F0820">
        <w:t xml:space="preserve"> of sustainab</w:t>
      </w:r>
      <w:r w:rsidR="0018743B">
        <w:t>ility</w:t>
      </w:r>
      <w:r w:rsidR="007F0820">
        <w:t xml:space="preserve"> communication in the </w:t>
      </w:r>
      <w:r w:rsidR="006A5025" w:rsidRPr="006A5025">
        <w:t>UK grocery retail sector</w:t>
      </w:r>
      <w:r w:rsidR="0097644A" w:rsidRPr="0097644A">
        <w:t xml:space="preserve">. </w:t>
      </w:r>
      <w:r w:rsidRPr="00B90618">
        <w:t xml:space="preserve">This is especially pertinent for M&amp;S, Tesco, </w:t>
      </w:r>
      <w:proofErr w:type="spellStart"/>
      <w:r w:rsidRPr="00B90618">
        <w:t>Asda</w:t>
      </w:r>
      <w:proofErr w:type="spellEnd"/>
      <w:r w:rsidRPr="00B90618">
        <w:t xml:space="preserve">, </w:t>
      </w:r>
      <w:proofErr w:type="spellStart"/>
      <w:r w:rsidRPr="00B90618">
        <w:t>Morrisons</w:t>
      </w:r>
      <w:proofErr w:type="spellEnd"/>
      <w:r w:rsidRPr="00B90618">
        <w:t xml:space="preserve"> and Sainsbury's as they send their sustainability message through their reports, on their website, in product packaging, campaigns, social media and on product labels</w:t>
      </w:r>
      <w:r w:rsidR="0097644A" w:rsidRPr="00B90618">
        <w:t xml:space="preserve">. </w:t>
      </w:r>
      <w:r w:rsidR="005669B4">
        <w:t>G</w:t>
      </w:r>
      <w:r w:rsidR="0097644A" w:rsidRPr="0097644A">
        <w:t>reen confusion can harm green brand equity, which implies that trust could be undermined by miscommunications, ambiguous language or too much information</w:t>
      </w:r>
      <w:r w:rsidR="005669B4">
        <w:t xml:space="preserve"> (</w:t>
      </w:r>
      <w:proofErr w:type="spellStart"/>
      <w:r w:rsidR="005669B4" w:rsidRPr="0097644A">
        <w:t>Qayyum</w:t>
      </w:r>
      <w:proofErr w:type="spellEnd"/>
      <w:r w:rsidR="005669B4" w:rsidRPr="0097644A">
        <w:t xml:space="preserve"> et al.</w:t>
      </w:r>
      <w:r w:rsidR="005669B4">
        <w:t xml:space="preserve">, </w:t>
      </w:r>
      <w:r w:rsidR="005669B4" w:rsidRPr="0097644A">
        <w:t>2023)</w:t>
      </w:r>
      <w:r w:rsidR="0097644A" w:rsidRPr="0097644A">
        <w:t>. In the digital context, the situation is more complex as sustainability messages are shared alongside misinformation, selective</w:t>
      </w:r>
      <w:r w:rsidR="00FC306C">
        <w:t xml:space="preserve"> </w:t>
      </w:r>
      <w:r w:rsidR="00FC306C" w:rsidRPr="00FC306C">
        <w:t>disclosure</w:t>
      </w:r>
      <w:r w:rsidR="0097644A" w:rsidRPr="0097644A">
        <w:t xml:space="preserve"> and public criticism. </w:t>
      </w:r>
      <w:r w:rsidR="005669B4">
        <w:t>M</w:t>
      </w:r>
      <w:r w:rsidR="0097644A" w:rsidRPr="0097644A">
        <w:t xml:space="preserve">isinformation leads to a decrease in trust in online information systems and thus to the assessment of sustainability messages in a </w:t>
      </w:r>
      <w:proofErr w:type="spellStart"/>
      <w:r w:rsidR="0097644A" w:rsidRPr="0097644A">
        <w:t>sceptical</w:t>
      </w:r>
      <w:proofErr w:type="spellEnd"/>
      <w:r w:rsidR="0097644A" w:rsidRPr="0097644A">
        <w:t xml:space="preserve"> environment</w:t>
      </w:r>
      <w:r w:rsidR="005669B4">
        <w:t xml:space="preserve"> (</w:t>
      </w:r>
      <w:proofErr w:type="spellStart"/>
      <w:r w:rsidR="005669B4" w:rsidRPr="0097644A">
        <w:t>Aïmeur</w:t>
      </w:r>
      <w:proofErr w:type="spellEnd"/>
      <w:r w:rsidR="005669B4">
        <w:t xml:space="preserve"> et al., </w:t>
      </w:r>
      <w:r w:rsidR="005669B4" w:rsidRPr="0097644A">
        <w:t>2023)</w:t>
      </w:r>
      <w:r w:rsidR="0097644A" w:rsidRPr="0097644A">
        <w:t xml:space="preserve">. </w:t>
      </w:r>
      <w:r w:rsidRPr="00B90618">
        <w:t xml:space="preserve">Social media has the potential to foster engagement and value co-creation as well, but there can be a risk of diminishing credibility if inconsistent or a lack of sustainability claims are made with insufficient evidence (Li et al., 2024). Ethical language, technical evidence and emotional branding are other components which make it hard to evaluate sustainability claims when combined in fashion and textiles research </w:t>
      </w:r>
      <w:r w:rsidR="0097644A" w:rsidRPr="0097644A">
        <w:t xml:space="preserve">(Badhwar et al., 2024). Thus, sustainability communication can, in part, </w:t>
      </w:r>
      <w:r w:rsidR="00965974">
        <w:t>support</w:t>
      </w:r>
      <w:r w:rsidR="0097644A" w:rsidRPr="0097644A">
        <w:t xml:space="preserve"> brand trust, yet there is not enough clarity on the conditions that lead to credibility</w:t>
      </w:r>
      <w:r w:rsidR="0088768F" w:rsidRPr="0088768F">
        <w:t>.</w:t>
      </w:r>
    </w:p>
    <w:p w14:paraId="107593F3" w14:textId="3ABA820F" w:rsidR="00653248" w:rsidRDefault="00AC14C3" w:rsidP="00653248">
      <w:r w:rsidRPr="00AC14C3">
        <w:t xml:space="preserve">Existing research in the field of sustainability marketing communication falls short in addressing the lack of understanding in relation to the potential implications on brand trust with major grocery retailers in the UK, and this is the gap for this study. While existing research offers some </w:t>
      </w:r>
      <w:r w:rsidRPr="00AC14C3">
        <w:lastRenderedPageBreak/>
        <w:t xml:space="preserve">perspectives on green trust, green brand image, greenwashing and green confusion, the interdependency of claim clarity, quality of evidence and substantiation, and message consistency and transparency are not as well understood in the context of retailer communication. This is especially important for M&amp;S as Plan A gives a unique sustainability identity which can be measured against similar sustainability communication from Tesco, </w:t>
      </w:r>
      <w:proofErr w:type="spellStart"/>
      <w:r w:rsidRPr="00AC14C3">
        <w:t>Asda</w:t>
      </w:r>
      <w:proofErr w:type="spellEnd"/>
      <w:r w:rsidRPr="00AC14C3">
        <w:t xml:space="preserve">, </w:t>
      </w:r>
      <w:proofErr w:type="spellStart"/>
      <w:r w:rsidRPr="00AC14C3">
        <w:t>Morrisons</w:t>
      </w:r>
      <w:proofErr w:type="spellEnd"/>
      <w:r w:rsidRPr="00AC14C3">
        <w:t xml:space="preserve"> and Sainsbury's (Marks and Spencer Group plc, 2025). </w:t>
      </w:r>
      <w:r w:rsidR="005669B4">
        <w:t>T</w:t>
      </w:r>
      <w:r w:rsidRPr="00AC14C3">
        <w:t>he assessment of greenwashing should be based on an integrated approach, with a combination of reports, websites, product statements and brand messages</w:t>
      </w:r>
      <w:r w:rsidR="005669B4">
        <w:t xml:space="preserve"> (</w:t>
      </w:r>
      <w:proofErr w:type="spellStart"/>
      <w:r w:rsidR="005669B4" w:rsidRPr="00AC14C3">
        <w:t>Nemes</w:t>
      </w:r>
      <w:proofErr w:type="spellEnd"/>
      <w:r w:rsidR="005669B4" w:rsidRPr="00AC14C3">
        <w:t xml:space="preserve"> et al.</w:t>
      </w:r>
      <w:r w:rsidR="005669B4">
        <w:t xml:space="preserve">, </w:t>
      </w:r>
      <w:r w:rsidR="005669B4" w:rsidRPr="00AC14C3">
        <w:t>2022)</w:t>
      </w:r>
      <w:r w:rsidR="006A5025" w:rsidRPr="00AC14C3">
        <w:t xml:space="preserve">. </w:t>
      </w:r>
      <w:r w:rsidR="00B90618" w:rsidRPr="00B90618">
        <w:t xml:space="preserve">This study therefore uses a multiple case study design, focused on M&amp;S and compared with other cases such as Tesco, </w:t>
      </w:r>
      <w:proofErr w:type="spellStart"/>
      <w:r w:rsidR="00B90618" w:rsidRPr="00B90618">
        <w:t>Asda</w:t>
      </w:r>
      <w:proofErr w:type="spellEnd"/>
      <w:r w:rsidR="00B90618" w:rsidRPr="00B90618">
        <w:t xml:space="preserve">, </w:t>
      </w:r>
      <w:proofErr w:type="spellStart"/>
      <w:r w:rsidR="00B90618" w:rsidRPr="00B90618">
        <w:t>Morrisons</w:t>
      </w:r>
      <w:proofErr w:type="spellEnd"/>
      <w:r w:rsidR="00B90618" w:rsidRPr="00B90618">
        <w:t xml:space="preserve"> and Sainsbury's, to </w:t>
      </w:r>
      <w:proofErr w:type="spellStart"/>
      <w:r w:rsidR="00B90618" w:rsidRPr="00B90618">
        <w:t>analyse</w:t>
      </w:r>
      <w:proofErr w:type="spellEnd"/>
      <w:r w:rsidR="00B90618" w:rsidRPr="00B90618">
        <w:t xml:space="preserve"> how communication was developed and evaluated as to its quality and credibility across the sources of information and to give consideration to the possible implications for brand trust without directly measuring consumer trust.</w:t>
      </w:r>
    </w:p>
    <w:p w14:paraId="4227F7A6" w14:textId="77777777" w:rsidR="00C31AF6" w:rsidRPr="00C31AF6" w:rsidRDefault="00C31AF6" w:rsidP="00C31AF6">
      <w:pPr>
        <w:pStyle w:val="Heading3"/>
      </w:pPr>
      <w:bookmarkStart w:id="5" w:name="_Toc239795014"/>
      <w:r w:rsidRPr="00C31AF6">
        <w:t>1.2.2 Practical Justification</w:t>
      </w:r>
      <w:bookmarkEnd w:id="5"/>
    </w:p>
    <w:p w14:paraId="10577A6C" w14:textId="365D5FED" w:rsidR="00B90618" w:rsidRPr="00AC14C3" w:rsidRDefault="00B90618" w:rsidP="00B90618">
      <w:r w:rsidRPr="00AC14C3">
        <w:t xml:space="preserve">The study is relevant both from a practical and managerial point of view as the UK grocery market is </w:t>
      </w:r>
      <w:proofErr w:type="spellStart"/>
      <w:r w:rsidRPr="00AC14C3">
        <w:t>characterised</w:t>
      </w:r>
      <w:proofErr w:type="spellEnd"/>
      <w:r w:rsidRPr="00AC14C3">
        <w:t xml:space="preserve"> by environmental concern and </w:t>
      </w:r>
      <w:proofErr w:type="spellStart"/>
      <w:r w:rsidRPr="00AC14C3">
        <w:t>scepticism</w:t>
      </w:r>
      <w:proofErr w:type="spellEnd"/>
      <w:r w:rsidRPr="00AC14C3">
        <w:t xml:space="preserve"> of green claims. </w:t>
      </w:r>
      <w:r w:rsidR="00AC14C3" w:rsidRPr="00AC14C3">
        <w:t>M&amp;S's</w:t>
      </w:r>
      <w:r w:rsidRPr="00AC14C3">
        <w:t xml:space="preserve"> communication around Plan A, sourcing, packaging, clothing materials and food standards are all indicators of the trustworthiness of its sustainability claims. This dissertation does not directly measure the perceptions of the customer, however. Managers are then tasked with making sustainability messages clear, distinct and based on evidence, rather than what Tesco, </w:t>
      </w:r>
      <w:proofErr w:type="spellStart"/>
      <w:r w:rsidRPr="00AC14C3">
        <w:t>Asda</w:t>
      </w:r>
      <w:proofErr w:type="spellEnd"/>
      <w:r w:rsidRPr="00AC14C3">
        <w:t xml:space="preserve">, </w:t>
      </w:r>
      <w:proofErr w:type="spellStart"/>
      <w:r w:rsidRPr="00AC14C3">
        <w:t>Morrisons</w:t>
      </w:r>
      <w:proofErr w:type="spellEnd"/>
      <w:r w:rsidRPr="00AC14C3">
        <w:t xml:space="preserve"> and Sainsbury's do. </w:t>
      </w:r>
      <w:r w:rsidR="005669B4">
        <w:t>Consumer</w:t>
      </w:r>
      <w:r w:rsidRPr="00AC14C3">
        <w:t xml:space="preserve"> </w:t>
      </w:r>
      <w:r w:rsidR="005669B4">
        <w:t>evidence also</w:t>
      </w:r>
      <w:r w:rsidRPr="00AC14C3">
        <w:t xml:space="preserve"> </w:t>
      </w:r>
      <w:r w:rsidR="005669B4">
        <w:t xml:space="preserve">shows they are </w:t>
      </w:r>
      <w:r w:rsidRPr="00AC14C3">
        <w:t>tired of sustainability</w:t>
      </w:r>
      <w:r w:rsidR="00AC14C3" w:rsidRPr="00AC14C3">
        <w:t>,</w:t>
      </w:r>
      <w:r w:rsidRPr="00AC14C3">
        <w:t xml:space="preserve"> with 61% saying that they were not interested in sustainability and 47% saying that there was no difference in adopting a more sustainable lifestyle</w:t>
      </w:r>
      <w:r w:rsidR="005669B4">
        <w:t xml:space="preserve"> (</w:t>
      </w:r>
      <w:r w:rsidR="005669B4" w:rsidRPr="00AC14C3">
        <w:t>Deloitte</w:t>
      </w:r>
      <w:r w:rsidR="005669B4">
        <w:t>,</w:t>
      </w:r>
      <w:r w:rsidR="005669B4" w:rsidRPr="00AC14C3">
        <w:t xml:space="preserve"> 2024</w:t>
      </w:r>
      <w:r w:rsidR="005669B4">
        <w:t>)</w:t>
      </w:r>
      <w:r w:rsidRPr="00AC14C3">
        <w:t>. The findings are considered market proof instead of evidence based on M&amp;S customers.</w:t>
      </w:r>
    </w:p>
    <w:p w14:paraId="07004C9E" w14:textId="07997261" w:rsidR="00B90618" w:rsidRPr="00AC14C3" w:rsidRDefault="00B90618" w:rsidP="00B90618">
      <w:r w:rsidRPr="00AC14C3">
        <w:t>Sustainability communication is one of the key elements of competitive positioning, has commercial relevance and is crucial (</w:t>
      </w:r>
      <w:proofErr w:type="spellStart"/>
      <w:r w:rsidRPr="00AC14C3">
        <w:t>Fenech</w:t>
      </w:r>
      <w:proofErr w:type="spellEnd"/>
      <w:r w:rsidRPr="00AC14C3">
        <w:t xml:space="preserve"> et al., 2024).</w:t>
      </w:r>
      <w:r w:rsidR="005669B4">
        <w:t xml:space="preserve"> The</w:t>
      </w:r>
      <w:r w:rsidRPr="00AC14C3">
        <w:t xml:space="preserve"> cumulative growth over five years for products that made ESG-related claims was 28% while the growth for products without such claims was 20% over five years</w:t>
      </w:r>
      <w:r w:rsidR="005669B4">
        <w:t xml:space="preserve"> (</w:t>
      </w:r>
      <w:r w:rsidR="005669B4" w:rsidRPr="00AC14C3">
        <w:t>Frey et al.</w:t>
      </w:r>
      <w:r w:rsidR="005669B4">
        <w:t xml:space="preserve">, </w:t>
      </w:r>
      <w:r w:rsidR="005669B4" w:rsidRPr="00AC14C3">
        <w:t>2023)</w:t>
      </w:r>
      <w:r w:rsidRPr="00AC14C3">
        <w:t xml:space="preserve">. But environmental claims do not necessarily build brand trust. They have to look substantiated and relate to </w:t>
      </w:r>
      <w:proofErr w:type="spellStart"/>
      <w:r w:rsidRPr="00AC14C3">
        <w:t>organisational</w:t>
      </w:r>
      <w:proofErr w:type="spellEnd"/>
      <w:r w:rsidRPr="00AC14C3">
        <w:t xml:space="preserve"> practice to be credible. This is crucial to M&amp;S as they are positioned as premium and have a reputation of quality, ethics and reliability</w:t>
      </w:r>
      <w:r w:rsidR="00AC14C3" w:rsidRPr="00AC14C3">
        <w:t>,</w:t>
      </w:r>
      <w:r w:rsidRPr="00AC14C3">
        <w:t xml:space="preserve"> whereas the competition is based on price and value.</w:t>
      </w:r>
    </w:p>
    <w:p w14:paraId="3187F289" w14:textId="77777777" w:rsidR="00B90618" w:rsidRPr="00AC14C3" w:rsidRDefault="00B90618" w:rsidP="00B90618">
      <w:r w:rsidRPr="00AC14C3">
        <w:t xml:space="preserve">Insufficient or ambiguous sustainability claims can lead to consumers' mistrust and attention of </w:t>
      </w:r>
      <w:r w:rsidRPr="00AC14C3">
        <w:lastRenderedPageBreak/>
        <w:t>the regulatory authorities as well as risk to the reputation. Sustainability communication is thus a marketing and compliance matter: the CMA has been looking at environmental claims by retail brands (Financial Times, 2024). Managers need to maintain simplicity and substantiation to ensure claims are understandable, and there is evidence for verification. Sustainability is not always the most important factor when choosing a packaging solution, as is shown by the packaging industry, where preferences for sustainable packaging are different for various product types and in different countries (</w:t>
      </w:r>
      <w:proofErr w:type="spellStart"/>
      <w:r w:rsidRPr="00AC14C3">
        <w:t>Nordigården</w:t>
      </w:r>
      <w:proofErr w:type="spellEnd"/>
      <w:r w:rsidRPr="00AC14C3">
        <w:t xml:space="preserve"> et al., 2025).</w:t>
      </w:r>
    </w:p>
    <w:p w14:paraId="346C2A06" w14:textId="1F6EE709" w:rsidR="00C31AF6" w:rsidRDefault="00B90618" w:rsidP="00B90618">
      <w:r w:rsidRPr="00AC14C3">
        <w:t>There is an opportunity cost, too. If M&amp;S is not better informed about the nature of good communication in building credibility and brand trust, they may be using Plan A too sparsely or not be able to distinguish their messages from those of their competitors. Sustainability claims with complex supply chains need care as such systems may be hard to measure and manage (</w:t>
      </w:r>
      <w:proofErr w:type="spellStart"/>
      <w:r w:rsidRPr="00AC14C3">
        <w:t>Mugoni</w:t>
      </w:r>
      <w:proofErr w:type="spellEnd"/>
      <w:r w:rsidRPr="00AC14C3">
        <w:t xml:space="preserve"> et al., 2024). The usefulness of this study is thus to discover communication traits which could make sustainability messages more relevant, credible and trustworthy to brand trust in the grocery retail sector in the UK</w:t>
      </w:r>
      <w:r w:rsidR="002D09F1">
        <w:t>.</w:t>
      </w:r>
    </w:p>
    <w:p w14:paraId="5DB0DD5A" w14:textId="77777777" w:rsidR="00FC1713" w:rsidRPr="00FC1713" w:rsidRDefault="00FC1713" w:rsidP="00FC1713">
      <w:pPr>
        <w:pStyle w:val="Heading2"/>
      </w:pPr>
      <w:bookmarkStart w:id="6" w:name="_Toc239795015"/>
      <w:r w:rsidRPr="00FC1713">
        <w:t>1.3 Research Contribution and Motivation</w:t>
      </w:r>
      <w:bookmarkEnd w:id="6"/>
    </w:p>
    <w:p w14:paraId="15EFC29D" w14:textId="18A55184" w:rsidR="00AC14C3" w:rsidRPr="00AC14C3" w:rsidRDefault="00AC14C3" w:rsidP="00AC14C3">
      <w:r w:rsidRPr="00AC14C3">
        <w:t xml:space="preserve">This research is the first to explore how the quality and credibility of sustainability communication either reinforce or undermine trust in a brand, and thus adds to sustainability marketing theory. Existing studies show that green marketing can contribute to trust while perceived greenwashing can erode the green trust and the meaning of the brand (Wu and Liu, 2022). The study will </w:t>
      </w:r>
      <w:proofErr w:type="spellStart"/>
      <w:r>
        <w:t>centre</w:t>
      </w:r>
      <w:proofErr w:type="spellEnd"/>
      <w:r w:rsidRPr="00AC14C3">
        <w:t xml:space="preserve"> on four related communication traits: claim clarity, evidence and substantiation quality, consistency and transparency of message. These dimensions are evaluated </w:t>
      </w:r>
      <w:r>
        <w:t>using</w:t>
      </w:r>
      <w:r w:rsidRPr="00AC14C3">
        <w:t xml:space="preserve"> secondary documentary evidence and look at the possible impact on brand trust from the credibility signals. The study does not directly measure consumer trust but uses the green trust and greenwashing perspectives in the context of grocers in the UK.</w:t>
      </w:r>
    </w:p>
    <w:p w14:paraId="2A09CEF6" w14:textId="54408BDB" w:rsidR="00AC14C3" w:rsidRPr="00AC14C3" w:rsidRDefault="00AC14C3" w:rsidP="00AC14C3">
      <w:r w:rsidRPr="00AC14C3">
        <w:t xml:space="preserve">The research is empirical, employing a multiple case design, with the focus on M&amp;S and the other stores as comparators: Tesco, </w:t>
      </w:r>
      <w:proofErr w:type="spellStart"/>
      <w:r w:rsidRPr="00AC14C3">
        <w:t>Asda</w:t>
      </w:r>
      <w:proofErr w:type="spellEnd"/>
      <w:r w:rsidRPr="00AC14C3">
        <w:t xml:space="preserve">, </w:t>
      </w:r>
      <w:proofErr w:type="spellStart"/>
      <w:r w:rsidRPr="00AC14C3">
        <w:t>Morrisons</w:t>
      </w:r>
      <w:proofErr w:type="spellEnd"/>
      <w:r w:rsidRPr="00AC14C3">
        <w:t xml:space="preserve"> and Sainsbury's. The suitability of M&amp;S is that Plan A is a sustainability identity that is established (Marks and Spencer Group plc, 2025). The comparator retailers also share information on the sustainability activities they are engaged in at their businesses regarding their sourcing, packaging, waste, emissions and reporting. An analysis of the communication focus, the supporting evidence, consistency, transparency and regulatory sensitivity of the annual report, sustainability report, website, campaign, product communication </w:t>
      </w:r>
      <w:r w:rsidRPr="00AC14C3">
        <w:lastRenderedPageBreak/>
        <w:t>and social media is therefore possible with the help of the cross-case analysis.</w:t>
      </w:r>
    </w:p>
    <w:p w14:paraId="06B62EDD" w14:textId="4D8D0222" w:rsidR="008E1917" w:rsidRPr="00AC14C3" w:rsidRDefault="00AC14C3" w:rsidP="00AC14C3">
      <w:r w:rsidRPr="00AC14C3">
        <w:t>The study is relevant to the practice of managers, marketers and sustainability teams. It can support M&amp;S in identifying sustainability claims and areas that have good support and need to be indicated with better language, evidence or business practice alignment. This is crucial since any environmental statements that are not specific enough or supported by evidence can lead to reputational and compliance issues (CMA, 2024). This study is novel in that it has created a framework of evaluation that integrates communication quality and greenwashing risk, cross-case comparison and possible brand-trust implications in the case of the major grocery retailers in the UK</w:t>
      </w:r>
      <w:r w:rsidR="00221088" w:rsidRPr="00221088">
        <w:t>.</w:t>
      </w:r>
    </w:p>
    <w:p w14:paraId="041DA414" w14:textId="02DFFFE0" w:rsidR="00FC1713" w:rsidRPr="00FC1713" w:rsidRDefault="00FC1713" w:rsidP="00FC1713">
      <w:pPr>
        <w:pStyle w:val="Heading2"/>
      </w:pPr>
      <w:bookmarkStart w:id="7" w:name="_Toc239795016"/>
      <w:r w:rsidRPr="00FC1713">
        <w:t>1.4 Research Aim, Objectives and Question</w:t>
      </w:r>
      <w:bookmarkEnd w:id="7"/>
    </w:p>
    <w:p w14:paraId="47D2AAB9" w14:textId="68C3D289" w:rsidR="00FC1713" w:rsidRDefault="00FC1713" w:rsidP="00FC1713">
      <w:pPr>
        <w:pStyle w:val="Heading3"/>
      </w:pPr>
      <w:bookmarkStart w:id="8" w:name="_Toc239795017"/>
      <w:r>
        <w:t>1.4.1 Research Aim</w:t>
      </w:r>
      <w:bookmarkEnd w:id="8"/>
    </w:p>
    <w:p w14:paraId="4EC20834" w14:textId="666A60EA" w:rsidR="008E21A2" w:rsidRPr="00FD6182" w:rsidRDefault="00A228B7" w:rsidP="00FC1713">
      <w:pPr>
        <w:rPr>
          <w:lang w:val="en-GB"/>
        </w:rPr>
      </w:pPr>
      <w:r w:rsidRPr="00A228B7">
        <w:t xml:space="preserve">The aim of this research is to investigate the impact of sustainability marketing communication on brand trust through a </w:t>
      </w:r>
      <w:r w:rsidR="0018743B">
        <w:t>multiple</w:t>
      </w:r>
      <w:r w:rsidR="00C82E94">
        <w:t xml:space="preserve"> </w:t>
      </w:r>
      <w:r w:rsidR="0018743B">
        <w:t>case</w:t>
      </w:r>
      <w:r w:rsidRPr="00A228B7">
        <w:t xml:space="preserve"> study of grocery retailers in the UK</w:t>
      </w:r>
      <w:r w:rsidR="00FD6182" w:rsidRPr="00FD6182">
        <w:rPr>
          <w:lang w:val="en-GB"/>
        </w:rPr>
        <w:t>.</w:t>
      </w:r>
    </w:p>
    <w:p w14:paraId="002C3BCE" w14:textId="514CA2CF" w:rsidR="00FC1713" w:rsidRPr="00AC14C3" w:rsidRDefault="00AC14C3" w:rsidP="00FC1713">
      <w:r w:rsidRPr="00AC14C3">
        <w:t>The study focuses on the connection between sustainability communication and brand trust based on secondary evidence such as sustainability reports, annual reports, claims on websites and ESG communication. It does not measure consumer perceptions or brand trust directly by primary consumer data; rather, it evaluates the quality of the communication systematically, the credibility signals and the supporting evidence provided by the different retailers, including M&amp;S and the comparator retailers. As such, any impacts to consumer brand trust are drawn upon with due caution</w:t>
      </w:r>
      <w:r w:rsidR="008E21A2" w:rsidRPr="00AC14C3">
        <w:t>.</w:t>
      </w:r>
    </w:p>
    <w:p w14:paraId="3BFF0B94" w14:textId="0C0B394C" w:rsidR="00FC1713" w:rsidRPr="00FC1713" w:rsidRDefault="00FC1713" w:rsidP="00FC1713">
      <w:pPr>
        <w:pStyle w:val="Heading3"/>
      </w:pPr>
      <w:bookmarkStart w:id="9" w:name="_Toc239795018"/>
      <w:r>
        <w:t xml:space="preserve">1.4.2 </w:t>
      </w:r>
      <w:r w:rsidRPr="00FC1713">
        <w:t>Research Objectives</w:t>
      </w:r>
      <w:bookmarkEnd w:id="9"/>
    </w:p>
    <w:p w14:paraId="0B2446F6" w14:textId="77777777" w:rsidR="00A228B7" w:rsidRDefault="00A228B7" w:rsidP="00A228B7">
      <w:pPr>
        <w:pStyle w:val="ListParagraph"/>
        <w:numPr>
          <w:ilvl w:val="0"/>
          <w:numId w:val="6"/>
        </w:numPr>
      </w:pPr>
      <w:r>
        <w:t>To examine how M&amp;S communicates sustainability through its Plan A strategy, annual reporting, corporate website and customer-facing brand messages.</w:t>
      </w:r>
    </w:p>
    <w:p w14:paraId="08C6D29D" w14:textId="0B1F2118" w:rsidR="002D09F1" w:rsidRDefault="00A228B7" w:rsidP="002D09F1">
      <w:pPr>
        <w:pStyle w:val="ListParagraph"/>
        <w:numPr>
          <w:ilvl w:val="0"/>
          <w:numId w:val="6"/>
        </w:numPr>
      </w:pPr>
      <w:r>
        <w:t>To evaluate how the quality and credibility of sustainability communication may support or weaken brand trust in the UK retail context, based on secondary documentary evidence</w:t>
      </w:r>
      <w:r w:rsidR="006924BC" w:rsidRPr="006924BC">
        <w:t>.</w:t>
      </w:r>
      <w:r w:rsidR="002D09F1">
        <w:t xml:space="preserve"> </w:t>
      </w:r>
    </w:p>
    <w:p w14:paraId="47EE3D92" w14:textId="11E550AA" w:rsidR="00FC1713" w:rsidRPr="00AC14C3" w:rsidRDefault="00AC14C3" w:rsidP="002D09F1">
      <w:r w:rsidRPr="00AC14C3">
        <w:t xml:space="preserve">These aims are not descriptive, but highlight the quality of communication, the credibility of the communication and the potential impact on brand trust, connecting M&amp;S's secondary documentary evidence to these factors, and also allowing for comparison with the other comparator cases Tesco, </w:t>
      </w:r>
      <w:proofErr w:type="spellStart"/>
      <w:r w:rsidRPr="00AC14C3">
        <w:t>Asda</w:t>
      </w:r>
      <w:proofErr w:type="spellEnd"/>
      <w:r w:rsidRPr="00AC14C3">
        <w:t xml:space="preserve">, </w:t>
      </w:r>
      <w:proofErr w:type="spellStart"/>
      <w:r w:rsidRPr="00AC14C3">
        <w:t>Morrisons</w:t>
      </w:r>
      <w:proofErr w:type="spellEnd"/>
      <w:r w:rsidRPr="00AC14C3">
        <w:t xml:space="preserve"> and Sainsbury's. This is appropriate as the sustainability message needs to be </w:t>
      </w:r>
      <w:r w:rsidRPr="00AC14C3">
        <w:lastRenderedPageBreak/>
        <w:t xml:space="preserve">credible and consistent with </w:t>
      </w:r>
      <w:proofErr w:type="spellStart"/>
      <w:r w:rsidRPr="00AC14C3">
        <w:t>organisational</w:t>
      </w:r>
      <w:proofErr w:type="spellEnd"/>
      <w:r w:rsidRPr="00AC14C3">
        <w:t xml:space="preserve"> </w:t>
      </w:r>
      <w:proofErr w:type="spellStart"/>
      <w:r w:rsidRPr="00AC14C3">
        <w:t>behaviour</w:t>
      </w:r>
      <w:proofErr w:type="spellEnd"/>
      <w:r w:rsidRPr="00AC14C3">
        <w:t xml:space="preserve"> in order to support trust outcomes (Wu and Liu, 2022). It also resonates with the CMA guidance of the fundamental elements of a claim: be clear, be accurate and be substantiated (CMA, 2024). The goals are therefore met by examining the consumers' response through documentation instead of actual measurement</w:t>
      </w:r>
      <w:r w:rsidR="008E21A2" w:rsidRPr="00AC14C3">
        <w:t>.</w:t>
      </w:r>
    </w:p>
    <w:p w14:paraId="19BCE12F" w14:textId="13857B83" w:rsidR="00FC1713" w:rsidRPr="00FC1713" w:rsidRDefault="00FC1713" w:rsidP="00FC1713">
      <w:pPr>
        <w:pStyle w:val="Heading3"/>
      </w:pPr>
      <w:bookmarkStart w:id="10" w:name="_Toc239795019"/>
      <w:r>
        <w:t xml:space="preserve">1.4.3 </w:t>
      </w:r>
      <w:r w:rsidRPr="00FC1713">
        <w:t>Research Question</w:t>
      </w:r>
      <w:bookmarkEnd w:id="10"/>
    </w:p>
    <w:p w14:paraId="44D5C3E1" w14:textId="634C8716" w:rsidR="006924BC" w:rsidRPr="006924BC" w:rsidRDefault="00A228B7" w:rsidP="002D09F1">
      <w:pPr>
        <w:pStyle w:val="ListParagraph"/>
        <w:numPr>
          <w:ilvl w:val="0"/>
          <w:numId w:val="7"/>
        </w:numPr>
      </w:pPr>
      <w:r w:rsidRPr="00A228B7">
        <w:t xml:space="preserve">What are the sustainability marketing communication practices of Marks &amp; Spencer (M&amp;S) in comparison with Tesco, </w:t>
      </w:r>
      <w:proofErr w:type="spellStart"/>
      <w:r w:rsidRPr="00A228B7">
        <w:t>Asda</w:t>
      </w:r>
      <w:proofErr w:type="spellEnd"/>
      <w:r w:rsidRPr="00A228B7">
        <w:t xml:space="preserve">, </w:t>
      </w:r>
      <w:proofErr w:type="spellStart"/>
      <w:r w:rsidRPr="00A228B7">
        <w:t>Morrisons</w:t>
      </w:r>
      <w:proofErr w:type="spellEnd"/>
      <w:r w:rsidRPr="00A228B7">
        <w:t xml:space="preserve"> and Sainsbury's</w:t>
      </w:r>
      <w:r w:rsidR="00FD6182" w:rsidRPr="00FD6182">
        <w:rPr>
          <w:lang w:val="en-GB"/>
        </w:rPr>
        <w:t>?</w:t>
      </w:r>
    </w:p>
    <w:p w14:paraId="0B1C8824" w14:textId="71345BA0" w:rsidR="008E21A2" w:rsidRPr="00EE4092" w:rsidRDefault="002D09F1" w:rsidP="008E21A2">
      <w:pPr>
        <w:rPr>
          <w:b/>
          <w:bCs/>
          <w:i/>
          <w:color w:val="FF0000"/>
        </w:rPr>
      </w:pPr>
      <w:r w:rsidRPr="002D09F1">
        <w:br/>
      </w:r>
      <w:r w:rsidR="00AC14C3" w:rsidRPr="00AC14C3">
        <w:t xml:space="preserve">This research question will be used to identify and cross-case compare sustainability marketing communication practices at M&amp;S, Tesco, </w:t>
      </w:r>
      <w:proofErr w:type="spellStart"/>
      <w:r w:rsidR="00AC14C3" w:rsidRPr="00AC14C3">
        <w:t>Asda</w:t>
      </w:r>
      <w:proofErr w:type="spellEnd"/>
      <w:r w:rsidR="00AC14C3" w:rsidRPr="00AC14C3">
        <w:t xml:space="preserve">, </w:t>
      </w:r>
      <w:proofErr w:type="spellStart"/>
      <w:r w:rsidR="00AC14C3" w:rsidRPr="00AC14C3">
        <w:t>Morrisons</w:t>
      </w:r>
      <w:proofErr w:type="spellEnd"/>
      <w:r w:rsidR="00AC14C3" w:rsidRPr="00AC14C3">
        <w:t xml:space="preserve"> and Sainsbury's. It maintains M&amp;S as the principal case, and enables the study to compare similarities and differences in the communication practices of the four comparator retailers. The research question focuses mainly on the sustainability communication practice being presented, and the second research objective is to consider the level of quality and credibility of the sustainability communication practice, and its implications for brand trust. As the study is based on secondary documentary evidence, it does not directly measure consumer trust nor make causal claims about consumers</w:t>
      </w:r>
      <w:r w:rsidR="00EE4092" w:rsidRPr="00E76E3D">
        <w:t>.</w:t>
      </w:r>
    </w:p>
    <w:p w14:paraId="4DFEDB47" w14:textId="77777777" w:rsidR="002953D8" w:rsidRDefault="002953D8">
      <w:pPr>
        <w:widowControl/>
        <w:autoSpaceDE/>
        <w:autoSpaceDN/>
        <w:spacing w:after="160" w:line="259" w:lineRule="auto"/>
        <w:jc w:val="left"/>
        <w:rPr>
          <w:rFonts w:eastAsia="Times New Roman" w:cs="Times New Roman"/>
          <w:b/>
          <w:bCs/>
          <w:i/>
          <w:sz w:val="28"/>
          <w:szCs w:val="36"/>
        </w:rPr>
      </w:pPr>
      <w:r>
        <w:br w:type="page"/>
      </w:r>
    </w:p>
    <w:p w14:paraId="204CF5E4" w14:textId="0C204B8B" w:rsidR="00FC1713" w:rsidRPr="00FC1713" w:rsidRDefault="00FC1713" w:rsidP="00FC1713">
      <w:pPr>
        <w:pStyle w:val="Heading2"/>
      </w:pPr>
      <w:bookmarkStart w:id="11" w:name="_Toc239795020"/>
      <w:r w:rsidRPr="00FC1713">
        <w:lastRenderedPageBreak/>
        <w:t>1.5 Dissertation Structure</w:t>
      </w:r>
      <w:bookmarkEnd w:id="11"/>
    </w:p>
    <w:tbl>
      <w:tblPr>
        <w:tblStyle w:val="GridTable6ColourfulAccent1"/>
        <w:tblW w:w="0" w:type="auto"/>
        <w:tblLook w:val="04A0" w:firstRow="1" w:lastRow="0" w:firstColumn="1" w:lastColumn="0" w:noHBand="0" w:noVBand="1"/>
      </w:tblPr>
      <w:tblGrid>
        <w:gridCol w:w="1070"/>
        <w:gridCol w:w="2110"/>
        <w:gridCol w:w="6170"/>
      </w:tblGrid>
      <w:tr w:rsidR="00AC14C3" w:rsidRPr="00AC14C3" w14:paraId="250159F9" w14:textId="77777777" w:rsidTr="002953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E6084C" w14:textId="77777777" w:rsidR="001C129E" w:rsidRPr="00AC14C3" w:rsidRDefault="001C129E" w:rsidP="001C129E">
            <w:pPr>
              <w:rPr>
                <w:color w:val="auto"/>
              </w:rPr>
            </w:pPr>
            <w:r w:rsidRPr="00AC14C3">
              <w:rPr>
                <w:color w:val="auto"/>
              </w:rPr>
              <w:t>Chapter</w:t>
            </w:r>
          </w:p>
        </w:tc>
        <w:tc>
          <w:tcPr>
            <w:tcW w:w="1985" w:type="dxa"/>
            <w:hideMark/>
          </w:tcPr>
          <w:p w14:paraId="24D92FDE" w14:textId="77777777" w:rsidR="001C129E" w:rsidRPr="00AC14C3" w:rsidRDefault="001C129E" w:rsidP="001C129E">
            <w:pPr>
              <w:cnfStyle w:val="100000000000" w:firstRow="1" w:lastRow="0" w:firstColumn="0" w:lastColumn="0" w:oddVBand="0" w:evenVBand="0" w:oddHBand="0" w:evenHBand="0" w:firstRowFirstColumn="0" w:firstRowLastColumn="0" w:lastRowFirstColumn="0" w:lastRowLastColumn="0"/>
              <w:rPr>
                <w:color w:val="auto"/>
              </w:rPr>
            </w:pPr>
            <w:r w:rsidRPr="00AC14C3">
              <w:rPr>
                <w:color w:val="auto"/>
              </w:rPr>
              <w:t>Title</w:t>
            </w:r>
          </w:p>
        </w:tc>
        <w:tc>
          <w:tcPr>
            <w:tcW w:w="6295" w:type="dxa"/>
            <w:hideMark/>
          </w:tcPr>
          <w:p w14:paraId="3B0E0C79" w14:textId="77777777" w:rsidR="001C129E" w:rsidRPr="00AC14C3" w:rsidRDefault="001C129E" w:rsidP="001C129E">
            <w:pPr>
              <w:cnfStyle w:val="100000000000" w:firstRow="1" w:lastRow="0" w:firstColumn="0" w:lastColumn="0" w:oddVBand="0" w:evenVBand="0" w:oddHBand="0" w:evenHBand="0" w:firstRowFirstColumn="0" w:firstRowLastColumn="0" w:lastRowFirstColumn="0" w:lastRowLastColumn="0"/>
              <w:rPr>
                <w:color w:val="auto"/>
              </w:rPr>
            </w:pPr>
            <w:r w:rsidRPr="00AC14C3">
              <w:rPr>
                <w:color w:val="auto"/>
              </w:rPr>
              <w:t>Key focus</w:t>
            </w:r>
          </w:p>
        </w:tc>
      </w:tr>
      <w:tr w:rsidR="00AC14C3" w:rsidRPr="00AC14C3" w14:paraId="207875F3" w14:textId="77777777" w:rsidTr="002953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E55B08" w14:textId="77777777" w:rsidR="00AC14C3" w:rsidRPr="00AC14C3" w:rsidRDefault="00AC14C3" w:rsidP="00AC14C3">
            <w:pPr>
              <w:rPr>
                <w:color w:val="auto"/>
              </w:rPr>
            </w:pPr>
            <w:r w:rsidRPr="00AC14C3">
              <w:rPr>
                <w:color w:val="auto"/>
              </w:rPr>
              <w:t>1</w:t>
            </w:r>
          </w:p>
        </w:tc>
        <w:tc>
          <w:tcPr>
            <w:tcW w:w="1985" w:type="dxa"/>
            <w:hideMark/>
          </w:tcPr>
          <w:p w14:paraId="5CE216E0" w14:textId="77777777" w:rsidR="00AC14C3" w:rsidRPr="00AC14C3" w:rsidRDefault="00AC14C3" w:rsidP="00AC14C3">
            <w:pPr>
              <w:cnfStyle w:val="000000100000" w:firstRow="0" w:lastRow="0" w:firstColumn="0" w:lastColumn="0" w:oddVBand="0" w:evenVBand="0" w:oddHBand="1" w:evenHBand="0" w:firstRowFirstColumn="0" w:firstRowLastColumn="0" w:lastRowFirstColumn="0" w:lastRowLastColumn="0"/>
              <w:rPr>
                <w:color w:val="auto"/>
              </w:rPr>
            </w:pPr>
            <w:r w:rsidRPr="00AC14C3">
              <w:rPr>
                <w:b/>
                <w:bCs/>
                <w:color w:val="auto"/>
              </w:rPr>
              <w:t>Introduction and Rationale</w:t>
            </w:r>
          </w:p>
        </w:tc>
        <w:tc>
          <w:tcPr>
            <w:tcW w:w="6295" w:type="dxa"/>
            <w:hideMark/>
          </w:tcPr>
          <w:p w14:paraId="68946876" w14:textId="11135924" w:rsidR="00AC14C3" w:rsidRPr="00AC14C3" w:rsidRDefault="00AC14C3" w:rsidP="00AC14C3">
            <w:pPr>
              <w:cnfStyle w:val="000000100000" w:firstRow="0" w:lastRow="0" w:firstColumn="0" w:lastColumn="0" w:oddVBand="0" w:evenVBand="0" w:oddHBand="1" w:evenHBand="0" w:firstRowFirstColumn="0" w:firstRowLastColumn="0" w:lastRowFirstColumn="0" w:lastRowLastColumn="0"/>
              <w:rPr>
                <w:color w:val="auto"/>
              </w:rPr>
            </w:pPr>
            <w:r w:rsidRPr="00AC14C3">
              <w:rPr>
                <w:color w:val="auto"/>
              </w:rPr>
              <w:t>Provides research background, rationale, contribution, aim, objectives and research question, with M&amp;S as the focus case in the context of grocery retail within the UK.</w:t>
            </w:r>
          </w:p>
        </w:tc>
      </w:tr>
      <w:tr w:rsidR="00AC14C3" w:rsidRPr="00AC14C3" w14:paraId="526923EF" w14:textId="77777777" w:rsidTr="002953D8">
        <w:tc>
          <w:tcPr>
            <w:cnfStyle w:val="001000000000" w:firstRow="0" w:lastRow="0" w:firstColumn="1" w:lastColumn="0" w:oddVBand="0" w:evenVBand="0" w:oddHBand="0" w:evenHBand="0" w:firstRowFirstColumn="0" w:firstRowLastColumn="0" w:lastRowFirstColumn="0" w:lastRowLastColumn="0"/>
            <w:tcW w:w="0" w:type="auto"/>
            <w:hideMark/>
          </w:tcPr>
          <w:p w14:paraId="4851A127" w14:textId="77777777" w:rsidR="00AC14C3" w:rsidRPr="00AC14C3" w:rsidRDefault="00AC14C3" w:rsidP="00AC14C3">
            <w:pPr>
              <w:rPr>
                <w:color w:val="auto"/>
              </w:rPr>
            </w:pPr>
            <w:r w:rsidRPr="00AC14C3">
              <w:rPr>
                <w:color w:val="auto"/>
              </w:rPr>
              <w:t>2</w:t>
            </w:r>
          </w:p>
        </w:tc>
        <w:tc>
          <w:tcPr>
            <w:tcW w:w="1985" w:type="dxa"/>
            <w:hideMark/>
          </w:tcPr>
          <w:p w14:paraId="7EA01FA5" w14:textId="77777777" w:rsidR="00AC14C3" w:rsidRPr="00AC14C3" w:rsidRDefault="00AC14C3" w:rsidP="00AC14C3">
            <w:pPr>
              <w:cnfStyle w:val="000000000000" w:firstRow="0" w:lastRow="0" w:firstColumn="0" w:lastColumn="0" w:oddVBand="0" w:evenVBand="0" w:oddHBand="0" w:evenHBand="0" w:firstRowFirstColumn="0" w:firstRowLastColumn="0" w:lastRowFirstColumn="0" w:lastRowLastColumn="0"/>
              <w:rPr>
                <w:color w:val="auto"/>
              </w:rPr>
            </w:pPr>
            <w:r w:rsidRPr="00AC14C3">
              <w:rPr>
                <w:b/>
                <w:bCs/>
                <w:color w:val="auto"/>
              </w:rPr>
              <w:t>Literature Review</w:t>
            </w:r>
          </w:p>
        </w:tc>
        <w:tc>
          <w:tcPr>
            <w:tcW w:w="6295" w:type="dxa"/>
            <w:hideMark/>
          </w:tcPr>
          <w:p w14:paraId="5FEAEBE9" w14:textId="373C1CFE" w:rsidR="00AC14C3" w:rsidRPr="00AC14C3" w:rsidRDefault="00AC14C3" w:rsidP="00AC14C3">
            <w:pPr>
              <w:cnfStyle w:val="000000000000" w:firstRow="0" w:lastRow="0" w:firstColumn="0" w:lastColumn="0" w:oddVBand="0" w:evenVBand="0" w:oddHBand="0" w:evenHBand="0" w:firstRowFirstColumn="0" w:firstRowLastColumn="0" w:lastRowFirstColumn="0" w:lastRowLastColumn="0"/>
              <w:rPr>
                <w:color w:val="auto"/>
              </w:rPr>
            </w:pPr>
            <w:r w:rsidRPr="00AC14C3">
              <w:rPr>
                <w:color w:val="auto"/>
              </w:rPr>
              <w:t xml:space="preserve">Critically examines sustainability marketing communication, brand trust, greenwashing, credibility and consumer </w:t>
            </w:r>
            <w:proofErr w:type="spellStart"/>
            <w:r w:rsidRPr="00AC14C3">
              <w:rPr>
                <w:color w:val="auto"/>
              </w:rPr>
              <w:t>scepticism</w:t>
            </w:r>
            <w:proofErr w:type="spellEnd"/>
            <w:r w:rsidRPr="00AC14C3">
              <w:rPr>
                <w:color w:val="auto"/>
              </w:rPr>
              <w:t xml:space="preserve"> and identifies the research gap.</w:t>
            </w:r>
          </w:p>
        </w:tc>
      </w:tr>
      <w:tr w:rsidR="00AC14C3" w:rsidRPr="00AC14C3" w14:paraId="2AB63726" w14:textId="77777777" w:rsidTr="002953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945CF2" w14:textId="77777777" w:rsidR="00AC14C3" w:rsidRPr="00AC14C3" w:rsidRDefault="00AC14C3" w:rsidP="00AC14C3">
            <w:pPr>
              <w:rPr>
                <w:color w:val="auto"/>
              </w:rPr>
            </w:pPr>
            <w:r w:rsidRPr="00AC14C3">
              <w:rPr>
                <w:color w:val="auto"/>
              </w:rPr>
              <w:t>3</w:t>
            </w:r>
          </w:p>
        </w:tc>
        <w:tc>
          <w:tcPr>
            <w:tcW w:w="1985" w:type="dxa"/>
            <w:hideMark/>
          </w:tcPr>
          <w:p w14:paraId="24BE7094" w14:textId="77777777" w:rsidR="00AC14C3" w:rsidRPr="00AC14C3" w:rsidRDefault="00AC14C3" w:rsidP="00AC14C3">
            <w:pPr>
              <w:cnfStyle w:val="000000100000" w:firstRow="0" w:lastRow="0" w:firstColumn="0" w:lastColumn="0" w:oddVBand="0" w:evenVBand="0" w:oddHBand="1" w:evenHBand="0" w:firstRowFirstColumn="0" w:firstRowLastColumn="0" w:lastRowFirstColumn="0" w:lastRowLastColumn="0"/>
              <w:rPr>
                <w:color w:val="auto"/>
              </w:rPr>
            </w:pPr>
            <w:r w:rsidRPr="00AC14C3">
              <w:rPr>
                <w:b/>
                <w:bCs/>
                <w:color w:val="auto"/>
              </w:rPr>
              <w:t>Research Methodology</w:t>
            </w:r>
          </w:p>
        </w:tc>
        <w:tc>
          <w:tcPr>
            <w:tcW w:w="6295" w:type="dxa"/>
            <w:hideMark/>
          </w:tcPr>
          <w:p w14:paraId="38F1AE3D" w14:textId="2D9D4E8C" w:rsidR="00AC14C3" w:rsidRPr="00AC14C3" w:rsidRDefault="00AC14C3" w:rsidP="00AC14C3">
            <w:pPr>
              <w:cnfStyle w:val="000000100000" w:firstRow="0" w:lastRow="0" w:firstColumn="0" w:lastColumn="0" w:oddVBand="0" w:evenVBand="0" w:oddHBand="1" w:evenHBand="0" w:firstRowFirstColumn="0" w:firstRowLastColumn="0" w:lastRowFirstColumn="0" w:lastRowLastColumn="0"/>
              <w:rPr>
                <w:color w:val="auto"/>
              </w:rPr>
            </w:pPr>
            <w:r w:rsidRPr="00AC14C3">
              <w:rPr>
                <w:color w:val="auto"/>
              </w:rPr>
              <w:t xml:space="preserve">Justifies the multiple case study design, secondary documentary data, case selection and analytical approach of M&amp;S, Tesco, </w:t>
            </w:r>
            <w:proofErr w:type="spellStart"/>
            <w:r w:rsidRPr="00AC14C3">
              <w:rPr>
                <w:color w:val="auto"/>
              </w:rPr>
              <w:t>Asda</w:t>
            </w:r>
            <w:proofErr w:type="spellEnd"/>
            <w:r w:rsidRPr="00AC14C3">
              <w:rPr>
                <w:color w:val="auto"/>
              </w:rPr>
              <w:t xml:space="preserve">, </w:t>
            </w:r>
            <w:proofErr w:type="spellStart"/>
            <w:r w:rsidRPr="00AC14C3">
              <w:rPr>
                <w:color w:val="auto"/>
              </w:rPr>
              <w:t>Morrisons</w:t>
            </w:r>
            <w:proofErr w:type="spellEnd"/>
            <w:r w:rsidRPr="00AC14C3">
              <w:rPr>
                <w:color w:val="auto"/>
              </w:rPr>
              <w:t xml:space="preserve"> and Sainsbury's.</w:t>
            </w:r>
          </w:p>
        </w:tc>
      </w:tr>
      <w:tr w:rsidR="00AC14C3" w:rsidRPr="00AC14C3" w14:paraId="64641832" w14:textId="77777777" w:rsidTr="002953D8">
        <w:tc>
          <w:tcPr>
            <w:cnfStyle w:val="001000000000" w:firstRow="0" w:lastRow="0" w:firstColumn="1" w:lastColumn="0" w:oddVBand="0" w:evenVBand="0" w:oddHBand="0" w:evenHBand="0" w:firstRowFirstColumn="0" w:firstRowLastColumn="0" w:lastRowFirstColumn="0" w:lastRowLastColumn="0"/>
            <w:tcW w:w="0" w:type="auto"/>
            <w:hideMark/>
          </w:tcPr>
          <w:p w14:paraId="2B6E703E" w14:textId="77777777" w:rsidR="00AC14C3" w:rsidRPr="00AC14C3" w:rsidRDefault="00AC14C3" w:rsidP="00AC14C3">
            <w:pPr>
              <w:rPr>
                <w:color w:val="auto"/>
              </w:rPr>
            </w:pPr>
            <w:r w:rsidRPr="00AC14C3">
              <w:rPr>
                <w:color w:val="auto"/>
              </w:rPr>
              <w:t>4</w:t>
            </w:r>
          </w:p>
        </w:tc>
        <w:tc>
          <w:tcPr>
            <w:tcW w:w="1985" w:type="dxa"/>
            <w:hideMark/>
          </w:tcPr>
          <w:p w14:paraId="46D4C048" w14:textId="77777777" w:rsidR="00AC14C3" w:rsidRPr="00AC14C3" w:rsidRDefault="00AC14C3" w:rsidP="00AC14C3">
            <w:pPr>
              <w:cnfStyle w:val="000000000000" w:firstRow="0" w:lastRow="0" w:firstColumn="0" w:lastColumn="0" w:oddVBand="0" w:evenVBand="0" w:oddHBand="0" w:evenHBand="0" w:firstRowFirstColumn="0" w:firstRowLastColumn="0" w:lastRowFirstColumn="0" w:lastRowLastColumn="0"/>
              <w:rPr>
                <w:color w:val="auto"/>
              </w:rPr>
            </w:pPr>
            <w:r w:rsidRPr="00AC14C3">
              <w:rPr>
                <w:b/>
                <w:bCs/>
                <w:color w:val="auto"/>
              </w:rPr>
              <w:t>Findings</w:t>
            </w:r>
          </w:p>
        </w:tc>
        <w:tc>
          <w:tcPr>
            <w:tcW w:w="6295" w:type="dxa"/>
            <w:hideMark/>
          </w:tcPr>
          <w:p w14:paraId="6AE1681D" w14:textId="1CB4F83C" w:rsidR="00AC14C3" w:rsidRPr="00AC14C3" w:rsidRDefault="00AC14C3" w:rsidP="00AC14C3">
            <w:pPr>
              <w:cnfStyle w:val="000000000000" w:firstRow="0" w:lastRow="0" w:firstColumn="0" w:lastColumn="0" w:oddVBand="0" w:evenVBand="0" w:oddHBand="0" w:evenHBand="0" w:firstRowFirstColumn="0" w:firstRowLastColumn="0" w:lastRowFirstColumn="0" w:lastRowLastColumn="0"/>
              <w:rPr>
                <w:color w:val="auto"/>
              </w:rPr>
            </w:pPr>
            <w:r w:rsidRPr="00AC14C3">
              <w:rPr>
                <w:color w:val="auto"/>
              </w:rPr>
              <w:t>Describes findings of the cross-case documentary analysis on clarity of claims, quality of evidence, consistency, transparency and greenwashing risk.</w:t>
            </w:r>
          </w:p>
        </w:tc>
      </w:tr>
      <w:tr w:rsidR="00AC14C3" w:rsidRPr="00AC14C3" w14:paraId="1D0B7C23" w14:textId="77777777" w:rsidTr="002953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011326" w14:textId="77777777" w:rsidR="00AC14C3" w:rsidRPr="00AC14C3" w:rsidRDefault="00AC14C3" w:rsidP="00AC14C3">
            <w:pPr>
              <w:rPr>
                <w:color w:val="auto"/>
              </w:rPr>
            </w:pPr>
            <w:r w:rsidRPr="00AC14C3">
              <w:rPr>
                <w:color w:val="auto"/>
              </w:rPr>
              <w:t>5</w:t>
            </w:r>
          </w:p>
        </w:tc>
        <w:tc>
          <w:tcPr>
            <w:tcW w:w="1985" w:type="dxa"/>
            <w:hideMark/>
          </w:tcPr>
          <w:p w14:paraId="1748829B" w14:textId="77777777" w:rsidR="00AC14C3" w:rsidRPr="00AC14C3" w:rsidRDefault="00AC14C3" w:rsidP="00AC14C3">
            <w:pPr>
              <w:cnfStyle w:val="000000100000" w:firstRow="0" w:lastRow="0" w:firstColumn="0" w:lastColumn="0" w:oddVBand="0" w:evenVBand="0" w:oddHBand="1" w:evenHBand="0" w:firstRowFirstColumn="0" w:firstRowLastColumn="0" w:lastRowFirstColumn="0" w:lastRowLastColumn="0"/>
              <w:rPr>
                <w:color w:val="auto"/>
              </w:rPr>
            </w:pPr>
            <w:r w:rsidRPr="00AC14C3">
              <w:rPr>
                <w:b/>
                <w:bCs/>
                <w:color w:val="auto"/>
              </w:rPr>
              <w:t>Discussion</w:t>
            </w:r>
          </w:p>
        </w:tc>
        <w:tc>
          <w:tcPr>
            <w:tcW w:w="6295" w:type="dxa"/>
            <w:hideMark/>
          </w:tcPr>
          <w:p w14:paraId="53C73A11" w14:textId="582DEB6F" w:rsidR="00AC14C3" w:rsidRPr="00AC14C3" w:rsidRDefault="00AC14C3" w:rsidP="00AC14C3">
            <w:pPr>
              <w:cnfStyle w:val="000000100000" w:firstRow="0" w:lastRow="0" w:firstColumn="0" w:lastColumn="0" w:oddVBand="0" w:evenVBand="0" w:oddHBand="1" w:evenHBand="0" w:firstRowFirstColumn="0" w:firstRowLastColumn="0" w:lastRowFirstColumn="0" w:lastRowLastColumn="0"/>
              <w:rPr>
                <w:color w:val="auto"/>
              </w:rPr>
            </w:pPr>
            <w:r w:rsidRPr="00AC14C3">
              <w:rPr>
                <w:color w:val="auto"/>
              </w:rPr>
              <w:t>Interprets the findings in light of literature and theory and assesses the implications of these findings for brand trust.</w:t>
            </w:r>
          </w:p>
        </w:tc>
      </w:tr>
      <w:tr w:rsidR="00AC14C3" w:rsidRPr="00AC14C3" w14:paraId="43092B55" w14:textId="77777777" w:rsidTr="002953D8">
        <w:tc>
          <w:tcPr>
            <w:cnfStyle w:val="001000000000" w:firstRow="0" w:lastRow="0" w:firstColumn="1" w:lastColumn="0" w:oddVBand="0" w:evenVBand="0" w:oddHBand="0" w:evenHBand="0" w:firstRowFirstColumn="0" w:firstRowLastColumn="0" w:lastRowFirstColumn="0" w:lastRowLastColumn="0"/>
            <w:tcW w:w="0" w:type="auto"/>
            <w:hideMark/>
          </w:tcPr>
          <w:p w14:paraId="5CA61C03" w14:textId="77777777" w:rsidR="00AC14C3" w:rsidRPr="00AC14C3" w:rsidRDefault="00AC14C3" w:rsidP="00AC14C3">
            <w:pPr>
              <w:rPr>
                <w:color w:val="auto"/>
              </w:rPr>
            </w:pPr>
            <w:r w:rsidRPr="00AC14C3">
              <w:rPr>
                <w:color w:val="auto"/>
              </w:rPr>
              <w:t>6</w:t>
            </w:r>
          </w:p>
        </w:tc>
        <w:tc>
          <w:tcPr>
            <w:tcW w:w="1985" w:type="dxa"/>
            <w:hideMark/>
          </w:tcPr>
          <w:p w14:paraId="6B8D7C00" w14:textId="77777777" w:rsidR="00AC14C3" w:rsidRPr="00AC14C3" w:rsidRDefault="00AC14C3" w:rsidP="00AC14C3">
            <w:pPr>
              <w:cnfStyle w:val="000000000000" w:firstRow="0" w:lastRow="0" w:firstColumn="0" w:lastColumn="0" w:oddVBand="0" w:evenVBand="0" w:oddHBand="0" w:evenHBand="0" w:firstRowFirstColumn="0" w:firstRowLastColumn="0" w:lastRowFirstColumn="0" w:lastRowLastColumn="0"/>
              <w:rPr>
                <w:color w:val="auto"/>
              </w:rPr>
            </w:pPr>
            <w:r w:rsidRPr="00AC14C3">
              <w:rPr>
                <w:b/>
                <w:bCs/>
                <w:color w:val="auto"/>
              </w:rPr>
              <w:t>Conclusion and Recommendations</w:t>
            </w:r>
          </w:p>
        </w:tc>
        <w:tc>
          <w:tcPr>
            <w:tcW w:w="6295" w:type="dxa"/>
            <w:hideMark/>
          </w:tcPr>
          <w:p w14:paraId="2DDAEED5" w14:textId="5149D78D" w:rsidR="00AC14C3" w:rsidRPr="00AC14C3" w:rsidRDefault="00AC14C3" w:rsidP="00AC14C3">
            <w:pPr>
              <w:cnfStyle w:val="000000000000" w:firstRow="0" w:lastRow="0" w:firstColumn="0" w:lastColumn="0" w:oddVBand="0" w:evenVBand="0" w:oddHBand="0" w:evenHBand="0" w:firstRowFirstColumn="0" w:firstRowLastColumn="0" w:lastRowFirstColumn="0" w:lastRowLastColumn="0"/>
              <w:rPr>
                <w:color w:val="auto"/>
              </w:rPr>
            </w:pPr>
            <w:proofErr w:type="spellStart"/>
            <w:r w:rsidRPr="00AC14C3">
              <w:rPr>
                <w:color w:val="auto"/>
              </w:rPr>
              <w:t>Summarises</w:t>
            </w:r>
            <w:proofErr w:type="spellEnd"/>
            <w:r w:rsidRPr="00AC14C3">
              <w:rPr>
                <w:color w:val="auto"/>
              </w:rPr>
              <w:t xml:space="preserve"> findings, discusses objective(s), research question, recommendations for M&amp;S, and limitations and future research.</w:t>
            </w:r>
          </w:p>
        </w:tc>
      </w:tr>
    </w:tbl>
    <w:p w14:paraId="1AB6DF9B" w14:textId="77777777" w:rsidR="00FC1713" w:rsidRPr="00FC1713" w:rsidRDefault="00FC1713" w:rsidP="00FC1713"/>
    <w:p w14:paraId="33C12407" w14:textId="77777777" w:rsidR="00EF6DA0" w:rsidRDefault="00EF6DA0">
      <w:pPr>
        <w:widowControl/>
        <w:autoSpaceDE/>
        <w:autoSpaceDN/>
        <w:spacing w:after="160" w:line="259" w:lineRule="auto"/>
        <w:jc w:val="left"/>
      </w:pPr>
      <w:r>
        <w:br w:type="page"/>
      </w:r>
    </w:p>
    <w:p w14:paraId="7EB9BAD0" w14:textId="77777777" w:rsidR="00EF6DA0" w:rsidRPr="008535D7" w:rsidRDefault="00EF6DA0" w:rsidP="00EF6DA0">
      <w:pPr>
        <w:pStyle w:val="Heading1"/>
        <w:jc w:val="center"/>
        <w:rPr>
          <w:bCs/>
        </w:rPr>
      </w:pPr>
      <w:bookmarkStart w:id="12" w:name="_Toc237143962"/>
      <w:bookmarkStart w:id="13" w:name="_Toc239795021"/>
      <w:r w:rsidRPr="008535D7">
        <w:rPr>
          <w:bCs/>
        </w:rPr>
        <w:lastRenderedPageBreak/>
        <w:t>Chapter 2: Literature Review</w:t>
      </w:r>
      <w:bookmarkEnd w:id="12"/>
      <w:bookmarkEnd w:id="13"/>
    </w:p>
    <w:p w14:paraId="3640AB69" w14:textId="77777777" w:rsidR="00EF6DA0" w:rsidRPr="008535D7" w:rsidRDefault="00EF6DA0" w:rsidP="00EF6DA0">
      <w:pPr>
        <w:pStyle w:val="Heading2"/>
      </w:pPr>
      <w:bookmarkStart w:id="14" w:name="_Toc237143963"/>
      <w:bookmarkStart w:id="15" w:name="_Toc239795022"/>
      <w:r w:rsidRPr="008535D7">
        <w:t>2.1 Introduction</w:t>
      </w:r>
      <w:bookmarkEnd w:id="14"/>
      <w:bookmarkEnd w:id="15"/>
    </w:p>
    <w:p w14:paraId="69FC99B5" w14:textId="77777777" w:rsidR="00EF6DA0" w:rsidRPr="003D61CA" w:rsidRDefault="00EF6DA0" w:rsidP="00EF6DA0">
      <w:r w:rsidRPr="003D61CA">
        <w:t xml:space="preserve">For brand positioning, sustainability marketing communication is gaining in significance as </w:t>
      </w:r>
      <w:proofErr w:type="spellStart"/>
      <w:r w:rsidRPr="003D61CA">
        <w:t>organisations</w:t>
      </w:r>
      <w:proofErr w:type="spellEnd"/>
      <w:r w:rsidRPr="003D61CA">
        <w:t xml:space="preserve"> demonstrate long-term value, credibility and responsibility by committing themselves to the environment and society. But this can be ambiguous, selective or inadequately substantiated, raising issues with consumers about trust and “greenwashing”. The chapter critically examines sustainability marketing communication and its implications for brand trust within the UK grocery retailers, specifically Marks &amp; Spencer (M&amp;S) and compares Tesco, </w:t>
      </w:r>
      <w:proofErr w:type="spellStart"/>
      <w:r w:rsidRPr="003D61CA">
        <w:t>Asda</w:t>
      </w:r>
      <w:proofErr w:type="spellEnd"/>
      <w:r w:rsidRPr="003D61CA">
        <w:t xml:space="preserve">, </w:t>
      </w:r>
      <w:proofErr w:type="spellStart"/>
      <w:r w:rsidRPr="003D61CA">
        <w:t>Morrisons</w:t>
      </w:r>
      <w:proofErr w:type="spellEnd"/>
      <w:r w:rsidRPr="003D61CA">
        <w:t xml:space="preserve"> and Sainsbury's. The five themes addressed in the review are: sustainability communication; claim clarity, evidence, transparency and cross-channel consistency; greenwashing and </w:t>
      </w:r>
      <w:proofErr w:type="spellStart"/>
      <w:r w:rsidRPr="003D61CA">
        <w:t>scepticism</w:t>
      </w:r>
      <w:proofErr w:type="spellEnd"/>
      <w:r w:rsidRPr="003D61CA">
        <w:t xml:space="preserve">; authenticity, green trust and brand trust; and the UK grocery research gap. </w:t>
      </w:r>
      <w:proofErr w:type="spellStart"/>
      <w:r w:rsidRPr="003D61CA">
        <w:t>Signalling</w:t>
      </w:r>
      <w:proofErr w:type="spellEnd"/>
      <w:r w:rsidRPr="003D61CA">
        <w:t xml:space="preserve"> Theory is the theory that is used to support this, as retailers have more sustainability information than external stakeholders. Green trust, authenticity and greenwashing literature provide supporting perspectives. The framework assesses the clarity of the claims, quality of evidence, transparency and consistency, and brand trust is considered an implication rather than an actual consumer outcome.</w:t>
      </w:r>
    </w:p>
    <w:p w14:paraId="1AA1A84C" w14:textId="77777777" w:rsidR="00EF6DA0" w:rsidRPr="008535D7" w:rsidRDefault="00EF6DA0" w:rsidP="00EF6DA0">
      <w:pPr>
        <w:pStyle w:val="Heading2"/>
      </w:pPr>
      <w:bookmarkStart w:id="16" w:name="_Toc237143964"/>
      <w:bookmarkStart w:id="17" w:name="_Toc239795023"/>
      <w:r w:rsidRPr="008535D7">
        <w:t>2.2 Thematic Overview of the Literature</w:t>
      </w:r>
      <w:bookmarkEnd w:id="16"/>
      <w:bookmarkEnd w:id="17"/>
    </w:p>
    <w:p w14:paraId="46C22288" w14:textId="77777777" w:rsidR="00EF6DA0" w:rsidRDefault="00EF6DA0" w:rsidP="00EF6DA0">
      <w:pPr>
        <w:pStyle w:val="Heading3"/>
      </w:pPr>
      <w:bookmarkStart w:id="18" w:name="_Toc237143965"/>
      <w:bookmarkStart w:id="19" w:name="_Toc239795024"/>
      <w:r w:rsidRPr="008535D7">
        <w:t>2.2.1 Sustainability Marketing Communication</w:t>
      </w:r>
      <w:bookmarkEnd w:id="18"/>
      <w:bookmarkEnd w:id="19"/>
    </w:p>
    <w:p w14:paraId="20B39AB8" w14:textId="77777777" w:rsidR="00EF6DA0" w:rsidRDefault="00EF6DA0" w:rsidP="00EF6DA0">
      <w:r>
        <w:t xml:space="preserve">Sustainability marketing communication involves any claims, stories, disclosures and brand messages </w:t>
      </w:r>
      <w:proofErr w:type="spellStart"/>
      <w:r>
        <w:t>organisations</w:t>
      </w:r>
      <w:proofErr w:type="spellEnd"/>
      <w:r>
        <w:t xml:space="preserve"> use to communicate their environmental and social responsibility. It is not a neutral activity as it influences the understanding of stakeholders about </w:t>
      </w:r>
      <w:proofErr w:type="spellStart"/>
      <w:r>
        <w:t>organisational</w:t>
      </w:r>
      <w:proofErr w:type="spellEnd"/>
      <w:r>
        <w:t xml:space="preserve"> </w:t>
      </w:r>
      <w:proofErr w:type="spellStart"/>
      <w:r>
        <w:t>behaviour</w:t>
      </w:r>
      <w:proofErr w:type="spellEnd"/>
      <w:r>
        <w:t>, and commitment to the environment (Brereton, 2022). A sustainable brand, therefore, must incorporate sustainability values into its brand identity and not as individual projects (</w:t>
      </w:r>
      <w:proofErr w:type="spellStart"/>
      <w:r>
        <w:t>Foroudi</w:t>
      </w:r>
      <w:proofErr w:type="spellEnd"/>
      <w:r>
        <w:t xml:space="preserve"> and Palazzo, 2021).</w:t>
      </w:r>
    </w:p>
    <w:p w14:paraId="25433A1F" w14:textId="77777777" w:rsidR="00EF6DA0" w:rsidRDefault="00EF6DA0" w:rsidP="00EF6DA0">
      <w:r>
        <w:t>It is generally agreed that there is no credibility in the volume of communication.  Sustainability communication is becoming more prominent in the field of consumer brands, but at the same time, it is not always material, comparable or well-evidenced (</w:t>
      </w:r>
      <w:proofErr w:type="spellStart"/>
      <w:r>
        <w:t>Primožič</w:t>
      </w:r>
      <w:proofErr w:type="spellEnd"/>
      <w:r>
        <w:t xml:space="preserve"> and </w:t>
      </w:r>
      <w:proofErr w:type="spellStart"/>
      <w:r>
        <w:t>Kutnar</w:t>
      </w:r>
      <w:proofErr w:type="spellEnd"/>
      <w:r>
        <w:t xml:space="preserve">, 2022). In similar terms, green marketing can be successful, but loses credibility when it has unsubstantiated claims </w:t>
      </w:r>
      <w:r>
        <w:lastRenderedPageBreak/>
        <w:t>(</w:t>
      </w:r>
      <w:proofErr w:type="spellStart"/>
      <w:r>
        <w:t>Bengtson</w:t>
      </w:r>
      <w:proofErr w:type="spellEnd"/>
      <w:r>
        <w:t xml:space="preserve"> and Mossberg, 2023). This means more about the quality of the communication than how often or prominently it is used.</w:t>
      </w:r>
    </w:p>
    <w:p w14:paraId="1F19705C" w14:textId="77777777" w:rsidR="00EF6DA0" w:rsidRDefault="00EF6DA0" w:rsidP="00EF6DA0">
      <w:r w:rsidRPr="00153E90">
        <w:t>The credibility of sustainability messages may be affected by content, communication style and corporate self-praise (</w:t>
      </w:r>
      <w:proofErr w:type="spellStart"/>
      <w:r w:rsidRPr="00153E90">
        <w:t>Christis</w:t>
      </w:r>
      <w:proofErr w:type="spellEnd"/>
      <w:r w:rsidRPr="00153E90">
        <w:t xml:space="preserve"> and Wang, 2021). Internal implementation is also important to credible sustainability communication (Hinson et al., 2021). Another major element of credibility is strategic alignment of commitments and </w:t>
      </w:r>
      <w:proofErr w:type="spellStart"/>
      <w:r w:rsidRPr="00153E90">
        <w:t>organisational</w:t>
      </w:r>
      <w:proofErr w:type="spellEnd"/>
      <w:r w:rsidRPr="00153E90">
        <w:t xml:space="preserve"> activities (</w:t>
      </w:r>
      <w:proofErr w:type="spellStart"/>
      <w:r w:rsidRPr="00153E90">
        <w:t>Mukonza</w:t>
      </w:r>
      <w:proofErr w:type="spellEnd"/>
      <w:r w:rsidRPr="00153E90">
        <w:t xml:space="preserve"> et al., 2021). Sustainability communication can also be assessed from a marketing viewpoint, where stakeholder value is also relevant (Bhattacharyya et al., 2021). Moreover, sustainability communication needs to be taken into account along with customer value, quality and product performance (</w:t>
      </w:r>
      <w:proofErr w:type="spellStart"/>
      <w:r w:rsidRPr="00153E90">
        <w:t>Chattopadhyay</w:t>
      </w:r>
      <w:proofErr w:type="spellEnd"/>
      <w:r w:rsidRPr="00153E90">
        <w:t xml:space="preserve"> et al., 2024). </w:t>
      </w:r>
      <w:r>
        <w:t xml:space="preserve">The respective study of corporate communication and the survey of consumers focused on different aspects of corporate communication credibility and consumer trust, given that the former is applied to the analysis of </w:t>
      </w:r>
      <w:proofErr w:type="spellStart"/>
      <w:r>
        <w:t>organisational</w:t>
      </w:r>
      <w:proofErr w:type="spellEnd"/>
      <w:r>
        <w:t xml:space="preserve"> framing, and the latter involves self-reported perceptions.</w:t>
      </w:r>
    </w:p>
    <w:p w14:paraId="2DF83CA2" w14:textId="77777777" w:rsidR="00EF6DA0" w:rsidRPr="008535D7" w:rsidRDefault="00EF6DA0" w:rsidP="00EF6DA0">
      <w:r>
        <w:t xml:space="preserve">These views are not mutually exclusive, but are complementary. Credibility can then be interpreted as a synergy of message quality, </w:t>
      </w:r>
      <w:proofErr w:type="spellStart"/>
      <w:r>
        <w:t>organisational</w:t>
      </w:r>
      <w:proofErr w:type="spellEnd"/>
      <w:r>
        <w:t xml:space="preserve"> congruence and message interpretation. However, due to methodological and contextual differences, there are constraints on </w:t>
      </w:r>
      <w:proofErr w:type="spellStart"/>
      <w:r>
        <w:t>generalisability</w:t>
      </w:r>
      <w:proofErr w:type="spellEnd"/>
      <w:r>
        <w:t>, especially for studies that rely on perceptions and emerging economies (</w:t>
      </w:r>
      <w:proofErr w:type="spellStart"/>
      <w:r>
        <w:t>Mogaji</w:t>
      </w:r>
      <w:proofErr w:type="spellEnd"/>
      <w:r>
        <w:t xml:space="preserve"> et al., 2022). </w:t>
      </w:r>
      <w:r w:rsidRPr="003D61CA">
        <w:t xml:space="preserve">Therefore, the sustainability marketing communication is assessed in the present study along four interrelated dimensions: Claim clarity, Evidence and substantiation quality, Transparency and cross-channel consistency, with M&amp;S as the focal case and Tesco, </w:t>
      </w:r>
      <w:proofErr w:type="spellStart"/>
      <w:r w:rsidRPr="003D61CA">
        <w:t>Asda</w:t>
      </w:r>
      <w:proofErr w:type="spellEnd"/>
      <w:r w:rsidRPr="003D61CA">
        <w:t xml:space="preserve">, </w:t>
      </w:r>
      <w:proofErr w:type="spellStart"/>
      <w:r w:rsidRPr="003D61CA">
        <w:t>Morrisons</w:t>
      </w:r>
      <w:proofErr w:type="spellEnd"/>
      <w:r w:rsidRPr="003D61CA">
        <w:t xml:space="preserve"> and Sainsbury's as the comparator cases in the UK grocery retail sector.</w:t>
      </w:r>
    </w:p>
    <w:p w14:paraId="273AEA12" w14:textId="77777777" w:rsidR="00EF6DA0" w:rsidRPr="005A4DAD" w:rsidRDefault="00EF6DA0" w:rsidP="00EF6DA0">
      <w:pPr>
        <w:pStyle w:val="Heading3"/>
      </w:pPr>
      <w:bookmarkStart w:id="20" w:name="_Toc237143966"/>
      <w:bookmarkStart w:id="21" w:name="_Toc239795025"/>
      <w:r w:rsidRPr="008535D7">
        <w:t xml:space="preserve">2.2.2 </w:t>
      </w:r>
      <w:r w:rsidRPr="00DE51F0">
        <w:t xml:space="preserve">Claim Clarity, Evidence and Substantiation Quality, Transparency and Cross-Channel </w:t>
      </w:r>
      <w:r w:rsidRPr="005A4DAD">
        <w:t>Consistency as Credibility Signals</w:t>
      </w:r>
      <w:bookmarkEnd w:id="20"/>
      <w:bookmarkEnd w:id="21"/>
    </w:p>
    <w:p w14:paraId="1A327880" w14:textId="77777777" w:rsidR="00EF6DA0" w:rsidRPr="00153E90" w:rsidRDefault="00EF6DA0" w:rsidP="00EF6DA0">
      <w:r w:rsidRPr="005A4DAD">
        <w:t>Transparency is key to credible sustainability communication</w:t>
      </w:r>
      <w:r>
        <w:t>,</w:t>
      </w:r>
      <w:r w:rsidRPr="005A4DAD">
        <w:t xml:space="preserve"> but more disclosure does not necessarily equate with transparency. </w:t>
      </w:r>
      <w:proofErr w:type="spellStart"/>
      <w:r w:rsidRPr="005A4DAD">
        <w:t>Organisations</w:t>
      </w:r>
      <w:proofErr w:type="spellEnd"/>
      <w:r w:rsidRPr="005A4DAD">
        <w:t xml:space="preserve"> can seek to publish, and manage what is published, how it is presented, where it is published and what is </w:t>
      </w:r>
      <w:proofErr w:type="spellStart"/>
      <w:r>
        <w:t>emphasised</w:t>
      </w:r>
      <w:proofErr w:type="spellEnd"/>
      <w:r w:rsidRPr="00153E90">
        <w:t>. But the amount of disclosure does not equate to its quality, as the amount of disclosure does not imply real transparency and could even be used to greenwash (Xu, Li and Xu, 2023).</w:t>
      </w:r>
    </w:p>
    <w:p w14:paraId="1D4596AD" w14:textId="77777777" w:rsidR="00EF6DA0" w:rsidRPr="005A4DAD" w:rsidRDefault="00EF6DA0" w:rsidP="00EF6DA0">
      <w:r w:rsidRPr="005A4DAD">
        <w:t xml:space="preserve">Information that is accessible, relevant and open for evaluation is essential to transparency. Trust is dependent on communication interpretation, as transparency is related to </w:t>
      </w:r>
      <w:proofErr w:type="spellStart"/>
      <w:r w:rsidRPr="005A4DAD">
        <w:t>scepticism</w:t>
      </w:r>
      <w:proofErr w:type="spellEnd"/>
      <w:r w:rsidRPr="005A4DAD">
        <w:t xml:space="preserve"> of the stakeholders and green brand credibility</w:t>
      </w:r>
      <w:r>
        <w:t xml:space="preserve"> (</w:t>
      </w:r>
      <w:r w:rsidRPr="005A4DAD">
        <w:t>Li, Sun and Hu</w:t>
      </w:r>
      <w:r>
        <w:t xml:space="preserve">, </w:t>
      </w:r>
      <w:r w:rsidRPr="005A4DAD">
        <w:t xml:space="preserve">2022). Measurable targets, baselines, </w:t>
      </w:r>
      <w:r w:rsidRPr="005A4DAD">
        <w:lastRenderedPageBreak/>
        <w:t xml:space="preserve">progress indicators, certifications and clear methods are an asset to the credibility of </w:t>
      </w:r>
      <w:proofErr w:type="spellStart"/>
      <w:r w:rsidRPr="005A4DAD">
        <w:t>organisations</w:t>
      </w:r>
      <w:proofErr w:type="spellEnd"/>
      <w:r w:rsidRPr="005A4DAD">
        <w:t>. Nevertheless, interactive communication elements can have a significant impact on the credibility of the advertising message, beyond the factual element</w:t>
      </w:r>
      <w:r>
        <w:t xml:space="preserve"> (</w:t>
      </w:r>
      <w:proofErr w:type="spellStart"/>
      <w:r w:rsidRPr="005A4DAD">
        <w:t>Verleye</w:t>
      </w:r>
      <w:proofErr w:type="spellEnd"/>
      <w:r w:rsidRPr="005A4DAD">
        <w:t xml:space="preserve"> et al.</w:t>
      </w:r>
      <w:r>
        <w:t>,</w:t>
      </w:r>
      <w:r w:rsidRPr="005A4DAD">
        <w:t xml:space="preserve"> 2023).</w:t>
      </w:r>
    </w:p>
    <w:p w14:paraId="11B22BF7" w14:textId="77777777" w:rsidR="00EF6DA0" w:rsidRPr="005A4DAD" w:rsidRDefault="00EF6DA0" w:rsidP="00EF6DA0">
      <w:r w:rsidRPr="005A4DAD">
        <w:t>One of the challenges is to ensure that the evidence is balanced with accessibility. Technical detail can be useful for verification but it can decrease understanding and simplification might cause the loss of necessary conditions. Too little packaging can create green trust, but if the terms are vague, like "eco-friendly", or no boundaries are provided, it can still cause issues</w:t>
      </w:r>
      <w:r>
        <w:t xml:space="preserve"> (</w:t>
      </w:r>
      <w:r w:rsidRPr="005A4DAD">
        <w:t>Ding et al.</w:t>
      </w:r>
      <w:r>
        <w:t>,</w:t>
      </w:r>
      <w:r w:rsidRPr="005A4DAD">
        <w:t xml:space="preserve"> 2024). Caution should be used when interpreting the results of the experiments since they are not as likely to encounter the messages in a controlled setting as in reports, websites, packaging or social media.</w:t>
      </w:r>
    </w:p>
    <w:p w14:paraId="7B4D5049" w14:textId="77777777" w:rsidR="00EF6DA0" w:rsidRPr="00153E90" w:rsidRDefault="00EF6DA0" w:rsidP="00EF6DA0">
      <w:r w:rsidRPr="005A4DAD">
        <w:t xml:space="preserve">One should not mistake "clarity" for "oversimplification. Claims should describe what is going better and what is considered a baseline, scope and timeframe. Having consistency across channels can enhance credibility. Based on </w:t>
      </w:r>
      <w:proofErr w:type="spellStart"/>
      <w:r w:rsidRPr="005A4DAD">
        <w:t>Signalling</w:t>
      </w:r>
      <w:proofErr w:type="spellEnd"/>
      <w:r w:rsidRPr="005A4DAD">
        <w:t xml:space="preserve"> Theory,</w:t>
      </w:r>
      <w:r>
        <w:t xml:space="preserve"> </w:t>
      </w:r>
      <w:r w:rsidRPr="005A4DAD">
        <w:t xml:space="preserve">communication and sustainability activities act together as </w:t>
      </w:r>
      <w:proofErr w:type="spellStart"/>
      <w:r w:rsidRPr="005A4DAD">
        <w:t>organisational</w:t>
      </w:r>
      <w:proofErr w:type="spellEnd"/>
      <w:r w:rsidRPr="005A4DAD">
        <w:t xml:space="preserve"> signals</w:t>
      </w:r>
      <w:r>
        <w:t xml:space="preserve"> (</w:t>
      </w:r>
      <w:r w:rsidRPr="005A4DAD">
        <w:t>Amaya et al.,</w:t>
      </w:r>
      <w:r>
        <w:t xml:space="preserve"> </w:t>
      </w:r>
      <w:r w:rsidRPr="005A4DAD">
        <w:t xml:space="preserve">2021). </w:t>
      </w:r>
      <w:r w:rsidRPr="00153E90">
        <w:t xml:space="preserve">A </w:t>
      </w:r>
      <w:r>
        <w:t>misalignment</w:t>
      </w:r>
      <w:r w:rsidRPr="00153E90">
        <w:t xml:space="preserve"> between the internal experiences and external claims regarding sustainability can make the communication less credible (</w:t>
      </w:r>
      <w:proofErr w:type="spellStart"/>
      <w:r w:rsidRPr="00153E90">
        <w:t>Bendig</w:t>
      </w:r>
      <w:proofErr w:type="spellEnd"/>
      <w:r w:rsidRPr="00153E90">
        <w:t xml:space="preserve">, </w:t>
      </w:r>
      <w:proofErr w:type="spellStart"/>
      <w:r w:rsidRPr="00153E90">
        <w:t>Schäper</w:t>
      </w:r>
      <w:proofErr w:type="spellEnd"/>
      <w:r w:rsidRPr="00153E90">
        <w:t xml:space="preserve"> and </w:t>
      </w:r>
      <w:proofErr w:type="spellStart"/>
      <w:r w:rsidRPr="00153E90">
        <w:t>Erbar</w:t>
      </w:r>
      <w:proofErr w:type="spellEnd"/>
      <w:r w:rsidRPr="00153E90">
        <w:t xml:space="preserve">, 2024). Variations in culture and communication channels also can affect the interpretation of sustainability information (Mohamad Saleh, Rahman and </w:t>
      </w:r>
      <w:proofErr w:type="spellStart"/>
      <w:r w:rsidRPr="00153E90">
        <w:t>Adi</w:t>
      </w:r>
      <w:proofErr w:type="spellEnd"/>
      <w:r w:rsidRPr="00153E90">
        <w:t xml:space="preserve"> </w:t>
      </w:r>
      <w:proofErr w:type="spellStart"/>
      <w:r w:rsidRPr="00153E90">
        <w:t>Kasuma</w:t>
      </w:r>
      <w:proofErr w:type="spellEnd"/>
      <w:r w:rsidRPr="00153E90">
        <w:t xml:space="preserve">, 2023).  </w:t>
      </w:r>
    </w:p>
    <w:p w14:paraId="600DEB24" w14:textId="77777777" w:rsidR="00EF6DA0" w:rsidRPr="005A4DAD" w:rsidRDefault="00EF6DA0" w:rsidP="00EF6DA0">
      <w:r w:rsidRPr="005A4DAD">
        <w:t>Generally, credibility of sustainability communication can be evaluated on the basis of the clarity of claims, the quality of evidence, transparency and cross-channel consistency, though these are indicators of credibility, not of brand trust</w:t>
      </w:r>
      <w:r w:rsidRPr="0093094E">
        <w:t>.</w:t>
      </w:r>
    </w:p>
    <w:p w14:paraId="1102B034" w14:textId="77777777" w:rsidR="00EF6DA0" w:rsidRPr="008535D7" w:rsidRDefault="00EF6DA0" w:rsidP="00EF6DA0">
      <w:pPr>
        <w:pStyle w:val="Heading3"/>
      </w:pPr>
      <w:bookmarkStart w:id="22" w:name="_Toc237143967"/>
      <w:bookmarkStart w:id="23" w:name="_Toc239795026"/>
      <w:r w:rsidRPr="008535D7">
        <w:t xml:space="preserve">2.2.3 Greenwashing, Consumer </w:t>
      </w:r>
      <w:proofErr w:type="spellStart"/>
      <w:r w:rsidRPr="008535D7">
        <w:t>Scepticism</w:t>
      </w:r>
      <w:proofErr w:type="spellEnd"/>
      <w:r w:rsidRPr="008535D7">
        <w:t xml:space="preserve"> and the Credibility Deficit</w:t>
      </w:r>
      <w:bookmarkEnd w:id="22"/>
      <w:bookmarkEnd w:id="23"/>
    </w:p>
    <w:p w14:paraId="2F2E727D" w14:textId="77777777" w:rsidR="00EF6DA0" w:rsidRPr="005A4DAD" w:rsidRDefault="00EF6DA0" w:rsidP="00EF6DA0">
      <w:r w:rsidRPr="005A4DAD">
        <w:t xml:space="preserve">Greenwashing is one of the main challenges in the field of sustainability communication, as it leaves a distortion between the impression an </w:t>
      </w:r>
      <w:proofErr w:type="spellStart"/>
      <w:r w:rsidRPr="005A4DAD">
        <w:t>organisation</w:t>
      </w:r>
      <w:proofErr w:type="spellEnd"/>
      <w:r w:rsidRPr="005A4DAD">
        <w:t xml:space="preserve"> gives and the evidence behind this impression. Greenwashing is not just limited to outright lies but can involve exaggeration, selective disclosure, ambiguity, disproportionate emphasis and factual deception, which can have an impact on economic and social value (Bernini and La Rosa 2024). This overall picture is essential for documentary analysis since sustainability reports and marketing documents can be convincing and leave out relevant evidence.</w:t>
      </w:r>
    </w:p>
    <w:p w14:paraId="23EAF6B6" w14:textId="77777777" w:rsidR="00EF6DA0" w:rsidRPr="005A4DAD" w:rsidRDefault="00EF6DA0" w:rsidP="00EF6DA0">
      <w:r w:rsidRPr="005A4DAD">
        <w:t xml:space="preserve">Risk of greenwashing should be checked by </w:t>
      </w:r>
      <w:proofErr w:type="spellStart"/>
      <w:r w:rsidRPr="005A4DAD">
        <w:t>analysing</w:t>
      </w:r>
      <w:proofErr w:type="spellEnd"/>
      <w:r w:rsidRPr="005A4DAD">
        <w:t xml:space="preserve"> the claims and evidence relying on the claims.</w:t>
      </w:r>
      <w:r>
        <w:t xml:space="preserve"> T</w:t>
      </w:r>
      <w:r w:rsidRPr="005A4DAD">
        <w:t xml:space="preserve">he nature of “washing” can be different depending on </w:t>
      </w:r>
      <w:proofErr w:type="spellStart"/>
      <w:r w:rsidRPr="005A4DAD">
        <w:t>organisational</w:t>
      </w:r>
      <w:proofErr w:type="spellEnd"/>
      <w:r w:rsidRPr="005A4DAD">
        <w:t xml:space="preserve"> features, its governance and its internal incentives</w:t>
      </w:r>
      <w:r>
        <w:t xml:space="preserve"> (</w:t>
      </w:r>
      <w:r w:rsidRPr="005A4DAD">
        <w:t>Ruiz-Blanco et al.</w:t>
      </w:r>
      <w:r>
        <w:t>,</w:t>
      </w:r>
      <w:r w:rsidRPr="005A4DAD">
        <w:t xml:space="preserve"> 2022). </w:t>
      </w:r>
      <w:r w:rsidRPr="00153E90">
        <w:t xml:space="preserve">In addition, agency theory offers </w:t>
      </w:r>
      <w:r w:rsidRPr="00153E90">
        <w:lastRenderedPageBreak/>
        <w:t xml:space="preserve">a complementary explanation as information asymmetry between the </w:t>
      </w:r>
      <w:proofErr w:type="spellStart"/>
      <w:r w:rsidRPr="00153E90">
        <w:t>organisations</w:t>
      </w:r>
      <w:proofErr w:type="spellEnd"/>
      <w:r w:rsidRPr="00153E90">
        <w:t xml:space="preserve"> and the stakeholders can </w:t>
      </w:r>
      <w:r>
        <w:t>create</w:t>
      </w:r>
      <w:r w:rsidRPr="00153E90">
        <w:t xml:space="preserve"> opportunities for information distortion and selective disclosure (</w:t>
      </w:r>
      <w:proofErr w:type="spellStart"/>
      <w:r w:rsidRPr="00153E90">
        <w:t>Ghitti</w:t>
      </w:r>
      <w:proofErr w:type="spellEnd"/>
      <w:r w:rsidRPr="00153E90">
        <w:t xml:space="preserve">, </w:t>
      </w:r>
      <w:proofErr w:type="spellStart"/>
      <w:r w:rsidRPr="00153E90">
        <w:t>Gianfrate</w:t>
      </w:r>
      <w:proofErr w:type="spellEnd"/>
      <w:r w:rsidRPr="00153E90">
        <w:t xml:space="preserve"> and Palma, 2024).</w:t>
      </w:r>
      <w:r w:rsidRPr="005A4DAD">
        <w:t xml:space="preserve"> This can provide opportunities for selective or misrepresentation disclosure.</w:t>
      </w:r>
    </w:p>
    <w:p w14:paraId="08075AAB" w14:textId="77777777" w:rsidR="00EF6DA0" w:rsidRPr="005A4DAD" w:rsidRDefault="00EF6DA0" w:rsidP="00EF6DA0">
      <w:proofErr w:type="spellStart"/>
      <w:r w:rsidRPr="005A4DAD">
        <w:t>Signalling</w:t>
      </w:r>
      <w:proofErr w:type="spellEnd"/>
      <w:r w:rsidRPr="005A4DAD">
        <w:t xml:space="preserve"> theory is particularly relevant to this study, as </w:t>
      </w:r>
      <w:proofErr w:type="spellStart"/>
      <w:r w:rsidRPr="005A4DAD">
        <w:t>organisations</w:t>
      </w:r>
      <w:proofErr w:type="spellEnd"/>
      <w:r w:rsidRPr="005A4DAD">
        <w:t xml:space="preserve"> communicate their sustainability practices in a visible manner, yet are of less visibility. But communication quality should not be confused with environmental performance; what is good messaging is not synonymous with positive environmental results (Zhang et al., 2023).</w:t>
      </w:r>
    </w:p>
    <w:p w14:paraId="1D2E0E97" w14:textId="77777777" w:rsidR="00EF6DA0" w:rsidRPr="005A4DAD" w:rsidRDefault="00EF6DA0" w:rsidP="00EF6DA0">
      <w:r>
        <w:t>Perceived g</w:t>
      </w:r>
      <w:r w:rsidRPr="005A4DAD">
        <w:t xml:space="preserve">reenwashing can also have negative implications on reputation and trust among stakeholders. </w:t>
      </w:r>
      <w:r w:rsidRPr="00153E90">
        <w:t>Greenwashing can have a detrimental impact on brand image (</w:t>
      </w:r>
      <w:proofErr w:type="spellStart"/>
      <w:r w:rsidRPr="00153E90">
        <w:t>Tu</w:t>
      </w:r>
      <w:proofErr w:type="spellEnd"/>
      <w:r w:rsidRPr="00153E90">
        <w:t xml:space="preserve"> et al., 2024). Greenwashing-related brand crises can also weaken consumers' green brand trust (Li and Sun, 2022).</w:t>
      </w:r>
      <w:r>
        <w:rPr>
          <w:color w:val="FF0000"/>
        </w:rPr>
        <w:t xml:space="preserve"> </w:t>
      </w:r>
      <w:r w:rsidRPr="005A4DAD">
        <w:t>Transparency and authenticity are, therefore, important (</w:t>
      </w:r>
      <w:proofErr w:type="spellStart"/>
      <w:r w:rsidRPr="005A4DAD">
        <w:t>Alyahia</w:t>
      </w:r>
      <w:proofErr w:type="spellEnd"/>
      <w:r w:rsidRPr="005A4DAD">
        <w:t xml:space="preserve"> et al., 2024). </w:t>
      </w:r>
      <w:r w:rsidRPr="006940FB">
        <w:t>Greenwashing can impact not only consumers, but several stakeholder groups (Santos, Coelho and Marques, 2024). AI could offer opportunities for greater transparency in sustainability reporting processes (</w:t>
      </w:r>
      <w:proofErr w:type="spellStart"/>
      <w:r w:rsidRPr="006940FB">
        <w:t>Moodaley</w:t>
      </w:r>
      <w:proofErr w:type="spellEnd"/>
      <w:r w:rsidRPr="006940FB">
        <w:t xml:space="preserve"> and </w:t>
      </w:r>
      <w:proofErr w:type="spellStart"/>
      <w:r w:rsidRPr="006940FB">
        <w:t>Telukdarie</w:t>
      </w:r>
      <w:proofErr w:type="spellEnd"/>
      <w:r w:rsidRPr="006940FB">
        <w:t>, 2023)</w:t>
      </w:r>
      <w:r w:rsidRPr="005A4DAD">
        <w:t xml:space="preserve">. When claims are unverifiable, consumer </w:t>
      </w:r>
      <w:proofErr w:type="spellStart"/>
      <w:r w:rsidRPr="005A4DAD">
        <w:t>scepticism</w:t>
      </w:r>
      <w:proofErr w:type="spellEnd"/>
      <w:r w:rsidRPr="005A4DAD">
        <w:t xml:space="preserve"> may be warranted (De </w:t>
      </w:r>
      <w:proofErr w:type="spellStart"/>
      <w:r w:rsidRPr="005A4DAD">
        <w:t>Sio</w:t>
      </w:r>
      <w:proofErr w:type="spellEnd"/>
      <w:r w:rsidRPr="005A4DAD">
        <w:t xml:space="preserve"> et al., 2022). </w:t>
      </w:r>
      <w:r w:rsidRPr="006940FB">
        <w:t>UK Environmental advertising claims are expected to be clear, accurate, evidence-based and adequately substantiated (ASA, 2023). The same principles can be seen in the regulatory expectations of businesses about environmental claims (CMA, 2024).</w:t>
      </w:r>
    </w:p>
    <w:p w14:paraId="0AF280BD" w14:textId="77777777" w:rsidR="00EF6DA0" w:rsidRPr="008535D7" w:rsidRDefault="00EF6DA0" w:rsidP="00EF6DA0">
      <w:pPr>
        <w:pStyle w:val="Heading3"/>
      </w:pPr>
      <w:bookmarkStart w:id="24" w:name="_Toc237143968"/>
      <w:bookmarkStart w:id="25" w:name="_Toc239795027"/>
      <w:r w:rsidRPr="008535D7">
        <w:t>2.2.4 Authenticity, Green Trust and Brand-Trust Implications</w:t>
      </w:r>
      <w:bookmarkEnd w:id="24"/>
      <w:bookmarkEnd w:id="25"/>
    </w:p>
    <w:p w14:paraId="144189E3" w14:textId="77777777" w:rsidR="00EF6DA0" w:rsidRDefault="00EF6DA0" w:rsidP="00EF6DA0">
      <w:r>
        <w:t xml:space="preserve">Consumers are unable to check many aspects of the activities of an </w:t>
      </w:r>
      <w:proofErr w:type="spellStart"/>
      <w:r>
        <w:t>organisation</w:t>
      </w:r>
      <w:proofErr w:type="spellEnd"/>
      <w:r>
        <w:t xml:space="preserve">, such as supply-chain management, emissions, sourcing and waste management, in sustainability communication. Thus, credibility, authenticity, ‘green trust' and ‘broader brand trust' are linked but they are not equivalent. Credibility is related to whether sustainability communication is believable, reliable, and provided with sufficient evidence; authenticity is related to whether it looks genuine and is congruent with the </w:t>
      </w:r>
      <w:proofErr w:type="spellStart"/>
      <w:r>
        <w:t>organisation's</w:t>
      </w:r>
      <w:proofErr w:type="spellEnd"/>
      <w:r>
        <w:t xml:space="preserve"> identity, values, and </w:t>
      </w:r>
      <w:proofErr w:type="spellStart"/>
      <w:r>
        <w:t>behaviour</w:t>
      </w:r>
      <w:proofErr w:type="spellEnd"/>
      <w:r>
        <w:t>. Green trust is the trust placed in a brand's environmental commitments, and brand trust is the overall sense of reliability and integrity of the brand.</w:t>
      </w:r>
    </w:p>
    <w:p w14:paraId="315377EC" w14:textId="77777777" w:rsidR="00EF6DA0" w:rsidRDefault="00EF6DA0" w:rsidP="00EF6DA0">
      <w:r>
        <w:t xml:space="preserve">Foundational literature helps clarify these distinctions. </w:t>
      </w:r>
      <w:r w:rsidRPr="006940FB">
        <w:t xml:space="preserve">Brand trust can be interpreted as the consumers' willingness to trust the brand's ability to deliver on the brand's promise of performance over a longer period of time, thereby facilitating longer-term brand relationships (Chaudhuri and Holbrook, 2001). Brand trust also reflects perceptions of reliability and confidence in a brand's </w:t>
      </w:r>
      <w:r w:rsidRPr="006940FB">
        <w:lastRenderedPageBreak/>
        <w:t>intentions (Delgado-</w:t>
      </w:r>
      <w:proofErr w:type="spellStart"/>
      <w:r w:rsidRPr="006940FB">
        <w:t>Ballester</w:t>
      </w:r>
      <w:proofErr w:type="spellEnd"/>
      <w:r w:rsidRPr="006940FB">
        <w:t xml:space="preserve">, 2004). In environmental marketing, the concept of green trust is about people’s trust on a brand that it will </w:t>
      </w:r>
      <w:proofErr w:type="spellStart"/>
      <w:r w:rsidRPr="006940FB">
        <w:t>honour</w:t>
      </w:r>
      <w:proofErr w:type="spellEnd"/>
      <w:r w:rsidRPr="006940FB">
        <w:t xml:space="preserve"> its environmental declaration and obligation (Chen, 2010).</w:t>
      </w:r>
      <w:r>
        <w:t xml:space="preserve"> These views suggest that trust might be a possible outcome of credible sustainability communication efforts, although the credibility of the communication should not be equated with the brand's trust.</w:t>
      </w:r>
    </w:p>
    <w:p w14:paraId="6A2C63E3" w14:textId="77777777" w:rsidR="00EF6DA0" w:rsidRPr="00065C58" w:rsidRDefault="00EF6DA0" w:rsidP="00EF6DA0">
      <w:pPr>
        <w:rPr>
          <w:color w:val="FF0000"/>
        </w:rPr>
      </w:pPr>
      <w:r>
        <w:t xml:space="preserve">This difference has been confirmed by recent research. </w:t>
      </w:r>
      <w:r w:rsidRPr="006940FB">
        <w:t xml:space="preserve">A positive correlation between CSR activities and perceived authenticity can enhance trust in the brand (Lee and </w:t>
      </w:r>
      <w:proofErr w:type="spellStart"/>
      <w:r w:rsidRPr="006940FB">
        <w:t>Jeong</w:t>
      </w:r>
      <w:proofErr w:type="spellEnd"/>
      <w:r w:rsidRPr="006940FB">
        <w:t>, 2022). Green brand authenticity can also influence consumers' electronic word-of-mouth intentions (Xu et al., 2021). Green trust also has been linked with consumer engagement, word-of-mouth and purchase intentions (</w:t>
      </w:r>
      <w:proofErr w:type="spellStart"/>
      <w:r w:rsidRPr="006940FB">
        <w:t>Guerreiro</w:t>
      </w:r>
      <w:proofErr w:type="spellEnd"/>
      <w:r w:rsidRPr="006940FB">
        <w:t xml:space="preserve"> and Pacheco, 2021).</w:t>
      </w:r>
      <w:r>
        <w:t xml:space="preserve"> </w:t>
      </w:r>
      <w:r w:rsidRPr="005A4DAD">
        <w:t xml:space="preserve">Consumer-level relationships, however, cannot be directly deduced from the documentary materials </w:t>
      </w:r>
      <w:proofErr w:type="spellStart"/>
      <w:r w:rsidRPr="005A4DAD">
        <w:t>analysed</w:t>
      </w:r>
      <w:proofErr w:type="spellEnd"/>
      <w:r w:rsidRPr="005A4DAD">
        <w:t xml:space="preserve">. Thus, the dimension of authenticity is not considered to be an independent one for quality of communication. Instead, authenticity signals are used to judge the authenticity of sustainability claims in light of the </w:t>
      </w:r>
      <w:proofErr w:type="spellStart"/>
      <w:r w:rsidRPr="005A4DAD">
        <w:t>organisation's</w:t>
      </w:r>
      <w:proofErr w:type="spellEnd"/>
      <w:r w:rsidRPr="005A4DAD">
        <w:t xml:space="preserve"> commitment and supporting evidence. The trust of the brand is thus regarded as a potential psychological result of communication credibility instead of a direct one.</w:t>
      </w:r>
    </w:p>
    <w:p w14:paraId="4400DC6C" w14:textId="77777777" w:rsidR="00EF6DA0" w:rsidRPr="008535D7" w:rsidRDefault="00EF6DA0" w:rsidP="00EF6DA0">
      <w:pPr>
        <w:pStyle w:val="Heading3"/>
      </w:pPr>
      <w:bookmarkStart w:id="26" w:name="_Toc237143969"/>
      <w:bookmarkStart w:id="27" w:name="_Toc239795028"/>
      <w:r w:rsidRPr="008535D7">
        <w:t xml:space="preserve">2.2.5 </w:t>
      </w:r>
      <w:r w:rsidRPr="00DE51F0">
        <w:t>Multi-Channel Communication and the UK Grocery Retail Research Gap</w:t>
      </w:r>
      <w:bookmarkEnd w:id="26"/>
      <w:bookmarkEnd w:id="27"/>
    </w:p>
    <w:p w14:paraId="7014F6B8" w14:textId="77777777" w:rsidR="00EF6DA0" w:rsidRDefault="00EF6DA0" w:rsidP="00EF6DA0">
      <w:r>
        <w:t xml:space="preserve">Communication on sustainability is now multi-layered; it is not just about one corporate disclosure. Claims on packaging, advertising and social media must be shorter and more accessible; annual or ESG reports will have detailed evidence. This poses a challenge as there is a need to ensure that evidence across the </w:t>
      </w:r>
      <w:proofErr w:type="spellStart"/>
      <w:r>
        <w:t>organisation</w:t>
      </w:r>
      <w:proofErr w:type="spellEnd"/>
      <w:r>
        <w:t xml:space="preserve"> is consistent with the messages that are communicated to the customers.</w:t>
      </w:r>
    </w:p>
    <w:p w14:paraId="6F49E8BA" w14:textId="77777777" w:rsidR="00EF6DA0" w:rsidRDefault="00EF6DA0" w:rsidP="00EF6DA0">
      <w:r>
        <w:t xml:space="preserve">This relationship is complicated further by digital communication, as </w:t>
      </w:r>
      <w:proofErr w:type="spellStart"/>
      <w:r>
        <w:t>organisations</w:t>
      </w:r>
      <w:proofErr w:type="spellEnd"/>
      <w:r>
        <w:t xml:space="preserve"> do not have complete control over interpretation by the stakeholders. Social-media engagement does not just involve one-way information dissemination; visibility does not imply credibility and public assertions can be challenged and/or rephrased (</w:t>
      </w:r>
      <w:proofErr w:type="spellStart"/>
      <w:r>
        <w:t>Jha</w:t>
      </w:r>
      <w:proofErr w:type="spellEnd"/>
      <w:r>
        <w:t xml:space="preserve"> and </w:t>
      </w:r>
      <w:proofErr w:type="spellStart"/>
      <w:r>
        <w:t>Verma</w:t>
      </w:r>
      <w:proofErr w:type="spellEnd"/>
      <w:r>
        <w:t xml:space="preserve">, 2024). Likewise, brands are created by communicating; sustainability identities are created as communication between </w:t>
      </w:r>
      <w:proofErr w:type="spellStart"/>
      <w:r>
        <w:t>organisational</w:t>
      </w:r>
      <w:proofErr w:type="spellEnd"/>
      <w:r>
        <w:t xml:space="preserve"> messages and stakeholders' reactions (Hansen, 2023). Therefore, consistency is crucial so far as maintaining brand coherence is concerned.</w:t>
      </w:r>
    </w:p>
    <w:p w14:paraId="01721964" w14:textId="77777777" w:rsidR="00EF6DA0" w:rsidRDefault="00EF6DA0" w:rsidP="00EF6DA0">
      <w:r>
        <w:t xml:space="preserve">Research on a single channel is a limited measurement of the quality of sustainability communication. Corporate-reporting studies can assess targets, metrics and disclosure quality, but cannot necessarily reveal how the sustainability commitments are being communicated to </w:t>
      </w:r>
      <w:r>
        <w:lastRenderedPageBreak/>
        <w:t>customers</w:t>
      </w:r>
      <w:r w:rsidRPr="006940FB">
        <w:t xml:space="preserve">. However, the extent of disclosure does not necessarily imply transparency or credibility of communication (Xu, Li and Xu, 2023). </w:t>
      </w:r>
      <w:r>
        <w:t xml:space="preserve">In contrast, social media and customer-facing studies provide evidence of accessibility and engagement, but offer less evidence of whether claims are simplified, and evidence of broader </w:t>
      </w:r>
      <w:proofErr w:type="spellStart"/>
      <w:r>
        <w:t>organisational</w:t>
      </w:r>
      <w:proofErr w:type="spellEnd"/>
      <w:r>
        <w:t xml:space="preserve"> claims. So, neither can be used effectively as a sole tool to measure cross-channel consistency.</w:t>
      </w:r>
    </w:p>
    <w:p w14:paraId="1144C183" w14:textId="77777777" w:rsidR="00EF6DA0" w:rsidRPr="005A4DAD" w:rsidRDefault="00EF6DA0" w:rsidP="00EF6DA0">
      <w:r w:rsidRPr="005A4DAD">
        <w:t xml:space="preserve">Three gaps are </w:t>
      </w:r>
      <w:proofErr w:type="spellStart"/>
      <w:r w:rsidRPr="005A4DAD">
        <w:t>recognised</w:t>
      </w:r>
      <w:proofErr w:type="spellEnd"/>
      <w:r w:rsidRPr="005A4DAD">
        <w:t xml:space="preserve"> in the literature. </w:t>
      </w:r>
      <w:r w:rsidRPr="006940FB">
        <w:t>First, there is the lack of integration between transparency, credibility, greenwashing and consumer trust in an overall communication-quality framework. Ambiguous or conflicting information is one of the factors that can be responsible for green confusion (</w:t>
      </w:r>
      <w:proofErr w:type="spellStart"/>
      <w:r w:rsidRPr="006940FB">
        <w:t>Qayyum</w:t>
      </w:r>
      <w:proofErr w:type="spellEnd"/>
      <w:r w:rsidRPr="006940FB">
        <w:t xml:space="preserve"> et al., 2023). It is important to evaluate greenwashing on multiple communication channels, rather than along individual claims or disclosures (</w:t>
      </w:r>
      <w:proofErr w:type="spellStart"/>
      <w:r w:rsidRPr="006940FB">
        <w:t>Nemes</w:t>
      </w:r>
      <w:proofErr w:type="spellEnd"/>
      <w:r w:rsidRPr="006940FB">
        <w:t xml:space="preserve"> et al., 2022).</w:t>
      </w:r>
      <w:r w:rsidRPr="005A4DAD">
        <w:t xml:space="preserve"> Secondly, studies that examine one communication mechanism might fail to consider the variety of differences between lengthy business reports and brief customer communications. Third, there is very limited research that compares the sustainability communication of the major grocery retailers in the UK. This study, therefore, aims to compare M&amp;S with Tesco, </w:t>
      </w:r>
      <w:proofErr w:type="spellStart"/>
      <w:r w:rsidRPr="005A4DAD">
        <w:t>Asda</w:t>
      </w:r>
      <w:proofErr w:type="spellEnd"/>
      <w:r w:rsidRPr="005A4DAD">
        <w:t xml:space="preserve">, </w:t>
      </w:r>
      <w:proofErr w:type="spellStart"/>
      <w:r w:rsidRPr="005A4DAD">
        <w:t>Morrisons</w:t>
      </w:r>
      <w:proofErr w:type="spellEnd"/>
      <w:r w:rsidRPr="005A4DAD">
        <w:t>, and Sainsbury's based on communication quality, consistency, authenticity and the risk of greenwashing.</w:t>
      </w:r>
      <w:r>
        <w:t xml:space="preserve"> </w:t>
      </w:r>
      <w:r w:rsidRPr="006D2882">
        <w:t>These gaps call for an integrated documentary framework that would assess the clarity of claims, substantiation, transparency and consistency across the UK grocery retailers and interpret the credibility of their sustainability signals based on the authenticity and greenwashing risk.</w:t>
      </w:r>
    </w:p>
    <w:p w14:paraId="15C06A34" w14:textId="77777777" w:rsidR="00EF6DA0" w:rsidRPr="008535D7" w:rsidRDefault="00EF6DA0" w:rsidP="00EF6DA0">
      <w:pPr>
        <w:pStyle w:val="Heading2"/>
      </w:pPr>
      <w:bookmarkStart w:id="28" w:name="_Toc237143970"/>
      <w:bookmarkStart w:id="29" w:name="_Toc239795029"/>
      <w:r w:rsidRPr="008535D7">
        <w:t xml:space="preserve">2.3 </w:t>
      </w:r>
      <w:r w:rsidRPr="006C38B3">
        <w:t>Theoretical Framework</w:t>
      </w:r>
      <w:bookmarkEnd w:id="28"/>
      <w:bookmarkEnd w:id="29"/>
    </w:p>
    <w:p w14:paraId="11B700EE" w14:textId="77777777" w:rsidR="00EF6DA0" w:rsidRPr="008535D7" w:rsidRDefault="00EF6DA0" w:rsidP="00EF6DA0">
      <w:pPr>
        <w:pStyle w:val="Heading3"/>
      </w:pPr>
      <w:bookmarkStart w:id="30" w:name="_Toc237143971"/>
      <w:bookmarkStart w:id="31" w:name="_Toc239795030"/>
      <w:proofErr w:type="spellStart"/>
      <w:r w:rsidRPr="008535D7">
        <w:t>Signalling</w:t>
      </w:r>
      <w:proofErr w:type="spellEnd"/>
      <w:r w:rsidRPr="008535D7">
        <w:t xml:space="preserve"> Theory</w:t>
      </w:r>
      <w:bookmarkEnd w:id="30"/>
      <w:bookmarkEnd w:id="31"/>
    </w:p>
    <w:p w14:paraId="34AB76DA" w14:textId="77777777" w:rsidR="00EF6DA0" w:rsidRPr="005A4DAD" w:rsidRDefault="00EF6DA0" w:rsidP="00EF6DA0">
      <w:proofErr w:type="spellStart"/>
      <w:r w:rsidRPr="005A4DAD">
        <w:t>Signalling</w:t>
      </w:r>
      <w:proofErr w:type="spellEnd"/>
      <w:r w:rsidRPr="005A4DAD">
        <w:t xml:space="preserve"> Theory is the primary theory used for this research as this theory describes how </w:t>
      </w:r>
      <w:proofErr w:type="spellStart"/>
      <w:r w:rsidRPr="005A4DAD">
        <w:t>organisations</w:t>
      </w:r>
      <w:proofErr w:type="spellEnd"/>
      <w:r w:rsidRPr="005A4DAD">
        <w:t xml:space="preserve"> communicate signals about practices that are not directly observable by stakeholders. The theory is complemented by green trust, authenticity and greenwashing literature with the purpose of assessing the impact of these signals on information asymmetry, credibility and trust.</w:t>
      </w:r>
    </w:p>
    <w:p w14:paraId="30FB56DC" w14:textId="77777777" w:rsidR="00EF6DA0" w:rsidRPr="005A4DAD" w:rsidRDefault="00EF6DA0" w:rsidP="00EF6DA0">
      <w:proofErr w:type="spellStart"/>
      <w:r w:rsidRPr="005A4DAD">
        <w:t>Signalling</w:t>
      </w:r>
      <w:proofErr w:type="spellEnd"/>
      <w:r w:rsidRPr="005A4DAD">
        <w:t xml:space="preserve"> Theory has </w:t>
      </w:r>
      <w:r>
        <w:t xml:space="preserve">been </w:t>
      </w:r>
      <w:r w:rsidRPr="005A4DAD">
        <w:t>created to account for situations where one party has information which the other cannot easily observe</w:t>
      </w:r>
      <w:r>
        <w:t xml:space="preserve"> (</w:t>
      </w:r>
      <w:r w:rsidRPr="005A4DAD">
        <w:t>Spence</w:t>
      </w:r>
      <w:r>
        <w:t xml:space="preserve">, </w:t>
      </w:r>
      <w:r w:rsidRPr="005A4DAD">
        <w:t xml:space="preserve">1973). The message's sender conveys a message regarding an underlying quality and the receiver assesses whether the message is credible. This has been extended to instances where stakeholders are not able to evaluate the quality, intentions or actions of a company, and have to trust in communicated evidence (Choudhury, 2024). The </w:t>
      </w:r>
      <w:r w:rsidRPr="005A4DAD">
        <w:lastRenderedPageBreak/>
        <w:t>effectiveness of the signal is based on the visibility, credibility and difficulty of imitation.</w:t>
      </w:r>
    </w:p>
    <w:p w14:paraId="354006F5" w14:textId="77777777" w:rsidR="00EF6DA0" w:rsidRDefault="00EF6DA0" w:rsidP="00EF6DA0">
      <w:pPr>
        <w:rPr>
          <w:color w:val="FF0000"/>
        </w:rPr>
      </w:pPr>
      <w:r w:rsidRPr="005A4DAD">
        <w:t xml:space="preserve">This theory is appropriate as consumers are not as well informed as retailers on the various aspects of sourcing, emissions, packaging and supply-chain practices. Sustainability reports, targets, certifications, websites and product claims serve as signals that are missing about the qualities of an </w:t>
      </w:r>
      <w:proofErr w:type="spellStart"/>
      <w:r w:rsidRPr="005A4DAD">
        <w:t>organisation</w:t>
      </w:r>
      <w:proofErr w:type="spellEnd"/>
      <w:r w:rsidRPr="005A4DAD">
        <w:t xml:space="preserve">. The presence of a signal doesn't necessarily mean that it's credible, however. </w:t>
      </w:r>
      <w:proofErr w:type="spellStart"/>
      <w:r w:rsidRPr="006940FB">
        <w:t>Signalling</w:t>
      </w:r>
      <w:proofErr w:type="spellEnd"/>
      <w:r w:rsidRPr="006940FB">
        <w:t xml:space="preserve"> Theory can be used for the classification and assessment of corporate sustainability communication and sustainability practices (Amaya et al., 2021).</w:t>
      </w:r>
    </w:p>
    <w:p w14:paraId="7457BCB4" w14:textId="77777777" w:rsidR="00EF6DA0" w:rsidRPr="005A4DAD" w:rsidRDefault="00EF6DA0" w:rsidP="00EF6DA0">
      <w:r w:rsidRPr="005A4DAD">
        <w:t xml:space="preserve">The framework also provides assistance for </w:t>
      </w:r>
      <w:r>
        <w:t xml:space="preserve">the </w:t>
      </w:r>
      <w:r w:rsidRPr="005A4DAD">
        <w:t xml:space="preserve">interpretation of greenwashing. Where it is easy to generate a signal that isn't backed by sustainability performance, it may lose credibility. Thus, greenwashing can be seen as a lack of credibility of the signal and a misleading promotion. </w:t>
      </w:r>
      <w:r w:rsidRPr="006940FB">
        <w:t>Sustainability rhetoric can thus be measured for the degree of credibility and believability it can be judged as, as well as the lack of sufficient support (</w:t>
      </w:r>
      <w:proofErr w:type="spellStart"/>
      <w:r w:rsidRPr="006940FB">
        <w:t>Bengtson</w:t>
      </w:r>
      <w:proofErr w:type="spellEnd"/>
      <w:r w:rsidRPr="006940FB">
        <w:t xml:space="preserve"> and Mossberg, 2023).</w:t>
      </w:r>
      <w:r w:rsidRPr="005A4DAD">
        <w:t xml:space="preserve"> Stakeholder and legitimacy theories are still valid because as </w:t>
      </w:r>
      <w:proofErr w:type="spellStart"/>
      <w:r w:rsidRPr="005A4DAD">
        <w:t>organisations</w:t>
      </w:r>
      <w:proofErr w:type="spellEnd"/>
      <w:r w:rsidRPr="005A4DAD">
        <w:t xml:space="preserve"> have to deal with the expectations of stakeholders and social pressures, but less directly with regard to the credibility of communication in an information asymmetry.</w:t>
      </w:r>
    </w:p>
    <w:p w14:paraId="64EF49D3" w14:textId="77777777" w:rsidR="00EF6DA0" w:rsidRPr="005A4DAD" w:rsidRDefault="00EF6DA0" w:rsidP="00EF6DA0">
      <w:r w:rsidRPr="005A4DAD">
        <w:t xml:space="preserve">One drawback of </w:t>
      </w:r>
      <w:proofErr w:type="spellStart"/>
      <w:r w:rsidRPr="005A4DAD">
        <w:t>Signalling</w:t>
      </w:r>
      <w:proofErr w:type="spellEnd"/>
      <w:r w:rsidRPr="005A4DAD">
        <w:t xml:space="preserve"> Theory is that it focuses on the </w:t>
      </w:r>
      <w:proofErr w:type="spellStart"/>
      <w:r>
        <w:t>signalling</w:t>
      </w:r>
      <w:proofErr w:type="spellEnd"/>
      <w:r w:rsidRPr="005A4DAD">
        <w:t xml:space="preserve"> process rather than the interpretation of stakeholders. Communication can be co-created where intended and received meanings can then vary (Hansen, 2023). This study does not presume that the more sustainably communicated the more trust it will generate.</w:t>
      </w:r>
    </w:p>
    <w:p w14:paraId="4AF0129F" w14:textId="77777777" w:rsidR="00EF6DA0" w:rsidRPr="005A4DAD" w:rsidRDefault="00EF6DA0" w:rsidP="00EF6DA0">
      <w:r w:rsidRPr="006D2882">
        <w:t xml:space="preserve">This research applies and operationally specifies </w:t>
      </w:r>
      <w:proofErr w:type="spellStart"/>
      <w:r w:rsidRPr="006D2882">
        <w:t>Signalling</w:t>
      </w:r>
      <w:proofErr w:type="spellEnd"/>
      <w:r w:rsidRPr="006D2882">
        <w:t xml:space="preserve"> Theory within UK grocery retail sustainability communication</w:t>
      </w:r>
      <w:r w:rsidRPr="008230CC">
        <w:t>. It separates the concept of credibility into four observable factors: claim clarity, quality of evidence and substantiation, transparency and cross-channel consistency, which are used to evaluate signals that stakeholders can</w:t>
      </w:r>
      <w:r>
        <w:t>no</w:t>
      </w:r>
      <w:r w:rsidRPr="008230CC">
        <w:t>t verify themselves (Amaya et al., 2021). Authenticity signals and greenwashing risk are considered as interpretative conditions that can be used as a means to enhance or undermine credibility (</w:t>
      </w:r>
      <w:proofErr w:type="spellStart"/>
      <w:r w:rsidRPr="008230CC">
        <w:t>Bengtson</w:t>
      </w:r>
      <w:proofErr w:type="spellEnd"/>
      <w:r w:rsidRPr="008230CC">
        <w:t xml:space="preserve"> and Mossberg, 2023). The theory is extended by comparing the different stores: M&amp;S, Tesco, </w:t>
      </w:r>
      <w:proofErr w:type="spellStart"/>
      <w:r w:rsidRPr="008230CC">
        <w:t>Asda</w:t>
      </w:r>
      <w:proofErr w:type="spellEnd"/>
      <w:r w:rsidRPr="008230CC">
        <w:t xml:space="preserve">, </w:t>
      </w:r>
      <w:proofErr w:type="spellStart"/>
      <w:r w:rsidRPr="008230CC">
        <w:t>Morrisons</w:t>
      </w:r>
      <w:proofErr w:type="spellEnd"/>
      <w:r w:rsidRPr="008230CC">
        <w:t xml:space="preserve"> and Sainsbury's and the documentary evidence is used to identify the </w:t>
      </w:r>
      <w:r>
        <w:t>trust-supporting</w:t>
      </w:r>
      <w:r w:rsidRPr="008230CC">
        <w:t xml:space="preserve"> or </w:t>
      </w:r>
      <w:r>
        <w:t>trust-eroding</w:t>
      </w:r>
      <w:r w:rsidRPr="008230CC">
        <w:t xml:space="preserve"> characteristics but not directly measure the levels of consumer trust among UK consumers</w:t>
      </w:r>
      <w:r w:rsidRPr="0093094E">
        <w:t>.</w:t>
      </w:r>
    </w:p>
    <w:p w14:paraId="77D9C894" w14:textId="77777777" w:rsidR="00A903E6" w:rsidRDefault="00A903E6" w:rsidP="00EF6DA0">
      <w:pPr>
        <w:pStyle w:val="Heading2"/>
      </w:pPr>
      <w:bookmarkStart w:id="32" w:name="_Toc237143972"/>
      <w:bookmarkStart w:id="33" w:name="_Toc239795031"/>
    </w:p>
    <w:p w14:paraId="48D1F94D" w14:textId="77777777" w:rsidR="00A903E6" w:rsidRDefault="00A903E6" w:rsidP="00EF6DA0">
      <w:pPr>
        <w:pStyle w:val="Heading2"/>
      </w:pPr>
    </w:p>
    <w:p w14:paraId="770737F9" w14:textId="78F0CC13" w:rsidR="00EF6DA0" w:rsidRPr="008535D7" w:rsidRDefault="00EF6DA0" w:rsidP="00EF6DA0">
      <w:pPr>
        <w:pStyle w:val="Heading2"/>
      </w:pPr>
      <w:r w:rsidRPr="008535D7">
        <w:lastRenderedPageBreak/>
        <w:t>2.4 Conceptual Framework</w:t>
      </w:r>
      <w:bookmarkEnd w:id="32"/>
      <w:bookmarkEnd w:id="33"/>
    </w:p>
    <w:p w14:paraId="6AFB3FF8" w14:textId="77777777" w:rsidR="00EF6DA0" w:rsidRPr="006940FB" w:rsidRDefault="00EF6DA0" w:rsidP="00EF6DA0">
      <w:r w:rsidRPr="006940FB">
        <w:t xml:space="preserve">The conceptual framework combines the reviewed literature to </w:t>
      </w:r>
      <w:proofErr w:type="spellStart"/>
      <w:r w:rsidRPr="006940FB">
        <w:t>analyse</w:t>
      </w:r>
      <w:proofErr w:type="spellEnd"/>
      <w:r w:rsidRPr="006940FB">
        <w:t xml:space="preserve"> sustainability marketing communication among selected UK grocery retailers. M&amp;S is the case study and is compared to Tesco, </w:t>
      </w:r>
      <w:proofErr w:type="spellStart"/>
      <w:r w:rsidRPr="006940FB">
        <w:t>Asda</w:t>
      </w:r>
      <w:proofErr w:type="spellEnd"/>
      <w:r w:rsidRPr="006940FB">
        <w:t xml:space="preserve">, </w:t>
      </w:r>
      <w:proofErr w:type="spellStart"/>
      <w:r w:rsidRPr="006940FB">
        <w:t>Morrisons</w:t>
      </w:r>
      <w:proofErr w:type="spellEnd"/>
      <w:r w:rsidRPr="006940FB">
        <w:t xml:space="preserve"> and Sainsbury's. It explores sustainability communication, communication credibility, authenticity, greenwashing and possible brand-trust implications by </w:t>
      </w:r>
      <w:proofErr w:type="spellStart"/>
      <w:r w:rsidRPr="006940FB">
        <w:t>recognisable</w:t>
      </w:r>
      <w:proofErr w:type="spellEnd"/>
      <w:r w:rsidRPr="006940FB">
        <w:t xml:space="preserve"> documentary features. The relationships are based on theory and analysis, rather than causal, as the present study tries not to measure consumer trust directly.</w:t>
      </w:r>
    </w:p>
    <w:p w14:paraId="43D1F851" w14:textId="49689C1B" w:rsidR="00EF6DA0" w:rsidRPr="006940FB" w:rsidRDefault="00EF6DA0" w:rsidP="00EF6DA0">
      <w:r w:rsidRPr="006940FB">
        <w:t xml:space="preserve">Figure 2 presents how the main concepts identified in the literature are connected for the documentary analysis. Sustainability marketing communication is placed in the first place as it is the main phenomenon being studied. The study looks at communication between sustainability strategies and ESG reports, annual reports, corporate websites and customer-facing sustainability messages. The sources are evaluated by four communication quality factors: clarity of claims, quality of evidence and substantiation, transparency and consistency across channels. These dimensions are a source of observable indicators with which the credibility of sustainability signals can be evaluated. Communication and sustainability activities can also be considered as </w:t>
      </w:r>
      <w:proofErr w:type="spellStart"/>
      <w:r w:rsidRPr="006940FB">
        <w:t>organisational</w:t>
      </w:r>
      <w:proofErr w:type="spellEnd"/>
      <w:r w:rsidRPr="006940FB">
        <w:t xml:space="preserve"> signals that are used by stakeholders to assess the commitments that they are unable to observe (Amaya et al., 2021)</w:t>
      </w:r>
      <w:r w:rsidRPr="006C38B3">
        <w:t>.</w:t>
      </w:r>
    </w:p>
    <w:p w14:paraId="3F4EAFF3" w14:textId="77777777" w:rsidR="00C5622F" w:rsidRDefault="00EF6DA0" w:rsidP="00C5622F">
      <w:pPr>
        <w:keepNext/>
        <w:jc w:val="center"/>
      </w:pPr>
      <w:r>
        <w:rPr>
          <w:noProof/>
        </w:rPr>
        <w:lastRenderedPageBreak/>
        <w:drawing>
          <wp:inline distT="0" distB="0" distL="0" distR="0" wp14:anchorId="49B8338F" wp14:editId="3A9ECB44">
            <wp:extent cx="4176806" cy="417680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91411" cy="4191411"/>
                    </a:xfrm>
                    <a:prstGeom prst="rect">
                      <a:avLst/>
                    </a:prstGeom>
                    <a:noFill/>
                  </pic:spPr>
                </pic:pic>
              </a:graphicData>
            </a:graphic>
          </wp:inline>
        </w:drawing>
      </w:r>
    </w:p>
    <w:p w14:paraId="69301291" w14:textId="78765D36" w:rsidR="00EF6DA0" w:rsidRDefault="00C5622F" w:rsidP="00C5622F">
      <w:pPr>
        <w:pStyle w:val="Caption"/>
        <w:jc w:val="center"/>
      </w:pPr>
      <w:bookmarkStart w:id="34" w:name="_Toc239794905"/>
      <w:r>
        <w:t xml:space="preserve">Figure </w:t>
      </w:r>
      <w:r w:rsidR="00F175CF">
        <w:fldChar w:fldCharType="begin"/>
      </w:r>
      <w:r w:rsidR="00F175CF">
        <w:instrText xml:space="preserve"> SEQ Figure \* ARABIC </w:instrText>
      </w:r>
      <w:r w:rsidR="00F175CF">
        <w:fldChar w:fldCharType="separate"/>
      </w:r>
      <w:r w:rsidR="00F175CF">
        <w:rPr>
          <w:noProof/>
        </w:rPr>
        <w:t>2</w:t>
      </w:r>
      <w:r w:rsidR="00F175CF">
        <w:rPr>
          <w:noProof/>
        </w:rPr>
        <w:fldChar w:fldCharType="end"/>
      </w:r>
      <w:r>
        <w:t xml:space="preserve">: </w:t>
      </w:r>
      <w:r w:rsidRPr="00B84D3B">
        <w:t>Conceptual Framework; Source: Self-made, developed from the literature reviewed</w:t>
      </w:r>
      <w:bookmarkEnd w:id="34"/>
    </w:p>
    <w:p w14:paraId="1C1D8F34" w14:textId="33A109F8" w:rsidR="00EF6DA0" w:rsidRPr="006940FB" w:rsidRDefault="00EF6DA0" w:rsidP="00EF6DA0">
      <w:r w:rsidRPr="006940FB">
        <w:t>The downward path of Figure 2 illustrates the process of progressive interpretation of documentary evidence starting with the interpretation of the observable communication features, through the credibility and authenticity assessment and finally to the cautious consideration of possible implications for brand trust.</w:t>
      </w:r>
    </w:p>
    <w:p w14:paraId="350B7EB4" w14:textId="77777777" w:rsidR="00EF6DA0" w:rsidRPr="006940FB" w:rsidRDefault="00EF6DA0" w:rsidP="00EF6DA0">
      <w:r w:rsidRPr="006940FB">
        <w:t>Claim clarity refers to the specificity, precision and boundaries of sustainability statements. Clear claims are explanations of what will be improved, the sustainability area, the scope and if applicable, the time frame and target. When the environmental language in use is unclear or very general, it can lead to a loss of credibility. The language and tone of environmental CSR communication can influence the interpretation of the sustainability messages (</w:t>
      </w:r>
      <w:proofErr w:type="spellStart"/>
      <w:r w:rsidRPr="006940FB">
        <w:t>Christis</w:t>
      </w:r>
      <w:proofErr w:type="spellEnd"/>
      <w:r w:rsidRPr="006940FB">
        <w:t xml:space="preserve"> and Wang, 2021). Evidence and substantiation quality is related to the ability to substantiate the claims with measurable and verifiable data, such as targets, baselines, certifications, methodologies, dates and reporting progress. Green advertising credibility is multidimensional and evaluating the extent of support that is provided for environmental claims is important (</w:t>
      </w:r>
      <w:proofErr w:type="spellStart"/>
      <w:r w:rsidRPr="006940FB">
        <w:t>Verleye</w:t>
      </w:r>
      <w:proofErr w:type="spellEnd"/>
      <w:r w:rsidRPr="006940FB">
        <w:t xml:space="preserve"> et al., 2023).</w:t>
      </w:r>
    </w:p>
    <w:p w14:paraId="15089DCE" w14:textId="77777777" w:rsidR="00EF6DA0" w:rsidRPr="006940FB" w:rsidRDefault="00EF6DA0" w:rsidP="00EF6DA0">
      <w:r w:rsidRPr="006940FB">
        <w:t xml:space="preserve">Transparency relates to the availability of information for stakeholders to assess the sustainability commitments including context, progress, limits and boundaries and evidence. Although it is easy </w:t>
      </w:r>
      <w:r w:rsidRPr="006940FB">
        <w:lastRenderedPageBreak/>
        <w:t xml:space="preserve">to disclose much information, that does not necessarily imply transparency of information (Xu, Li and Xu, 2023). Cross-channel consistency checks consistency of targets, terminology, dates, claims and commitments across reports, websites and customer facing communication. In addition, the condition of </w:t>
      </w:r>
      <w:proofErr w:type="spellStart"/>
      <w:r w:rsidRPr="006940FB">
        <w:t>organisational</w:t>
      </w:r>
      <w:proofErr w:type="spellEnd"/>
      <w:r w:rsidRPr="006940FB">
        <w:t xml:space="preserve"> alignment is crucial for credible sustainability communication (</w:t>
      </w:r>
      <w:proofErr w:type="spellStart"/>
      <w:r w:rsidRPr="006940FB">
        <w:t>Bendig</w:t>
      </w:r>
      <w:proofErr w:type="spellEnd"/>
      <w:r w:rsidRPr="006940FB">
        <w:t xml:space="preserve">, </w:t>
      </w:r>
      <w:proofErr w:type="spellStart"/>
      <w:r w:rsidRPr="006940FB">
        <w:t>Schäper</w:t>
      </w:r>
      <w:proofErr w:type="spellEnd"/>
      <w:r w:rsidRPr="006940FB">
        <w:t xml:space="preserve"> and </w:t>
      </w:r>
      <w:proofErr w:type="spellStart"/>
      <w:r w:rsidRPr="006940FB">
        <w:t>Erbar</w:t>
      </w:r>
      <w:proofErr w:type="spellEnd"/>
      <w:r w:rsidRPr="006940FB">
        <w:t>, 2024).</w:t>
      </w:r>
    </w:p>
    <w:p w14:paraId="069A9638" w14:textId="0D92229C" w:rsidR="00EF6DA0" w:rsidRPr="006940FB" w:rsidRDefault="00EF6DA0" w:rsidP="00EF6DA0">
      <w:r w:rsidRPr="006940FB">
        <w:t xml:space="preserve">The study seeks to assess not only how much sustainability communication is produced, but also the credibility of communication, and communication credibility has thus been placed in the center of the diagram. The lenses of authenticity signals, and greenwashing risk, are interpretive. Clarity of the relationship between claims, evidence and broader </w:t>
      </w:r>
      <w:proofErr w:type="spellStart"/>
      <w:r w:rsidRPr="006940FB">
        <w:t>organisational</w:t>
      </w:r>
      <w:proofErr w:type="spellEnd"/>
      <w:r w:rsidRPr="006940FB">
        <w:t xml:space="preserve"> commitments can help to show authenticity, whereas claims that are vague, selective, exaggerated, or lack clear evidence can raise the likelihood of greenwashing (Bernini and La Rosa, 2024).</w:t>
      </w:r>
    </w:p>
    <w:p w14:paraId="7381A687" w14:textId="3A467EDB" w:rsidR="00EF6DA0" w:rsidRPr="006940FB" w:rsidRDefault="00EF6DA0" w:rsidP="00EF6DA0">
      <w:pPr>
        <w:rPr>
          <w:i/>
          <w:iCs/>
          <w:sz w:val="18"/>
          <w:szCs w:val="18"/>
        </w:rPr>
      </w:pPr>
      <w:r w:rsidRPr="006940FB">
        <w:t>The framework then allows a cross case comparison of M&amp;S with the four comparator retailers. This comparison focuses on similarities and differences in the communication of the retailers and their credibility characteristics, but does not presume the same business model or environmental performance among the retailers. The last level of the framework is related to implications for brand trust. They are interpreted with caution as documentary evidence does not provide direct evidence of consumers' actual trust level. Thus, more precise, better substantiated, transparent and consistent communication could be seen as potentially trust supporting, but less precise communication could be seen as potentially trust eroding. The literature review is then connected to the documentary methodology and the findings from each case are discussed across the cases in Figure 2.</w:t>
      </w:r>
    </w:p>
    <w:p w14:paraId="4FDE6E1F" w14:textId="77777777" w:rsidR="00EF6DA0" w:rsidRPr="00554A69" w:rsidRDefault="00EF6DA0" w:rsidP="00EF6DA0">
      <w:pPr>
        <w:sectPr w:rsidR="00EF6DA0" w:rsidRPr="00554A69">
          <w:footerReference w:type="default" r:id="rId11"/>
          <w:pgSz w:w="12240" w:h="15840"/>
          <w:pgMar w:top="1440" w:right="1440" w:bottom="1440" w:left="1440" w:header="720" w:footer="720" w:gutter="0"/>
          <w:cols w:space="720"/>
          <w:docGrid w:linePitch="360"/>
        </w:sectPr>
      </w:pPr>
    </w:p>
    <w:p w14:paraId="23337674" w14:textId="77777777" w:rsidR="00EF6DA0" w:rsidRDefault="00EF6DA0" w:rsidP="00EF6DA0">
      <w:pPr>
        <w:pStyle w:val="Heading2"/>
        <w:ind w:left="-144"/>
      </w:pPr>
      <w:bookmarkStart w:id="35" w:name="_Toc237143973"/>
      <w:bookmarkStart w:id="36" w:name="_Toc239795032"/>
      <w:r w:rsidRPr="008535D7">
        <w:lastRenderedPageBreak/>
        <w:t>2.5 Critical Summary of Key Literature</w:t>
      </w:r>
      <w:bookmarkEnd w:id="35"/>
      <w:bookmarkEnd w:id="36"/>
    </w:p>
    <w:p w14:paraId="21E1D233" w14:textId="27F06194" w:rsidR="00057C18" w:rsidRDefault="00057C18" w:rsidP="00057C18">
      <w:pPr>
        <w:pStyle w:val="Caption"/>
        <w:keepNext/>
      </w:pPr>
      <w:bookmarkStart w:id="37" w:name="_Toc239794893"/>
      <w:r>
        <w:t xml:space="preserve">Table </w:t>
      </w:r>
      <w:r w:rsidR="00AB4680">
        <w:fldChar w:fldCharType="begin"/>
      </w:r>
      <w:r w:rsidR="00AB4680">
        <w:instrText xml:space="preserve"> SEQ Table \* ARABIC </w:instrText>
      </w:r>
      <w:r w:rsidR="00AB4680">
        <w:fldChar w:fldCharType="separate"/>
      </w:r>
      <w:r w:rsidR="00AB4680">
        <w:rPr>
          <w:noProof/>
        </w:rPr>
        <w:t>1</w:t>
      </w:r>
      <w:r w:rsidR="00AB4680">
        <w:rPr>
          <w:noProof/>
        </w:rPr>
        <w:fldChar w:fldCharType="end"/>
      </w:r>
      <w:r>
        <w:t>:</w:t>
      </w:r>
      <w:r w:rsidRPr="00AA4A30">
        <w:t>Critical Summary of Key Literature</w:t>
      </w:r>
      <w:bookmarkEnd w:id="37"/>
    </w:p>
    <w:tbl>
      <w:tblPr>
        <w:tblStyle w:val="GridTable6ColourfulAccent1"/>
        <w:tblW w:w="0" w:type="auto"/>
        <w:tblLook w:val="04A0" w:firstRow="1" w:lastRow="0" w:firstColumn="1" w:lastColumn="0" w:noHBand="0" w:noVBand="1"/>
      </w:tblPr>
      <w:tblGrid>
        <w:gridCol w:w="1570"/>
        <w:gridCol w:w="2183"/>
        <w:gridCol w:w="2573"/>
        <w:gridCol w:w="1740"/>
        <w:gridCol w:w="4814"/>
        <w:gridCol w:w="4362"/>
        <w:gridCol w:w="3679"/>
      </w:tblGrid>
      <w:tr w:rsidR="002953D8" w:rsidRPr="002953D8" w14:paraId="7BE9FA37" w14:textId="77777777" w:rsidTr="006D19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73EF6D" w14:textId="77777777" w:rsidR="002953D8" w:rsidRPr="002953D8" w:rsidRDefault="002953D8" w:rsidP="006D19A2">
            <w:pPr>
              <w:rPr>
                <w:color w:val="auto"/>
                <w:sz w:val="18"/>
                <w:szCs w:val="18"/>
              </w:rPr>
            </w:pPr>
            <w:r w:rsidRPr="002953D8">
              <w:rPr>
                <w:color w:val="auto"/>
                <w:sz w:val="18"/>
                <w:szCs w:val="18"/>
              </w:rPr>
              <w:t>Author(s) &amp; Year</w:t>
            </w:r>
          </w:p>
        </w:tc>
        <w:tc>
          <w:tcPr>
            <w:tcW w:w="0" w:type="auto"/>
            <w:hideMark/>
          </w:tcPr>
          <w:p w14:paraId="03B4FD1F" w14:textId="77777777" w:rsidR="002953D8" w:rsidRPr="002953D8" w:rsidRDefault="002953D8" w:rsidP="006D19A2">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Theory / Framework</w:t>
            </w:r>
          </w:p>
        </w:tc>
        <w:tc>
          <w:tcPr>
            <w:tcW w:w="0" w:type="auto"/>
            <w:hideMark/>
          </w:tcPr>
          <w:p w14:paraId="515F3D8A" w14:textId="77777777" w:rsidR="002953D8" w:rsidRPr="002953D8" w:rsidRDefault="002953D8" w:rsidP="006D19A2">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Key Constructs</w:t>
            </w:r>
          </w:p>
        </w:tc>
        <w:tc>
          <w:tcPr>
            <w:tcW w:w="0" w:type="auto"/>
            <w:hideMark/>
          </w:tcPr>
          <w:p w14:paraId="4DC8C893" w14:textId="77777777" w:rsidR="002953D8" w:rsidRPr="002953D8" w:rsidRDefault="002953D8" w:rsidP="006D19A2">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Methodology</w:t>
            </w:r>
          </w:p>
        </w:tc>
        <w:tc>
          <w:tcPr>
            <w:tcW w:w="0" w:type="auto"/>
            <w:hideMark/>
          </w:tcPr>
          <w:p w14:paraId="2AC38965" w14:textId="77777777" w:rsidR="002953D8" w:rsidRPr="002953D8" w:rsidRDefault="002953D8" w:rsidP="006D19A2">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Key Findings</w:t>
            </w:r>
          </w:p>
        </w:tc>
        <w:tc>
          <w:tcPr>
            <w:tcW w:w="0" w:type="auto"/>
            <w:hideMark/>
          </w:tcPr>
          <w:p w14:paraId="2A7AA0F0" w14:textId="77777777" w:rsidR="002953D8" w:rsidRPr="002953D8" w:rsidRDefault="002953D8" w:rsidP="006D19A2">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Limitations / Gaps</w:t>
            </w:r>
          </w:p>
        </w:tc>
        <w:tc>
          <w:tcPr>
            <w:tcW w:w="0" w:type="auto"/>
            <w:hideMark/>
          </w:tcPr>
          <w:p w14:paraId="3D7CE856" w14:textId="77777777" w:rsidR="002953D8" w:rsidRPr="002953D8" w:rsidRDefault="002953D8" w:rsidP="006D19A2">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Relevance to This Study</w:t>
            </w:r>
          </w:p>
        </w:tc>
      </w:tr>
      <w:tr w:rsidR="002953D8" w:rsidRPr="002953D8" w14:paraId="4E45461A" w14:textId="77777777" w:rsidTr="006D19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30FB0D" w14:textId="77777777" w:rsidR="002953D8" w:rsidRPr="002953D8" w:rsidRDefault="002953D8" w:rsidP="006D19A2">
            <w:pPr>
              <w:rPr>
                <w:color w:val="auto"/>
                <w:sz w:val="18"/>
                <w:szCs w:val="18"/>
              </w:rPr>
            </w:pPr>
            <w:r w:rsidRPr="002953D8">
              <w:rPr>
                <w:color w:val="auto"/>
                <w:sz w:val="18"/>
                <w:szCs w:val="18"/>
              </w:rPr>
              <w:t>Amaya et al. (2021)</w:t>
            </w:r>
          </w:p>
        </w:tc>
        <w:tc>
          <w:tcPr>
            <w:tcW w:w="0" w:type="auto"/>
            <w:hideMark/>
          </w:tcPr>
          <w:p w14:paraId="241C114B"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proofErr w:type="spellStart"/>
            <w:r w:rsidRPr="002953D8">
              <w:rPr>
                <w:color w:val="auto"/>
                <w:sz w:val="18"/>
                <w:szCs w:val="18"/>
              </w:rPr>
              <w:t>Signalling</w:t>
            </w:r>
            <w:proofErr w:type="spellEnd"/>
            <w:r w:rsidRPr="002953D8">
              <w:rPr>
                <w:color w:val="auto"/>
                <w:sz w:val="18"/>
                <w:szCs w:val="18"/>
              </w:rPr>
              <w:t xml:space="preserve"> Theory</w:t>
            </w:r>
          </w:p>
        </w:tc>
        <w:tc>
          <w:tcPr>
            <w:tcW w:w="0" w:type="auto"/>
            <w:hideMark/>
          </w:tcPr>
          <w:p w14:paraId="63D02F7A"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Signals; sustainability practices; credibility</w:t>
            </w:r>
          </w:p>
        </w:tc>
        <w:tc>
          <w:tcPr>
            <w:tcW w:w="0" w:type="auto"/>
            <w:hideMark/>
          </w:tcPr>
          <w:p w14:paraId="44BA553B"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Framework study</w:t>
            </w:r>
          </w:p>
        </w:tc>
        <w:tc>
          <w:tcPr>
            <w:tcW w:w="0" w:type="auto"/>
            <w:hideMark/>
          </w:tcPr>
          <w:p w14:paraId="3B648037"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 xml:space="preserve">Communication and sustainability practices can work hand in hand as </w:t>
            </w:r>
            <w:proofErr w:type="spellStart"/>
            <w:r w:rsidRPr="002953D8">
              <w:rPr>
                <w:color w:val="auto"/>
                <w:sz w:val="18"/>
                <w:szCs w:val="18"/>
              </w:rPr>
              <w:t>organisational</w:t>
            </w:r>
            <w:proofErr w:type="spellEnd"/>
            <w:r w:rsidRPr="002953D8">
              <w:rPr>
                <w:color w:val="auto"/>
                <w:sz w:val="18"/>
                <w:szCs w:val="18"/>
              </w:rPr>
              <w:t xml:space="preserve"> signals.</w:t>
            </w:r>
          </w:p>
        </w:tc>
        <w:tc>
          <w:tcPr>
            <w:tcW w:w="0" w:type="auto"/>
            <w:hideMark/>
          </w:tcPr>
          <w:p w14:paraId="19979846"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Does not directly measure consumer trust and is not specific about grocery retailers in the UK.</w:t>
            </w:r>
          </w:p>
        </w:tc>
        <w:tc>
          <w:tcPr>
            <w:tcW w:w="0" w:type="auto"/>
            <w:hideMark/>
          </w:tcPr>
          <w:p w14:paraId="67B9642F"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Gives the primary theoretical support for credibility signals analysis of sustainability communication.</w:t>
            </w:r>
          </w:p>
        </w:tc>
      </w:tr>
      <w:tr w:rsidR="002953D8" w:rsidRPr="002953D8" w14:paraId="4B5DCFCA" w14:textId="77777777" w:rsidTr="006D19A2">
        <w:tc>
          <w:tcPr>
            <w:cnfStyle w:val="001000000000" w:firstRow="0" w:lastRow="0" w:firstColumn="1" w:lastColumn="0" w:oddVBand="0" w:evenVBand="0" w:oddHBand="0" w:evenHBand="0" w:firstRowFirstColumn="0" w:firstRowLastColumn="0" w:lastRowFirstColumn="0" w:lastRowLastColumn="0"/>
            <w:tcW w:w="0" w:type="auto"/>
            <w:hideMark/>
          </w:tcPr>
          <w:p w14:paraId="529F23EB" w14:textId="77777777" w:rsidR="002953D8" w:rsidRPr="002953D8" w:rsidRDefault="002953D8" w:rsidP="006D19A2">
            <w:pPr>
              <w:rPr>
                <w:color w:val="auto"/>
                <w:sz w:val="18"/>
                <w:szCs w:val="18"/>
              </w:rPr>
            </w:pPr>
            <w:proofErr w:type="spellStart"/>
            <w:r w:rsidRPr="002953D8">
              <w:rPr>
                <w:color w:val="auto"/>
                <w:sz w:val="18"/>
                <w:szCs w:val="18"/>
              </w:rPr>
              <w:t>Christis</w:t>
            </w:r>
            <w:proofErr w:type="spellEnd"/>
            <w:r w:rsidRPr="002953D8">
              <w:rPr>
                <w:color w:val="auto"/>
                <w:sz w:val="18"/>
                <w:szCs w:val="18"/>
              </w:rPr>
              <w:t xml:space="preserve"> and Wang (2021)</w:t>
            </w:r>
          </w:p>
        </w:tc>
        <w:tc>
          <w:tcPr>
            <w:tcW w:w="0" w:type="auto"/>
            <w:hideMark/>
          </w:tcPr>
          <w:p w14:paraId="3E31CB5C"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Environmental CSR communication</w:t>
            </w:r>
          </w:p>
        </w:tc>
        <w:tc>
          <w:tcPr>
            <w:tcW w:w="0" w:type="auto"/>
            <w:hideMark/>
          </w:tcPr>
          <w:p w14:paraId="17534BDC"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Message content; style; praise tactics</w:t>
            </w:r>
          </w:p>
        </w:tc>
        <w:tc>
          <w:tcPr>
            <w:tcW w:w="0" w:type="auto"/>
            <w:hideMark/>
          </w:tcPr>
          <w:p w14:paraId="7191FCAD"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Empirical study</w:t>
            </w:r>
          </w:p>
        </w:tc>
        <w:tc>
          <w:tcPr>
            <w:tcW w:w="0" w:type="auto"/>
            <w:hideMark/>
          </w:tcPr>
          <w:p w14:paraId="08977D2D"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The content and style of environmental communication is important to consider when it comes to interpretation of messages on sustainability.</w:t>
            </w:r>
          </w:p>
        </w:tc>
        <w:tc>
          <w:tcPr>
            <w:tcW w:w="0" w:type="auto"/>
            <w:hideMark/>
          </w:tcPr>
          <w:p w14:paraId="36A9D26F"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Findings are not cross-channel or cross-platform, and they focus on a single channel.</w:t>
            </w:r>
          </w:p>
        </w:tc>
        <w:tc>
          <w:tcPr>
            <w:tcW w:w="0" w:type="auto"/>
            <w:hideMark/>
          </w:tcPr>
          <w:p w14:paraId="2BFAB0CF"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Assists with assessing clarity and communication presentation of claims.</w:t>
            </w:r>
          </w:p>
        </w:tc>
      </w:tr>
      <w:tr w:rsidR="002953D8" w:rsidRPr="002953D8" w14:paraId="1ED563B2" w14:textId="77777777" w:rsidTr="006D19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F94302" w14:textId="77777777" w:rsidR="002953D8" w:rsidRPr="002953D8" w:rsidRDefault="002953D8" w:rsidP="006D19A2">
            <w:pPr>
              <w:rPr>
                <w:color w:val="auto"/>
                <w:sz w:val="18"/>
                <w:szCs w:val="18"/>
              </w:rPr>
            </w:pPr>
            <w:proofErr w:type="spellStart"/>
            <w:r w:rsidRPr="002953D8">
              <w:rPr>
                <w:color w:val="auto"/>
                <w:sz w:val="18"/>
                <w:szCs w:val="18"/>
              </w:rPr>
              <w:t>Guerreiro</w:t>
            </w:r>
            <w:proofErr w:type="spellEnd"/>
            <w:r w:rsidRPr="002953D8">
              <w:rPr>
                <w:color w:val="auto"/>
                <w:sz w:val="18"/>
                <w:szCs w:val="18"/>
              </w:rPr>
              <w:t xml:space="preserve"> and Pacheco (2021)</w:t>
            </w:r>
          </w:p>
        </w:tc>
        <w:tc>
          <w:tcPr>
            <w:tcW w:w="0" w:type="auto"/>
            <w:hideMark/>
          </w:tcPr>
          <w:p w14:paraId="3D8CA0A2"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Green trust</w:t>
            </w:r>
          </w:p>
        </w:tc>
        <w:tc>
          <w:tcPr>
            <w:tcW w:w="0" w:type="auto"/>
            <w:hideMark/>
          </w:tcPr>
          <w:p w14:paraId="56FB38D2"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Trust; engagement; green WOM; purchase intention</w:t>
            </w:r>
          </w:p>
        </w:tc>
        <w:tc>
          <w:tcPr>
            <w:tcW w:w="0" w:type="auto"/>
            <w:hideMark/>
          </w:tcPr>
          <w:p w14:paraId="7EBFC58C"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Quantitative study</w:t>
            </w:r>
          </w:p>
        </w:tc>
        <w:tc>
          <w:tcPr>
            <w:tcW w:w="0" w:type="auto"/>
            <w:hideMark/>
          </w:tcPr>
          <w:p w14:paraId="1E0A9654"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Green trust can be beneficial to consumer involvement, word of mouth and buying intentions.</w:t>
            </w:r>
          </w:p>
        </w:tc>
        <w:tc>
          <w:tcPr>
            <w:tcW w:w="0" w:type="auto"/>
            <w:hideMark/>
          </w:tcPr>
          <w:p w14:paraId="1735E1C5"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Does not use evidence of communication from documents.</w:t>
            </w:r>
          </w:p>
        </w:tc>
        <w:tc>
          <w:tcPr>
            <w:tcW w:w="0" w:type="auto"/>
            <w:hideMark/>
          </w:tcPr>
          <w:p w14:paraId="09230076"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Helps explain the potential implications of credible communication for brand trust.</w:t>
            </w:r>
          </w:p>
        </w:tc>
      </w:tr>
      <w:tr w:rsidR="002953D8" w:rsidRPr="002953D8" w14:paraId="3B5F2068" w14:textId="77777777" w:rsidTr="006D19A2">
        <w:tc>
          <w:tcPr>
            <w:cnfStyle w:val="001000000000" w:firstRow="0" w:lastRow="0" w:firstColumn="1" w:lastColumn="0" w:oddVBand="0" w:evenVBand="0" w:oddHBand="0" w:evenHBand="0" w:firstRowFirstColumn="0" w:firstRowLastColumn="0" w:lastRowFirstColumn="0" w:lastRowLastColumn="0"/>
            <w:tcW w:w="0" w:type="auto"/>
            <w:hideMark/>
          </w:tcPr>
          <w:p w14:paraId="7B5E594F" w14:textId="77777777" w:rsidR="002953D8" w:rsidRPr="002953D8" w:rsidRDefault="002953D8" w:rsidP="006D19A2">
            <w:pPr>
              <w:rPr>
                <w:color w:val="auto"/>
                <w:sz w:val="18"/>
                <w:szCs w:val="18"/>
              </w:rPr>
            </w:pPr>
            <w:r w:rsidRPr="002953D8">
              <w:rPr>
                <w:color w:val="auto"/>
                <w:sz w:val="18"/>
                <w:szCs w:val="18"/>
              </w:rPr>
              <w:t>Wu and Liu (2022)</w:t>
            </w:r>
          </w:p>
        </w:tc>
        <w:tc>
          <w:tcPr>
            <w:tcW w:w="0" w:type="auto"/>
            <w:hideMark/>
          </w:tcPr>
          <w:p w14:paraId="6D952DFF"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Green marketing and trust</w:t>
            </w:r>
          </w:p>
        </w:tc>
        <w:tc>
          <w:tcPr>
            <w:tcW w:w="0" w:type="auto"/>
            <w:hideMark/>
          </w:tcPr>
          <w:p w14:paraId="0F128B0C"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Green marketing; brand image; greenwashing; trust</w:t>
            </w:r>
          </w:p>
        </w:tc>
        <w:tc>
          <w:tcPr>
            <w:tcW w:w="0" w:type="auto"/>
            <w:hideMark/>
          </w:tcPr>
          <w:p w14:paraId="556D0521"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Questionnaire survey; SEM</w:t>
            </w:r>
          </w:p>
        </w:tc>
        <w:tc>
          <w:tcPr>
            <w:tcW w:w="0" w:type="auto"/>
            <w:hideMark/>
          </w:tcPr>
          <w:p w14:paraId="526A9E8D"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Perceived greenwashing can have a negative impact on trust in the brand, whereas green marketing can achieve the opposite result.</w:t>
            </w:r>
          </w:p>
        </w:tc>
        <w:tc>
          <w:tcPr>
            <w:tcW w:w="0" w:type="auto"/>
            <w:hideMark/>
          </w:tcPr>
          <w:p w14:paraId="5F515FB6"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 xml:space="preserve">Gets information about </w:t>
            </w:r>
            <w:proofErr w:type="spellStart"/>
            <w:r w:rsidRPr="002953D8">
              <w:rPr>
                <w:color w:val="auto"/>
                <w:sz w:val="18"/>
                <w:szCs w:val="18"/>
              </w:rPr>
              <w:t>organisations</w:t>
            </w:r>
            <w:proofErr w:type="spellEnd"/>
            <w:r w:rsidRPr="002953D8">
              <w:rPr>
                <w:color w:val="auto"/>
                <w:sz w:val="18"/>
                <w:szCs w:val="18"/>
              </w:rPr>
              <w:t xml:space="preserve"> from consumers' perceptions, not analysis.</w:t>
            </w:r>
          </w:p>
        </w:tc>
        <w:tc>
          <w:tcPr>
            <w:tcW w:w="0" w:type="auto"/>
            <w:hideMark/>
          </w:tcPr>
          <w:p w14:paraId="4FD1B6D0"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Links greenwashing risk with possible trust-supporting or trust-eroding outcomes.</w:t>
            </w:r>
          </w:p>
        </w:tc>
      </w:tr>
      <w:tr w:rsidR="002953D8" w:rsidRPr="002953D8" w14:paraId="040A084B" w14:textId="77777777" w:rsidTr="006D19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6AFD43" w14:textId="77777777" w:rsidR="002953D8" w:rsidRPr="002953D8" w:rsidRDefault="002953D8" w:rsidP="006D19A2">
            <w:pPr>
              <w:rPr>
                <w:color w:val="auto"/>
                <w:sz w:val="18"/>
                <w:szCs w:val="18"/>
              </w:rPr>
            </w:pPr>
            <w:r w:rsidRPr="002953D8">
              <w:rPr>
                <w:color w:val="auto"/>
                <w:sz w:val="18"/>
                <w:szCs w:val="18"/>
              </w:rPr>
              <w:t>Li, Sun and Hu (2022)</w:t>
            </w:r>
          </w:p>
        </w:tc>
        <w:tc>
          <w:tcPr>
            <w:tcW w:w="0" w:type="auto"/>
            <w:hideMark/>
          </w:tcPr>
          <w:p w14:paraId="6282D81E"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Green authenticity</w:t>
            </w:r>
          </w:p>
        </w:tc>
        <w:tc>
          <w:tcPr>
            <w:tcW w:w="0" w:type="auto"/>
            <w:hideMark/>
          </w:tcPr>
          <w:p w14:paraId="50A9DC80"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proofErr w:type="spellStart"/>
            <w:r w:rsidRPr="002953D8">
              <w:rPr>
                <w:color w:val="auto"/>
                <w:sz w:val="18"/>
                <w:szCs w:val="18"/>
              </w:rPr>
              <w:t>Scepticism</w:t>
            </w:r>
            <w:proofErr w:type="spellEnd"/>
            <w:r w:rsidRPr="002953D8">
              <w:rPr>
                <w:color w:val="auto"/>
                <w:sz w:val="18"/>
                <w:szCs w:val="18"/>
              </w:rPr>
              <w:t>; transparency; authenticity</w:t>
            </w:r>
          </w:p>
        </w:tc>
        <w:tc>
          <w:tcPr>
            <w:tcW w:w="0" w:type="auto"/>
            <w:hideMark/>
          </w:tcPr>
          <w:p w14:paraId="1F7D0008"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Quantitative study</w:t>
            </w:r>
          </w:p>
        </w:tc>
        <w:tc>
          <w:tcPr>
            <w:tcW w:w="0" w:type="auto"/>
            <w:hideMark/>
          </w:tcPr>
          <w:p w14:paraId="1976EB1B"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 xml:space="preserve">Being more transparent will help to mitigate </w:t>
            </w:r>
            <w:proofErr w:type="spellStart"/>
            <w:r w:rsidRPr="002953D8">
              <w:rPr>
                <w:color w:val="auto"/>
                <w:sz w:val="18"/>
                <w:szCs w:val="18"/>
              </w:rPr>
              <w:t>scepticism</w:t>
            </w:r>
            <w:proofErr w:type="spellEnd"/>
            <w:r w:rsidRPr="002953D8">
              <w:rPr>
                <w:color w:val="auto"/>
                <w:sz w:val="18"/>
                <w:szCs w:val="18"/>
              </w:rPr>
              <w:t xml:space="preserve"> and help create a green brand authenticity.</w:t>
            </w:r>
          </w:p>
        </w:tc>
        <w:tc>
          <w:tcPr>
            <w:tcW w:w="0" w:type="auto"/>
            <w:hideMark/>
          </w:tcPr>
          <w:p w14:paraId="02262721"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Perception-based and not specifically focused on the UK grocery sector.</w:t>
            </w:r>
          </w:p>
        </w:tc>
        <w:tc>
          <w:tcPr>
            <w:tcW w:w="0" w:type="auto"/>
            <w:hideMark/>
          </w:tcPr>
          <w:p w14:paraId="0CB7D8EF"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Promotes transparency and authenticity aspects of the conceptual framework.</w:t>
            </w:r>
          </w:p>
        </w:tc>
      </w:tr>
      <w:tr w:rsidR="002953D8" w:rsidRPr="002953D8" w14:paraId="5C7F3AA4" w14:textId="77777777" w:rsidTr="006D19A2">
        <w:tc>
          <w:tcPr>
            <w:cnfStyle w:val="001000000000" w:firstRow="0" w:lastRow="0" w:firstColumn="1" w:lastColumn="0" w:oddVBand="0" w:evenVBand="0" w:oddHBand="0" w:evenHBand="0" w:firstRowFirstColumn="0" w:firstRowLastColumn="0" w:lastRowFirstColumn="0" w:lastRowLastColumn="0"/>
            <w:tcW w:w="0" w:type="auto"/>
            <w:hideMark/>
          </w:tcPr>
          <w:p w14:paraId="0FECE9F3" w14:textId="77777777" w:rsidR="002953D8" w:rsidRPr="002953D8" w:rsidRDefault="002953D8" w:rsidP="006D19A2">
            <w:pPr>
              <w:rPr>
                <w:color w:val="auto"/>
                <w:sz w:val="18"/>
                <w:szCs w:val="18"/>
              </w:rPr>
            </w:pPr>
            <w:proofErr w:type="spellStart"/>
            <w:r w:rsidRPr="002953D8">
              <w:rPr>
                <w:color w:val="auto"/>
                <w:sz w:val="18"/>
                <w:szCs w:val="18"/>
              </w:rPr>
              <w:t>Nemes</w:t>
            </w:r>
            <w:proofErr w:type="spellEnd"/>
            <w:r w:rsidRPr="002953D8">
              <w:rPr>
                <w:color w:val="auto"/>
                <w:sz w:val="18"/>
                <w:szCs w:val="18"/>
              </w:rPr>
              <w:t xml:space="preserve"> et al. (2022)</w:t>
            </w:r>
          </w:p>
        </w:tc>
        <w:tc>
          <w:tcPr>
            <w:tcW w:w="0" w:type="auto"/>
            <w:hideMark/>
          </w:tcPr>
          <w:p w14:paraId="0ED7C927"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Greenwashing framework</w:t>
            </w:r>
          </w:p>
        </w:tc>
        <w:tc>
          <w:tcPr>
            <w:tcW w:w="0" w:type="auto"/>
            <w:hideMark/>
          </w:tcPr>
          <w:p w14:paraId="074CA0C2"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Claims; evidence; greenwashing dimensions</w:t>
            </w:r>
          </w:p>
        </w:tc>
        <w:tc>
          <w:tcPr>
            <w:tcW w:w="0" w:type="auto"/>
            <w:hideMark/>
          </w:tcPr>
          <w:p w14:paraId="21BFDFCF"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Literature review and framework</w:t>
            </w:r>
          </w:p>
        </w:tc>
        <w:tc>
          <w:tcPr>
            <w:tcW w:w="0" w:type="auto"/>
            <w:hideMark/>
          </w:tcPr>
          <w:p w14:paraId="58F9DDEA"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Greenwashing should be considered from several aspects and not in isolation.</w:t>
            </w:r>
          </w:p>
        </w:tc>
        <w:tc>
          <w:tcPr>
            <w:tcW w:w="0" w:type="auto"/>
            <w:hideMark/>
          </w:tcPr>
          <w:p w14:paraId="04C3526C"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It is a largely conceptual study and is not an empirical study of the value of the major grocery retailers in the UK.</w:t>
            </w:r>
          </w:p>
        </w:tc>
        <w:tc>
          <w:tcPr>
            <w:tcW w:w="0" w:type="auto"/>
            <w:hideMark/>
          </w:tcPr>
          <w:p w14:paraId="543DA8BD"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Facilitates comprehensive claims, evidence, transparency and greenwashing risk assessment.</w:t>
            </w:r>
          </w:p>
        </w:tc>
      </w:tr>
      <w:tr w:rsidR="002953D8" w:rsidRPr="002953D8" w14:paraId="7C986458" w14:textId="77777777" w:rsidTr="006D19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F99992" w14:textId="77777777" w:rsidR="002953D8" w:rsidRPr="002953D8" w:rsidRDefault="002953D8" w:rsidP="006D19A2">
            <w:pPr>
              <w:rPr>
                <w:color w:val="auto"/>
                <w:sz w:val="18"/>
                <w:szCs w:val="18"/>
              </w:rPr>
            </w:pPr>
            <w:proofErr w:type="spellStart"/>
            <w:r w:rsidRPr="002953D8">
              <w:rPr>
                <w:color w:val="auto"/>
                <w:sz w:val="18"/>
                <w:szCs w:val="18"/>
              </w:rPr>
              <w:t>Qayyum</w:t>
            </w:r>
            <w:proofErr w:type="spellEnd"/>
            <w:r w:rsidRPr="002953D8">
              <w:rPr>
                <w:color w:val="auto"/>
                <w:sz w:val="18"/>
                <w:szCs w:val="18"/>
              </w:rPr>
              <w:t xml:space="preserve"> et al. (2023)</w:t>
            </w:r>
          </w:p>
        </w:tc>
        <w:tc>
          <w:tcPr>
            <w:tcW w:w="0" w:type="auto"/>
            <w:hideMark/>
          </w:tcPr>
          <w:p w14:paraId="5D853068"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Green brand equity</w:t>
            </w:r>
          </w:p>
        </w:tc>
        <w:tc>
          <w:tcPr>
            <w:tcW w:w="0" w:type="auto"/>
            <w:hideMark/>
          </w:tcPr>
          <w:p w14:paraId="599EF2BA"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Greenwashing; green confusion; brand equity</w:t>
            </w:r>
          </w:p>
        </w:tc>
        <w:tc>
          <w:tcPr>
            <w:tcW w:w="0" w:type="auto"/>
            <w:hideMark/>
          </w:tcPr>
          <w:p w14:paraId="41D2A775"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Experiment; PLS-SEM</w:t>
            </w:r>
          </w:p>
        </w:tc>
        <w:tc>
          <w:tcPr>
            <w:tcW w:w="0" w:type="auto"/>
            <w:hideMark/>
          </w:tcPr>
          <w:p w14:paraId="496EFDD5"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Greenwashing and green confusion have the potential to detract from green brand equity.</w:t>
            </w:r>
          </w:p>
        </w:tc>
        <w:tc>
          <w:tcPr>
            <w:tcW w:w="0" w:type="auto"/>
            <w:hideMark/>
          </w:tcPr>
          <w:p w14:paraId="420CB569"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 xml:space="preserve">Consumer based, does not examine </w:t>
            </w:r>
            <w:proofErr w:type="spellStart"/>
            <w:r w:rsidRPr="002953D8">
              <w:rPr>
                <w:color w:val="auto"/>
                <w:sz w:val="18"/>
                <w:szCs w:val="18"/>
              </w:rPr>
              <w:t>organisational</w:t>
            </w:r>
            <w:proofErr w:type="spellEnd"/>
            <w:r w:rsidRPr="002953D8">
              <w:rPr>
                <w:color w:val="auto"/>
                <w:sz w:val="18"/>
                <w:szCs w:val="18"/>
              </w:rPr>
              <w:t xml:space="preserve"> communication as it travels through more than one communication channel.</w:t>
            </w:r>
          </w:p>
        </w:tc>
        <w:tc>
          <w:tcPr>
            <w:tcW w:w="0" w:type="auto"/>
            <w:hideMark/>
          </w:tcPr>
          <w:p w14:paraId="7C985F99"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Demonstrates why clear and consistent sustainability claims are important.</w:t>
            </w:r>
          </w:p>
        </w:tc>
      </w:tr>
      <w:tr w:rsidR="002953D8" w:rsidRPr="002953D8" w14:paraId="3841F874" w14:textId="77777777" w:rsidTr="006D19A2">
        <w:tc>
          <w:tcPr>
            <w:cnfStyle w:val="001000000000" w:firstRow="0" w:lastRow="0" w:firstColumn="1" w:lastColumn="0" w:oddVBand="0" w:evenVBand="0" w:oddHBand="0" w:evenHBand="0" w:firstRowFirstColumn="0" w:firstRowLastColumn="0" w:lastRowFirstColumn="0" w:lastRowLastColumn="0"/>
            <w:tcW w:w="0" w:type="auto"/>
            <w:hideMark/>
          </w:tcPr>
          <w:p w14:paraId="7D4E763B" w14:textId="77777777" w:rsidR="002953D8" w:rsidRPr="002953D8" w:rsidRDefault="002953D8" w:rsidP="006D19A2">
            <w:pPr>
              <w:rPr>
                <w:color w:val="auto"/>
                <w:sz w:val="18"/>
                <w:szCs w:val="18"/>
              </w:rPr>
            </w:pPr>
            <w:proofErr w:type="spellStart"/>
            <w:r w:rsidRPr="002953D8">
              <w:rPr>
                <w:color w:val="auto"/>
                <w:sz w:val="18"/>
                <w:szCs w:val="18"/>
              </w:rPr>
              <w:t>Verleye</w:t>
            </w:r>
            <w:proofErr w:type="spellEnd"/>
            <w:r w:rsidRPr="002953D8">
              <w:rPr>
                <w:color w:val="auto"/>
                <w:sz w:val="18"/>
                <w:szCs w:val="18"/>
              </w:rPr>
              <w:t xml:space="preserve"> et al. (2023)</w:t>
            </w:r>
          </w:p>
        </w:tc>
        <w:tc>
          <w:tcPr>
            <w:tcW w:w="0" w:type="auto"/>
            <w:hideMark/>
          </w:tcPr>
          <w:p w14:paraId="461AB5C9"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Green advertising credibility</w:t>
            </w:r>
          </w:p>
        </w:tc>
        <w:tc>
          <w:tcPr>
            <w:tcW w:w="0" w:type="auto"/>
            <w:hideMark/>
          </w:tcPr>
          <w:p w14:paraId="09BCBFB5"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Advertising; evidence; interaction; credibility</w:t>
            </w:r>
          </w:p>
        </w:tc>
        <w:tc>
          <w:tcPr>
            <w:tcW w:w="0" w:type="auto"/>
            <w:hideMark/>
          </w:tcPr>
          <w:p w14:paraId="29133482"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Empirical study</w:t>
            </w:r>
          </w:p>
        </w:tc>
        <w:tc>
          <w:tcPr>
            <w:tcW w:w="0" w:type="auto"/>
            <w:hideMark/>
          </w:tcPr>
          <w:p w14:paraId="60D22A14"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There are several elements to crediting the green advertising rather than just the facts.</w:t>
            </w:r>
          </w:p>
        </w:tc>
        <w:tc>
          <w:tcPr>
            <w:tcW w:w="0" w:type="auto"/>
            <w:hideMark/>
          </w:tcPr>
          <w:p w14:paraId="79A52CB6"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The main focus is on advertising and not on broader sustainability reporting and corporate communication.</w:t>
            </w:r>
          </w:p>
        </w:tc>
        <w:tc>
          <w:tcPr>
            <w:tcW w:w="0" w:type="auto"/>
            <w:hideMark/>
          </w:tcPr>
          <w:p w14:paraId="50B12E17"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Can assess the quality of evidence and the credibility of the overall communication.</w:t>
            </w:r>
          </w:p>
        </w:tc>
      </w:tr>
      <w:tr w:rsidR="002953D8" w:rsidRPr="002953D8" w14:paraId="76E9F45A" w14:textId="77777777" w:rsidTr="006D19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E55AA6" w14:textId="77777777" w:rsidR="002953D8" w:rsidRPr="002953D8" w:rsidRDefault="002953D8" w:rsidP="006D19A2">
            <w:pPr>
              <w:rPr>
                <w:color w:val="auto"/>
                <w:sz w:val="18"/>
                <w:szCs w:val="18"/>
              </w:rPr>
            </w:pPr>
            <w:r w:rsidRPr="002953D8">
              <w:rPr>
                <w:color w:val="auto"/>
                <w:sz w:val="18"/>
                <w:szCs w:val="18"/>
              </w:rPr>
              <w:t>Xu, Li and Xu (2023)</w:t>
            </w:r>
          </w:p>
        </w:tc>
        <w:tc>
          <w:tcPr>
            <w:tcW w:w="0" w:type="auto"/>
            <w:hideMark/>
          </w:tcPr>
          <w:p w14:paraId="5AD36A58"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Sustainability reporting and greenwashing</w:t>
            </w:r>
          </w:p>
        </w:tc>
        <w:tc>
          <w:tcPr>
            <w:tcW w:w="0" w:type="auto"/>
            <w:hideMark/>
          </w:tcPr>
          <w:p w14:paraId="7BA39C37"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Disclosure; transparency; shared value</w:t>
            </w:r>
          </w:p>
        </w:tc>
        <w:tc>
          <w:tcPr>
            <w:tcW w:w="0" w:type="auto"/>
            <w:hideMark/>
          </w:tcPr>
          <w:p w14:paraId="4EACD98C"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Reporting analysis</w:t>
            </w:r>
          </w:p>
        </w:tc>
        <w:tc>
          <w:tcPr>
            <w:tcW w:w="0" w:type="auto"/>
            <w:hideMark/>
          </w:tcPr>
          <w:p w14:paraId="5822BB88"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Increasingly better disclosure does not mean true transparency.</w:t>
            </w:r>
          </w:p>
        </w:tc>
        <w:tc>
          <w:tcPr>
            <w:tcW w:w="0" w:type="auto"/>
            <w:hideMark/>
          </w:tcPr>
          <w:p w14:paraId="47812AEB"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Primarily focuses on reporting, not on shorter sustainability communication to customers.</w:t>
            </w:r>
          </w:p>
        </w:tc>
        <w:tc>
          <w:tcPr>
            <w:tcW w:w="0" w:type="auto"/>
            <w:hideMark/>
          </w:tcPr>
          <w:p w14:paraId="41586365"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Comprehends the difference between disclosure amounts vs. disclosure quality.</w:t>
            </w:r>
          </w:p>
        </w:tc>
      </w:tr>
      <w:tr w:rsidR="002953D8" w:rsidRPr="002953D8" w14:paraId="4974C52F" w14:textId="77777777" w:rsidTr="006D19A2">
        <w:tc>
          <w:tcPr>
            <w:cnfStyle w:val="001000000000" w:firstRow="0" w:lastRow="0" w:firstColumn="1" w:lastColumn="0" w:oddVBand="0" w:evenVBand="0" w:oddHBand="0" w:evenHBand="0" w:firstRowFirstColumn="0" w:firstRowLastColumn="0" w:lastRowFirstColumn="0" w:lastRowLastColumn="0"/>
            <w:tcW w:w="0" w:type="auto"/>
            <w:hideMark/>
          </w:tcPr>
          <w:p w14:paraId="085018A9" w14:textId="77777777" w:rsidR="002953D8" w:rsidRPr="002953D8" w:rsidRDefault="002953D8" w:rsidP="006D19A2">
            <w:pPr>
              <w:rPr>
                <w:color w:val="auto"/>
                <w:sz w:val="18"/>
                <w:szCs w:val="18"/>
              </w:rPr>
            </w:pPr>
            <w:r w:rsidRPr="002953D8">
              <w:rPr>
                <w:color w:val="auto"/>
                <w:sz w:val="18"/>
                <w:szCs w:val="18"/>
              </w:rPr>
              <w:t>Bernini and La Rosa (2024)</w:t>
            </w:r>
          </w:p>
        </w:tc>
        <w:tc>
          <w:tcPr>
            <w:tcW w:w="0" w:type="auto"/>
            <w:hideMark/>
          </w:tcPr>
          <w:p w14:paraId="03CEB788"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Greenwashing framework</w:t>
            </w:r>
          </w:p>
        </w:tc>
        <w:tc>
          <w:tcPr>
            <w:tcW w:w="0" w:type="auto"/>
            <w:hideMark/>
          </w:tcPr>
          <w:p w14:paraId="2C638F5C"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Ambiguity; selectivity; exaggeration; omission</w:t>
            </w:r>
          </w:p>
        </w:tc>
        <w:tc>
          <w:tcPr>
            <w:tcW w:w="0" w:type="auto"/>
            <w:hideMark/>
          </w:tcPr>
          <w:p w14:paraId="027F83AF"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Literature review</w:t>
            </w:r>
          </w:p>
        </w:tc>
        <w:tc>
          <w:tcPr>
            <w:tcW w:w="0" w:type="auto"/>
            <w:hideMark/>
          </w:tcPr>
          <w:p w14:paraId="70EB7A15"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It is possible to greenwash using only exaggeration instead of false statements, or using vague language.</w:t>
            </w:r>
          </w:p>
        </w:tc>
        <w:tc>
          <w:tcPr>
            <w:tcW w:w="0" w:type="auto"/>
            <w:hideMark/>
          </w:tcPr>
          <w:p w14:paraId="14B7699A"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 xml:space="preserve">Different forms of greenwashing can be difficult to </w:t>
            </w:r>
            <w:proofErr w:type="spellStart"/>
            <w:r w:rsidRPr="002953D8">
              <w:rPr>
                <w:color w:val="auto"/>
                <w:sz w:val="18"/>
                <w:szCs w:val="18"/>
              </w:rPr>
              <w:t>operationalise</w:t>
            </w:r>
            <w:proofErr w:type="spellEnd"/>
            <w:r w:rsidRPr="002953D8">
              <w:rPr>
                <w:color w:val="auto"/>
                <w:sz w:val="18"/>
                <w:szCs w:val="18"/>
              </w:rPr>
              <w:t xml:space="preserve"> consistently.</w:t>
            </w:r>
          </w:p>
        </w:tc>
        <w:tc>
          <w:tcPr>
            <w:tcW w:w="0" w:type="auto"/>
            <w:hideMark/>
          </w:tcPr>
          <w:p w14:paraId="5B5AE7A0"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Offers signs to identify the risk of greenwashing in retailers' communication.</w:t>
            </w:r>
          </w:p>
        </w:tc>
      </w:tr>
      <w:tr w:rsidR="002953D8" w:rsidRPr="002953D8" w14:paraId="5494C6FC" w14:textId="77777777" w:rsidTr="006D19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BD70AC" w14:textId="77777777" w:rsidR="002953D8" w:rsidRPr="002953D8" w:rsidRDefault="002953D8" w:rsidP="006D19A2">
            <w:pPr>
              <w:rPr>
                <w:color w:val="auto"/>
                <w:sz w:val="18"/>
                <w:szCs w:val="18"/>
              </w:rPr>
            </w:pPr>
            <w:proofErr w:type="spellStart"/>
            <w:r w:rsidRPr="002953D8">
              <w:rPr>
                <w:color w:val="auto"/>
                <w:sz w:val="18"/>
                <w:szCs w:val="18"/>
              </w:rPr>
              <w:t>Bendig</w:t>
            </w:r>
            <w:proofErr w:type="spellEnd"/>
            <w:r w:rsidRPr="002953D8">
              <w:rPr>
                <w:color w:val="auto"/>
                <w:sz w:val="18"/>
                <w:szCs w:val="18"/>
              </w:rPr>
              <w:t xml:space="preserve"> et al. (2024)</w:t>
            </w:r>
          </w:p>
        </w:tc>
        <w:tc>
          <w:tcPr>
            <w:tcW w:w="0" w:type="auto"/>
            <w:hideMark/>
          </w:tcPr>
          <w:p w14:paraId="41982CBC"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Sustainability communication</w:t>
            </w:r>
          </w:p>
        </w:tc>
        <w:tc>
          <w:tcPr>
            <w:tcW w:w="0" w:type="auto"/>
            <w:hideMark/>
          </w:tcPr>
          <w:p w14:paraId="05F8EF42"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Alignment; coherence; internal stakeholders</w:t>
            </w:r>
          </w:p>
        </w:tc>
        <w:tc>
          <w:tcPr>
            <w:tcW w:w="0" w:type="auto"/>
            <w:hideMark/>
          </w:tcPr>
          <w:p w14:paraId="39FF6AFA"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Empirical study</w:t>
            </w:r>
          </w:p>
        </w:tc>
        <w:tc>
          <w:tcPr>
            <w:tcW w:w="0" w:type="auto"/>
            <w:hideMark/>
          </w:tcPr>
          <w:p w14:paraId="16B7D4E9"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 xml:space="preserve">Internal alignment of the </w:t>
            </w:r>
            <w:proofErr w:type="spellStart"/>
            <w:r w:rsidRPr="002953D8">
              <w:rPr>
                <w:color w:val="auto"/>
                <w:sz w:val="18"/>
                <w:szCs w:val="18"/>
              </w:rPr>
              <w:t>organisation's</w:t>
            </w:r>
            <w:proofErr w:type="spellEnd"/>
            <w:r w:rsidRPr="002953D8">
              <w:rPr>
                <w:color w:val="auto"/>
                <w:sz w:val="18"/>
                <w:szCs w:val="18"/>
              </w:rPr>
              <w:t xml:space="preserve"> practices and external communication can bolster credibility.</w:t>
            </w:r>
          </w:p>
        </w:tc>
        <w:tc>
          <w:tcPr>
            <w:tcW w:w="0" w:type="auto"/>
            <w:hideMark/>
          </w:tcPr>
          <w:p w14:paraId="256FAB30"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Provides limited evidence about direct consumer responses to sustainability communication.</w:t>
            </w:r>
          </w:p>
        </w:tc>
        <w:tc>
          <w:tcPr>
            <w:tcW w:w="0" w:type="auto"/>
            <w:hideMark/>
          </w:tcPr>
          <w:p w14:paraId="48072149"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Enables cross-channel consistency and authenticity assessment.</w:t>
            </w:r>
          </w:p>
        </w:tc>
      </w:tr>
      <w:tr w:rsidR="002953D8" w:rsidRPr="002953D8" w14:paraId="279E1FAA" w14:textId="77777777" w:rsidTr="006D19A2">
        <w:tc>
          <w:tcPr>
            <w:cnfStyle w:val="001000000000" w:firstRow="0" w:lastRow="0" w:firstColumn="1" w:lastColumn="0" w:oddVBand="0" w:evenVBand="0" w:oddHBand="0" w:evenHBand="0" w:firstRowFirstColumn="0" w:firstRowLastColumn="0" w:lastRowFirstColumn="0" w:lastRowLastColumn="0"/>
            <w:tcW w:w="0" w:type="auto"/>
            <w:hideMark/>
          </w:tcPr>
          <w:p w14:paraId="6AA286BD" w14:textId="77777777" w:rsidR="002953D8" w:rsidRPr="002953D8" w:rsidRDefault="002953D8" w:rsidP="006D19A2">
            <w:pPr>
              <w:rPr>
                <w:color w:val="auto"/>
                <w:sz w:val="18"/>
                <w:szCs w:val="18"/>
              </w:rPr>
            </w:pPr>
            <w:proofErr w:type="spellStart"/>
            <w:r w:rsidRPr="002953D8">
              <w:rPr>
                <w:color w:val="auto"/>
                <w:sz w:val="18"/>
                <w:szCs w:val="18"/>
              </w:rPr>
              <w:t>Jha</w:t>
            </w:r>
            <w:proofErr w:type="spellEnd"/>
            <w:r w:rsidRPr="002953D8">
              <w:rPr>
                <w:color w:val="auto"/>
                <w:sz w:val="18"/>
                <w:szCs w:val="18"/>
              </w:rPr>
              <w:t xml:space="preserve"> and </w:t>
            </w:r>
            <w:proofErr w:type="spellStart"/>
            <w:r w:rsidRPr="002953D8">
              <w:rPr>
                <w:color w:val="auto"/>
                <w:sz w:val="18"/>
                <w:szCs w:val="18"/>
              </w:rPr>
              <w:t>Verma</w:t>
            </w:r>
            <w:proofErr w:type="spellEnd"/>
            <w:r w:rsidRPr="002953D8">
              <w:rPr>
                <w:color w:val="auto"/>
                <w:sz w:val="18"/>
                <w:szCs w:val="18"/>
              </w:rPr>
              <w:t xml:space="preserve"> (2024)</w:t>
            </w:r>
          </w:p>
        </w:tc>
        <w:tc>
          <w:tcPr>
            <w:tcW w:w="0" w:type="auto"/>
            <w:hideMark/>
          </w:tcPr>
          <w:p w14:paraId="7817EEA7"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Digital sustainability communication</w:t>
            </w:r>
          </w:p>
        </w:tc>
        <w:tc>
          <w:tcPr>
            <w:tcW w:w="0" w:type="auto"/>
            <w:hideMark/>
          </w:tcPr>
          <w:p w14:paraId="492B6F62"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Social media; engagement; visibility; credibility</w:t>
            </w:r>
          </w:p>
        </w:tc>
        <w:tc>
          <w:tcPr>
            <w:tcW w:w="0" w:type="auto"/>
            <w:hideMark/>
          </w:tcPr>
          <w:p w14:paraId="225CE00A"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Multi-platform study</w:t>
            </w:r>
          </w:p>
        </w:tc>
        <w:tc>
          <w:tcPr>
            <w:tcW w:w="0" w:type="auto"/>
            <w:hideMark/>
          </w:tcPr>
          <w:p w14:paraId="600BA683"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Increased visibility and engagement on social media does not necessarily mean credibility for communication.</w:t>
            </w:r>
          </w:p>
        </w:tc>
        <w:tc>
          <w:tcPr>
            <w:tcW w:w="0" w:type="auto"/>
            <w:hideMark/>
          </w:tcPr>
          <w:p w14:paraId="39FFE959"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Concentrates mainly on social-media communication rather than complete communication systems.</w:t>
            </w:r>
          </w:p>
        </w:tc>
        <w:tc>
          <w:tcPr>
            <w:tcW w:w="0" w:type="auto"/>
            <w:hideMark/>
          </w:tcPr>
          <w:p w14:paraId="29A7DB8B"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Supports the analysis of consistency of digital and other communication channels.</w:t>
            </w:r>
          </w:p>
        </w:tc>
      </w:tr>
      <w:tr w:rsidR="002953D8" w:rsidRPr="002953D8" w14:paraId="31E8B27A" w14:textId="77777777" w:rsidTr="006D19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319120" w14:textId="77777777" w:rsidR="002953D8" w:rsidRPr="002953D8" w:rsidRDefault="002953D8" w:rsidP="006D19A2">
            <w:pPr>
              <w:rPr>
                <w:color w:val="auto"/>
                <w:sz w:val="18"/>
                <w:szCs w:val="18"/>
              </w:rPr>
            </w:pPr>
            <w:r w:rsidRPr="002953D8">
              <w:rPr>
                <w:color w:val="auto"/>
                <w:sz w:val="18"/>
                <w:szCs w:val="18"/>
              </w:rPr>
              <w:t>Ding et al. (2024)</w:t>
            </w:r>
          </w:p>
        </w:tc>
        <w:tc>
          <w:tcPr>
            <w:tcW w:w="0" w:type="auto"/>
            <w:hideMark/>
          </w:tcPr>
          <w:p w14:paraId="209966B2"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Green trust and packaging communication</w:t>
            </w:r>
          </w:p>
        </w:tc>
        <w:tc>
          <w:tcPr>
            <w:tcW w:w="0" w:type="auto"/>
            <w:hideMark/>
          </w:tcPr>
          <w:p w14:paraId="38058E0F"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Simplicity; packaging; environmental claims</w:t>
            </w:r>
          </w:p>
        </w:tc>
        <w:tc>
          <w:tcPr>
            <w:tcW w:w="0" w:type="auto"/>
            <w:hideMark/>
          </w:tcPr>
          <w:p w14:paraId="4827B5A8"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Experimental study</w:t>
            </w:r>
          </w:p>
        </w:tc>
        <w:tc>
          <w:tcPr>
            <w:tcW w:w="0" w:type="auto"/>
            <w:hideMark/>
          </w:tcPr>
          <w:p w14:paraId="3670D090"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Green trust can be fostered by simplified sustainability communication; however, such communication can raise credibility issues if it is vague.</w:t>
            </w:r>
          </w:p>
        </w:tc>
        <w:tc>
          <w:tcPr>
            <w:tcW w:w="0" w:type="auto"/>
            <w:hideMark/>
          </w:tcPr>
          <w:p w14:paraId="20FDF8AF"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Consumer exposure to claims may not be as represented in controlled experiments in reports, websites and stores.</w:t>
            </w:r>
          </w:p>
        </w:tc>
        <w:tc>
          <w:tcPr>
            <w:tcW w:w="0" w:type="auto"/>
            <w:hideMark/>
          </w:tcPr>
          <w:p w14:paraId="4A3A1948"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Supports analysis of clarity of a claim, availability and detail of a claim.</w:t>
            </w:r>
          </w:p>
        </w:tc>
      </w:tr>
      <w:tr w:rsidR="002953D8" w:rsidRPr="002953D8" w14:paraId="17932C63" w14:textId="77777777" w:rsidTr="006D19A2">
        <w:tc>
          <w:tcPr>
            <w:cnfStyle w:val="001000000000" w:firstRow="0" w:lastRow="0" w:firstColumn="1" w:lastColumn="0" w:oddVBand="0" w:evenVBand="0" w:oddHBand="0" w:evenHBand="0" w:firstRowFirstColumn="0" w:firstRowLastColumn="0" w:lastRowFirstColumn="0" w:lastRowLastColumn="0"/>
            <w:tcW w:w="0" w:type="auto"/>
            <w:hideMark/>
          </w:tcPr>
          <w:p w14:paraId="4713CB8F" w14:textId="77777777" w:rsidR="002953D8" w:rsidRPr="002953D8" w:rsidRDefault="002953D8" w:rsidP="006D19A2">
            <w:pPr>
              <w:rPr>
                <w:color w:val="auto"/>
                <w:sz w:val="18"/>
                <w:szCs w:val="18"/>
              </w:rPr>
            </w:pPr>
            <w:r w:rsidRPr="002953D8">
              <w:rPr>
                <w:color w:val="auto"/>
                <w:sz w:val="18"/>
                <w:szCs w:val="18"/>
              </w:rPr>
              <w:t xml:space="preserve">Lee and </w:t>
            </w:r>
            <w:proofErr w:type="spellStart"/>
            <w:r w:rsidRPr="002953D8">
              <w:rPr>
                <w:color w:val="auto"/>
                <w:sz w:val="18"/>
                <w:szCs w:val="18"/>
              </w:rPr>
              <w:t>Jeong</w:t>
            </w:r>
            <w:proofErr w:type="spellEnd"/>
            <w:r w:rsidRPr="002953D8">
              <w:rPr>
                <w:color w:val="auto"/>
                <w:sz w:val="18"/>
                <w:szCs w:val="18"/>
              </w:rPr>
              <w:t xml:space="preserve"> (2022)</w:t>
            </w:r>
          </w:p>
        </w:tc>
        <w:tc>
          <w:tcPr>
            <w:tcW w:w="0" w:type="auto"/>
            <w:hideMark/>
          </w:tcPr>
          <w:p w14:paraId="5D751399"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CSR authenticity and brand trust</w:t>
            </w:r>
          </w:p>
        </w:tc>
        <w:tc>
          <w:tcPr>
            <w:tcW w:w="0" w:type="auto"/>
            <w:hideMark/>
          </w:tcPr>
          <w:p w14:paraId="6F7DCEF0"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CSR compatibility; authenticity; brand trust</w:t>
            </w:r>
          </w:p>
        </w:tc>
        <w:tc>
          <w:tcPr>
            <w:tcW w:w="0" w:type="auto"/>
            <w:hideMark/>
          </w:tcPr>
          <w:p w14:paraId="4878BEC7"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Empirical study</w:t>
            </w:r>
          </w:p>
        </w:tc>
        <w:tc>
          <w:tcPr>
            <w:tcW w:w="0" w:type="auto"/>
            <w:hideMark/>
          </w:tcPr>
          <w:p w14:paraId="5B3BC038"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Syncing CSR activities and authenticity can have a positive impact on brand trust.</w:t>
            </w:r>
          </w:p>
        </w:tc>
        <w:tc>
          <w:tcPr>
            <w:tcW w:w="0" w:type="auto"/>
            <w:hideMark/>
          </w:tcPr>
          <w:p w14:paraId="1E49FBB6"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Run in another industry and country setting than grocery retail in the UK.</w:t>
            </w:r>
          </w:p>
        </w:tc>
        <w:tc>
          <w:tcPr>
            <w:tcW w:w="0" w:type="auto"/>
            <w:hideMark/>
          </w:tcPr>
          <w:p w14:paraId="174A4704" w14:textId="77777777" w:rsidR="002953D8" w:rsidRPr="002953D8" w:rsidRDefault="002953D8" w:rsidP="006D19A2">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Supports authenticity as a condition that may contribute to potential brand-trust implications.</w:t>
            </w:r>
          </w:p>
        </w:tc>
      </w:tr>
      <w:tr w:rsidR="002953D8" w:rsidRPr="002953D8" w14:paraId="7C8CAFE8" w14:textId="77777777" w:rsidTr="006D19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1A93D5" w14:textId="77777777" w:rsidR="002953D8" w:rsidRPr="002953D8" w:rsidRDefault="002953D8" w:rsidP="006D19A2">
            <w:pPr>
              <w:rPr>
                <w:color w:val="auto"/>
                <w:sz w:val="18"/>
                <w:szCs w:val="18"/>
              </w:rPr>
            </w:pPr>
            <w:r w:rsidRPr="002953D8">
              <w:rPr>
                <w:color w:val="auto"/>
                <w:sz w:val="18"/>
                <w:szCs w:val="18"/>
              </w:rPr>
              <w:t>Zhang et al. (2023)</w:t>
            </w:r>
          </w:p>
        </w:tc>
        <w:tc>
          <w:tcPr>
            <w:tcW w:w="0" w:type="auto"/>
            <w:hideMark/>
          </w:tcPr>
          <w:p w14:paraId="0AA5F8E5"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Greenwashing and environmental performance</w:t>
            </w:r>
          </w:p>
        </w:tc>
        <w:tc>
          <w:tcPr>
            <w:tcW w:w="0" w:type="auto"/>
            <w:hideMark/>
          </w:tcPr>
          <w:p w14:paraId="1C4A2A9B"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Greenwashing; communication; environmental performance</w:t>
            </w:r>
          </w:p>
        </w:tc>
        <w:tc>
          <w:tcPr>
            <w:tcW w:w="0" w:type="auto"/>
            <w:hideMark/>
          </w:tcPr>
          <w:p w14:paraId="645145BD"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Relationship analysis</w:t>
            </w:r>
          </w:p>
        </w:tc>
        <w:tc>
          <w:tcPr>
            <w:tcW w:w="0" w:type="auto"/>
            <w:hideMark/>
          </w:tcPr>
          <w:p w14:paraId="1CED3DCD"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Proper communication of sustainability does not always imply that sustainability levels are high.</w:t>
            </w:r>
          </w:p>
        </w:tc>
        <w:tc>
          <w:tcPr>
            <w:tcW w:w="0" w:type="auto"/>
            <w:hideMark/>
          </w:tcPr>
          <w:p w14:paraId="5468A8A7"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The credibility of communication and real sustainability performance are still two distinct concepts.</w:t>
            </w:r>
          </w:p>
        </w:tc>
        <w:tc>
          <w:tcPr>
            <w:tcW w:w="0" w:type="auto"/>
            <w:hideMark/>
          </w:tcPr>
          <w:p w14:paraId="4E1AFDF0" w14:textId="77777777" w:rsidR="002953D8" w:rsidRPr="002953D8" w:rsidRDefault="002953D8" w:rsidP="006D19A2">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Ensures this dissertation does not equate credible communication with environmental performance.</w:t>
            </w:r>
          </w:p>
        </w:tc>
      </w:tr>
    </w:tbl>
    <w:p w14:paraId="47908C47" w14:textId="77777777" w:rsidR="00EF6DA0" w:rsidRPr="008535D7" w:rsidRDefault="00EF6DA0" w:rsidP="00EF6DA0"/>
    <w:p w14:paraId="0F624EFF" w14:textId="77777777" w:rsidR="00EF6DA0" w:rsidRDefault="00EF6DA0" w:rsidP="00EF6DA0"/>
    <w:p w14:paraId="497D3FE3" w14:textId="77777777" w:rsidR="00EF6DA0" w:rsidRDefault="00EF6DA0" w:rsidP="00EF6DA0">
      <w:pPr>
        <w:sectPr w:rsidR="00EF6DA0" w:rsidSect="008B4C36">
          <w:pgSz w:w="23811" w:h="16838" w:orient="landscape" w:code="8"/>
          <w:pgMar w:top="1440" w:right="1440" w:bottom="1440" w:left="1440" w:header="720" w:footer="720" w:gutter="0"/>
          <w:cols w:space="720"/>
          <w:docGrid w:linePitch="360"/>
        </w:sectPr>
      </w:pPr>
    </w:p>
    <w:p w14:paraId="6508CA98" w14:textId="77777777" w:rsidR="00EF6DA0" w:rsidRPr="008535D7" w:rsidRDefault="00EF6DA0" w:rsidP="00EF6DA0">
      <w:pPr>
        <w:pStyle w:val="Heading2"/>
      </w:pPr>
      <w:bookmarkStart w:id="38" w:name="_Toc237143974"/>
      <w:bookmarkStart w:id="39" w:name="_Toc239795033"/>
      <w:r w:rsidRPr="008535D7">
        <w:lastRenderedPageBreak/>
        <w:t>2.6 Conclusion</w:t>
      </w:r>
      <w:bookmarkEnd w:id="38"/>
      <w:bookmarkEnd w:id="39"/>
    </w:p>
    <w:p w14:paraId="1D510EF9" w14:textId="77777777" w:rsidR="00EF6DA0" w:rsidRPr="009F374E" w:rsidRDefault="00EF6DA0" w:rsidP="00EF6DA0">
      <w:r w:rsidRPr="009F374E">
        <w:t xml:space="preserve">However, the literature indicates that the question of whether or not retailers communicate environmental or social responsibility is not sufficient to measure sustainability marketing communication; it is also necessary to measure the credibility and quality of the message. The key pillars are: clarity of claims, quality of evidence and substantiation, transparency and consistency across </w:t>
      </w:r>
      <w:proofErr w:type="spellStart"/>
      <w:r w:rsidRPr="009F374E">
        <w:t>touchpoints</w:t>
      </w:r>
      <w:proofErr w:type="spellEnd"/>
      <w:r w:rsidRPr="009F374E">
        <w:t xml:space="preserve">. Additional authenticity signals and greenwashing risks also help to demonstrate the alignment of declarations with broader </w:t>
      </w:r>
      <w:proofErr w:type="spellStart"/>
      <w:r w:rsidRPr="009F374E">
        <w:t>organisational</w:t>
      </w:r>
      <w:proofErr w:type="spellEnd"/>
      <w:r w:rsidRPr="009F374E">
        <w:t xml:space="preserve"> commitments and support. The existing research tends to study key credibility factors, specific channels or the consumers' perceptions separately and there is a lack of systematic cross-retailer documentary analysis of the retailing environment in the United Kingdom. This study attempts to fill this void using a multiple case approach that focuses on M&amp;S and compares it with Tesco, </w:t>
      </w:r>
      <w:proofErr w:type="spellStart"/>
      <w:r w:rsidRPr="009F374E">
        <w:t>Asda</w:t>
      </w:r>
      <w:proofErr w:type="spellEnd"/>
      <w:r w:rsidRPr="009F374E">
        <w:t xml:space="preserve">, </w:t>
      </w:r>
      <w:proofErr w:type="spellStart"/>
      <w:r w:rsidRPr="009F374E">
        <w:t>Morrisons</w:t>
      </w:r>
      <w:proofErr w:type="spellEnd"/>
      <w:r w:rsidRPr="009F374E">
        <w:t xml:space="preserve"> and Sainsbury's. The study is based on </w:t>
      </w:r>
      <w:proofErr w:type="spellStart"/>
      <w:r w:rsidRPr="009F374E">
        <w:t>Signalling</w:t>
      </w:r>
      <w:proofErr w:type="spellEnd"/>
      <w:r w:rsidRPr="009F374E">
        <w:t xml:space="preserve"> Theory and assesses the observable sustainability signals in the context of information asymmetry. The chapter on Documentary Methodology is explained in Chapter 3, the cross-case findings are presented in Chapter 4, and the interpretation of cross-case findings against literature, theory, and possible implications for brand trust is explained in Chapter 5.</w:t>
      </w:r>
    </w:p>
    <w:p w14:paraId="295BB84B" w14:textId="77777777" w:rsidR="00EF6DA0" w:rsidRDefault="00EF6DA0">
      <w:pPr>
        <w:widowControl/>
        <w:autoSpaceDE/>
        <w:autoSpaceDN/>
        <w:spacing w:after="160" w:line="259" w:lineRule="auto"/>
        <w:jc w:val="left"/>
      </w:pPr>
      <w:r>
        <w:br w:type="page"/>
      </w:r>
    </w:p>
    <w:p w14:paraId="3EB9CF51" w14:textId="77777777" w:rsidR="00EF6DA0" w:rsidRPr="008535D7" w:rsidRDefault="00EF6DA0" w:rsidP="00EF6DA0">
      <w:pPr>
        <w:pStyle w:val="Heading1"/>
        <w:jc w:val="center"/>
        <w:rPr>
          <w:bCs/>
        </w:rPr>
      </w:pPr>
      <w:bookmarkStart w:id="40" w:name="_Toc237145445"/>
      <w:bookmarkStart w:id="41" w:name="_Toc239795034"/>
      <w:r w:rsidRPr="00B3175D">
        <w:rPr>
          <w:bCs/>
        </w:rPr>
        <w:lastRenderedPageBreak/>
        <w:t>Chapter 3: Research Methodology</w:t>
      </w:r>
      <w:bookmarkEnd w:id="40"/>
      <w:bookmarkEnd w:id="41"/>
    </w:p>
    <w:p w14:paraId="7953277F" w14:textId="77777777" w:rsidR="00EF6DA0" w:rsidRPr="0032640A" w:rsidRDefault="00EF6DA0" w:rsidP="00EF6DA0">
      <w:pPr>
        <w:pStyle w:val="Heading2"/>
      </w:pPr>
      <w:bookmarkStart w:id="42" w:name="_Toc237145446"/>
      <w:bookmarkStart w:id="43" w:name="_Toc239795035"/>
      <w:r w:rsidRPr="0032640A">
        <w:t>3.1 Introduction</w:t>
      </w:r>
      <w:bookmarkEnd w:id="42"/>
      <w:bookmarkEnd w:id="43"/>
    </w:p>
    <w:p w14:paraId="061F2183" w14:textId="77777777" w:rsidR="00EF6DA0" w:rsidRDefault="00EF6DA0" w:rsidP="00EF6DA0">
      <w:r w:rsidRPr="005D5C92">
        <w:t xml:space="preserve">This chapter outlines and </w:t>
      </w:r>
      <w:proofErr w:type="spellStart"/>
      <w:r>
        <w:t>rationalises</w:t>
      </w:r>
      <w:proofErr w:type="spellEnd"/>
      <w:r w:rsidRPr="005D5C92">
        <w:t xml:space="preserve"> the approach adopted to </w:t>
      </w:r>
      <w:proofErr w:type="spellStart"/>
      <w:r w:rsidRPr="005D5C92">
        <w:t>analyse</w:t>
      </w:r>
      <w:proofErr w:type="spellEnd"/>
      <w:r w:rsidRPr="005D5C92">
        <w:t xml:space="preserve"> sustainability marketing communication and its impact on brand trust of grocery retailers in the UK. The main case is that of Marks &amp; Spencer (M&amp;S) and Tesco, </w:t>
      </w:r>
      <w:proofErr w:type="spellStart"/>
      <w:r w:rsidRPr="005D5C92">
        <w:t>Asda</w:t>
      </w:r>
      <w:proofErr w:type="spellEnd"/>
      <w:r w:rsidRPr="005D5C92">
        <w:t xml:space="preserve">, </w:t>
      </w:r>
      <w:proofErr w:type="spellStart"/>
      <w:r w:rsidRPr="005D5C92">
        <w:t>Morrisons</w:t>
      </w:r>
      <w:proofErr w:type="spellEnd"/>
      <w:r w:rsidRPr="005D5C92">
        <w:t xml:space="preserve"> and Sainsbury's are used for comparison. The study is constructed based on the </w:t>
      </w:r>
      <w:proofErr w:type="spellStart"/>
      <w:r w:rsidRPr="005D5C92">
        <w:t>interpretivist</w:t>
      </w:r>
      <w:proofErr w:type="spellEnd"/>
      <w:r w:rsidRPr="005D5C92">
        <w:t xml:space="preserve"> philosophy, predominantly </w:t>
      </w:r>
      <w:r>
        <w:t xml:space="preserve">an </w:t>
      </w:r>
      <w:r w:rsidRPr="005D5C92">
        <w:t xml:space="preserve">inductive approach with </w:t>
      </w:r>
      <w:r>
        <w:t xml:space="preserve">an </w:t>
      </w:r>
      <w:proofErr w:type="spellStart"/>
      <w:r w:rsidRPr="005D5C92">
        <w:t>abductive</w:t>
      </w:r>
      <w:proofErr w:type="spellEnd"/>
      <w:r w:rsidRPr="005D5C92">
        <w:t xml:space="preserve"> approach, multiple case study qualitative design and secondary documentary research. Thematic analysis measures the clarity of claims, the evidence, transparency and </w:t>
      </w:r>
      <w:r>
        <w:t>consistency</w:t>
      </w:r>
      <w:r w:rsidRPr="005D5C92">
        <w:t xml:space="preserve"> of claims across the channels, and the risk of greenwashing and authenticity of claims are used for interpretation of brand-trust implications.</w:t>
      </w:r>
    </w:p>
    <w:p w14:paraId="461FA084" w14:textId="77777777" w:rsidR="00C5622F" w:rsidRDefault="00EF6DA0" w:rsidP="00C5622F">
      <w:pPr>
        <w:keepNext/>
        <w:jc w:val="center"/>
      </w:pPr>
      <w:r>
        <w:rPr>
          <w:noProof/>
        </w:rPr>
        <w:drawing>
          <wp:inline distT="0" distB="0" distL="0" distR="0" wp14:anchorId="63F16B5A" wp14:editId="3FB03B28">
            <wp:extent cx="5670698" cy="4253023"/>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6776" cy="4287581"/>
                    </a:xfrm>
                    <a:prstGeom prst="rect">
                      <a:avLst/>
                    </a:prstGeom>
                    <a:noFill/>
                  </pic:spPr>
                </pic:pic>
              </a:graphicData>
            </a:graphic>
          </wp:inline>
        </w:drawing>
      </w:r>
    </w:p>
    <w:p w14:paraId="73554121" w14:textId="3A4B8516" w:rsidR="00EF6DA0" w:rsidRDefault="00C5622F" w:rsidP="00C5622F">
      <w:pPr>
        <w:pStyle w:val="Caption"/>
        <w:jc w:val="center"/>
      </w:pPr>
      <w:bookmarkStart w:id="44" w:name="_Toc239794906"/>
      <w:r>
        <w:t xml:space="preserve">Figure </w:t>
      </w:r>
      <w:r w:rsidR="00F175CF">
        <w:fldChar w:fldCharType="begin"/>
      </w:r>
      <w:r w:rsidR="00F175CF">
        <w:instrText xml:space="preserve"> SEQ Figure \* ARABIC </w:instrText>
      </w:r>
      <w:r w:rsidR="00F175CF">
        <w:fldChar w:fldCharType="separate"/>
      </w:r>
      <w:r w:rsidR="00F175CF">
        <w:rPr>
          <w:noProof/>
        </w:rPr>
        <w:t>3</w:t>
      </w:r>
      <w:r w:rsidR="00F175CF">
        <w:rPr>
          <w:noProof/>
        </w:rPr>
        <w:fldChar w:fldCharType="end"/>
      </w:r>
      <w:r>
        <w:t xml:space="preserve">: </w:t>
      </w:r>
      <w:r w:rsidRPr="00805C26">
        <w:t>Research Onion; Source: Saunders, Lewis and Thornhill (2024)</w:t>
      </w:r>
      <w:bookmarkEnd w:id="44"/>
    </w:p>
    <w:p w14:paraId="16EE0DEF" w14:textId="3D7D7CA3" w:rsidR="00EF6DA0" w:rsidRDefault="00EF6DA0" w:rsidP="00EF6DA0">
      <w:bookmarkStart w:id="45" w:name="_Toc237145447"/>
      <w:r w:rsidRPr="003E221B">
        <w:t xml:space="preserve">This study is </w:t>
      </w:r>
      <w:proofErr w:type="spellStart"/>
      <w:r w:rsidRPr="003E221B">
        <w:t>organised</w:t>
      </w:r>
      <w:proofErr w:type="spellEnd"/>
      <w:r w:rsidRPr="003E221B">
        <w:t xml:space="preserve"> in six related layers of the Research Onion</w:t>
      </w:r>
      <w:r>
        <w:t xml:space="preserve"> in figure 3</w:t>
      </w:r>
      <w:r w:rsidRPr="003E221B">
        <w:t xml:space="preserve">, including the philosophy, theory development, methodological choice, research strategy, time horizon, and techniques and procedures. These layers are a description of the way the research progresses from </w:t>
      </w:r>
      <w:r w:rsidRPr="003E221B">
        <w:lastRenderedPageBreak/>
        <w:t>philosophical underpinning to the analysis of secondary documentary data.</w:t>
      </w:r>
    </w:p>
    <w:p w14:paraId="4599501B" w14:textId="77777777" w:rsidR="00EF6DA0" w:rsidRDefault="00EF6DA0" w:rsidP="00EF6DA0">
      <w:pPr>
        <w:pStyle w:val="Heading2"/>
      </w:pPr>
      <w:bookmarkStart w:id="46" w:name="_Toc239795036"/>
      <w:r w:rsidRPr="0032640A">
        <w:t>3.2 Research Philosophy, Approach and Design</w:t>
      </w:r>
      <w:bookmarkEnd w:id="45"/>
      <w:bookmarkEnd w:id="46"/>
    </w:p>
    <w:p w14:paraId="25A30430" w14:textId="77777777" w:rsidR="00EF6DA0" w:rsidRPr="0032640A" w:rsidRDefault="00EF6DA0" w:rsidP="00EF6DA0">
      <w:pPr>
        <w:pStyle w:val="Heading3"/>
      </w:pPr>
      <w:bookmarkStart w:id="47" w:name="_Toc237145448"/>
      <w:bookmarkStart w:id="48" w:name="_Toc239795037"/>
      <w:r w:rsidRPr="0032640A">
        <w:t>3.2.1 Research Philosophy</w:t>
      </w:r>
      <w:bookmarkEnd w:id="47"/>
      <w:bookmarkEnd w:id="48"/>
    </w:p>
    <w:p w14:paraId="79E459E2" w14:textId="77777777" w:rsidR="00EF6DA0" w:rsidRPr="0032640A" w:rsidRDefault="00EF6DA0" w:rsidP="00EF6DA0">
      <w:r w:rsidRPr="005D5C92">
        <w:t xml:space="preserve">An </w:t>
      </w:r>
      <w:proofErr w:type="spellStart"/>
      <w:r w:rsidRPr="005D5C92">
        <w:t>interpretivist</w:t>
      </w:r>
      <w:proofErr w:type="spellEnd"/>
      <w:r w:rsidRPr="005D5C92">
        <w:t xml:space="preserve"> philosophy is the one that is appropriate because sustainability communication is not about objective meanings, but influenced by language, context, evidence and </w:t>
      </w:r>
      <w:proofErr w:type="spellStart"/>
      <w:r w:rsidRPr="005D5C92">
        <w:t>organisational</w:t>
      </w:r>
      <w:proofErr w:type="spellEnd"/>
      <w:r w:rsidRPr="005D5C92">
        <w:t xml:space="preserve"> positioning (Saunders, Lewis and Thornhill, 2024). The study involves understanding the meaning and credibility that could be communicated in the </w:t>
      </w:r>
      <w:proofErr w:type="spellStart"/>
      <w:r w:rsidRPr="005D5C92">
        <w:t>organisational</w:t>
      </w:r>
      <w:proofErr w:type="spellEnd"/>
      <w:r w:rsidRPr="005D5C92">
        <w:t xml:space="preserve"> documents</w:t>
      </w:r>
      <w:r>
        <w:t>;</w:t>
      </w:r>
      <w:r w:rsidRPr="005D5C92">
        <w:t xml:space="preserve"> in this regard </w:t>
      </w:r>
      <w:proofErr w:type="spellStart"/>
      <w:r w:rsidRPr="005D5C92">
        <w:t>interpretivism</w:t>
      </w:r>
      <w:proofErr w:type="spellEnd"/>
      <w:r w:rsidRPr="005D5C92">
        <w:t xml:space="preserve"> stands as a support for the research Onion. From an ontological perspective, sustainability claims are considered </w:t>
      </w:r>
      <w:r>
        <w:t>context-dependent,</w:t>
      </w:r>
      <w:r w:rsidRPr="005D5C92">
        <w:t xml:space="preserve"> and from an epistemological perspective, knowledge is built by interpreting documentary evidence and its </w:t>
      </w:r>
      <w:proofErr w:type="spellStart"/>
      <w:r w:rsidRPr="005D5C92">
        <w:t>organisation</w:t>
      </w:r>
      <w:proofErr w:type="spellEnd"/>
      <w:r w:rsidRPr="005D5C92">
        <w:t xml:space="preserve"> and regulation. The study thus does not make an evaluation of whether a retailer's environmental performance is truly better in practice, but whether the communicated information is credible or not</w:t>
      </w:r>
      <w:r w:rsidRPr="007A6205">
        <w:t>.</w:t>
      </w:r>
    </w:p>
    <w:p w14:paraId="48593900" w14:textId="77777777" w:rsidR="00EF6DA0" w:rsidRPr="0032640A" w:rsidRDefault="00EF6DA0" w:rsidP="00EF6DA0">
      <w:pPr>
        <w:pStyle w:val="Heading3"/>
      </w:pPr>
      <w:bookmarkStart w:id="49" w:name="_Toc237145449"/>
      <w:bookmarkStart w:id="50" w:name="_Toc239795038"/>
      <w:r w:rsidRPr="0032640A">
        <w:t>3.2.2 Research Approach</w:t>
      </w:r>
      <w:bookmarkEnd w:id="49"/>
      <w:bookmarkEnd w:id="50"/>
    </w:p>
    <w:p w14:paraId="21EC7F42" w14:textId="77777777" w:rsidR="00EF6DA0" w:rsidRPr="0032640A" w:rsidRDefault="00EF6DA0" w:rsidP="00EF6DA0">
      <w:r w:rsidRPr="005D5C92">
        <w:t>The study is mainly inductive</w:t>
      </w:r>
      <w:r>
        <w:t xml:space="preserve">, which also incorporates </w:t>
      </w:r>
      <w:r w:rsidRPr="005D5C92">
        <w:t xml:space="preserve">an element of </w:t>
      </w:r>
      <w:proofErr w:type="spellStart"/>
      <w:r w:rsidRPr="005D5C92">
        <w:t>abductive</w:t>
      </w:r>
      <w:proofErr w:type="spellEnd"/>
      <w:r>
        <w:t xml:space="preserve"> reasoning</w:t>
      </w:r>
      <w:r w:rsidRPr="005D5C92">
        <w:t>. Induction is suitable</w:t>
      </w:r>
      <w:r>
        <w:t xml:space="preserve"> for this study</w:t>
      </w:r>
      <w:r w:rsidRPr="005D5C92">
        <w:t xml:space="preserve"> since it involves the identification of patterns from documentary evidence rather than testing of pre-determined hypotheses or causal relationships </w:t>
      </w:r>
      <w:r>
        <w:t>(Saunders</w:t>
      </w:r>
      <w:r w:rsidRPr="005D5C92">
        <w:t>, Lewis and Thornhill</w:t>
      </w:r>
      <w:r>
        <w:t xml:space="preserve">, </w:t>
      </w:r>
      <w:r w:rsidRPr="005D5C92">
        <w:t xml:space="preserve">2024). Theoretically, however, the analysis takes into account four dimensions of communication quality: clarity of claim, quality of evidence, transparency and </w:t>
      </w:r>
      <w:r>
        <w:t>cross-channel</w:t>
      </w:r>
      <w:r w:rsidRPr="005D5C92">
        <w:t xml:space="preserve"> consistency. The concepts are meant to </w:t>
      </w:r>
      <w:proofErr w:type="spellStart"/>
      <w:r w:rsidRPr="005D5C92">
        <w:t>sensitise</w:t>
      </w:r>
      <w:proofErr w:type="spellEnd"/>
      <w:r w:rsidRPr="005D5C92">
        <w:t xml:space="preserve"> readers and help them interpret the text, but they also do not obscure patterns and contradictions that facilitate a flexible and coherent qualitative analysis (Braun and Clarke, 2021b)</w:t>
      </w:r>
      <w:r w:rsidRPr="007A6205">
        <w:t>.</w:t>
      </w:r>
    </w:p>
    <w:p w14:paraId="08DABAAE" w14:textId="77777777" w:rsidR="00EF6DA0" w:rsidRPr="0032640A" w:rsidRDefault="00EF6DA0" w:rsidP="00EF6DA0">
      <w:pPr>
        <w:pStyle w:val="Heading3"/>
      </w:pPr>
      <w:bookmarkStart w:id="51" w:name="_Toc237145450"/>
      <w:bookmarkStart w:id="52" w:name="_Toc239795039"/>
      <w:r w:rsidRPr="0032640A">
        <w:t>3.2.3 Research Strategy</w:t>
      </w:r>
      <w:bookmarkEnd w:id="51"/>
      <w:bookmarkEnd w:id="52"/>
    </w:p>
    <w:p w14:paraId="4A38656D" w14:textId="77777777" w:rsidR="00EF6DA0" w:rsidRPr="0032640A" w:rsidRDefault="00EF6DA0" w:rsidP="00EF6DA0">
      <w:r w:rsidRPr="005D5C92">
        <w:t xml:space="preserve">The study method used is a mono-method qualitative comparative multiple case design, where the focal case is M&amp;S and the comparator cases are Tesco, </w:t>
      </w:r>
      <w:proofErr w:type="spellStart"/>
      <w:r w:rsidRPr="005D5C92">
        <w:t>Asda</w:t>
      </w:r>
      <w:proofErr w:type="spellEnd"/>
      <w:r w:rsidRPr="005D5C92">
        <w:t xml:space="preserve">, </w:t>
      </w:r>
      <w:proofErr w:type="spellStart"/>
      <w:r w:rsidRPr="005D5C92">
        <w:t>Morrisons</w:t>
      </w:r>
      <w:proofErr w:type="spellEnd"/>
      <w:r w:rsidRPr="005D5C92">
        <w:t xml:space="preserve"> and Sainsbury's. Case-study research is suitable for the study of </w:t>
      </w:r>
      <w:proofErr w:type="spellStart"/>
      <w:r w:rsidRPr="005D5C92">
        <w:t>organisational</w:t>
      </w:r>
      <w:proofErr w:type="spellEnd"/>
      <w:r w:rsidRPr="005D5C92">
        <w:t xml:space="preserve"> practices in real-world settings (Yin, 2018). A cross-sectional method examines the current sustainability communication by means of purposefully selected public documents. Thematic coding, </w:t>
      </w:r>
      <w:r>
        <w:t>within-case</w:t>
      </w:r>
      <w:r w:rsidRPr="005D5C92">
        <w:t xml:space="preserve"> analysis, </w:t>
      </w:r>
      <w:r>
        <w:t>cross-case</w:t>
      </w:r>
      <w:r w:rsidRPr="005D5C92">
        <w:t xml:space="preserve"> </w:t>
      </w:r>
      <w:r w:rsidRPr="005D5C92">
        <w:lastRenderedPageBreak/>
        <w:t xml:space="preserve">comparison and source triangulation help to systematically, transparently and traceably interpret the communication practices of the selected </w:t>
      </w:r>
      <w:proofErr w:type="spellStart"/>
      <w:r>
        <w:t>organisations</w:t>
      </w:r>
      <w:proofErr w:type="spellEnd"/>
      <w:r w:rsidRPr="007A6205">
        <w:t>.</w:t>
      </w:r>
    </w:p>
    <w:p w14:paraId="7097D39F" w14:textId="77777777" w:rsidR="00EF6DA0" w:rsidRPr="00C47795" w:rsidRDefault="00EF6DA0" w:rsidP="00EF6DA0">
      <w:pPr>
        <w:pStyle w:val="Heading2"/>
      </w:pPr>
      <w:bookmarkStart w:id="53" w:name="_Toc237145451"/>
      <w:bookmarkStart w:id="54" w:name="_Toc239795040"/>
      <w:r w:rsidRPr="00C47795">
        <w:t>3.3 Justification for Case Study Methodology</w:t>
      </w:r>
      <w:bookmarkEnd w:id="53"/>
      <w:bookmarkEnd w:id="54"/>
    </w:p>
    <w:p w14:paraId="0B9E707A" w14:textId="77777777" w:rsidR="00EF6DA0" w:rsidRPr="00BA5A7D" w:rsidRDefault="00EF6DA0" w:rsidP="00EF6DA0">
      <w:r w:rsidRPr="005D5C92">
        <w:t xml:space="preserve">The study is </w:t>
      </w:r>
      <w:r>
        <w:t xml:space="preserve">a </w:t>
      </w:r>
      <w:r w:rsidRPr="005D5C92">
        <w:t xml:space="preserve">comparative multiple case study, as it </w:t>
      </w:r>
      <w:r>
        <w:t>compares</w:t>
      </w:r>
      <w:r w:rsidRPr="005D5C92">
        <w:t xml:space="preserve"> sustainability marketing communication among M&amp;S, Tesco, </w:t>
      </w:r>
      <w:proofErr w:type="spellStart"/>
      <w:r w:rsidRPr="005D5C92">
        <w:t>Asda</w:t>
      </w:r>
      <w:proofErr w:type="spellEnd"/>
      <w:r w:rsidRPr="005D5C92">
        <w:t xml:space="preserve">, </w:t>
      </w:r>
      <w:proofErr w:type="spellStart"/>
      <w:r w:rsidRPr="005D5C92">
        <w:t>Morrisons</w:t>
      </w:r>
      <w:proofErr w:type="spellEnd"/>
      <w:r w:rsidRPr="005D5C92">
        <w:t xml:space="preserve"> and Sainsbury's. Case-study research is used to explore the practices of an </w:t>
      </w:r>
      <w:proofErr w:type="spellStart"/>
      <w:r w:rsidRPr="005D5C92">
        <w:t>organisation</w:t>
      </w:r>
      <w:proofErr w:type="spellEnd"/>
      <w:r w:rsidRPr="005D5C92">
        <w:t xml:space="preserve"> in the context in which they operate (Yin, 2018). Multiple cases can be used to compare the cases, uncover patterns and contrasts, and enhance the analytical </w:t>
      </w:r>
      <w:proofErr w:type="spellStart"/>
      <w:r w:rsidRPr="005D5C92">
        <w:t>generalisation</w:t>
      </w:r>
      <w:proofErr w:type="spellEnd"/>
      <w:r w:rsidRPr="005D5C92">
        <w:t xml:space="preserve"> (</w:t>
      </w:r>
      <w:proofErr w:type="spellStart"/>
      <w:r w:rsidRPr="005D5C92">
        <w:t>Eisenhardt</w:t>
      </w:r>
      <w:proofErr w:type="spellEnd"/>
      <w:r w:rsidRPr="005D5C92">
        <w:t xml:space="preserve">, 1989). This design also indicates if M&amp;S practices are unique or common throughout the sector. It is more appropriate than surveys or experiments, as it can be used to </w:t>
      </w:r>
      <w:proofErr w:type="spellStart"/>
      <w:r>
        <w:t>analyse</w:t>
      </w:r>
      <w:proofErr w:type="spellEnd"/>
      <w:r w:rsidRPr="005D5C92">
        <w:t xml:space="preserve"> documentary evidence, such as ESG reports, webpages and sustainability communications, which will serve to triangulate (Yin, 2018)</w:t>
      </w:r>
      <w:r w:rsidRPr="00DA2423">
        <w:t>.</w:t>
      </w:r>
      <w:r>
        <w:t xml:space="preserve"> </w:t>
      </w:r>
      <w:r w:rsidRPr="00DE0570">
        <w:t>Therefore, the case-study approach is suitable for this study, which aims to explore the communication, evidence and comparisons of sustainability claims as found in practice within the retail sector, as this approach is best suited to examine the ‘how’ and ‘what’ questions.</w:t>
      </w:r>
    </w:p>
    <w:p w14:paraId="584DB995" w14:textId="77777777" w:rsidR="00EF6DA0" w:rsidRPr="0032640A" w:rsidRDefault="00EF6DA0" w:rsidP="00EF6DA0">
      <w:pPr>
        <w:pStyle w:val="Heading2"/>
      </w:pPr>
      <w:bookmarkStart w:id="55" w:name="_Toc237145452"/>
      <w:bookmarkStart w:id="56" w:name="_Toc239795041"/>
      <w:r w:rsidRPr="0032640A">
        <w:t>3.</w:t>
      </w:r>
      <w:r>
        <w:t>4</w:t>
      </w:r>
      <w:r w:rsidRPr="0032640A">
        <w:t xml:space="preserve"> Case Selection and Sampling Strategy</w:t>
      </w:r>
      <w:bookmarkEnd w:id="55"/>
      <w:bookmarkEnd w:id="56"/>
    </w:p>
    <w:p w14:paraId="6E7627ED" w14:textId="2BA3F0E4" w:rsidR="00EF6DA0" w:rsidRPr="00057C18" w:rsidRDefault="00EF6DA0" w:rsidP="00EF6DA0">
      <w:r w:rsidRPr="005D5C92">
        <w:t>Non-probability case selection was used as the selection of cases was based on theory rather than representativeness. This method can be used for analytical comparison and theory development for qualitative case studies (</w:t>
      </w:r>
      <w:proofErr w:type="spellStart"/>
      <w:r w:rsidRPr="005D5C92">
        <w:t>Eisenhardt</w:t>
      </w:r>
      <w:proofErr w:type="spellEnd"/>
      <w:r w:rsidRPr="005D5C92">
        <w:t xml:space="preserve">, 1989). Relevance of sustainability marketing, information richness, UK retail comparability, current sustainability activity, </w:t>
      </w:r>
      <w:r>
        <w:t xml:space="preserve">and </w:t>
      </w:r>
      <w:r w:rsidRPr="005D5C92">
        <w:t xml:space="preserve">credible documentary evidence were all taken into account when making the selection. M&amp;S was chosen as </w:t>
      </w:r>
      <w:r>
        <w:t xml:space="preserve">the </w:t>
      </w:r>
      <w:r w:rsidRPr="005D5C92">
        <w:t xml:space="preserve">focal </w:t>
      </w:r>
      <w:proofErr w:type="spellStart"/>
      <w:r w:rsidRPr="005D5C92">
        <w:t>organisation</w:t>
      </w:r>
      <w:proofErr w:type="spellEnd"/>
      <w:r w:rsidRPr="005D5C92">
        <w:t xml:space="preserve"> as they have extensive, </w:t>
      </w:r>
      <w:r>
        <w:t>up-to-date</w:t>
      </w:r>
      <w:r w:rsidRPr="005D5C92">
        <w:t xml:space="preserve"> sustainability communication in their Plan A </w:t>
      </w:r>
      <w:proofErr w:type="spellStart"/>
      <w:r w:rsidRPr="005D5C92">
        <w:t>programme</w:t>
      </w:r>
      <w:proofErr w:type="spellEnd"/>
      <w:r w:rsidRPr="005D5C92">
        <w:t xml:space="preserve"> and their ESG reporting in 2025 (Marks and Spencer Group plc, 2025). Tesco, Sainsbury's, </w:t>
      </w:r>
      <w:proofErr w:type="spellStart"/>
      <w:r w:rsidRPr="005D5C92">
        <w:t>Asda</w:t>
      </w:r>
      <w:proofErr w:type="spellEnd"/>
      <w:r w:rsidRPr="005D5C92">
        <w:t xml:space="preserve"> and </w:t>
      </w:r>
      <w:proofErr w:type="spellStart"/>
      <w:r w:rsidRPr="005D5C92">
        <w:t>Morrisons</w:t>
      </w:r>
      <w:proofErr w:type="spellEnd"/>
      <w:r w:rsidRPr="005D5C92">
        <w:t xml:space="preserve"> were selected as comparators as they are all in the same environment as consumers and regulators in the UK. Because of the variation in firms in size and product, the focus of comparison is on communication practices</w:t>
      </w:r>
      <w:r>
        <w:t>,</w:t>
      </w:r>
      <w:r w:rsidRPr="005D5C92">
        <w:t xml:space="preserve"> and this provides analytical </w:t>
      </w:r>
      <w:proofErr w:type="spellStart"/>
      <w:r w:rsidRPr="005D5C92">
        <w:t>generalisation</w:t>
      </w:r>
      <w:proofErr w:type="spellEnd"/>
      <w:r w:rsidRPr="005D5C92">
        <w:t xml:space="preserve">, not statistical </w:t>
      </w:r>
      <w:proofErr w:type="spellStart"/>
      <w:r w:rsidRPr="005D5C92">
        <w:t>generalisation</w:t>
      </w:r>
      <w:proofErr w:type="spellEnd"/>
      <w:r w:rsidRPr="00DA2423">
        <w:t>.</w:t>
      </w:r>
      <w:r>
        <w:t xml:space="preserve"> </w:t>
      </w:r>
      <w:r w:rsidRPr="00A17833">
        <w:t xml:space="preserve">The unit of analysis is sustainability marketing communication that relates to the selected </w:t>
      </w:r>
      <w:proofErr w:type="spellStart"/>
      <w:r>
        <w:t>organisations'</w:t>
      </w:r>
      <w:proofErr w:type="spellEnd"/>
      <w:r w:rsidRPr="00A17833">
        <w:t xml:space="preserve"> grocery and food-retailing activities, allowing for the comparability of the data between M&amp;S and the four comparator retailers.</w:t>
      </w:r>
    </w:p>
    <w:p w14:paraId="6551BF9E" w14:textId="6E70FED4" w:rsidR="00057C18" w:rsidRDefault="00057C18" w:rsidP="00057C18">
      <w:pPr>
        <w:pStyle w:val="Caption"/>
        <w:keepNext/>
      </w:pPr>
      <w:bookmarkStart w:id="57" w:name="_Toc239794894"/>
      <w:r>
        <w:lastRenderedPageBreak/>
        <w:t xml:space="preserve">Table </w:t>
      </w:r>
      <w:r w:rsidR="00AB4680">
        <w:fldChar w:fldCharType="begin"/>
      </w:r>
      <w:r w:rsidR="00AB4680">
        <w:instrText xml:space="preserve"> SEQ Table \* ARABIC </w:instrText>
      </w:r>
      <w:r w:rsidR="00AB4680">
        <w:fldChar w:fldCharType="separate"/>
      </w:r>
      <w:r w:rsidR="00AB4680">
        <w:rPr>
          <w:noProof/>
        </w:rPr>
        <w:t>2</w:t>
      </w:r>
      <w:r w:rsidR="00AB4680">
        <w:rPr>
          <w:noProof/>
        </w:rPr>
        <w:fldChar w:fldCharType="end"/>
      </w:r>
      <w:r>
        <w:t xml:space="preserve">: </w:t>
      </w:r>
      <w:r w:rsidRPr="00750FB9">
        <w:t>Case Selection Logic</w:t>
      </w:r>
      <w:bookmarkEnd w:id="57"/>
    </w:p>
    <w:tbl>
      <w:tblPr>
        <w:tblStyle w:val="GridTable6ColourfulAccent1"/>
        <w:tblW w:w="0" w:type="auto"/>
        <w:tblLook w:val="04A0" w:firstRow="1" w:lastRow="0" w:firstColumn="1" w:lastColumn="0" w:noHBand="0" w:noVBand="1"/>
      </w:tblPr>
      <w:tblGrid>
        <w:gridCol w:w="1417"/>
        <w:gridCol w:w="1458"/>
        <w:gridCol w:w="6475"/>
      </w:tblGrid>
      <w:tr w:rsidR="00EF6DA0" w:rsidRPr="00C47795" w14:paraId="2EE4AB97" w14:textId="77777777" w:rsidTr="001276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E69BE5" w14:textId="77777777" w:rsidR="00EF6DA0" w:rsidRPr="00C47795" w:rsidRDefault="00EF6DA0" w:rsidP="00127600">
            <w:pPr>
              <w:rPr>
                <w:color w:val="auto"/>
              </w:rPr>
            </w:pPr>
            <w:r w:rsidRPr="00C47795">
              <w:rPr>
                <w:color w:val="auto"/>
              </w:rPr>
              <w:t>Case</w:t>
            </w:r>
          </w:p>
        </w:tc>
        <w:tc>
          <w:tcPr>
            <w:tcW w:w="1458" w:type="dxa"/>
            <w:hideMark/>
          </w:tcPr>
          <w:p w14:paraId="3AF77024" w14:textId="77777777" w:rsidR="00EF6DA0" w:rsidRPr="00C47795" w:rsidRDefault="00EF6DA0" w:rsidP="00127600">
            <w:pPr>
              <w:cnfStyle w:val="100000000000" w:firstRow="1" w:lastRow="0" w:firstColumn="0" w:lastColumn="0" w:oddVBand="0" w:evenVBand="0" w:oddHBand="0" w:evenHBand="0" w:firstRowFirstColumn="0" w:firstRowLastColumn="0" w:lastRowFirstColumn="0" w:lastRowLastColumn="0"/>
              <w:rPr>
                <w:color w:val="auto"/>
              </w:rPr>
            </w:pPr>
            <w:r w:rsidRPr="00C47795">
              <w:rPr>
                <w:color w:val="auto"/>
              </w:rPr>
              <w:t>Role</w:t>
            </w:r>
          </w:p>
        </w:tc>
        <w:tc>
          <w:tcPr>
            <w:tcW w:w="6475" w:type="dxa"/>
            <w:hideMark/>
          </w:tcPr>
          <w:p w14:paraId="4195E7A6" w14:textId="77777777" w:rsidR="00EF6DA0" w:rsidRPr="00C47795" w:rsidRDefault="00EF6DA0" w:rsidP="00127600">
            <w:pPr>
              <w:cnfStyle w:val="100000000000" w:firstRow="1" w:lastRow="0" w:firstColumn="0" w:lastColumn="0" w:oddVBand="0" w:evenVBand="0" w:oddHBand="0" w:evenHBand="0" w:firstRowFirstColumn="0" w:firstRowLastColumn="0" w:lastRowFirstColumn="0" w:lastRowLastColumn="0"/>
              <w:rPr>
                <w:color w:val="auto"/>
              </w:rPr>
            </w:pPr>
            <w:r w:rsidRPr="00C47795">
              <w:rPr>
                <w:color w:val="auto"/>
              </w:rPr>
              <w:t>Selection rationale</w:t>
            </w:r>
          </w:p>
        </w:tc>
      </w:tr>
      <w:tr w:rsidR="00EF6DA0" w:rsidRPr="00C47795" w14:paraId="50995ECA" w14:textId="77777777" w:rsidTr="00127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9782FE" w14:textId="77777777" w:rsidR="00EF6DA0" w:rsidRPr="00C47795" w:rsidRDefault="00EF6DA0" w:rsidP="00127600">
            <w:pPr>
              <w:rPr>
                <w:color w:val="auto"/>
              </w:rPr>
            </w:pPr>
            <w:r w:rsidRPr="00C47795">
              <w:rPr>
                <w:color w:val="auto"/>
              </w:rPr>
              <w:t>M&amp;S</w:t>
            </w:r>
          </w:p>
        </w:tc>
        <w:tc>
          <w:tcPr>
            <w:tcW w:w="1458" w:type="dxa"/>
            <w:hideMark/>
          </w:tcPr>
          <w:p w14:paraId="70891A85" w14:textId="77777777" w:rsidR="00EF6DA0" w:rsidRPr="00C47795"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sidRPr="00C47795">
              <w:rPr>
                <w:color w:val="auto"/>
              </w:rPr>
              <w:t>Focal case</w:t>
            </w:r>
          </w:p>
        </w:tc>
        <w:tc>
          <w:tcPr>
            <w:tcW w:w="6475" w:type="dxa"/>
            <w:hideMark/>
          </w:tcPr>
          <w:p w14:paraId="56CB4EC2" w14:textId="77777777" w:rsidR="00EF6DA0" w:rsidRPr="00127AF2"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sidRPr="00127AF2">
              <w:rPr>
                <w:color w:val="auto"/>
              </w:rPr>
              <w:t>Plan A sustainability identity, extensive current ESG reporting and rich corporate/customer-facing sustainability communication</w:t>
            </w:r>
          </w:p>
        </w:tc>
      </w:tr>
      <w:tr w:rsidR="00EF6DA0" w:rsidRPr="00C47795" w14:paraId="7881BA0B" w14:textId="77777777" w:rsidTr="00127600">
        <w:tc>
          <w:tcPr>
            <w:cnfStyle w:val="001000000000" w:firstRow="0" w:lastRow="0" w:firstColumn="1" w:lastColumn="0" w:oddVBand="0" w:evenVBand="0" w:oddHBand="0" w:evenHBand="0" w:firstRowFirstColumn="0" w:firstRowLastColumn="0" w:lastRowFirstColumn="0" w:lastRowLastColumn="0"/>
            <w:tcW w:w="0" w:type="auto"/>
            <w:hideMark/>
          </w:tcPr>
          <w:p w14:paraId="26D63DF5" w14:textId="77777777" w:rsidR="00EF6DA0" w:rsidRPr="00C47795" w:rsidRDefault="00EF6DA0" w:rsidP="00127600">
            <w:pPr>
              <w:rPr>
                <w:color w:val="auto"/>
              </w:rPr>
            </w:pPr>
            <w:r w:rsidRPr="00C47795">
              <w:rPr>
                <w:color w:val="auto"/>
              </w:rPr>
              <w:t>Tesco</w:t>
            </w:r>
          </w:p>
        </w:tc>
        <w:tc>
          <w:tcPr>
            <w:tcW w:w="1458" w:type="dxa"/>
            <w:hideMark/>
          </w:tcPr>
          <w:p w14:paraId="041399ED" w14:textId="77777777" w:rsidR="00EF6DA0" w:rsidRPr="00C47795" w:rsidRDefault="00EF6DA0" w:rsidP="00127600">
            <w:pPr>
              <w:cnfStyle w:val="000000000000" w:firstRow="0" w:lastRow="0" w:firstColumn="0" w:lastColumn="0" w:oddVBand="0" w:evenVBand="0" w:oddHBand="0" w:evenHBand="0" w:firstRowFirstColumn="0" w:firstRowLastColumn="0" w:lastRowFirstColumn="0" w:lastRowLastColumn="0"/>
              <w:rPr>
                <w:color w:val="auto"/>
              </w:rPr>
            </w:pPr>
            <w:r w:rsidRPr="006A5D84">
              <w:rPr>
                <w:color w:val="auto"/>
              </w:rPr>
              <w:t>Comparator case</w:t>
            </w:r>
          </w:p>
        </w:tc>
        <w:tc>
          <w:tcPr>
            <w:tcW w:w="6475" w:type="dxa"/>
            <w:hideMark/>
          </w:tcPr>
          <w:p w14:paraId="7F04DC3B" w14:textId="77777777" w:rsidR="00EF6DA0" w:rsidRPr="00127AF2" w:rsidRDefault="00EF6DA0" w:rsidP="00127600">
            <w:pPr>
              <w:cnfStyle w:val="000000000000" w:firstRow="0" w:lastRow="0" w:firstColumn="0" w:lastColumn="0" w:oddVBand="0" w:evenVBand="0" w:oddHBand="0" w:evenHBand="0" w:firstRowFirstColumn="0" w:firstRowLastColumn="0" w:lastRowFirstColumn="0" w:lastRowLastColumn="0"/>
              <w:rPr>
                <w:color w:val="auto"/>
              </w:rPr>
            </w:pPr>
            <w:r w:rsidRPr="00127AF2">
              <w:rPr>
                <w:color w:val="auto"/>
              </w:rPr>
              <w:t>Large UK retailer with extensive, recent and verifiable ESG and sustainability communication</w:t>
            </w:r>
          </w:p>
        </w:tc>
      </w:tr>
      <w:tr w:rsidR="00EF6DA0" w:rsidRPr="00C47795" w14:paraId="6702A6A2" w14:textId="77777777" w:rsidTr="00127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CB2684" w14:textId="77777777" w:rsidR="00EF6DA0" w:rsidRPr="00C47795" w:rsidRDefault="00EF6DA0" w:rsidP="00127600">
            <w:pPr>
              <w:rPr>
                <w:color w:val="auto"/>
              </w:rPr>
            </w:pPr>
            <w:r w:rsidRPr="00C47795">
              <w:rPr>
                <w:color w:val="auto"/>
              </w:rPr>
              <w:t>Sainsbury's</w:t>
            </w:r>
          </w:p>
        </w:tc>
        <w:tc>
          <w:tcPr>
            <w:tcW w:w="1458" w:type="dxa"/>
            <w:hideMark/>
          </w:tcPr>
          <w:p w14:paraId="43916CCC" w14:textId="77777777" w:rsidR="00EF6DA0" w:rsidRPr="00C47795"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sidRPr="006A5D84">
              <w:rPr>
                <w:color w:val="auto"/>
              </w:rPr>
              <w:t>Comparator case</w:t>
            </w:r>
          </w:p>
        </w:tc>
        <w:tc>
          <w:tcPr>
            <w:tcW w:w="6475" w:type="dxa"/>
            <w:hideMark/>
          </w:tcPr>
          <w:p w14:paraId="3D079597" w14:textId="77777777" w:rsidR="00EF6DA0" w:rsidRPr="00127AF2"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Pr>
                <w:color w:val="auto"/>
              </w:rPr>
              <w:t>Comparable</w:t>
            </w:r>
            <w:r w:rsidRPr="005D5C92">
              <w:rPr>
                <w:color w:val="auto"/>
              </w:rPr>
              <w:t xml:space="preserve"> retail environment in the UK with a significant degree of environmental communication on the customer side</w:t>
            </w:r>
          </w:p>
        </w:tc>
      </w:tr>
      <w:tr w:rsidR="00EF6DA0" w:rsidRPr="00C47795" w14:paraId="0D17BCC4" w14:textId="77777777" w:rsidTr="00127600">
        <w:tc>
          <w:tcPr>
            <w:cnfStyle w:val="001000000000" w:firstRow="0" w:lastRow="0" w:firstColumn="1" w:lastColumn="0" w:oddVBand="0" w:evenVBand="0" w:oddHBand="0" w:evenHBand="0" w:firstRowFirstColumn="0" w:firstRowLastColumn="0" w:lastRowFirstColumn="0" w:lastRowLastColumn="0"/>
            <w:tcW w:w="0" w:type="auto"/>
            <w:hideMark/>
          </w:tcPr>
          <w:p w14:paraId="6BBF7A74" w14:textId="77777777" w:rsidR="00EF6DA0" w:rsidRPr="00C47795" w:rsidRDefault="00EF6DA0" w:rsidP="00127600">
            <w:pPr>
              <w:rPr>
                <w:color w:val="auto"/>
              </w:rPr>
            </w:pPr>
            <w:proofErr w:type="spellStart"/>
            <w:r w:rsidRPr="00C47795">
              <w:rPr>
                <w:color w:val="auto"/>
              </w:rPr>
              <w:t>Asda</w:t>
            </w:r>
            <w:proofErr w:type="spellEnd"/>
          </w:p>
        </w:tc>
        <w:tc>
          <w:tcPr>
            <w:tcW w:w="1458" w:type="dxa"/>
            <w:hideMark/>
          </w:tcPr>
          <w:p w14:paraId="2BC999AC" w14:textId="77777777" w:rsidR="00EF6DA0" w:rsidRPr="00C47795" w:rsidRDefault="00EF6DA0" w:rsidP="00127600">
            <w:pPr>
              <w:cnfStyle w:val="000000000000" w:firstRow="0" w:lastRow="0" w:firstColumn="0" w:lastColumn="0" w:oddVBand="0" w:evenVBand="0" w:oddHBand="0" w:evenHBand="0" w:firstRowFirstColumn="0" w:firstRowLastColumn="0" w:lastRowFirstColumn="0" w:lastRowLastColumn="0"/>
              <w:rPr>
                <w:color w:val="auto"/>
              </w:rPr>
            </w:pPr>
            <w:r w:rsidRPr="006A5D84">
              <w:rPr>
                <w:color w:val="auto"/>
              </w:rPr>
              <w:t>Comparator case</w:t>
            </w:r>
          </w:p>
        </w:tc>
        <w:tc>
          <w:tcPr>
            <w:tcW w:w="6475" w:type="dxa"/>
            <w:hideMark/>
          </w:tcPr>
          <w:p w14:paraId="701913C1" w14:textId="77777777" w:rsidR="00EF6DA0" w:rsidRPr="00127AF2" w:rsidRDefault="00EF6DA0" w:rsidP="00127600">
            <w:pPr>
              <w:cnfStyle w:val="000000000000" w:firstRow="0" w:lastRow="0" w:firstColumn="0" w:lastColumn="0" w:oddVBand="0" w:evenVBand="0" w:oddHBand="0" w:evenHBand="0" w:firstRowFirstColumn="0" w:firstRowLastColumn="0" w:lastRowFirstColumn="0" w:lastRowLastColumn="0"/>
              <w:rPr>
                <w:color w:val="auto"/>
              </w:rPr>
            </w:pPr>
            <w:r w:rsidRPr="00127AF2">
              <w:rPr>
                <w:color w:val="auto"/>
              </w:rPr>
              <w:t>Relevant environmental, sourcing and customer-facing sustainability claims suitable for comparison</w:t>
            </w:r>
          </w:p>
        </w:tc>
      </w:tr>
      <w:tr w:rsidR="00EF6DA0" w:rsidRPr="00C47795" w14:paraId="4CE8D12A" w14:textId="77777777" w:rsidTr="00127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B1632C" w14:textId="77777777" w:rsidR="00EF6DA0" w:rsidRPr="00C47795" w:rsidRDefault="00EF6DA0" w:rsidP="00127600">
            <w:pPr>
              <w:rPr>
                <w:color w:val="auto"/>
              </w:rPr>
            </w:pPr>
            <w:proofErr w:type="spellStart"/>
            <w:r w:rsidRPr="00C47795">
              <w:rPr>
                <w:color w:val="auto"/>
              </w:rPr>
              <w:t>Morrisons</w:t>
            </w:r>
            <w:proofErr w:type="spellEnd"/>
          </w:p>
        </w:tc>
        <w:tc>
          <w:tcPr>
            <w:tcW w:w="1458" w:type="dxa"/>
            <w:hideMark/>
          </w:tcPr>
          <w:p w14:paraId="4A36831F" w14:textId="77777777" w:rsidR="00EF6DA0" w:rsidRPr="00C47795"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sidRPr="006A5D84">
              <w:rPr>
                <w:color w:val="auto"/>
              </w:rPr>
              <w:t>Comparator case</w:t>
            </w:r>
          </w:p>
        </w:tc>
        <w:tc>
          <w:tcPr>
            <w:tcW w:w="6475" w:type="dxa"/>
            <w:hideMark/>
          </w:tcPr>
          <w:p w14:paraId="28512AEF" w14:textId="77777777" w:rsidR="00EF6DA0" w:rsidRPr="00127AF2"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sidRPr="00127AF2">
              <w:rPr>
                <w:color w:val="auto"/>
              </w:rPr>
              <w:t>Strong food, agricultural sourcing and relevance</w:t>
            </w:r>
            <w:r>
              <w:rPr>
                <w:color w:val="auto"/>
              </w:rPr>
              <w:t xml:space="preserve"> to </w:t>
            </w:r>
            <w:r w:rsidRPr="00127AF2">
              <w:rPr>
                <w:color w:val="auto"/>
              </w:rPr>
              <w:t xml:space="preserve">supply-chain sustainability </w:t>
            </w:r>
          </w:p>
        </w:tc>
      </w:tr>
    </w:tbl>
    <w:p w14:paraId="1AAD16E5" w14:textId="1E5C1E79" w:rsidR="00EF6DA0" w:rsidRDefault="00EF6DA0" w:rsidP="00EF6DA0">
      <w:r w:rsidRPr="008C7D37">
        <w:t xml:space="preserve">Table </w:t>
      </w:r>
      <w:r w:rsidR="00CF2B3D">
        <w:t>2</w:t>
      </w:r>
      <w:r w:rsidRPr="008C7D37">
        <w:t xml:space="preserve"> clarifies the case-selection process. The focus case is M&amp;S because of its long history and reputation as a sustainability brand and because of its extensive reporting, whilst the comparator cases in the UK grocery market are Tesco, Sainsbury's, </w:t>
      </w:r>
      <w:proofErr w:type="spellStart"/>
      <w:r w:rsidRPr="008C7D37">
        <w:t>Asda</w:t>
      </w:r>
      <w:proofErr w:type="spellEnd"/>
      <w:r w:rsidRPr="008C7D37">
        <w:t xml:space="preserve"> and </w:t>
      </w:r>
      <w:proofErr w:type="spellStart"/>
      <w:r w:rsidRPr="008C7D37">
        <w:t>Morrisons</w:t>
      </w:r>
      <w:proofErr w:type="spellEnd"/>
      <w:r w:rsidRPr="008C7D37">
        <w:t>. The table describes the rationale behind the choice of each retailer and does not suggest a similar size or business model or sustainability performance. Accordingly, case selection will be relevant, having enough documentation and being analytically comparable across the five retailers.</w:t>
      </w:r>
    </w:p>
    <w:p w14:paraId="7D541279" w14:textId="77777777" w:rsidR="00EF6DA0" w:rsidRPr="0032640A" w:rsidRDefault="00EF6DA0" w:rsidP="00EF6DA0">
      <w:pPr>
        <w:pStyle w:val="Heading2"/>
      </w:pPr>
      <w:bookmarkStart w:id="58" w:name="_Toc237145453"/>
      <w:bookmarkStart w:id="59" w:name="_Toc239795042"/>
      <w:r w:rsidRPr="0032640A">
        <w:t>3.</w:t>
      </w:r>
      <w:r>
        <w:t>5</w:t>
      </w:r>
      <w:r w:rsidRPr="0032640A">
        <w:t xml:space="preserve"> Data Sources and Collection</w:t>
      </w:r>
      <w:bookmarkEnd w:id="58"/>
      <w:bookmarkEnd w:id="59"/>
    </w:p>
    <w:p w14:paraId="1D55B082" w14:textId="77777777" w:rsidR="00EF6DA0" w:rsidRPr="0032640A" w:rsidRDefault="00EF6DA0" w:rsidP="00EF6DA0">
      <w:r w:rsidRPr="005D5C92">
        <w:t xml:space="preserve">The research is based on secondary documentary sources, such as those published on the internet (annual report, ESG and sustainability report, corporate webpages, strategic statements, campaigns, customer communication). Where available, product, packaging and social-media messages were also </w:t>
      </w:r>
      <w:r>
        <w:t>included</w:t>
      </w:r>
      <w:r w:rsidRPr="005D5C92">
        <w:t>. Relevant, up-to-date, credible and comparable UK retail evidence was chosen for the following points related to emissions, sourcing, packaging, waste and sustainability commitments</w:t>
      </w:r>
      <w:r>
        <w:t>.</w:t>
      </w:r>
      <w:r w:rsidRPr="005D5C92">
        <w:t xml:space="preserve"> Sources identified through the official M&amp;S, Tesco, </w:t>
      </w:r>
      <w:proofErr w:type="spellStart"/>
      <w:r w:rsidRPr="005D5C92">
        <w:t>Asda</w:t>
      </w:r>
      <w:proofErr w:type="spellEnd"/>
      <w:r w:rsidRPr="005D5C92">
        <w:t xml:space="preserve">, </w:t>
      </w:r>
      <w:proofErr w:type="spellStart"/>
      <w:r w:rsidRPr="005D5C92">
        <w:t>Morrisons</w:t>
      </w:r>
      <w:proofErr w:type="spellEnd"/>
      <w:r w:rsidRPr="005D5C92">
        <w:t xml:space="preserve"> and Sainsbury's websites and through CMA and ASA regulatory documents and were entered into an evidence log. </w:t>
      </w:r>
      <w:r w:rsidRPr="00063857">
        <w:t xml:space="preserve">Data was purposefully sampled for documents relevant to sustainability marketing communication, current, credible and comparable across the five retailers. Evidence included emissions, sourcing, packaging, and waste and overall sustainability commitments across the four analytical dimensions. </w:t>
      </w:r>
      <w:r w:rsidRPr="00C65D56">
        <w:t xml:space="preserve">Cases were documented by retailer, recorded, documented, year, communication channel, sustainability focus, analytical dimension and interpretive lens, ensuring </w:t>
      </w:r>
      <w:r w:rsidRPr="00C65D56">
        <w:lastRenderedPageBreak/>
        <w:t>transparency and documentation consistency across cases, as well as supporting traceability and consistent analytical documentation</w:t>
      </w:r>
      <w:r w:rsidRPr="00063857">
        <w:t>.</w:t>
      </w:r>
      <w:r>
        <w:t xml:space="preserve"> </w:t>
      </w:r>
      <w:r w:rsidRPr="00CA3F31">
        <w:t>Official reporting and company communication can be used to show first-hand and up-to-date information about how retailers talk about sustainability commitments, and regulatory sources can be used as a third-party basis for evaluating the credibility of sustainability claims.</w:t>
      </w:r>
      <w:r>
        <w:t xml:space="preserve"> </w:t>
      </w:r>
      <w:r w:rsidRPr="005D5C92">
        <w:t>Self-presentation bias and misleading sustainability communication (MPSC) are possible in corporate reporting (Bernini and La Rosa, 2024). Triangulation led to greater credibility</w:t>
      </w:r>
      <w:r>
        <w:t>,</w:t>
      </w:r>
      <w:r w:rsidRPr="005D5C92">
        <w:t xml:space="preserve"> and the CMA Green Claims Code provided an external benchmark (CMA, 2021)</w:t>
      </w:r>
      <w:r w:rsidRPr="00DA2423">
        <w:t>.</w:t>
      </w:r>
    </w:p>
    <w:p w14:paraId="7B612B23" w14:textId="77777777" w:rsidR="00EF6DA0" w:rsidRPr="0032640A" w:rsidRDefault="00EF6DA0" w:rsidP="00EF6DA0">
      <w:pPr>
        <w:pStyle w:val="Heading2"/>
      </w:pPr>
      <w:bookmarkStart w:id="60" w:name="_Toc237145454"/>
      <w:bookmarkStart w:id="61" w:name="_Toc239795043"/>
      <w:r w:rsidRPr="0032640A">
        <w:t>3.</w:t>
      </w:r>
      <w:r>
        <w:t>6</w:t>
      </w:r>
      <w:r w:rsidRPr="0032640A">
        <w:t xml:space="preserve"> Data Analysis</w:t>
      </w:r>
      <w:bookmarkEnd w:id="60"/>
      <w:bookmarkEnd w:id="61"/>
    </w:p>
    <w:p w14:paraId="59C0DB98" w14:textId="77777777" w:rsidR="00EF6DA0" w:rsidRDefault="00EF6DA0" w:rsidP="00EF6DA0">
      <w:pPr>
        <w:keepNext/>
      </w:pPr>
      <w:r w:rsidRPr="005D5C92">
        <w:t xml:space="preserve">Thematic analysis was used to systematically identify patterns in the documentary evidence that occurs in textual and visual communication (Braun and Clarke, 2021a). </w:t>
      </w:r>
      <w:r>
        <w:t>A structured</w:t>
      </w:r>
      <w:r w:rsidRPr="005D5C92">
        <w:t xml:space="preserve"> analytical matrix aligned with the cases of the retailers and </w:t>
      </w:r>
      <w:r>
        <w:t xml:space="preserve">the </w:t>
      </w:r>
      <w:r w:rsidRPr="005D5C92">
        <w:t xml:space="preserve">Chapter 2 framework was used for manual coding. The first stage of the analysis was </w:t>
      </w:r>
      <w:proofErr w:type="spellStart"/>
      <w:r w:rsidRPr="005D5C92">
        <w:t>familiarisation</w:t>
      </w:r>
      <w:proofErr w:type="spellEnd"/>
      <w:r w:rsidRPr="005D5C92">
        <w:t xml:space="preserve">, recording of sustainability claims, supporting evidence, context and communication features. </w:t>
      </w:r>
      <w:r w:rsidRPr="003769A3">
        <w:t xml:space="preserve">Within-case analysis was conducted separately for each retailer. The claim clarity, quality of information substantiations, and transparency and cross-channel consistency of documentary evidence from M&amp;S, Tesco, </w:t>
      </w:r>
      <w:proofErr w:type="spellStart"/>
      <w:r w:rsidRPr="003769A3">
        <w:t>Asda</w:t>
      </w:r>
      <w:proofErr w:type="spellEnd"/>
      <w:r w:rsidRPr="003769A3">
        <w:t xml:space="preserve">, </w:t>
      </w:r>
      <w:proofErr w:type="spellStart"/>
      <w:r w:rsidRPr="003769A3">
        <w:t>Morrisons</w:t>
      </w:r>
      <w:proofErr w:type="spellEnd"/>
      <w:r w:rsidRPr="003769A3">
        <w:t xml:space="preserve"> and Sainsbury's were evaluated. The types of communication channels in each case were systematically compared to find supporting, contradictory or inconsistent evidence before comparing retailers across cases.</w:t>
      </w:r>
      <w:r>
        <w:t xml:space="preserve"> </w:t>
      </w:r>
      <w:r w:rsidRPr="005D5C92">
        <w:t xml:space="preserve">Four dimensions: claim clarity, substantiation quality, transparency and </w:t>
      </w:r>
      <w:r>
        <w:t>cross-channel</w:t>
      </w:r>
      <w:r w:rsidRPr="005D5C92">
        <w:t xml:space="preserve"> consistency</w:t>
      </w:r>
      <w:r>
        <w:t xml:space="preserve"> </w:t>
      </w:r>
      <w:r w:rsidRPr="005D5C92">
        <w:t>were addressed in coding. Clarity paid attention to specificity, scope, terminology, and timeframes and evidence quality to metrics, baselines, targets, certifications and progress. Consistency evaluated alignment between reports, websites and customer communication and transparency evaluated context, limitations and disclosure.</w:t>
      </w:r>
      <w:r>
        <w:t xml:space="preserve"> </w:t>
      </w:r>
      <w:r w:rsidRPr="003769A3">
        <w:t xml:space="preserve">After performing </w:t>
      </w:r>
      <w:r>
        <w:t>within-case</w:t>
      </w:r>
      <w:r w:rsidRPr="003769A3">
        <w:t xml:space="preserve"> analysis, the </w:t>
      </w:r>
      <w:r>
        <w:t>cross-case</w:t>
      </w:r>
      <w:r w:rsidRPr="003769A3">
        <w:t xml:space="preserve"> comparison was conducted in the structured analytical matrix. M&amp;S was systematically compared to Tesco, </w:t>
      </w:r>
      <w:proofErr w:type="spellStart"/>
      <w:r w:rsidRPr="003769A3">
        <w:t>Asda</w:t>
      </w:r>
      <w:proofErr w:type="spellEnd"/>
      <w:r w:rsidRPr="003769A3">
        <w:t xml:space="preserve">, </w:t>
      </w:r>
      <w:proofErr w:type="spellStart"/>
      <w:r w:rsidRPr="003769A3">
        <w:t>Morrisons</w:t>
      </w:r>
      <w:proofErr w:type="spellEnd"/>
      <w:r w:rsidRPr="003769A3">
        <w:t xml:space="preserve"> and Sainsbury's to find patterns, similarities and differences in the four dimensions. Authenticity and </w:t>
      </w:r>
      <w:r>
        <w:t xml:space="preserve">potential </w:t>
      </w:r>
      <w:r w:rsidRPr="003769A3">
        <w:t xml:space="preserve">greenwashing were used as </w:t>
      </w:r>
      <w:r>
        <w:t xml:space="preserve">interpretive </w:t>
      </w:r>
      <w:r w:rsidRPr="003769A3">
        <w:t xml:space="preserve">lenses, </w:t>
      </w:r>
      <w:r>
        <w:t>while</w:t>
      </w:r>
      <w:r w:rsidRPr="003769A3">
        <w:t xml:space="preserve"> documentary triangulation </w:t>
      </w:r>
      <w:r>
        <w:t>was used</w:t>
      </w:r>
      <w:r w:rsidRPr="003769A3">
        <w:t xml:space="preserve"> as the means to carefully consider the overall credibility of the communication and its potential </w:t>
      </w:r>
      <w:r>
        <w:t>implications</w:t>
      </w:r>
      <w:r w:rsidRPr="003769A3">
        <w:t xml:space="preserve"> on </w:t>
      </w:r>
      <w:r>
        <w:t>brand trust</w:t>
      </w:r>
      <w:r w:rsidRPr="003769A3">
        <w:t xml:space="preserve">. </w:t>
      </w:r>
    </w:p>
    <w:p w14:paraId="514CFFC9" w14:textId="77777777" w:rsidR="00AB4680" w:rsidRDefault="00EF6DA0" w:rsidP="00EF6DA0">
      <w:pPr>
        <w:keepNext/>
        <w:sectPr w:rsidR="00AB4680">
          <w:footerReference w:type="default" r:id="rId13"/>
          <w:pgSz w:w="12240" w:h="15840"/>
          <w:pgMar w:top="1440" w:right="1440" w:bottom="1440" w:left="1440" w:header="720" w:footer="720" w:gutter="0"/>
          <w:cols w:space="720"/>
          <w:docGrid w:linePitch="360"/>
        </w:sectPr>
      </w:pPr>
      <w:r>
        <w:t>To</w:t>
      </w:r>
      <w:r w:rsidRPr="00075BE5">
        <w:t xml:space="preserve"> evaluate the greenwashing risk, a comparison between the sustainability claims and the evidence to support these claims was undertaken, as greenwashing is not a binary (true/false) </w:t>
      </w:r>
      <w:r w:rsidRPr="00075BE5">
        <w:lastRenderedPageBreak/>
        <w:t>phenomenon (Bernini, Giuliani and La Rosa, 2024). Clear, transparent, consistent and evidence-based communication was perceived as potentially trust-supporting, whereas vague or poorly substantiated communication could be potentially mistrustful in the brand communication (Wu and Liu, 2022)</w:t>
      </w:r>
      <w:r w:rsidRPr="00127AF2">
        <w:t>.</w:t>
      </w:r>
    </w:p>
    <w:p w14:paraId="56B5360D" w14:textId="4A37949C" w:rsidR="00EF6DA0" w:rsidRPr="0032640A" w:rsidRDefault="00EF6DA0" w:rsidP="00EF6DA0">
      <w:pPr>
        <w:keepNext/>
      </w:pPr>
    </w:p>
    <w:p w14:paraId="00E776C7" w14:textId="77777777" w:rsidR="00EF6DA0" w:rsidRPr="0032640A" w:rsidRDefault="00EF6DA0" w:rsidP="00EF6DA0">
      <w:pPr>
        <w:pStyle w:val="Heading2"/>
      </w:pPr>
      <w:bookmarkStart w:id="62" w:name="_Toc237145455"/>
      <w:bookmarkStart w:id="63" w:name="_Toc239795044"/>
      <w:r w:rsidRPr="0032640A">
        <w:t>3.</w:t>
      </w:r>
      <w:r>
        <w:t>7</w:t>
      </w:r>
      <w:r w:rsidRPr="0032640A">
        <w:t xml:space="preserve"> Research Quality and </w:t>
      </w:r>
      <w:proofErr w:type="spellStart"/>
      <w:r w:rsidRPr="0032640A">
        <w:t>Rigour</w:t>
      </w:r>
      <w:bookmarkEnd w:id="62"/>
      <w:bookmarkEnd w:id="63"/>
      <w:proofErr w:type="spellEnd"/>
    </w:p>
    <w:p w14:paraId="6D78F41D" w14:textId="257077D9" w:rsidR="00EF6DA0" w:rsidRPr="00057C18" w:rsidRDefault="00EF6DA0" w:rsidP="00EF6DA0">
      <w:r w:rsidRPr="003769A3">
        <w:t xml:space="preserve">Construct validity, Analytical validity, External validity, </w:t>
      </w:r>
      <w:r>
        <w:t>and reliability</w:t>
      </w:r>
      <w:r w:rsidRPr="003769A3">
        <w:t xml:space="preserve"> were considered with respect to research quality. Claim clarity, evidence quality, transparency and cross-channel consistency were the four dimensions of claim clarity used across all five cases to enhance construct validity. Triangulation of sustainability reports, company information, </w:t>
      </w:r>
      <w:r>
        <w:t>customer-facing communication</w:t>
      </w:r>
      <w:r w:rsidRPr="003769A3">
        <w:t xml:space="preserve"> and regulatory evidence reduced reliance on a single </w:t>
      </w:r>
      <w:proofErr w:type="spellStart"/>
      <w:r w:rsidRPr="003769A3">
        <w:t>organisational</w:t>
      </w:r>
      <w:proofErr w:type="spellEnd"/>
      <w:r w:rsidRPr="003769A3">
        <w:t xml:space="preserve"> story (Yin, 2018). Analytical validity was reinforced by systematic </w:t>
      </w:r>
      <w:r>
        <w:t>evidence-to-conclusion</w:t>
      </w:r>
      <w:r w:rsidRPr="003769A3">
        <w:t xml:space="preserve"> reasoning, and by considering contradictory or incomplete evidence. External validity relied on analytical rather than statistical </w:t>
      </w:r>
      <w:proofErr w:type="spellStart"/>
      <w:r w:rsidRPr="003769A3">
        <w:t>generalisation</w:t>
      </w:r>
      <w:proofErr w:type="spellEnd"/>
      <w:r w:rsidRPr="003769A3">
        <w:t xml:space="preserve"> through comparison of M&amp;S with four UK grocery retailers (Yin, 2018). Documentary evidence log increased reliability</w:t>
      </w:r>
      <w:r>
        <w:t>;</w:t>
      </w:r>
      <w:r w:rsidRPr="003769A3">
        <w:t xml:space="preserve"> systematic source checking and consistent coding enhanced transparency, traceability and credibility in qualitative analysis (Braun and Clarke, 2021b)</w:t>
      </w:r>
      <w:r w:rsidRPr="00DA2423">
        <w:t>.</w:t>
      </w:r>
    </w:p>
    <w:p w14:paraId="7C8A94FB" w14:textId="45BD057E" w:rsidR="00057C18" w:rsidRDefault="00057C18" w:rsidP="00057C18">
      <w:pPr>
        <w:pStyle w:val="Caption"/>
        <w:keepNext/>
      </w:pPr>
      <w:bookmarkStart w:id="64" w:name="_Toc239794895"/>
      <w:r>
        <w:t xml:space="preserve">Table </w:t>
      </w:r>
      <w:r w:rsidR="00AB4680">
        <w:fldChar w:fldCharType="begin"/>
      </w:r>
      <w:r w:rsidR="00AB4680">
        <w:instrText xml:space="preserve"> SEQ Table \* ARABIC </w:instrText>
      </w:r>
      <w:r w:rsidR="00AB4680">
        <w:fldChar w:fldCharType="separate"/>
      </w:r>
      <w:r w:rsidR="00AB4680">
        <w:rPr>
          <w:noProof/>
        </w:rPr>
        <w:t>3</w:t>
      </w:r>
      <w:r w:rsidR="00AB4680">
        <w:rPr>
          <w:noProof/>
        </w:rPr>
        <w:fldChar w:fldCharType="end"/>
      </w:r>
      <w:r>
        <w:t xml:space="preserve">: </w:t>
      </w:r>
      <w:r w:rsidRPr="00D2657D">
        <w:t>Documentary Evidence Log</w:t>
      </w:r>
      <w:bookmarkEnd w:id="64"/>
    </w:p>
    <w:tbl>
      <w:tblPr>
        <w:tblStyle w:val="GridTable6ColourfulAccent1"/>
        <w:tblW w:w="13680" w:type="dxa"/>
        <w:tblInd w:w="-275" w:type="dxa"/>
        <w:tblLook w:val="04A0" w:firstRow="1" w:lastRow="0" w:firstColumn="1" w:lastColumn="0" w:noHBand="0" w:noVBand="1"/>
      </w:tblPr>
      <w:tblGrid>
        <w:gridCol w:w="1409"/>
        <w:gridCol w:w="1767"/>
        <w:gridCol w:w="874"/>
        <w:gridCol w:w="1710"/>
        <w:gridCol w:w="2070"/>
        <w:gridCol w:w="2880"/>
        <w:gridCol w:w="2970"/>
      </w:tblGrid>
      <w:tr w:rsidR="00AB4680" w:rsidRPr="002953D8" w14:paraId="6D479501" w14:textId="77777777" w:rsidTr="002953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9" w:type="dxa"/>
            <w:hideMark/>
          </w:tcPr>
          <w:p w14:paraId="5439ECED" w14:textId="77777777" w:rsidR="00EF6DA0" w:rsidRPr="002953D8" w:rsidRDefault="00EF6DA0" w:rsidP="00127600">
            <w:pPr>
              <w:rPr>
                <w:color w:val="auto"/>
                <w:sz w:val="18"/>
                <w:szCs w:val="18"/>
              </w:rPr>
            </w:pPr>
            <w:r w:rsidRPr="002953D8">
              <w:rPr>
                <w:color w:val="auto"/>
                <w:sz w:val="18"/>
                <w:szCs w:val="18"/>
              </w:rPr>
              <w:t>Retailer / Source</w:t>
            </w:r>
          </w:p>
        </w:tc>
        <w:tc>
          <w:tcPr>
            <w:tcW w:w="1767" w:type="dxa"/>
            <w:hideMark/>
          </w:tcPr>
          <w:p w14:paraId="4D432B9F" w14:textId="77777777" w:rsidR="00EF6DA0" w:rsidRPr="002953D8" w:rsidRDefault="00EF6DA0" w:rsidP="00127600">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Document</w:t>
            </w:r>
          </w:p>
        </w:tc>
        <w:tc>
          <w:tcPr>
            <w:tcW w:w="874" w:type="dxa"/>
            <w:hideMark/>
          </w:tcPr>
          <w:p w14:paraId="24ED3F57" w14:textId="77777777" w:rsidR="00EF6DA0" w:rsidRPr="002953D8" w:rsidRDefault="00EF6DA0" w:rsidP="00127600">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Year</w:t>
            </w:r>
          </w:p>
        </w:tc>
        <w:tc>
          <w:tcPr>
            <w:tcW w:w="1710" w:type="dxa"/>
            <w:hideMark/>
          </w:tcPr>
          <w:p w14:paraId="3CA3B882" w14:textId="77777777" w:rsidR="00EF6DA0" w:rsidRPr="002953D8" w:rsidRDefault="00EF6DA0" w:rsidP="00127600">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Channel</w:t>
            </w:r>
          </w:p>
        </w:tc>
        <w:tc>
          <w:tcPr>
            <w:tcW w:w="2070" w:type="dxa"/>
            <w:hideMark/>
          </w:tcPr>
          <w:p w14:paraId="6FEA2D23" w14:textId="77777777" w:rsidR="00EF6DA0" w:rsidRPr="002953D8" w:rsidRDefault="00EF6DA0" w:rsidP="00127600">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Sustainability Focus</w:t>
            </w:r>
          </w:p>
        </w:tc>
        <w:tc>
          <w:tcPr>
            <w:tcW w:w="2880" w:type="dxa"/>
            <w:hideMark/>
          </w:tcPr>
          <w:p w14:paraId="05D296B9" w14:textId="77777777" w:rsidR="00EF6DA0" w:rsidRPr="002953D8" w:rsidRDefault="00EF6DA0" w:rsidP="00127600">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Core Dimension(s)</w:t>
            </w:r>
          </w:p>
        </w:tc>
        <w:tc>
          <w:tcPr>
            <w:tcW w:w="2970" w:type="dxa"/>
            <w:hideMark/>
          </w:tcPr>
          <w:p w14:paraId="7AECE62F" w14:textId="77777777" w:rsidR="00EF6DA0" w:rsidRPr="002953D8" w:rsidRDefault="00EF6DA0" w:rsidP="00127600">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Interpretive Lens, Where Evidenced</w:t>
            </w:r>
          </w:p>
        </w:tc>
      </w:tr>
      <w:tr w:rsidR="00AB4680" w:rsidRPr="002953D8" w14:paraId="61004495" w14:textId="77777777" w:rsidTr="002953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9" w:type="dxa"/>
            <w:hideMark/>
          </w:tcPr>
          <w:p w14:paraId="6E2C31FC" w14:textId="77777777" w:rsidR="00EF6DA0" w:rsidRPr="002953D8" w:rsidRDefault="00EF6DA0" w:rsidP="00127600">
            <w:pPr>
              <w:rPr>
                <w:color w:val="auto"/>
                <w:sz w:val="18"/>
                <w:szCs w:val="18"/>
              </w:rPr>
            </w:pPr>
            <w:r w:rsidRPr="002953D8">
              <w:rPr>
                <w:color w:val="auto"/>
                <w:sz w:val="18"/>
                <w:szCs w:val="18"/>
              </w:rPr>
              <w:t>M&amp;S</w:t>
            </w:r>
          </w:p>
        </w:tc>
        <w:tc>
          <w:tcPr>
            <w:tcW w:w="1767" w:type="dxa"/>
            <w:hideMark/>
          </w:tcPr>
          <w:p w14:paraId="30867CAB"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Annual Report and Financial Statements</w:t>
            </w:r>
          </w:p>
        </w:tc>
        <w:tc>
          <w:tcPr>
            <w:tcW w:w="874" w:type="dxa"/>
            <w:hideMark/>
          </w:tcPr>
          <w:p w14:paraId="32698A28"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2025</w:t>
            </w:r>
          </w:p>
        </w:tc>
        <w:tc>
          <w:tcPr>
            <w:tcW w:w="1710" w:type="dxa"/>
            <w:hideMark/>
          </w:tcPr>
          <w:p w14:paraId="15E5F8CD"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Corporate report</w:t>
            </w:r>
          </w:p>
        </w:tc>
        <w:tc>
          <w:tcPr>
            <w:tcW w:w="2070" w:type="dxa"/>
            <w:hideMark/>
          </w:tcPr>
          <w:p w14:paraId="328682E7"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Plan A, strategy, sustainability identity</w:t>
            </w:r>
          </w:p>
        </w:tc>
        <w:tc>
          <w:tcPr>
            <w:tcW w:w="2880" w:type="dxa"/>
            <w:hideMark/>
          </w:tcPr>
          <w:p w14:paraId="6D5894C2"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Claim clarity; Cross-channel consistency</w:t>
            </w:r>
          </w:p>
        </w:tc>
        <w:tc>
          <w:tcPr>
            <w:tcW w:w="2970" w:type="dxa"/>
            <w:hideMark/>
          </w:tcPr>
          <w:p w14:paraId="7A4FC332"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Authenticity signals / Greenwashing risk, where evidenced</w:t>
            </w:r>
          </w:p>
        </w:tc>
      </w:tr>
      <w:tr w:rsidR="00AB4680" w:rsidRPr="002953D8" w14:paraId="40C21E7E" w14:textId="77777777" w:rsidTr="002953D8">
        <w:tc>
          <w:tcPr>
            <w:cnfStyle w:val="001000000000" w:firstRow="0" w:lastRow="0" w:firstColumn="1" w:lastColumn="0" w:oddVBand="0" w:evenVBand="0" w:oddHBand="0" w:evenHBand="0" w:firstRowFirstColumn="0" w:firstRowLastColumn="0" w:lastRowFirstColumn="0" w:lastRowLastColumn="0"/>
            <w:tcW w:w="1409" w:type="dxa"/>
            <w:hideMark/>
          </w:tcPr>
          <w:p w14:paraId="6253E5DD" w14:textId="77777777" w:rsidR="00EF6DA0" w:rsidRPr="002953D8" w:rsidRDefault="00EF6DA0" w:rsidP="00127600">
            <w:pPr>
              <w:rPr>
                <w:color w:val="auto"/>
                <w:sz w:val="18"/>
                <w:szCs w:val="18"/>
              </w:rPr>
            </w:pPr>
            <w:r w:rsidRPr="002953D8">
              <w:rPr>
                <w:color w:val="auto"/>
                <w:sz w:val="18"/>
                <w:szCs w:val="18"/>
              </w:rPr>
              <w:t>M&amp;S</w:t>
            </w:r>
          </w:p>
        </w:tc>
        <w:tc>
          <w:tcPr>
            <w:tcW w:w="1767" w:type="dxa"/>
            <w:hideMark/>
          </w:tcPr>
          <w:p w14:paraId="47A6320A"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Basis of Reporting</w:t>
            </w:r>
          </w:p>
        </w:tc>
        <w:tc>
          <w:tcPr>
            <w:tcW w:w="874" w:type="dxa"/>
            <w:hideMark/>
          </w:tcPr>
          <w:p w14:paraId="4DDA92E8"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2025</w:t>
            </w:r>
          </w:p>
        </w:tc>
        <w:tc>
          <w:tcPr>
            <w:tcW w:w="1710" w:type="dxa"/>
            <w:hideMark/>
          </w:tcPr>
          <w:p w14:paraId="5542AFFD"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Methodological / corporate report</w:t>
            </w:r>
          </w:p>
        </w:tc>
        <w:tc>
          <w:tcPr>
            <w:tcW w:w="2070" w:type="dxa"/>
            <w:hideMark/>
          </w:tcPr>
          <w:p w14:paraId="7A66515A"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KPI definitions, boundaries and calculation methods</w:t>
            </w:r>
          </w:p>
        </w:tc>
        <w:tc>
          <w:tcPr>
            <w:tcW w:w="2880" w:type="dxa"/>
            <w:hideMark/>
          </w:tcPr>
          <w:p w14:paraId="424BDEBC"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Evidence and substantiation quality; Transparency</w:t>
            </w:r>
          </w:p>
        </w:tc>
        <w:tc>
          <w:tcPr>
            <w:tcW w:w="2970" w:type="dxa"/>
            <w:hideMark/>
          </w:tcPr>
          <w:p w14:paraId="73ACA1A5"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Authenticity signals / Greenwashing risk, where evidenced</w:t>
            </w:r>
          </w:p>
        </w:tc>
      </w:tr>
      <w:tr w:rsidR="00AB4680" w:rsidRPr="002953D8" w14:paraId="051C36DF" w14:textId="77777777" w:rsidTr="002953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9" w:type="dxa"/>
            <w:hideMark/>
          </w:tcPr>
          <w:p w14:paraId="7218A2CF" w14:textId="77777777" w:rsidR="00EF6DA0" w:rsidRPr="002953D8" w:rsidRDefault="00EF6DA0" w:rsidP="00127600">
            <w:pPr>
              <w:rPr>
                <w:color w:val="auto"/>
                <w:sz w:val="18"/>
                <w:szCs w:val="18"/>
              </w:rPr>
            </w:pPr>
            <w:r w:rsidRPr="002953D8">
              <w:rPr>
                <w:color w:val="auto"/>
                <w:sz w:val="18"/>
                <w:szCs w:val="18"/>
              </w:rPr>
              <w:t>M&amp;S</w:t>
            </w:r>
          </w:p>
        </w:tc>
        <w:tc>
          <w:tcPr>
            <w:tcW w:w="1767" w:type="dxa"/>
            <w:hideMark/>
          </w:tcPr>
          <w:p w14:paraId="362AD3A4"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ESG Report</w:t>
            </w:r>
          </w:p>
        </w:tc>
        <w:tc>
          <w:tcPr>
            <w:tcW w:w="874" w:type="dxa"/>
            <w:hideMark/>
          </w:tcPr>
          <w:p w14:paraId="2405F88C"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2026</w:t>
            </w:r>
          </w:p>
        </w:tc>
        <w:tc>
          <w:tcPr>
            <w:tcW w:w="1710" w:type="dxa"/>
            <w:hideMark/>
          </w:tcPr>
          <w:p w14:paraId="141CCEA8"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Corporate sustainability report</w:t>
            </w:r>
          </w:p>
        </w:tc>
        <w:tc>
          <w:tcPr>
            <w:tcW w:w="2070" w:type="dxa"/>
            <w:hideMark/>
          </w:tcPr>
          <w:p w14:paraId="3030B48F"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Emissions, packaging, food waste, sourcing and Plan A progress</w:t>
            </w:r>
          </w:p>
        </w:tc>
        <w:tc>
          <w:tcPr>
            <w:tcW w:w="2880" w:type="dxa"/>
            <w:hideMark/>
          </w:tcPr>
          <w:p w14:paraId="578BAE42"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Evidence and substantiation quality; Transparency</w:t>
            </w:r>
          </w:p>
        </w:tc>
        <w:tc>
          <w:tcPr>
            <w:tcW w:w="2970" w:type="dxa"/>
            <w:hideMark/>
          </w:tcPr>
          <w:p w14:paraId="24A911CA"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Authenticity signals / Greenwashing risk, where evidenced</w:t>
            </w:r>
          </w:p>
        </w:tc>
      </w:tr>
      <w:tr w:rsidR="00AB4680" w:rsidRPr="002953D8" w14:paraId="532CCF42" w14:textId="77777777" w:rsidTr="002953D8">
        <w:tc>
          <w:tcPr>
            <w:cnfStyle w:val="001000000000" w:firstRow="0" w:lastRow="0" w:firstColumn="1" w:lastColumn="0" w:oddVBand="0" w:evenVBand="0" w:oddHBand="0" w:evenHBand="0" w:firstRowFirstColumn="0" w:firstRowLastColumn="0" w:lastRowFirstColumn="0" w:lastRowLastColumn="0"/>
            <w:tcW w:w="1409" w:type="dxa"/>
            <w:hideMark/>
          </w:tcPr>
          <w:p w14:paraId="2671BD3D" w14:textId="77777777" w:rsidR="00EF6DA0" w:rsidRPr="002953D8" w:rsidRDefault="00EF6DA0" w:rsidP="00127600">
            <w:pPr>
              <w:rPr>
                <w:color w:val="auto"/>
                <w:sz w:val="18"/>
                <w:szCs w:val="18"/>
              </w:rPr>
            </w:pPr>
            <w:r w:rsidRPr="002953D8">
              <w:rPr>
                <w:color w:val="auto"/>
                <w:sz w:val="18"/>
                <w:szCs w:val="18"/>
              </w:rPr>
              <w:t>Tesco</w:t>
            </w:r>
          </w:p>
        </w:tc>
        <w:tc>
          <w:tcPr>
            <w:tcW w:w="1767" w:type="dxa"/>
            <w:hideMark/>
          </w:tcPr>
          <w:p w14:paraId="747597C9"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Sustainability Report</w:t>
            </w:r>
          </w:p>
        </w:tc>
        <w:tc>
          <w:tcPr>
            <w:tcW w:w="874" w:type="dxa"/>
            <w:hideMark/>
          </w:tcPr>
          <w:p w14:paraId="5E4CF6EC"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2026</w:t>
            </w:r>
          </w:p>
        </w:tc>
        <w:tc>
          <w:tcPr>
            <w:tcW w:w="1710" w:type="dxa"/>
            <w:hideMark/>
          </w:tcPr>
          <w:p w14:paraId="49A9B425"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Corporate sustainability report</w:t>
            </w:r>
          </w:p>
        </w:tc>
        <w:tc>
          <w:tcPr>
            <w:tcW w:w="2070" w:type="dxa"/>
            <w:hideMark/>
          </w:tcPr>
          <w:p w14:paraId="0E70C550"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Carbon, packaging, food waste, transport, nature and sourcing</w:t>
            </w:r>
          </w:p>
        </w:tc>
        <w:tc>
          <w:tcPr>
            <w:tcW w:w="2880" w:type="dxa"/>
            <w:hideMark/>
          </w:tcPr>
          <w:p w14:paraId="174E47AF"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Claim clarity; Evidence and substantiation quality; Transparency</w:t>
            </w:r>
          </w:p>
        </w:tc>
        <w:tc>
          <w:tcPr>
            <w:tcW w:w="2970" w:type="dxa"/>
            <w:hideMark/>
          </w:tcPr>
          <w:p w14:paraId="3120D233"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Authenticity signals / Greenwashing risk, where evidenced</w:t>
            </w:r>
          </w:p>
        </w:tc>
      </w:tr>
      <w:tr w:rsidR="00AB4680" w:rsidRPr="002953D8" w14:paraId="090159E4" w14:textId="77777777" w:rsidTr="002953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9" w:type="dxa"/>
            <w:hideMark/>
          </w:tcPr>
          <w:p w14:paraId="791803EB" w14:textId="77777777" w:rsidR="00EF6DA0" w:rsidRPr="002953D8" w:rsidRDefault="00EF6DA0" w:rsidP="00127600">
            <w:pPr>
              <w:rPr>
                <w:color w:val="auto"/>
                <w:sz w:val="18"/>
                <w:szCs w:val="18"/>
              </w:rPr>
            </w:pPr>
            <w:proofErr w:type="spellStart"/>
            <w:r w:rsidRPr="002953D8">
              <w:rPr>
                <w:color w:val="auto"/>
                <w:sz w:val="18"/>
                <w:szCs w:val="18"/>
              </w:rPr>
              <w:t>Asda</w:t>
            </w:r>
            <w:proofErr w:type="spellEnd"/>
          </w:p>
        </w:tc>
        <w:tc>
          <w:tcPr>
            <w:tcW w:w="1767" w:type="dxa"/>
            <w:hideMark/>
          </w:tcPr>
          <w:p w14:paraId="295B529F"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 xml:space="preserve">ESG Performance </w:t>
            </w:r>
            <w:r w:rsidRPr="002953D8">
              <w:rPr>
                <w:color w:val="auto"/>
                <w:sz w:val="18"/>
                <w:szCs w:val="18"/>
              </w:rPr>
              <w:lastRenderedPageBreak/>
              <w:t>Update</w:t>
            </w:r>
          </w:p>
        </w:tc>
        <w:tc>
          <w:tcPr>
            <w:tcW w:w="874" w:type="dxa"/>
            <w:hideMark/>
          </w:tcPr>
          <w:p w14:paraId="2F7D682B"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lastRenderedPageBreak/>
              <w:t>2025</w:t>
            </w:r>
          </w:p>
        </w:tc>
        <w:tc>
          <w:tcPr>
            <w:tcW w:w="1710" w:type="dxa"/>
            <w:hideMark/>
          </w:tcPr>
          <w:p w14:paraId="7911FB41"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 xml:space="preserve">Corporate website / </w:t>
            </w:r>
            <w:r w:rsidRPr="002953D8">
              <w:rPr>
                <w:color w:val="auto"/>
                <w:sz w:val="18"/>
                <w:szCs w:val="18"/>
              </w:rPr>
              <w:lastRenderedPageBreak/>
              <w:t>ESG communication</w:t>
            </w:r>
          </w:p>
        </w:tc>
        <w:tc>
          <w:tcPr>
            <w:tcW w:w="2070" w:type="dxa"/>
            <w:hideMark/>
          </w:tcPr>
          <w:p w14:paraId="41E0F150"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lastRenderedPageBreak/>
              <w:t xml:space="preserve">Carbon, packaging, </w:t>
            </w:r>
            <w:r w:rsidRPr="002953D8">
              <w:rPr>
                <w:color w:val="auto"/>
                <w:sz w:val="18"/>
                <w:szCs w:val="18"/>
              </w:rPr>
              <w:lastRenderedPageBreak/>
              <w:t>agriculture, sourcing and operational initiatives</w:t>
            </w:r>
          </w:p>
        </w:tc>
        <w:tc>
          <w:tcPr>
            <w:tcW w:w="2880" w:type="dxa"/>
            <w:hideMark/>
          </w:tcPr>
          <w:p w14:paraId="6D9657E9"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lastRenderedPageBreak/>
              <w:t xml:space="preserve">Evidence and substantiation quality; </w:t>
            </w:r>
            <w:r w:rsidRPr="002953D8">
              <w:rPr>
                <w:color w:val="auto"/>
                <w:sz w:val="18"/>
                <w:szCs w:val="18"/>
              </w:rPr>
              <w:lastRenderedPageBreak/>
              <w:t>Transparency</w:t>
            </w:r>
          </w:p>
        </w:tc>
        <w:tc>
          <w:tcPr>
            <w:tcW w:w="2970" w:type="dxa"/>
            <w:hideMark/>
          </w:tcPr>
          <w:p w14:paraId="3BB77B48"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lastRenderedPageBreak/>
              <w:t xml:space="preserve">Authenticity signals / Greenwashing </w:t>
            </w:r>
            <w:r w:rsidRPr="002953D8">
              <w:rPr>
                <w:color w:val="auto"/>
                <w:sz w:val="18"/>
                <w:szCs w:val="18"/>
              </w:rPr>
              <w:lastRenderedPageBreak/>
              <w:t>risk, where evidenced</w:t>
            </w:r>
          </w:p>
        </w:tc>
      </w:tr>
      <w:tr w:rsidR="00AB4680" w:rsidRPr="002953D8" w14:paraId="32F0B432" w14:textId="77777777" w:rsidTr="002953D8">
        <w:tc>
          <w:tcPr>
            <w:cnfStyle w:val="001000000000" w:firstRow="0" w:lastRow="0" w:firstColumn="1" w:lastColumn="0" w:oddVBand="0" w:evenVBand="0" w:oddHBand="0" w:evenHBand="0" w:firstRowFirstColumn="0" w:firstRowLastColumn="0" w:lastRowFirstColumn="0" w:lastRowLastColumn="0"/>
            <w:tcW w:w="1409" w:type="dxa"/>
            <w:hideMark/>
          </w:tcPr>
          <w:p w14:paraId="13E2466A" w14:textId="77777777" w:rsidR="00EF6DA0" w:rsidRPr="002953D8" w:rsidRDefault="00EF6DA0" w:rsidP="00127600">
            <w:pPr>
              <w:rPr>
                <w:color w:val="auto"/>
                <w:sz w:val="18"/>
                <w:szCs w:val="18"/>
              </w:rPr>
            </w:pPr>
            <w:proofErr w:type="spellStart"/>
            <w:r w:rsidRPr="002953D8">
              <w:rPr>
                <w:color w:val="auto"/>
                <w:sz w:val="18"/>
                <w:szCs w:val="18"/>
              </w:rPr>
              <w:t>Morrisons</w:t>
            </w:r>
            <w:proofErr w:type="spellEnd"/>
          </w:p>
        </w:tc>
        <w:tc>
          <w:tcPr>
            <w:tcW w:w="1767" w:type="dxa"/>
            <w:hideMark/>
          </w:tcPr>
          <w:p w14:paraId="6AB40807"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Sustainability / Sustain Framework</w:t>
            </w:r>
          </w:p>
        </w:tc>
        <w:tc>
          <w:tcPr>
            <w:tcW w:w="874" w:type="dxa"/>
            <w:hideMark/>
          </w:tcPr>
          <w:p w14:paraId="17A4E53D"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2025</w:t>
            </w:r>
          </w:p>
        </w:tc>
        <w:tc>
          <w:tcPr>
            <w:tcW w:w="1710" w:type="dxa"/>
            <w:hideMark/>
          </w:tcPr>
          <w:p w14:paraId="2BFB0FD5"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Corporate website</w:t>
            </w:r>
          </w:p>
        </w:tc>
        <w:tc>
          <w:tcPr>
            <w:tcW w:w="2070" w:type="dxa"/>
            <w:hideMark/>
          </w:tcPr>
          <w:p w14:paraId="599B1A78"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Climate, food waste, packaging, sourcing and British farming</w:t>
            </w:r>
          </w:p>
        </w:tc>
        <w:tc>
          <w:tcPr>
            <w:tcW w:w="2880" w:type="dxa"/>
            <w:hideMark/>
          </w:tcPr>
          <w:p w14:paraId="2E53615C"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Claim clarity; Transparency; Cross-channel consistency</w:t>
            </w:r>
          </w:p>
        </w:tc>
        <w:tc>
          <w:tcPr>
            <w:tcW w:w="2970" w:type="dxa"/>
            <w:hideMark/>
          </w:tcPr>
          <w:p w14:paraId="4FCAD240"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Authenticity signals / Greenwashing risk, where evidenced</w:t>
            </w:r>
          </w:p>
        </w:tc>
      </w:tr>
      <w:tr w:rsidR="00AB4680" w:rsidRPr="002953D8" w14:paraId="2B3490B1" w14:textId="77777777" w:rsidTr="002953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9" w:type="dxa"/>
            <w:hideMark/>
          </w:tcPr>
          <w:p w14:paraId="573DBEED" w14:textId="77777777" w:rsidR="00EF6DA0" w:rsidRPr="002953D8" w:rsidRDefault="00EF6DA0" w:rsidP="00127600">
            <w:pPr>
              <w:rPr>
                <w:color w:val="auto"/>
                <w:sz w:val="18"/>
                <w:szCs w:val="18"/>
              </w:rPr>
            </w:pPr>
            <w:r w:rsidRPr="002953D8">
              <w:rPr>
                <w:color w:val="auto"/>
                <w:sz w:val="18"/>
                <w:szCs w:val="18"/>
              </w:rPr>
              <w:t>Sainsbury’s</w:t>
            </w:r>
          </w:p>
        </w:tc>
        <w:tc>
          <w:tcPr>
            <w:tcW w:w="1767" w:type="dxa"/>
            <w:hideMark/>
          </w:tcPr>
          <w:p w14:paraId="76D25EFD"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Annual Report and Financial Statements</w:t>
            </w:r>
          </w:p>
        </w:tc>
        <w:tc>
          <w:tcPr>
            <w:tcW w:w="874" w:type="dxa"/>
            <w:hideMark/>
          </w:tcPr>
          <w:p w14:paraId="7F930864"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2025</w:t>
            </w:r>
          </w:p>
        </w:tc>
        <w:tc>
          <w:tcPr>
            <w:tcW w:w="1710" w:type="dxa"/>
            <w:hideMark/>
          </w:tcPr>
          <w:p w14:paraId="46B5E787"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Corporate report</w:t>
            </w:r>
          </w:p>
        </w:tc>
        <w:tc>
          <w:tcPr>
            <w:tcW w:w="2070" w:type="dxa"/>
            <w:hideMark/>
          </w:tcPr>
          <w:p w14:paraId="4B8001FB"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Business strategy and sustainability commitments</w:t>
            </w:r>
          </w:p>
        </w:tc>
        <w:tc>
          <w:tcPr>
            <w:tcW w:w="2880" w:type="dxa"/>
            <w:hideMark/>
          </w:tcPr>
          <w:p w14:paraId="08D8CF28"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Claim clarity; Cross-channel consistency</w:t>
            </w:r>
          </w:p>
        </w:tc>
        <w:tc>
          <w:tcPr>
            <w:tcW w:w="2970" w:type="dxa"/>
            <w:hideMark/>
          </w:tcPr>
          <w:p w14:paraId="008FE443"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Authenticity signals / Greenwashing risk, where evidenced</w:t>
            </w:r>
          </w:p>
        </w:tc>
      </w:tr>
      <w:tr w:rsidR="00AB4680" w:rsidRPr="002953D8" w14:paraId="5F3CD4A9" w14:textId="77777777" w:rsidTr="002953D8">
        <w:tc>
          <w:tcPr>
            <w:cnfStyle w:val="001000000000" w:firstRow="0" w:lastRow="0" w:firstColumn="1" w:lastColumn="0" w:oddVBand="0" w:evenVBand="0" w:oddHBand="0" w:evenHBand="0" w:firstRowFirstColumn="0" w:firstRowLastColumn="0" w:lastRowFirstColumn="0" w:lastRowLastColumn="0"/>
            <w:tcW w:w="1409" w:type="dxa"/>
            <w:hideMark/>
          </w:tcPr>
          <w:p w14:paraId="1A9FB28B" w14:textId="77777777" w:rsidR="00EF6DA0" w:rsidRPr="002953D8" w:rsidRDefault="00EF6DA0" w:rsidP="00127600">
            <w:pPr>
              <w:rPr>
                <w:color w:val="auto"/>
                <w:sz w:val="18"/>
                <w:szCs w:val="18"/>
              </w:rPr>
            </w:pPr>
            <w:r w:rsidRPr="002953D8">
              <w:rPr>
                <w:color w:val="auto"/>
                <w:sz w:val="18"/>
                <w:szCs w:val="18"/>
              </w:rPr>
              <w:t>Sainsbury’s</w:t>
            </w:r>
          </w:p>
        </w:tc>
        <w:tc>
          <w:tcPr>
            <w:tcW w:w="1767" w:type="dxa"/>
            <w:hideMark/>
          </w:tcPr>
          <w:p w14:paraId="7B912E1C"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Sustainability webpage</w:t>
            </w:r>
          </w:p>
        </w:tc>
        <w:tc>
          <w:tcPr>
            <w:tcW w:w="874" w:type="dxa"/>
            <w:hideMark/>
          </w:tcPr>
          <w:p w14:paraId="0BA2E5CB"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2025</w:t>
            </w:r>
          </w:p>
        </w:tc>
        <w:tc>
          <w:tcPr>
            <w:tcW w:w="1710" w:type="dxa"/>
            <w:hideMark/>
          </w:tcPr>
          <w:p w14:paraId="03565120"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Corporate website</w:t>
            </w:r>
          </w:p>
        </w:tc>
        <w:tc>
          <w:tcPr>
            <w:tcW w:w="2070" w:type="dxa"/>
            <w:hideMark/>
          </w:tcPr>
          <w:p w14:paraId="2172EAD4"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Plan for Better and sustainability commitments</w:t>
            </w:r>
          </w:p>
        </w:tc>
        <w:tc>
          <w:tcPr>
            <w:tcW w:w="2880" w:type="dxa"/>
            <w:hideMark/>
          </w:tcPr>
          <w:p w14:paraId="50A79551"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Claim clarity; Cross-channel consistency</w:t>
            </w:r>
          </w:p>
        </w:tc>
        <w:tc>
          <w:tcPr>
            <w:tcW w:w="2970" w:type="dxa"/>
            <w:hideMark/>
          </w:tcPr>
          <w:p w14:paraId="48181725"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Authenticity signals / Greenwashing risk, where evidenced</w:t>
            </w:r>
          </w:p>
        </w:tc>
      </w:tr>
      <w:tr w:rsidR="00AB4680" w:rsidRPr="002953D8" w14:paraId="09389AB8" w14:textId="77777777" w:rsidTr="002953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9" w:type="dxa"/>
            <w:hideMark/>
          </w:tcPr>
          <w:p w14:paraId="3BB738A7" w14:textId="77777777" w:rsidR="00EF6DA0" w:rsidRPr="002953D8" w:rsidRDefault="00EF6DA0" w:rsidP="00127600">
            <w:pPr>
              <w:rPr>
                <w:color w:val="auto"/>
                <w:sz w:val="18"/>
                <w:szCs w:val="18"/>
              </w:rPr>
            </w:pPr>
            <w:r w:rsidRPr="002953D8">
              <w:rPr>
                <w:color w:val="auto"/>
                <w:sz w:val="18"/>
                <w:szCs w:val="18"/>
              </w:rPr>
              <w:t>Sainsbury’s</w:t>
            </w:r>
          </w:p>
        </w:tc>
        <w:tc>
          <w:tcPr>
            <w:tcW w:w="1767" w:type="dxa"/>
            <w:hideMark/>
          </w:tcPr>
          <w:p w14:paraId="7F052FA9"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Plan for Better Report 2025/26</w:t>
            </w:r>
          </w:p>
        </w:tc>
        <w:tc>
          <w:tcPr>
            <w:tcW w:w="874" w:type="dxa"/>
            <w:hideMark/>
          </w:tcPr>
          <w:p w14:paraId="0502742A"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2026</w:t>
            </w:r>
          </w:p>
        </w:tc>
        <w:tc>
          <w:tcPr>
            <w:tcW w:w="1710" w:type="dxa"/>
            <w:hideMark/>
          </w:tcPr>
          <w:p w14:paraId="4A2F15D8"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Sustainability report / performance scorecard</w:t>
            </w:r>
          </w:p>
        </w:tc>
        <w:tc>
          <w:tcPr>
            <w:tcW w:w="2070" w:type="dxa"/>
            <w:hideMark/>
          </w:tcPr>
          <w:p w14:paraId="0B65EE37"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Emissions, food waste, packaging, suppliers and operational progress</w:t>
            </w:r>
          </w:p>
        </w:tc>
        <w:tc>
          <w:tcPr>
            <w:tcW w:w="2880" w:type="dxa"/>
            <w:hideMark/>
          </w:tcPr>
          <w:p w14:paraId="6070794A"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Evidence and substantiation quality; Transparency</w:t>
            </w:r>
          </w:p>
        </w:tc>
        <w:tc>
          <w:tcPr>
            <w:tcW w:w="2970" w:type="dxa"/>
            <w:hideMark/>
          </w:tcPr>
          <w:p w14:paraId="55E9E665"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Authenticity signals / Greenwashing risk, where evidenced</w:t>
            </w:r>
          </w:p>
        </w:tc>
      </w:tr>
      <w:tr w:rsidR="00AB4680" w:rsidRPr="002953D8" w14:paraId="1F26884A" w14:textId="77777777" w:rsidTr="002953D8">
        <w:tc>
          <w:tcPr>
            <w:cnfStyle w:val="001000000000" w:firstRow="0" w:lastRow="0" w:firstColumn="1" w:lastColumn="0" w:oddVBand="0" w:evenVBand="0" w:oddHBand="0" w:evenHBand="0" w:firstRowFirstColumn="0" w:firstRowLastColumn="0" w:lastRowFirstColumn="0" w:lastRowLastColumn="0"/>
            <w:tcW w:w="1409" w:type="dxa"/>
            <w:hideMark/>
          </w:tcPr>
          <w:p w14:paraId="5B943924" w14:textId="77777777" w:rsidR="00EF6DA0" w:rsidRPr="002953D8" w:rsidRDefault="00EF6DA0" w:rsidP="00127600">
            <w:pPr>
              <w:rPr>
                <w:color w:val="auto"/>
                <w:sz w:val="18"/>
                <w:szCs w:val="18"/>
              </w:rPr>
            </w:pPr>
            <w:r w:rsidRPr="002953D8">
              <w:rPr>
                <w:color w:val="auto"/>
                <w:sz w:val="18"/>
                <w:szCs w:val="18"/>
              </w:rPr>
              <w:t>CMA</w:t>
            </w:r>
          </w:p>
        </w:tc>
        <w:tc>
          <w:tcPr>
            <w:tcW w:w="1767" w:type="dxa"/>
            <w:hideMark/>
          </w:tcPr>
          <w:p w14:paraId="60611209"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Green Claims Code: Making Environmental Claims</w:t>
            </w:r>
          </w:p>
        </w:tc>
        <w:tc>
          <w:tcPr>
            <w:tcW w:w="874" w:type="dxa"/>
            <w:hideMark/>
          </w:tcPr>
          <w:p w14:paraId="06FDDC0F"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2021</w:t>
            </w:r>
          </w:p>
        </w:tc>
        <w:tc>
          <w:tcPr>
            <w:tcW w:w="1710" w:type="dxa"/>
            <w:hideMark/>
          </w:tcPr>
          <w:p w14:paraId="53EFD76E"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Regulatory guidance</w:t>
            </w:r>
          </w:p>
        </w:tc>
        <w:tc>
          <w:tcPr>
            <w:tcW w:w="2070" w:type="dxa"/>
            <w:hideMark/>
          </w:tcPr>
          <w:p w14:paraId="332888B4"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Environmental claims and substantiation</w:t>
            </w:r>
          </w:p>
        </w:tc>
        <w:tc>
          <w:tcPr>
            <w:tcW w:w="2880" w:type="dxa"/>
            <w:hideMark/>
          </w:tcPr>
          <w:p w14:paraId="351130E4"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Claim clarity; Evidence and substantiation quality; Transparency</w:t>
            </w:r>
          </w:p>
        </w:tc>
        <w:tc>
          <w:tcPr>
            <w:tcW w:w="2970" w:type="dxa"/>
            <w:hideMark/>
          </w:tcPr>
          <w:p w14:paraId="6F8D69F3"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Greenwashing risk</w:t>
            </w:r>
          </w:p>
        </w:tc>
      </w:tr>
      <w:tr w:rsidR="00AB4680" w:rsidRPr="002953D8" w14:paraId="7D57491C" w14:textId="77777777" w:rsidTr="002953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9" w:type="dxa"/>
            <w:hideMark/>
          </w:tcPr>
          <w:p w14:paraId="24473FD9" w14:textId="77777777" w:rsidR="00EF6DA0" w:rsidRPr="002953D8" w:rsidRDefault="00EF6DA0" w:rsidP="00127600">
            <w:pPr>
              <w:rPr>
                <w:color w:val="auto"/>
                <w:sz w:val="18"/>
                <w:szCs w:val="18"/>
              </w:rPr>
            </w:pPr>
            <w:r w:rsidRPr="002953D8">
              <w:rPr>
                <w:color w:val="auto"/>
                <w:sz w:val="18"/>
                <w:szCs w:val="18"/>
              </w:rPr>
              <w:t>CMA</w:t>
            </w:r>
          </w:p>
        </w:tc>
        <w:tc>
          <w:tcPr>
            <w:tcW w:w="1767" w:type="dxa"/>
            <w:hideMark/>
          </w:tcPr>
          <w:p w14:paraId="5C692DD0"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Making Green Claims: Getting it Right, Across the Supply Chain</w:t>
            </w:r>
          </w:p>
        </w:tc>
        <w:tc>
          <w:tcPr>
            <w:tcW w:w="874" w:type="dxa"/>
            <w:hideMark/>
          </w:tcPr>
          <w:p w14:paraId="4A0F776D"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2026</w:t>
            </w:r>
          </w:p>
        </w:tc>
        <w:tc>
          <w:tcPr>
            <w:tcW w:w="1710" w:type="dxa"/>
            <w:hideMark/>
          </w:tcPr>
          <w:p w14:paraId="4E657BE5"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Regulatory guidance</w:t>
            </w:r>
          </w:p>
        </w:tc>
        <w:tc>
          <w:tcPr>
            <w:tcW w:w="2070" w:type="dxa"/>
            <w:hideMark/>
          </w:tcPr>
          <w:p w14:paraId="264EDE3A"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Environmental claims, evidence and supply-chain communication</w:t>
            </w:r>
          </w:p>
        </w:tc>
        <w:tc>
          <w:tcPr>
            <w:tcW w:w="2880" w:type="dxa"/>
            <w:hideMark/>
          </w:tcPr>
          <w:p w14:paraId="3AB02F56"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Claim clarity; Evidence and substantiation quality; Transparency</w:t>
            </w:r>
          </w:p>
        </w:tc>
        <w:tc>
          <w:tcPr>
            <w:tcW w:w="2970" w:type="dxa"/>
            <w:hideMark/>
          </w:tcPr>
          <w:p w14:paraId="1414CF09"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Greenwashing risk</w:t>
            </w:r>
          </w:p>
        </w:tc>
      </w:tr>
      <w:tr w:rsidR="00AB4680" w:rsidRPr="002953D8" w14:paraId="0A8AF86F" w14:textId="77777777" w:rsidTr="002953D8">
        <w:tc>
          <w:tcPr>
            <w:cnfStyle w:val="001000000000" w:firstRow="0" w:lastRow="0" w:firstColumn="1" w:lastColumn="0" w:oddVBand="0" w:evenVBand="0" w:oddHBand="0" w:evenHBand="0" w:firstRowFirstColumn="0" w:firstRowLastColumn="0" w:lastRowFirstColumn="0" w:lastRowLastColumn="0"/>
            <w:tcW w:w="1409" w:type="dxa"/>
            <w:hideMark/>
          </w:tcPr>
          <w:p w14:paraId="189CA3E5" w14:textId="77777777" w:rsidR="00EF6DA0" w:rsidRPr="002953D8" w:rsidRDefault="00EF6DA0" w:rsidP="00127600">
            <w:pPr>
              <w:rPr>
                <w:color w:val="auto"/>
                <w:sz w:val="18"/>
                <w:szCs w:val="18"/>
              </w:rPr>
            </w:pPr>
            <w:r w:rsidRPr="002953D8">
              <w:rPr>
                <w:color w:val="auto"/>
                <w:sz w:val="18"/>
                <w:szCs w:val="18"/>
              </w:rPr>
              <w:t>ASA</w:t>
            </w:r>
          </w:p>
        </w:tc>
        <w:tc>
          <w:tcPr>
            <w:tcW w:w="1767" w:type="dxa"/>
            <w:hideMark/>
          </w:tcPr>
          <w:p w14:paraId="4C48513F"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Misleading Environmental Claims and Social Responsibility in Advertising</w:t>
            </w:r>
          </w:p>
        </w:tc>
        <w:tc>
          <w:tcPr>
            <w:tcW w:w="874" w:type="dxa"/>
            <w:hideMark/>
          </w:tcPr>
          <w:p w14:paraId="0D61BB8D"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2026</w:t>
            </w:r>
          </w:p>
        </w:tc>
        <w:tc>
          <w:tcPr>
            <w:tcW w:w="1710" w:type="dxa"/>
            <w:hideMark/>
          </w:tcPr>
          <w:p w14:paraId="7964C5A5"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Regulatory guidance</w:t>
            </w:r>
          </w:p>
        </w:tc>
        <w:tc>
          <w:tcPr>
            <w:tcW w:w="2070" w:type="dxa"/>
            <w:hideMark/>
          </w:tcPr>
          <w:p w14:paraId="29FF3857"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Environmental advertising and overall consumer impression</w:t>
            </w:r>
          </w:p>
        </w:tc>
        <w:tc>
          <w:tcPr>
            <w:tcW w:w="2880" w:type="dxa"/>
            <w:hideMark/>
          </w:tcPr>
          <w:p w14:paraId="3F211C93"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Claim clarity; Evidence and substantiation quality</w:t>
            </w:r>
          </w:p>
        </w:tc>
        <w:tc>
          <w:tcPr>
            <w:tcW w:w="2970" w:type="dxa"/>
            <w:hideMark/>
          </w:tcPr>
          <w:p w14:paraId="74520B5E"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Greenwashing risk</w:t>
            </w:r>
          </w:p>
        </w:tc>
      </w:tr>
    </w:tbl>
    <w:p w14:paraId="1069615D" w14:textId="77777777" w:rsidR="00EF6DA0" w:rsidRPr="008C7D37" w:rsidRDefault="00EF6DA0" w:rsidP="00EF6DA0"/>
    <w:p w14:paraId="489920DF" w14:textId="45E96628" w:rsidR="00AB4680" w:rsidRDefault="00EF6DA0" w:rsidP="00EF6DA0">
      <w:pPr>
        <w:sectPr w:rsidR="00AB4680" w:rsidSect="00AB4680">
          <w:pgSz w:w="15840" w:h="12240" w:orient="landscape"/>
          <w:pgMar w:top="1440" w:right="1440" w:bottom="1440" w:left="1440" w:header="720" w:footer="720" w:gutter="0"/>
          <w:cols w:space="720"/>
          <w:docGrid w:linePitch="360"/>
        </w:sectPr>
      </w:pPr>
      <w:r w:rsidRPr="00015FE5">
        <w:t xml:space="preserve">Table 3 </w:t>
      </w:r>
      <w:proofErr w:type="spellStart"/>
      <w:r w:rsidRPr="00015FE5">
        <w:t>summarises</w:t>
      </w:r>
      <w:proofErr w:type="spellEnd"/>
      <w:r w:rsidRPr="00015FE5">
        <w:t xml:space="preserve"> the documentary evidence used to support transparency, consistency and traceability. It documents corporate, sustainability and regulatory information from M&amp;S, Tesco, </w:t>
      </w:r>
      <w:proofErr w:type="spellStart"/>
      <w:r w:rsidRPr="00015FE5">
        <w:t>Asda</w:t>
      </w:r>
      <w:proofErr w:type="spellEnd"/>
      <w:r w:rsidRPr="00015FE5">
        <w:t xml:space="preserve">, </w:t>
      </w:r>
      <w:proofErr w:type="spellStart"/>
      <w:r w:rsidRPr="00015FE5">
        <w:t>Morrisons</w:t>
      </w:r>
      <w:proofErr w:type="spellEnd"/>
      <w:r w:rsidRPr="00015FE5">
        <w:t xml:space="preserve"> and Sainsbury's, including 2025/26 and 2026 information. </w:t>
      </w:r>
      <w:r w:rsidRPr="00015FE5">
        <w:lastRenderedPageBreak/>
        <w:t xml:space="preserve">Sources are </w:t>
      </w:r>
      <w:proofErr w:type="spellStart"/>
      <w:r>
        <w:t>categorised</w:t>
      </w:r>
      <w:proofErr w:type="spellEnd"/>
      <w:r w:rsidRPr="00015FE5">
        <w:t xml:space="preserve"> by channel, focus on sustainability and analytical dimension, and CMA and ASA guidance offers independent assessment of claim clarity, claim substantiation and claim transparency.</w:t>
      </w:r>
    </w:p>
    <w:p w14:paraId="35C8F89D" w14:textId="11FD9711" w:rsidR="00EF6DA0" w:rsidRPr="0032640A" w:rsidRDefault="00EF6DA0" w:rsidP="00EF6DA0"/>
    <w:p w14:paraId="79F671FA" w14:textId="77777777" w:rsidR="00EF6DA0" w:rsidRPr="00986BFD" w:rsidRDefault="00EF6DA0" w:rsidP="00EF6DA0">
      <w:pPr>
        <w:pStyle w:val="Heading2"/>
      </w:pPr>
      <w:bookmarkStart w:id="65" w:name="_Toc237145456"/>
      <w:bookmarkStart w:id="66" w:name="_Toc239795045"/>
      <w:r w:rsidRPr="00986BFD">
        <w:t>3.</w:t>
      </w:r>
      <w:r>
        <w:t>8</w:t>
      </w:r>
      <w:r w:rsidRPr="00986BFD">
        <w:t xml:space="preserve"> Ethical Considerations</w:t>
      </w:r>
      <w:bookmarkEnd w:id="65"/>
      <w:bookmarkEnd w:id="66"/>
    </w:p>
    <w:p w14:paraId="7E7F86F1" w14:textId="77777777" w:rsidR="00EF6DA0" w:rsidRPr="0032640A" w:rsidRDefault="00EF6DA0" w:rsidP="00EF6DA0">
      <w:r w:rsidRPr="00075BE5">
        <w:t xml:space="preserve">The study will not involve any human participants, personal data or informed consent requirements, as the documents are publicly available </w:t>
      </w:r>
      <w:proofErr w:type="spellStart"/>
      <w:r w:rsidRPr="00075BE5">
        <w:t>organisational</w:t>
      </w:r>
      <w:proofErr w:type="spellEnd"/>
      <w:r w:rsidRPr="00075BE5">
        <w:t xml:space="preserve"> and regulatory documents. </w:t>
      </w:r>
      <w:r>
        <w:t>But</w:t>
      </w:r>
      <w:r w:rsidRPr="00075BE5">
        <w:t>,</w:t>
      </w:r>
      <w:r>
        <w:t xml:space="preserve"> there is an </w:t>
      </w:r>
      <w:r w:rsidRPr="00075BE5">
        <w:t xml:space="preserve">ethical </w:t>
      </w:r>
      <w:r>
        <w:t>concern</w:t>
      </w:r>
      <w:r w:rsidRPr="00075BE5">
        <w:t xml:space="preserve">. All evidence is correctly cited, fairly interpreted and reported in its original context. The study does not make unsupported claims of retailers' 'greenwashing' activity. Rather, it highlights potential greenwashing concerns arising from ambiguity, exaggeration, selective disclosure, inconsistencies and weak substantiation, which is crucial as environmental claims are being more closely examined by regulators (ASA, 2025). Academic integrity is ensured by providing full identification of all the documentary sources. Evidence that is contradictory or not </w:t>
      </w:r>
      <w:proofErr w:type="spellStart"/>
      <w:r w:rsidRPr="00075BE5">
        <w:t>favourable</w:t>
      </w:r>
      <w:proofErr w:type="spellEnd"/>
      <w:r w:rsidRPr="00075BE5">
        <w:t xml:space="preserve"> is not intentionally withheld. </w:t>
      </w:r>
      <w:proofErr w:type="spellStart"/>
      <w:r w:rsidRPr="00075BE5">
        <w:t>Organisational</w:t>
      </w:r>
      <w:proofErr w:type="spellEnd"/>
      <w:r w:rsidRPr="00075BE5">
        <w:t xml:space="preserve"> sensitivity is respected and does not lead to misrepresentation of the </w:t>
      </w:r>
      <w:proofErr w:type="spellStart"/>
      <w:r w:rsidRPr="00075BE5">
        <w:t>organisation's</w:t>
      </w:r>
      <w:proofErr w:type="spellEnd"/>
      <w:r w:rsidRPr="00075BE5">
        <w:t xml:space="preserve"> reputation. No claim of ethical approval is made for the research which follows the university's ethics requirements and principles of honesty, accuracy and responsible reporting</w:t>
      </w:r>
      <w:r w:rsidRPr="00127AF2">
        <w:t>.</w:t>
      </w:r>
    </w:p>
    <w:p w14:paraId="7D68C6F4" w14:textId="77777777" w:rsidR="00EF6DA0" w:rsidRPr="0032640A" w:rsidRDefault="00EF6DA0" w:rsidP="00EF6DA0">
      <w:pPr>
        <w:pStyle w:val="Heading2"/>
      </w:pPr>
      <w:bookmarkStart w:id="67" w:name="_Toc237145457"/>
      <w:bookmarkStart w:id="68" w:name="_Toc239795046"/>
      <w:r w:rsidRPr="0032640A">
        <w:t>3.</w:t>
      </w:r>
      <w:r>
        <w:t>9</w:t>
      </w:r>
      <w:r w:rsidRPr="0032640A">
        <w:t xml:space="preserve"> Chapter Summary</w:t>
      </w:r>
      <w:bookmarkEnd w:id="67"/>
      <w:bookmarkEnd w:id="68"/>
    </w:p>
    <w:p w14:paraId="37A58523" w14:textId="3D0DC9A9" w:rsidR="00EF6DA0" w:rsidRDefault="00EF6DA0" w:rsidP="00EF6DA0">
      <w:r w:rsidRPr="009A1A34">
        <w:t xml:space="preserve">The chapter adopted an </w:t>
      </w:r>
      <w:proofErr w:type="spellStart"/>
      <w:r w:rsidRPr="009A1A34">
        <w:t>interpretivist</w:t>
      </w:r>
      <w:proofErr w:type="spellEnd"/>
      <w:r w:rsidRPr="009A1A34">
        <w:t xml:space="preserve">, mainly inductive qualitative multiple case approach with an </w:t>
      </w:r>
      <w:proofErr w:type="spellStart"/>
      <w:r w:rsidRPr="009A1A34">
        <w:t>abductive</w:t>
      </w:r>
      <w:proofErr w:type="spellEnd"/>
      <w:r w:rsidRPr="009A1A34">
        <w:t xml:space="preserve"> component and secondary documentary evidence from M&amp;S, Tesco, </w:t>
      </w:r>
      <w:proofErr w:type="spellStart"/>
      <w:r w:rsidRPr="009A1A34">
        <w:t>Asda</w:t>
      </w:r>
      <w:proofErr w:type="spellEnd"/>
      <w:r w:rsidRPr="009A1A34">
        <w:t xml:space="preserve">, </w:t>
      </w:r>
      <w:proofErr w:type="spellStart"/>
      <w:r w:rsidRPr="009A1A34">
        <w:t>Morrisons</w:t>
      </w:r>
      <w:proofErr w:type="spellEnd"/>
      <w:r w:rsidRPr="009A1A34">
        <w:t xml:space="preserve"> and Sainsbury's. The main focus is on M&amp;S</w:t>
      </w:r>
      <w:r>
        <w:t>;</w:t>
      </w:r>
      <w:r w:rsidRPr="009A1A34">
        <w:t xml:space="preserve"> the other retailers are used as a comparator. Methodological </w:t>
      </w:r>
      <w:proofErr w:type="spellStart"/>
      <w:r w:rsidRPr="009A1A34">
        <w:t>rigour</w:t>
      </w:r>
      <w:proofErr w:type="spellEnd"/>
      <w:r w:rsidRPr="009A1A34">
        <w:t xml:space="preserve"> is supported by the use of purposive selection, thematic analysis, </w:t>
      </w:r>
      <w:r>
        <w:t>within-case</w:t>
      </w:r>
      <w:r w:rsidRPr="009A1A34">
        <w:t xml:space="preserve"> comparison and </w:t>
      </w:r>
      <w:r>
        <w:t>cross-case</w:t>
      </w:r>
      <w:r w:rsidRPr="009A1A34">
        <w:t xml:space="preserve"> comparison and documentary triangulation. The analytical framework includes aspects of claim clarity, evidence quality, transparency and </w:t>
      </w:r>
      <w:r>
        <w:t>cross-channel</w:t>
      </w:r>
      <w:r w:rsidRPr="009A1A34">
        <w:t xml:space="preserve"> consistency; the lenses are authenticity and potential greenwashing. In Chapter 4, this framework is used for the five retailers to explore how credible a retailer's communication is and what it might mean for trust in the brand</w:t>
      </w:r>
      <w:r w:rsidRPr="005D5C92">
        <w:t>.</w:t>
      </w:r>
    </w:p>
    <w:p w14:paraId="54FE2233" w14:textId="3472D525" w:rsidR="00EF6DA0" w:rsidRDefault="00EF6DA0">
      <w:pPr>
        <w:widowControl/>
        <w:autoSpaceDE/>
        <w:autoSpaceDN/>
        <w:spacing w:after="160" w:line="259" w:lineRule="auto"/>
        <w:jc w:val="left"/>
      </w:pPr>
      <w:r>
        <w:br w:type="page"/>
      </w:r>
    </w:p>
    <w:p w14:paraId="0C0C0B62" w14:textId="77777777" w:rsidR="00EF6DA0" w:rsidRPr="008535D7" w:rsidRDefault="00EF6DA0" w:rsidP="00EF6DA0">
      <w:pPr>
        <w:pStyle w:val="Heading1"/>
        <w:jc w:val="center"/>
        <w:rPr>
          <w:bCs/>
        </w:rPr>
      </w:pPr>
      <w:bookmarkStart w:id="69" w:name="_Toc237232066"/>
      <w:bookmarkStart w:id="70" w:name="_Toc239795047"/>
      <w:r w:rsidRPr="00B3175D">
        <w:rPr>
          <w:bCs/>
        </w:rPr>
        <w:lastRenderedPageBreak/>
        <w:t xml:space="preserve">Chapter </w:t>
      </w:r>
      <w:r>
        <w:rPr>
          <w:bCs/>
        </w:rPr>
        <w:t>4</w:t>
      </w:r>
      <w:r w:rsidRPr="00B3175D">
        <w:rPr>
          <w:bCs/>
        </w:rPr>
        <w:t xml:space="preserve">: </w:t>
      </w:r>
      <w:r w:rsidRPr="005D493C">
        <w:rPr>
          <w:bCs/>
        </w:rPr>
        <w:t>Findings</w:t>
      </w:r>
      <w:bookmarkEnd w:id="69"/>
      <w:bookmarkEnd w:id="70"/>
    </w:p>
    <w:p w14:paraId="451D6CB8" w14:textId="77777777" w:rsidR="00EF6DA0" w:rsidRDefault="00EF6DA0" w:rsidP="00EF6DA0">
      <w:pPr>
        <w:pStyle w:val="Heading2"/>
      </w:pPr>
      <w:bookmarkStart w:id="71" w:name="_Toc237232067"/>
      <w:bookmarkStart w:id="72" w:name="_Toc239795048"/>
      <w:r>
        <w:t>4</w:t>
      </w:r>
      <w:r w:rsidRPr="0032640A">
        <w:t>.1 Introduction</w:t>
      </w:r>
      <w:bookmarkEnd w:id="71"/>
      <w:bookmarkEnd w:id="72"/>
    </w:p>
    <w:p w14:paraId="14E09893" w14:textId="15B9CF1E" w:rsidR="00EF6DA0" w:rsidRPr="00ED05FC" w:rsidRDefault="00EF6DA0" w:rsidP="00EF6DA0">
      <w:r w:rsidRPr="007240C3">
        <w:t xml:space="preserve">In this chapter, the results of the secondary documentary analysis of sustainability marketing communication in Marks &amp; Spencer (M&amp;S), Tesco, </w:t>
      </w:r>
      <w:proofErr w:type="spellStart"/>
      <w:r w:rsidRPr="007240C3">
        <w:t>Asda</w:t>
      </w:r>
      <w:proofErr w:type="spellEnd"/>
      <w:r w:rsidRPr="007240C3">
        <w:t xml:space="preserve">, </w:t>
      </w:r>
      <w:proofErr w:type="spellStart"/>
      <w:r w:rsidRPr="007240C3">
        <w:t>Morrisons</w:t>
      </w:r>
      <w:proofErr w:type="spellEnd"/>
      <w:r w:rsidRPr="007240C3">
        <w:t xml:space="preserve"> and Sainsbury's are presented. M&amp;S is the main case and the other retailers offer comparison. Annual and sustainability reports, ESG disclosures, corporate webpages and regulat</w:t>
      </w:r>
      <w:r>
        <w:t xml:space="preserve">ory materials </w:t>
      </w:r>
      <w:r w:rsidRPr="007240C3">
        <w:t xml:space="preserve">are </w:t>
      </w:r>
      <w:proofErr w:type="spellStart"/>
      <w:r>
        <w:t>analysed</w:t>
      </w:r>
      <w:proofErr w:type="spellEnd"/>
      <w:r w:rsidRPr="007240C3">
        <w:t xml:space="preserve"> based on four criteria: claim clarity, evidence and substantiation quality, transparency and cross-channel consistency. Authenticity signals and greenwashing risk </w:t>
      </w:r>
      <w:r>
        <w:t>are</w:t>
      </w:r>
      <w:r w:rsidRPr="007240C3">
        <w:t xml:space="preserve"> taken into account without taking documentary evidence as a measure of consumer trust. Thematic comparison seeks to </w:t>
      </w:r>
      <w:proofErr w:type="spellStart"/>
      <w:r w:rsidRPr="007240C3">
        <w:t>recognise</w:t>
      </w:r>
      <w:proofErr w:type="spellEnd"/>
      <w:r w:rsidRPr="007240C3">
        <w:t xml:space="preserve"> similarities and differences between sources (Braun and Clarke, 2021</w:t>
      </w:r>
      <w:r w:rsidR="00725E0B">
        <w:t>a</w:t>
      </w:r>
      <w:r w:rsidRPr="007240C3">
        <w:t>). Baselines, timeframes, progress indicators and limitations are considered, as they may lead to selective or incomplete communication and, therefore, to greenwashing risk even if there are no demonstrably false claims (</w:t>
      </w:r>
      <w:proofErr w:type="spellStart"/>
      <w:r w:rsidRPr="007240C3">
        <w:t>Nemes</w:t>
      </w:r>
      <w:proofErr w:type="spellEnd"/>
      <w:r w:rsidRPr="007240C3">
        <w:t xml:space="preserve"> et al., 2022). The chapter </w:t>
      </w:r>
      <w:r>
        <w:t>concludes</w:t>
      </w:r>
      <w:r w:rsidRPr="007240C3">
        <w:t xml:space="preserve"> with a </w:t>
      </w:r>
      <w:r>
        <w:t>cross-case</w:t>
      </w:r>
      <w:r w:rsidRPr="007240C3">
        <w:t xml:space="preserve"> synthesis</w:t>
      </w:r>
      <w:r>
        <w:t>, followed by the chapter summary</w:t>
      </w:r>
      <w:r w:rsidRPr="0000082C">
        <w:t>.</w:t>
      </w:r>
    </w:p>
    <w:p w14:paraId="074A0F0E" w14:textId="77777777" w:rsidR="00EF6DA0" w:rsidRPr="00ED05FC" w:rsidRDefault="00EF6DA0" w:rsidP="00EF6DA0">
      <w:pPr>
        <w:pStyle w:val="Heading2"/>
      </w:pPr>
      <w:bookmarkStart w:id="73" w:name="_Toc237232068"/>
      <w:bookmarkStart w:id="74" w:name="_Toc239795049"/>
      <w:r w:rsidRPr="00ED05FC">
        <w:t>4.2 Case Study 1: Marks &amp; Spencer</w:t>
      </w:r>
      <w:bookmarkEnd w:id="73"/>
      <w:bookmarkEnd w:id="74"/>
    </w:p>
    <w:p w14:paraId="3F3042C9" w14:textId="77777777" w:rsidR="00EF6DA0" w:rsidRPr="00ED05FC" w:rsidRDefault="00EF6DA0" w:rsidP="00EF6DA0">
      <w:pPr>
        <w:pStyle w:val="Heading3"/>
      </w:pPr>
      <w:bookmarkStart w:id="75" w:name="_Toc237232069"/>
      <w:bookmarkStart w:id="76" w:name="_Toc239795050"/>
      <w:r w:rsidRPr="00ED05FC">
        <w:t>4.2.1 Introduction and Background</w:t>
      </w:r>
      <w:bookmarkEnd w:id="75"/>
      <w:bookmarkEnd w:id="76"/>
    </w:p>
    <w:p w14:paraId="397EE36D" w14:textId="77777777" w:rsidR="00EF6DA0" w:rsidRPr="00ED05FC" w:rsidRDefault="00EF6DA0" w:rsidP="00EF6DA0">
      <w:r w:rsidRPr="007240C3">
        <w:t xml:space="preserve">M&amp;S has stores in food, fashion and home goods in the UK and is a rival to Tesco, </w:t>
      </w:r>
      <w:proofErr w:type="spellStart"/>
      <w:r w:rsidRPr="007240C3">
        <w:t>Asda</w:t>
      </w:r>
      <w:proofErr w:type="spellEnd"/>
      <w:r w:rsidRPr="007240C3">
        <w:t xml:space="preserve">, </w:t>
      </w:r>
      <w:proofErr w:type="spellStart"/>
      <w:r w:rsidRPr="007240C3">
        <w:t>Morrisons</w:t>
      </w:r>
      <w:proofErr w:type="spellEnd"/>
      <w:r w:rsidRPr="007240C3">
        <w:t xml:space="preserve"> and Sainsbury's in the food retailing sector. M&amp;S is the </w:t>
      </w:r>
      <w:r>
        <w:t>focal</w:t>
      </w:r>
      <w:r w:rsidRPr="007240C3">
        <w:t xml:space="preserve"> </w:t>
      </w:r>
      <w:r>
        <w:t>case of this study</w:t>
      </w:r>
      <w:r w:rsidRPr="007240C3">
        <w:t xml:space="preserve">, </w:t>
      </w:r>
      <w:r>
        <w:t>which</w:t>
      </w:r>
      <w:r w:rsidRPr="007240C3">
        <w:t xml:space="preserve"> incorporates sustainability as a part of </w:t>
      </w:r>
      <w:r>
        <w:t>its</w:t>
      </w:r>
      <w:r w:rsidRPr="007240C3">
        <w:t xml:space="preserve"> business identity with Plan A. It identifies and links </w:t>
      </w:r>
      <w:r>
        <w:t xml:space="preserve">the </w:t>
      </w:r>
      <w:r w:rsidRPr="007240C3">
        <w:t xml:space="preserve">environmental agenda to food, clothing, logistics and supply chains, rather than </w:t>
      </w:r>
      <w:r>
        <w:t>taking</w:t>
      </w:r>
      <w:r w:rsidRPr="007240C3">
        <w:t xml:space="preserve"> a campaign approach to sustainability (Marks and Spencer Group plc, 2025a)</w:t>
      </w:r>
      <w:r w:rsidRPr="00ED05FC">
        <w:t>.</w:t>
      </w:r>
    </w:p>
    <w:p w14:paraId="53E78E3C" w14:textId="77777777" w:rsidR="00EF6DA0" w:rsidRPr="00ED05FC" w:rsidRDefault="00EF6DA0" w:rsidP="00EF6DA0">
      <w:pPr>
        <w:pStyle w:val="Heading3"/>
      </w:pPr>
      <w:bookmarkStart w:id="77" w:name="_Toc237232070"/>
      <w:bookmarkStart w:id="78" w:name="_Toc239795051"/>
      <w:r w:rsidRPr="00ED05FC">
        <w:t>4.2.2 The Challenge or Opportunity</w:t>
      </w:r>
      <w:bookmarkEnd w:id="77"/>
      <w:bookmarkEnd w:id="78"/>
    </w:p>
    <w:p w14:paraId="75487221" w14:textId="77777777" w:rsidR="00EF6DA0" w:rsidRPr="00ED05FC" w:rsidRDefault="00EF6DA0" w:rsidP="00EF6DA0">
      <w:r w:rsidRPr="007240C3">
        <w:t>The biggest problem is the difficulty of articulating Plan A into specific and measurable claims, as the majority of environmental impact is not direct to M&amp;S. It is not possible to have a whole value-chain story without store-level progress, with scope 3 accounting for 96% of its footprint in 2024/25</w:t>
      </w:r>
      <w:r>
        <w:t xml:space="preserve"> </w:t>
      </w:r>
      <w:r w:rsidRPr="007240C3">
        <w:t>(Marks and Spencer Group plc, 2026). Therefore, substantiation is a precondition for credibility: Broad corporate rhetoric must be backed up by substantiation (</w:t>
      </w:r>
      <w:proofErr w:type="spellStart"/>
      <w:r w:rsidRPr="007240C3">
        <w:t>Bengtson</w:t>
      </w:r>
      <w:proofErr w:type="spellEnd"/>
      <w:r w:rsidRPr="007240C3">
        <w:t xml:space="preserve"> and Mossberg, </w:t>
      </w:r>
      <w:r w:rsidRPr="007240C3">
        <w:lastRenderedPageBreak/>
        <w:t>2023)</w:t>
      </w:r>
      <w:r w:rsidRPr="00ED05FC">
        <w:t xml:space="preserve">. </w:t>
      </w:r>
    </w:p>
    <w:p w14:paraId="774F5020" w14:textId="77777777" w:rsidR="00EF6DA0" w:rsidRPr="00ED05FC" w:rsidRDefault="00EF6DA0" w:rsidP="00EF6DA0">
      <w:pPr>
        <w:pStyle w:val="Heading3"/>
      </w:pPr>
      <w:bookmarkStart w:id="79" w:name="_Toc237232071"/>
      <w:bookmarkStart w:id="80" w:name="_Toc239795052"/>
      <w:r w:rsidRPr="00ED05FC">
        <w:t>4.2.3 The Approach and Implementation</w:t>
      </w:r>
      <w:bookmarkEnd w:id="79"/>
      <w:bookmarkEnd w:id="80"/>
    </w:p>
    <w:p w14:paraId="38C1CA72" w14:textId="77777777" w:rsidR="00EF6DA0" w:rsidRPr="00ED05FC" w:rsidRDefault="00EF6DA0" w:rsidP="00EF6DA0">
      <w:r w:rsidRPr="007240C3">
        <w:t xml:space="preserve">M&amp;S aligns with </w:t>
      </w:r>
      <w:proofErr w:type="spellStart"/>
      <w:r w:rsidRPr="007240C3">
        <w:t>SBTi</w:t>
      </w:r>
      <w:proofErr w:type="spellEnd"/>
      <w:r w:rsidRPr="007240C3">
        <w:t xml:space="preserve"> targets, has governance and is engaging suppliers, with detailed KPI reporting. It aims to achieve a 55% target for location-based Scope 1 and 2 emissions by 2029/30, and to test projects that are lower carbon or involve farming and circularity, using the Plan A Accelerator Fund, which includes 37 projects in four years (Marks and Spencer Group plc, 2026). Implementation goes beyond target-setting initiatives, supplier engagement, funded pilots, governance and formal measurement </w:t>
      </w:r>
      <w:r>
        <w:t>processes</w:t>
      </w:r>
      <w:r w:rsidRPr="007240C3">
        <w:t>. In a separate Basis of Reporting, the metric boundaries and calculation methods are explained, which allows for the Plan A claims to be verified against the reported KPIs (Marks and Spencer Group plc, 2025b). This enhances transparency and aids stakeholders in questioning environmental claims (Li, Sun and Hu, 2022)</w:t>
      </w:r>
      <w:r w:rsidRPr="0000082C">
        <w:t>.</w:t>
      </w:r>
    </w:p>
    <w:p w14:paraId="7D8043C3" w14:textId="77777777" w:rsidR="00EF6DA0" w:rsidRPr="00ED05FC" w:rsidRDefault="00EF6DA0" w:rsidP="00EF6DA0">
      <w:pPr>
        <w:pStyle w:val="Heading3"/>
      </w:pPr>
      <w:bookmarkStart w:id="81" w:name="_Toc237232072"/>
      <w:bookmarkStart w:id="82" w:name="_Toc239795053"/>
      <w:r w:rsidRPr="00ED05FC">
        <w:t>4.2.4 Outcomes and Results</w:t>
      </w:r>
      <w:bookmarkEnd w:id="81"/>
      <w:bookmarkEnd w:id="82"/>
    </w:p>
    <w:p w14:paraId="3CB49390" w14:textId="77777777" w:rsidR="00EF6DA0" w:rsidRPr="00ED05FC" w:rsidRDefault="00EF6DA0" w:rsidP="00EF6DA0">
      <w:r w:rsidRPr="007240C3">
        <w:t>Results were mixed. M&amp;S reduced their Scope 1 and 2 emissions by 38% and eliminated 613.4 million packaging units. Food packaging had 31% recycled content</w:t>
      </w:r>
      <w:r>
        <w:t xml:space="preserve"> against a 30% target, and </w:t>
      </w:r>
      <w:r w:rsidRPr="007240C3">
        <w:t>91% of own-brand packaging</w:t>
      </w:r>
      <w:r>
        <w:t xml:space="preserve"> </w:t>
      </w:r>
      <w:r w:rsidRPr="007240C3">
        <w:t>was recyclable</w:t>
      </w:r>
      <w:r>
        <w:t>,</w:t>
      </w:r>
      <w:r w:rsidRPr="007240C3">
        <w:t xml:space="preserve"> </w:t>
      </w:r>
      <w:r>
        <w:t>against</w:t>
      </w:r>
      <w:r w:rsidRPr="007240C3">
        <w:t xml:space="preserve"> a 100% target. Lack of uniformity in delivery and concern for the credibility of the targets as food waste was only 5% less than the 2017/18 baseline, well away from the 50% target for 2029/30 (Marks and Spencer Group plc, 2026)</w:t>
      </w:r>
      <w:r w:rsidRPr="0000082C">
        <w:t>.</w:t>
      </w:r>
    </w:p>
    <w:p w14:paraId="768DE1BD" w14:textId="77777777" w:rsidR="00EF6DA0" w:rsidRPr="00ED05FC" w:rsidRDefault="00EF6DA0" w:rsidP="00EF6DA0">
      <w:pPr>
        <w:pStyle w:val="Heading2"/>
      </w:pPr>
      <w:bookmarkStart w:id="83" w:name="_Toc237232073"/>
      <w:bookmarkStart w:id="84" w:name="_Toc239795054"/>
      <w:r w:rsidRPr="00ED05FC">
        <w:t>4.3 Case Study 2: Tesco</w:t>
      </w:r>
      <w:bookmarkEnd w:id="83"/>
      <w:bookmarkEnd w:id="84"/>
    </w:p>
    <w:p w14:paraId="3C19F51D" w14:textId="77777777" w:rsidR="00EF6DA0" w:rsidRPr="00ED05FC" w:rsidRDefault="00EF6DA0" w:rsidP="00EF6DA0">
      <w:pPr>
        <w:pStyle w:val="Heading3"/>
      </w:pPr>
      <w:bookmarkStart w:id="85" w:name="_Toc237232074"/>
      <w:bookmarkStart w:id="86" w:name="_Toc239795055"/>
      <w:r w:rsidRPr="00ED05FC">
        <w:t>4.3.1 Introduction and Background</w:t>
      </w:r>
      <w:bookmarkEnd w:id="85"/>
      <w:bookmarkEnd w:id="86"/>
    </w:p>
    <w:p w14:paraId="4ADD3147" w14:textId="77777777" w:rsidR="00EF6DA0" w:rsidRPr="00ED05FC" w:rsidRDefault="00EF6DA0" w:rsidP="00EF6DA0">
      <w:r w:rsidRPr="007240C3">
        <w:t xml:space="preserve">As one of the UK's leading grocery retailers, Tesco has a wide reach, </w:t>
      </w:r>
      <w:r>
        <w:t xml:space="preserve">a </w:t>
      </w:r>
      <w:r w:rsidRPr="007240C3">
        <w:t xml:space="preserve">long supply chain and huge </w:t>
      </w:r>
      <w:r>
        <w:t>numbers</w:t>
      </w:r>
      <w:r w:rsidRPr="007240C3">
        <w:t xml:space="preserve"> of customers making many demands of sustainability communication. It communicates through annual reporting, a dedicated Sustainability Report and customer-facing initiatives. Its disclosure is </w:t>
      </w:r>
      <w:r>
        <w:t>data-rich,</w:t>
      </w:r>
      <w:r w:rsidRPr="007240C3">
        <w:t xml:space="preserve"> which enhances verifiability, but can also reduce the visibility of material weaknesses due to the volume of information, and therefore makes Tesco an interesting comparison to see how balanced communication is being done (</w:t>
      </w:r>
      <w:proofErr w:type="spellStart"/>
      <w:r w:rsidRPr="007240C3">
        <w:t>Primožič</w:t>
      </w:r>
      <w:proofErr w:type="spellEnd"/>
      <w:r w:rsidRPr="007240C3">
        <w:t xml:space="preserve"> and </w:t>
      </w:r>
      <w:proofErr w:type="spellStart"/>
      <w:r w:rsidRPr="007240C3">
        <w:t>Kutnar</w:t>
      </w:r>
      <w:proofErr w:type="spellEnd"/>
      <w:r w:rsidRPr="007240C3">
        <w:t>, 2022)</w:t>
      </w:r>
      <w:r w:rsidRPr="0000082C">
        <w:t>.</w:t>
      </w:r>
    </w:p>
    <w:p w14:paraId="22B83F2C" w14:textId="77777777" w:rsidR="00EF6DA0" w:rsidRPr="00ED05FC" w:rsidRDefault="00EF6DA0" w:rsidP="00EF6DA0">
      <w:pPr>
        <w:pStyle w:val="Heading3"/>
      </w:pPr>
      <w:bookmarkStart w:id="87" w:name="_Toc237232075"/>
      <w:bookmarkStart w:id="88" w:name="_Toc239795056"/>
      <w:r w:rsidRPr="00ED05FC">
        <w:t>4.3.2 The Challenge or Opportunity</w:t>
      </w:r>
      <w:bookmarkEnd w:id="87"/>
      <w:bookmarkEnd w:id="88"/>
    </w:p>
    <w:p w14:paraId="115C2E50" w14:textId="77777777" w:rsidR="00EF6DA0" w:rsidRPr="00ED05FC" w:rsidRDefault="00EF6DA0" w:rsidP="00EF6DA0">
      <w:r w:rsidRPr="007240C3">
        <w:lastRenderedPageBreak/>
        <w:t xml:space="preserve">The biggest hurdle that Tesco currently faces is the discrepancy between operational </w:t>
      </w:r>
      <w:proofErr w:type="spellStart"/>
      <w:r w:rsidRPr="007240C3">
        <w:t>decarbonisation</w:t>
      </w:r>
      <w:proofErr w:type="spellEnd"/>
      <w:r w:rsidRPr="007240C3">
        <w:t xml:space="preserve"> and a bigger value chain footprint. In 2025/26, Scope 1 and 2 emissions were about 1% of the total emissions, which was 68.1 million tCO2e (Tesco plc, 2026). Thus, the operational reduction might overestimate the climate performance overall, leading to a higher greenwashing risk (Bernini, Giuliani and La Rosa, 2024)</w:t>
      </w:r>
      <w:r w:rsidRPr="0000082C">
        <w:t>.</w:t>
      </w:r>
    </w:p>
    <w:p w14:paraId="186976CD" w14:textId="77777777" w:rsidR="00EF6DA0" w:rsidRPr="00ED05FC" w:rsidRDefault="00EF6DA0" w:rsidP="00EF6DA0">
      <w:pPr>
        <w:pStyle w:val="Heading3"/>
      </w:pPr>
      <w:bookmarkStart w:id="89" w:name="_Toc237232076"/>
      <w:bookmarkStart w:id="90" w:name="_Toc239795057"/>
      <w:r w:rsidRPr="00ED05FC">
        <w:t>4.3.3 The Approach and Implementation</w:t>
      </w:r>
      <w:bookmarkEnd w:id="89"/>
      <w:bookmarkEnd w:id="90"/>
    </w:p>
    <w:p w14:paraId="20FF51BE" w14:textId="77777777" w:rsidR="00EF6DA0" w:rsidRPr="00ED05FC" w:rsidRDefault="00EF6DA0" w:rsidP="00EF6DA0">
      <w:r w:rsidRPr="007240C3">
        <w:t xml:space="preserve">Tesco has six environmental pillars: sustainable consumption, products, stores, transport, waste and nature. Implementation involves heat pumps, renewable electricity, an internal carbon price, electric delivery fleet and supplier engagement, and natural refrigerants. AI-powered ordering and markdown processes help cut down on food wastage (Tesco plc, 2026). These actions represent the </w:t>
      </w:r>
      <w:r>
        <w:t>actions</w:t>
      </w:r>
      <w:r w:rsidRPr="007240C3">
        <w:t xml:space="preserve"> in stores, transport, suppliers and inventory management. Explicit baselines and progress tables provide quality and depth to evidence, and enable headline sustainability messages to be verified against disclosures. But there is information asymmetry due to the fact that </w:t>
      </w:r>
      <w:proofErr w:type="spellStart"/>
      <w:r w:rsidRPr="007240C3">
        <w:t>organisations</w:t>
      </w:r>
      <w:proofErr w:type="spellEnd"/>
      <w:r w:rsidRPr="007240C3">
        <w:t xml:space="preserve"> have control over the selection and framing of information (</w:t>
      </w:r>
      <w:proofErr w:type="spellStart"/>
      <w:r w:rsidRPr="007240C3">
        <w:t>Ghitti</w:t>
      </w:r>
      <w:proofErr w:type="spellEnd"/>
      <w:r w:rsidRPr="007240C3">
        <w:t xml:space="preserve">, </w:t>
      </w:r>
      <w:proofErr w:type="spellStart"/>
      <w:r w:rsidRPr="007240C3">
        <w:t>Gianfrate</w:t>
      </w:r>
      <w:proofErr w:type="spellEnd"/>
      <w:r w:rsidRPr="007240C3">
        <w:t xml:space="preserve"> and Palma, 2024)</w:t>
      </w:r>
      <w:r w:rsidRPr="0000082C">
        <w:t>.</w:t>
      </w:r>
    </w:p>
    <w:p w14:paraId="7DEFB37F" w14:textId="77777777" w:rsidR="00EF6DA0" w:rsidRPr="00ED05FC" w:rsidRDefault="00EF6DA0" w:rsidP="00EF6DA0">
      <w:pPr>
        <w:pStyle w:val="Heading3"/>
      </w:pPr>
      <w:bookmarkStart w:id="91" w:name="_Toc237232077"/>
      <w:bookmarkStart w:id="92" w:name="_Toc239795058"/>
      <w:r w:rsidRPr="00ED05FC">
        <w:t>4.3.4 Outcomes and Results</w:t>
      </w:r>
      <w:bookmarkEnd w:id="91"/>
      <w:bookmarkEnd w:id="92"/>
    </w:p>
    <w:p w14:paraId="6FC6084B" w14:textId="77777777" w:rsidR="00EF6DA0" w:rsidRPr="00ED05FC" w:rsidRDefault="00EF6DA0" w:rsidP="00EF6DA0">
      <w:r w:rsidRPr="007240C3">
        <w:t xml:space="preserve">Tesco exceeded its 2025 operational emissions target, achieving a 68% Scope 1 and 2 reduction against a 2015/16 baseline, above its 60% target. It also claimed 99% recyclable packaging from its own brand in the UK, but only achieved </w:t>
      </w:r>
      <w:r>
        <w:t xml:space="preserve">a </w:t>
      </w:r>
      <w:r w:rsidRPr="007240C3">
        <w:t>24% reduction in food waste which falls short of the 50% target. Misclassification issues were found in the case of some food waste in an internal review (Tesco plc, 2026). This disclosure increases transparency, while there will be some measurement inconsistencies that will cause green confusion (</w:t>
      </w:r>
      <w:proofErr w:type="spellStart"/>
      <w:r w:rsidRPr="007240C3">
        <w:t>Qayyum</w:t>
      </w:r>
      <w:proofErr w:type="spellEnd"/>
      <w:r w:rsidRPr="007240C3">
        <w:t xml:space="preserve">, Jamil and </w:t>
      </w:r>
      <w:proofErr w:type="spellStart"/>
      <w:r w:rsidRPr="007240C3">
        <w:t>Sehar</w:t>
      </w:r>
      <w:proofErr w:type="spellEnd"/>
      <w:r w:rsidRPr="007240C3">
        <w:t>, 2023)</w:t>
      </w:r>
      <w:r w:rsidRPr="0000082C">
        <w:t>.</w:t>
      </w:r>
    </w:p>
    <w:p w14:paraId="1B391A83" w14:textId="77777777" w:rsidR="00EF6DA0" w:rsidRPr="00ED05FC" w:rsidRDefault="00EF6DA0" w:rsidP="00EF6DA0">
      <w:pPr>
        <w:pStyle w:val="Heading2"/>
      </w:pPr>
      <w:bookmarkStart w:id="93" w:name="_Toc237232078"/>
      <w:bookmarkStart w:id="94" w:name="_Toc239795059"/>
      <w:r w:rsidRPr="00ED05FC">
        <w:t xml:space="preserve">4.4 Case Study 3: </w:t>
      </w:r>
      <w:proofErr w:type="spellStart"/>
      <w:r w:rsidRPr="00ED05FC">
        <w:t>Asda</w:t>
      </w:r>
      <w:bookmarkEnd w:id="93"/>
      <w:bookmarkEnd w:id="94"/>
      <w:proofErr w:type="spellEnd"/>
    </w:p>
    <w:p w14:paraId="78BAD167" w14:textId="77777777" w:rsidR="00EF6DA0" w:rsidRPr="00ED05FC" w:rsidRDefault="00EF6DA0" w:rsidP="00EF6DA0">
      <w:pPr>
        <w:pStyle w:val="Heading3"/>
      </w:pPr>
      <w:bookmarkStart w:id="95" w:name="_Toc237232079"/>
      <w:bookmarkStart w:id="96" w:name="_Toc239795060"/>
      <w:r w:rsidRPr="00ED05FC">
        <w:t>4.4.1 Introduction and Background</w:t>
      </w:r>
      <w:bookmarkEnd w:id="95"/>
      <w:bookmarkEnd w:id="96"/>
    </w:p>
    <w:p w14:paraId="32005700" w14:textId="77777777" w:rsidR="00EF6DA0" w:rsidRPr="00ED05FC" w:rsidRDefault="00EF6DA0" w:rsidP="00EF6DA0">
      <w:proofErr w:type="spellStart"/>
      <w:r w:rsidRPr="007240C3">
        <w:t>Asda</w:t>
      </w:r>
      <w:proofErr w:type="spellEnd"/>
      <w:r w:rsidRPr="007240C3">
        <w:t xml:space="preserve"> is part of the UK grocery market (a competitive landscape) and is used as a comparator as they have a blend of sustainability communications both at the corporate level and through the product level and operational initiatives. It shares sustainability via ESG reporting and </w:t>
      </w:r>
      <w:proofErr w:type="spellStart"/>
      <w:r w:rsidRPr="007240C3">
        <w:lastRenderedPageBreak/>
        <w:t>program</w:t>
      </w:r>
      <w:r>
        <w:t>me</w:t>
      </w:r>
      <w:r w:rsidRPr="007240C3">
        <w:t>s</w:t>
      </w:r>
      <w:proofErr w:type="spellEnd"/>
      <w:r w:rsidRPr="007240C3">
        <w:t xml:space="preserve"> relating to carbon, packaging, agriculture and communities (</w:t>
      </w:r>
      <w:proofErr w:type="spellStart"/>
      <w:r w:rsidRPr="007240C3">
        <w:t>Asda</w:t>
      </w:r>
      <w:proofErr w:type="spellEnd"/>
      <w:r w:rsidRPr="007240C3">
        <w:t xml:space="preserve"> Group Ltd, 2025). Its communication is more succinct, which means that more definitions, baselines and boundaries are required as compared to M&amp;S and Tesco</w:t>
      </w:r>
      <w:r w:rsidRPr="0000082C">
        <w:t>.</w:t>
      </w:r>
    </w:p>
    <w:p w14:paraId="52167B22" w14:textId="77777777" w:rsidR="00EF6DA0" w:rsidRPr="00ED05FC" w:rsidRDefault="00EF6DA0" w:rsidP="00EF6DA0">
      <w:pPr>
        <w:pStyle w:val="Heading3"/>
      </w:pPr>
      <w:bookmarkStart w:id="97" w:name="_Toc237232080"/>
      <w:bookmarkStart w:id="98" w:name="_Toc239795061"/>
      <w:r w:rsidRPr="00ED05FC">
        <w:t>4.4.2 The Challenge or Opportunity</w:t>
      </w:r>
      <w:bookmarkEnd w:id="97"/>
      <w:bookmarkEnd w:id="98"/>
    </w:p>
    <w:p w14:paraId="437EA2EA" w14:textId="77777777" w:rsidR="00EF6DA0" w:rsidRPr="00ED05FC" w:rsidRDefault="00EF6DA0" w:rsidP="00EF6DA0">
      <w:proofErr w:type="spellStart"/>
      <w:r w:rsidRPr="007240C3">
        <w:t>Asda's</w:t>
      </w:r>
      <w:proofErr w:type="spellEnd"/>
      <w:r w:rsidRPr="007240C3">
        <w:t xml:space="preserve"> challenge is to demonstrate that they have made true progress in key areas</w:t>
      </w:r>
      <w:r>
        <w:t>, which</w:t>
      </w:r>
      <w:r w:rsidRPr="007240C3">
        <w:t xml:space="preserve"> is not just the result of their efforts in their own divisions. The CMA has set out a set of guidelines for UK environmental claims which must be clear, accurate and substantiated (CMA</w:t>
      </w:r>
      <w:r>
        <w:t>,</w:t>
      </w:r>
      <w:r w:rsidRPr="007240C3">
        <w:t xml:space="preserve"> 2021). It is vital that recyclability does not necessarily result in actual recycling and material reduction. The ASA also </w:t>
      </w:r>
      <w:proofErr w:type="spellStart"/>
      <w:r w:rsidRPr="007240C3">
        <w:t>emphasises</w:t>
      </w:r>
      <w:proofErr w:type="spellEnd"/>
      <w:r w:rsidRPr="007240C3">
        <w:t xml:space="preserve"> the perception of environmental advertising practices in general (ASA, 2026)</w:t>
      </w:r>
      <w:r w:rsidRPr="0000082C">
        <w:t>.</w:t>
      </w:r>
    </w:p>
    <w:p w14:paraId="6C3CC37F" w14:textId="77777777" w:rsidR="00EF6DA0" w:rsidRPr="00ED05FC" w:rsidRDefault="00EF6DA0" w:rsidP="00EF6DA0">
      <w:pPr>
        <w:pStyle w:val="Heading3"/>
      </w:pPr>
      <w:bookmarkStart w:id="99" w:name="_Toc237232081"/>
      <w:bookmarkStart w:id="100" w:name="_Toc239795062"/>
      <w:r w:rsidRPr="00ED05FC">
        <w:t>4.4.3 The Approach and Implementation</w:t>
      </w:r>
      <w:bookmarkEnd w:id="99"/>
      <w:bookmarkEnd w:id="100"/>
    </w:p>
    <w:p w14:paraId="7224CCD4" w14:textId="77777777" w:rsidR="00EF6DA0" w:rsidRPr="00ED05FC" w:rsidRDefault="00EF6DA0" w:rsidP="00EF6DA0">
      <w:proofErr w:type="spellStart"/>
      <w:r w:rsidRPr="007240C3">
        <w:t>Asda's</w:t>
      </w:r>
      <w:proofErr w:type="spellEnd"/>
      <w:r w:rsidRPr="007240C3">
        <w:t xml:space="preserve"> approach is to incorporate carbon reduction, packaging redesign, supply-chain standards and nature-related certification. It has made two investments in Bio-LNG </w:t>
      </w:r>
      <w:proofErr w:type="spellStart"/>
      <w:r w:rsidRPr="007240C3">
        <w:t>refuelling</w:t>
      </w:r>
      <w:proofErr w:type="spellEnd"/>
      <w:r w:rsidRPr="007240C3">
        <w:t xml:space="preserve"> facilities and was LEAF Marque certified in over 500 fresh-produce operations in the UK in 2024 (</w:t>
      </w:r>
      <w:proofErr w:type="spellStart"/>
      <w:r w:rsidRPr="007240C3">
        <w:t>Asda</w:t>
      </w:r>
      <w:proofErr w:type="spellEnd"/>
      <w:r w:rsidRPr="007240C3">
        <w:t xml:space="preserve"> Group Ltd, 2025). Implementation therefore relates to infrastructure, standards set by suppliers, certification and the redesign of the product. These include vacuum-packed beef mince, lighter glass bottles and cardboard packaging for laundry capsules, etc. to make a strategy more relevant to the consumer by linking the strategy with easily </w:t>
      </w:r>
      <w:proofErr w:type="spellStart"/>
      <w:r w:rsidRPr="007240C3">
        <w:t>recognisable</w:t>
      </w:r>
      <w:proofErr w:type="spellEnd"/>
      <w:r w:rsidRPr="007240C3">
        <w:t xml:space="preserve"> products (Bhattacharyya et al., 2021). </w:t>
      </w:r>
      <w:r>
        <w:t xml:space="preserve">However, the available evidence was limited through the channels, making it difficult to compare the information properly. Although the product-level examples were useful, it was not enough to act as performance evidence for the whole business </w:t>
      </w:r>
      <w:r w:rsidRPr="007240C3">
        <w:t>(Johnson and Greenwell, 2022)</w:t>
      </w:r>
      <w:r>
        <w:t>.</w:t>
      </w:r>
    </w:p>
    <w:p w14:paraId="08D2DE39" w14:textId="77777777" w:rsidR="00EF6DA0" w:rsidRPr="00ED05FC" w:rsidRDefault="00EF6DA0" w:rsidP="00EF6DA0">
      <w:pPr>
        <w:pStyle w:val="Heading3"/>
      </w:pPr>
      <w:bookmarkStart w:id="101" w:name="_Toc237232082"/>
      <w:bookmarkStart w:id="102" w:name="_Toc239795063"/>
      <w:r w:rsidRPr="00ED05FC">
        <w:t>4.4.4 Outcomes and Results</w:t>
      </w:r>
      <w:bookmarkEnd w:id="101"/>
      <w:bookmarkEnd w:id="102"/>
    </w:p>
    <w:p w14:paraId="1CA3F844" w14:textId="77777777" w:rsidR="00EF6DA0" w:rsidRPr="00ED05FC" w:rsidRDefault="00EF6DA0" w:rsidP="00EF6DA0">
      <w:proofErr w:type="spellStart"/>
      <w:r w:rsidRPr="007240C3">
        <w:t>Asda</w:t>
      </w:r>
      <w:proofErr w:type="spellEnd"/>
      <w:r w:rsidRPr="007240C3">
        <w:t xml:space="preserve"> reported a 12% year-on-year reduction in operational Scope 1 and 2 emissions and a 48% reduction since 2021. Recyclable own-brand packaging was 97.5% and its </w:t>
      </w:r>
      <w:r>
        <w:t>redesigned</w:t>
      </w:r>
      <w:r w:rsidRPr="007240C3">
        <w:t xml:space="preserve"> Just Essentials beef-mince pack reduced packaging by 60% and eliminated 43 </w:t>
      </w:r>
      <w:proofErr w:type="spellStart"/>
      <w:r w:rsidRPr="007240C3">
        <w:t>tonnes</w:t>
      </w:r>
      <w:proofErr w:type="spellEnd"/>
      <w:r w:rsidRPr="007240C3">
        <w:t xml:space="preserve"> of plastic (</w:t>
      </w:r>
      <w:proofErr w:type="spellStart"/>
      <w:r w:rsidRPr="007240C3">
        <w:t>Asda</w:t>
      </w:r>
      <w:proofErr w:type="spellEnd"/>
      <w:r w:rsidRPr="007240C3">
        <w:t xml:space="preserve"> Group Ltd, 2025). While that is the case for measurable outcomes, successful results, rather than incomplete ones, are </w:t>
      </w:r>
      <w:proofErr w:type="spellStart"/>
      <w:r w:rsidRPr="007240C3">
        <w:t>emphasised</w:t>
      </w:r>
      <w:proofErr w:type="spellEnd"/>
      <w:r w:rsidRPr="007240C3">
        <w:t xml:space="preserve"> in communication, which adds to the need for cross-source verification (</w:t>
      </w:r>
      <w:proofErr w:type="spellStart"/>
      <w:r w:rsidRPr="007240C3">
        <w:t>Nemes</w:t>
      </w:r>
      <w:proofErr w:type="spellEnd"/>
      <w:r w:rsidRPr="007240C3">
        <w:t xml:space="preserve"> et al., 2022)</w:t>
      </w:r>
      <w:r w:rsidRPr="0000082C">
        <w:t>.</w:t>
      </w:r>
    </w:p>
    <w:p w14:paraId="59780E16" w14:textId="77777777" w:rsidR="00EF6DA0" w:rsidRPr="00ED05FC" w:rsidRDefault="00EF6DA0" w:rsidP="00EF6DA0">
      <w:pPr>
        <w:pStyle w:val="Heading2"/>
      </w:pPr>
      <w:bookmarkStart w:id="103" w:name="_Toc237232083"/>
      <w:bookmarkStart w:id="104" w:name="_Toc239795064"/>
      <w:r w:rsidRPr="00ED05FC">
        <w:lastRenderedPageBreak/>
        <w:t xml:space="preserve">4.5 Case Study 4: </w:t>
      </w:r>
      <w:proofErr w:type="spellStart"/>
      <w:r w:rsidRPr="00ED05FC">
        <w:t>Morrisons</w:t>
      </w:r>
      <w:bookmarkEnd w:id="103"/>
      <w:bookmarkEnd w:id="104"/>
      <w:proofErr w:type="spellEnd"/>
    </w:p>
    <w:p w14:paraId="6DC14379" w14:textId="77777777" w:rsidR="00EF6DA0" w:rsidRPr="00ED05FC" w:rsidRDefault="00EF6DA0" w:rsidP="00EF6DA0">
      <w:pPr>
        <w:pStyle w:val="Heading3"/>
      </w:pPr>
      <w:bookmarkStart w:id="105" w:name="_Toc237232084"/>
      <w:bookmarkStart w:id="106" w:name="_Toc239795065"/>
      <w:r w:rsidRPr="00ED05FC">
        <w:t>4.5.1 Introduction and Background</w:t>
      </w:r>
      <w:bookmarkEnd w:id="105"/>
      <w:bookmarkEnd w:id="106"/>
    </w:p>
    <w:p w14:paraId="2A465EDC" w14:textId="77777777" w:rsidR="00EF6DA0" w:rsidRPr="00ED05FC" w:rsidRDefault="00EF6DA0" w:rsidP="00EF6DA0">
      <w:proofErr w:type="spellStart"/>
      <w:r w:rsidRPr="007240C3">
        <w:t>Morrisons</w:t>
      </w:r>
      <w:proofErr w:type="spellEnd"/>
      <w:r w:rsidRPr="007240C3">
        <w:t xml:space="preserve"> is a UK grocery retailer with close ties to food production, manufacturing and British agriculture, with sustainability at the heart of </w:t>
      </w:r>
      <w:r>
        <w:t>its</w:t>
      </w:r>
      <w:r w:rsidRPr="007240C3">
        <w:t xml:space="preserve"> communication within its supply chain. It has a sustainability narrative that is </w:t>
      </w:r>
      <w:proofErr w:type="spellStart"/>
      <w:r w:rsidRPr="007240C3">
        <w:t>scaffolded</w:t>
      </w:r>
      <w:proofErr w:type="spellEnd"/>
      <w:r w:rsidRPr="007240C3">
        <w:t xml:space="preserve"> in the ‘Sustain’ framework that includes energy and climate, packaging and waste, sustainable sourcing and health and social impact (</w:t>
      </w:r>
      <w:proofErr w:type="spellStart"/>
      <w:r w:rsidRPr="007240C3">
        <w:t>Morrisons</w:t>
      </w:r>
      <w:proofErr w:type="spellEnd"/>
      <w:r w:rsidRPr="007240C3">
        <w:t xml:space="preserve">, 2025). Evidence, however, is more spread </w:t>
      </w:r>
      <w:r>
        <w:t>across web pages</w:t>
      </w:r>
      <w:r w:rsidRPr="007240C3">
        <w:t xml:space="preserve"> that are publicly available than competitors' integrated </w:t>
      </w:r>
      <w:r>
        <w:t>scorecards</w:t>
      </w:r>
      <w:r w:rsidRPr="0000082C">
        <w:t>.</w:t>
      </w:r>
    </w:p>
    <w:p w14:paraId="68B1F8F5" w14:textId="77777777" w:rsidR="00EF6DA0" w:rsidRPr="00ED05FC" w:rsidRDefault="00EF6DA0" w:rsidP="00EF6DA0">
      <w:pPr>
        <w:pStyle w:val="Heading3"/>
      </w:pPr>
      <w:bookmarkStart w:id="107" w:name="_Toc237232085"/>
      <w:bookmarkStart w:id="108" w:name="_Toc239795066"/>
      <w:r w:rsidRPr="00ED05FC">
        <w:t>4.5.2 The Challenge or Opportunity</w:t>
      </w:r>
      <w:bookmarkEnd w:id="107"/>
      <w:bookmarkEnd w:id="108"/>
    </w:p>
    <w:p w14:paraId="0EA8C372" w14:textId="77777777" w:rsidR="00EF6DA0" w:rsidRPr="00ED05FC" w:rsidRDefault="00EF6DA0" w:rsidP="00EF6DA0">
      <w:r w:rsidRPr="007240C3">
        <w:t>The primary hurdle is traceability as farming, sourcing, food waste and packaging claims are things that customers can't see. Lack of access to evidence may result in asymmetric information and verification problems. Credibility should be measured by several stakeholders, not just based on environmental language (Santos, Coelho and Marques, 2024). Inconsistencies between claims and evidence that is accessible online also come at a reputational cost in social media (</w:t>
      </w:r>
      <w:proofErr w:type="spellStart"/>
      <w:r w:rsidRPr="007240C3">
        <w:t>Salimi</w:t>
      </w:r>
      <w:proofErr w:type="spellEnd"/>
      <w:r w:rsidRPr="007240C3">
        <w:t xml:space="preserve"> et al., 2026)</w:t>
      </w:r>
      <w:r w:rsidRPr="00ED05FC">
        <w:t xml:space="preserve">. </w:t>
      </w:r>
    </w:p>
    <w:p w14:paraId="7B5EAA3A" w14:textId="77777777" w:rsidR="00EF6DA0" w:rsidRPr="00ED05FC" w:rsidRDefault="00EF6DA0" w:rsidP="00EF6DA0">
      <w:pPr>
        <w:pStyle w:val="Heading3"/>
      </w:pPr>
      <w:bookmarkStart w:id="109" w:name="_Toc237232086"/>
      <w:bookmarkStart w:id="110" w:name="_Toc239795067"/>
      <w:r w:rsidRPr="00ED05FC">
        <w:t>4.5.3 The Approach and Implementation</w:t>
      </w:r>
      <w:bookmarkEnd w:id="109"/>
      <w:bookmarkEnd w:id="110"/>
    </w:p>
    <w:p w14:paraId="79B56DA6" w14:textId="77777777" w:rsidR="00EF6DA0" w:rsidRPr="00ED05FC" w:rsidRDefault="00EF6DA0" w:rsidP="00EF6DA0">
      <w:proofErr w:type="spellStart"/>
      <w:r w:rsidRPr="003869FA">
        <w:t>Morrisons</w:t>
      </w:r>
      <w:proofErr w:type="spellEnd"/>
      <w:r w:rsidRPr="003869FA">
        <w:t xml:space="preserve"> targets operational emissions, food waste, packaging and responsible sourcing with quantified targets. Implementation refers to energy efficiency, reduced carbon footprint from logistics, supplier relationships, food-waste forecasting and the reuse of surplus food (</w:t>
      </w:r>
      <w:proofErr w:type="spellStart"/>
      <w:r w:rsidRPr="003869FA">
        <w:t>Morrisons</w:t>
      </w:r>
      <w:proofErr w:type="spellEnd"/>
      <w:r w:rsidRPr="003869FA">
        <w:t>, 2025). These actions are actual ways in which it can deliver on its Sustain commitments. However, targets and implementation activities are not grouped together in a single corporate web page, but appear in various corporate web pages accompanied by supporting evidence. This can also make it harder to compare across the channels and may also reduce the consistency of the messages where information is selectively presented or not easily linked (</w:t>
      </w:r>
      <w:proofErr w:type="spellStart"/>
      <w:r w:rsidRPr="003869FA">
        <w:t>Oppong-Tawiah</w:t>
      </w:r>
      <w:proofErr w:type="spellEnd"/>
      <w:r w:rsidRPr="003869FA">
        <w:t xml:space="preserve"> and Webster, 2023)</w:t>
      </w:r>
      <w:r w:rsidRPr="00B16680">
        <w:t>.</w:t>
      </w:r>
    </w:p>
    <w:p w14:paraId="403C7FCD" w14:textId="77777777" w:rsidR="00EF6DA0" w:rsidRPr="00ED05FC" w:rsidRDefault="00EF6DA0" w:rsidP="00EF6DA0">
      <w:pPr>
        <w:pStyle w:val="Heading3"/>
      </w:pPr>
      <w:bookmarkStart w:id="111" w:name="_Toc237232087"/>
      <w:bookmarkStart w:id="112" w:name="_Toc239795068"/>
      <w:r w:rsidRPr="00ED05FC">
        <w:t>4.5.4 Outcomes and Results</w:t>
      </w:r>
      <w:bookmarkEnd w:id="111"/>
      <w:bookmarkEnd w:id="112"/>
    </w:p>
    <w:p w14:paraId="6BFFB71C" w14:textId="77777777" w:rsidR="00EF6DA0" w:rsidRPr="00ED05FC" w:rsidRDefault="00EF6DA0" w:rsidP="00EF6DA0">
      <w:proofErr w:type="spellStart"/>
      <w:r w:rsidRPr="007412F3">
        <w:t>Morrisons</w:t>
      </w:r>
      <w:proofErr w:type="spellEnd"/>
      <w:r w:rsidRPr="007412F3">
        <w:t xml:space="preserve"> saw Scope 1 and 2 emissions decrease 26.75% below its 2019 baseline, with an 80.6% </w:t>
      </w:r>
      <w:r w:rsidRPr="007412F3">
        <w:lastRenderedPageBreak/>
        <w:t xml:space="preserve">reduction target set by 2035. It also cut operational food waste by approximately 5,000 </w:t>
      </w:r>
      <w:proofErr w:type="spellStart"/>
      <w:r w:rsidRPr="007412F3">
        <w:t>tonnes</w:t>
      </w:r>
      <w:proofErr w:type="spellEnd"/>
      <w:r w:rsidRPr="007412F3">
        <w:t xml:space="preserve"> and is aiming for </w:t>
      </w:r>
      <w:r>
        <w:t>a</w:t>
      </w:r>
      <w:r w:rsidRPr="007412F3">
        <w:t xml:space="preserve"> 50% reduction by 2030 (</w:t>
      </w:r>
      <w:proofErr w:type="spellStart"/>
      <w:r w:rsidRPr="007412F3">
        <w:t>Morrisons</w:t>
      </w:r>
      <w:proofErr w:type="spellEnd"/>
      <w:r w:rsidRPr="007412F3">
        <w:t xml:space="preserve">, 2025). </w:t>
      </w:r>
      <w:r>
        <w:t>H</w:t>
      </w:r>
      <w:r w:rsidRPr="007412F3">
        <w:t xml:space="preserve">owever, </w:t>
      </w:r>
      <w:r>
        <w:t xml:space="preserve">using </w:t>
      </w:r>
      <w:proofErr w:type="spellStart"/>
      <w:r>
        <w:t>tonnes</w:t>
      </w:r>
      <w:proofErr w:type="spellEnd"/>
      <w:r>
        <w:t xml:space="preserve"> limits</w:t>
      </w:r>
      <w:r w:rsidRPr="007412F3">
        <w:t xml:space="preserve"> direct comparison with the results and </w:t>
      </w:r>
      <w:r>
        <w:t>makes</w:t>
      </w:r>
      <w:r w:rsidRPr="007412F3">
        <w:t xml:space="preserve"> transparency more difficult (</w:t>
      </w:r>
      <w:proofErr w:type="spellStart"/>
      <w:r w:rsidRPr="007412F3">
        <w:t>Daou</w:t>
      </w:r>
      <w:proofErr w:type="spellEnd"/>
      <w:r w:rsidRPr="007412F3">
        <w:t xml:space="preserve"> et al., 2025)</w:t>
      </w:r>
      <w:r w:rsidRPr="00B16680">
        <w:t>.</w:t>
      </w:r>
    </w:p>
    <w:p w14:paraId="4C208CA1" w14:textId="77777777" w:rsidR="00EF6DA0" w:rsidRPr="00ED05FC" w:rsidRDefault="00EF6DA0" w:rsidP="00EF6DA0">
      <w:pPr>
        <w:pStyle w:val="Heading2"/>
      </w:pPr>
      <w:bookmarkStart w:id="113" w:name="_Toc237232088"/>
      <w:bookmarkStart w:id="114" w:name="_Toc239795069"/>
      <w:r w:rsidRPr="00ED05FC">
        <w:t>4.6 Case Study 5: Sainsbury’s</w:t>
      </w:r>
      <w:bookmarkEnd w:id="113"/>
      <w:bookmarkEnd w:id="114"/>
    </w:p>
    <w:p w14:paraId="17BFE637" w14:textId="77777777" w:rsidR="00EF6DA0" w:rsidRPr="00ED05FC" w:rsidRDefault="00EF6DA0" w:rsidP="00EF6DA0">
      <w:pPr>
        <w:pStyle w:val="Heading3"/>
      </w:pPr>
      <w:bookmarkStart w:id="115" w:name="_Toc237232089"/>
      <w:bookmarkStart w:id="116" w:name="_Toc239795070"/>
      <w:r w:rsidRPr="00ED05FC">
        <w:t>4.6.1 Introduction and Background</w:t>
      </w:r>
      <w:bookmarkEnd w:id="115"/>
      <w:bookmarkEnd w:id="116"/>
    </w:p>
    <w:p w14:paraId="37EF8AC5" w14:textId="77777777" w:rsidR="00EF6DA0" w:rsidRPr="00ED05FC" w:rsidRDefault="00EF6DA0" w:rsidP="00EF6DA0">
      <w:r w:rsidRPr="007240C3">
        <w:t xml:space="preserve">Sainsbury's is one of the largest grocery stores in the United Kingdom, whose sustainability </w:t>
      </w:r>
      <w:proofErr w:type="spellStart"/>
      <w:r w:rsidRPr="007240C3">
        <w:t>program</w:t>
      </w:r>
      <w:r>
        <w:t>me</w:t>
      </w:r>
      <w:proofErr w:type="spellEnd"/>
      <w:r w:rsidRPr="007240C3">
        <w:t xml:space="preserve"> includes operations, supply chain, </w:t>
      </w:r>
      <w:r>
        <w:t>packaging</w:t>
      </w:r>
      <w:r w:rsidRPr="007240C3">
        <w:t xml:space="preserve">, food waste and supplier emissions. It communicates sustainability through Plan for Better, annual reporting, webpages and a performance scorecard. Food strategy and supply-chain resilience </w:t>
      </w:r>
      <w:r>
        <w:t>are</w:t>
      </w:r>
      <w:r w:rsidRPr="007240C3">
        <w:t xml:space="preserve"> integrated with sustainability (J Sainsbury plc, 2025). The 2025/26 scorecard contains the number of achievements and missed packaging targets</w:t>
      </w:r>
      <w:r w:rsidRPr="00B16680">
        <w:t>.</w:t>
      </w:r>
    </w:p>
    <w:p w14:paraId="7BAB89A5" w14:textId="77777777" w:rsidR="00EF6DA0" w:rsidRPr="00ED05FC" w:rsidRDefault="00EF6DA0" w:rsidP="00EF6DA0">
      <w:pPr>
        <w:pStyle w:val="Heading3"/>
      </w:pPr>
      <w:bookmarkStart w:id="117" w:name="_Toc237232090"/>
      <w:bookmarkStart w:id="118" w:name="_Toc239795071"/>
      <w:r w:rsidRPr="00ED05FC">
        <w:t>4.6.2 The Challenge or Opportunity</w:t>
      </w:r>
      <w:bookmarkEnd w:id="117"/>
      <w:bookmarkEnd w:id="118"/>
    </w:p>
    <w:p w14:paraId="7ECC7639" w14:textId="77777777" w:rsidR="00EF6DA0" w:rsidRPr="00ED05FC" w:rsidRDefault="00EF6DA0" w:rsidP="00EF6DA0">
      <w:r w:rsidRPr="007240C3">
        <w:t>When progress toward</w:t>
      </w:r>
      <w:r>
        <w:t>s</w:t>
      </w:r>
      <w:r w:rsidRPr="007240C3">
        <w:t xml:space="preserve"> the environment</w:t>
      </w:r>
      <w:r>
        <w:t>al objectives</w:t>
      </w:r>
      <w:r w:rsidRPr="007240C3">
        <w:t xml:space="preserve"> is slow, Sainsbury's biggest challenge is to sustain the trust of people. Having the carbon aspect of the </w:t>
      </w:r>
      <w:proofErr w:type="spellStart"/>
      <w:r>
        <w:t>organisation</w:t>
      </w:r>
      <w:proofErr w:type="spellEnd"/>
      <w:r w:rsidRPr="007240C3">
        <w:t xml:space="preserve"> stronger can lead to a misleading impression if the weaker packaging aspects are not given the same focus. Even if the data reported is correct, there is a known problem of selective emphasis in the context of greenwashing (Montgomery, Lyon and </w:t>
      </w:r>
      <w:proofErr w:type="spellStart"/>
      <w:r w:rsidRPr="007240C3">
        <w:t>Barg</w:t>
      </w:r>
      <w:proofErr w:type="spellEnd"/>
      <w:r w:rsidRPr="007240C3">
        <w:t>, 2024). Achievements and shortcomings could then be disclosed in a balanced way to enhance its sustainability communication</w:t>
      </w:r>
      <w:r w:rsidRPr="00B16680">
        <w:t>.</w:t>
      </w:r>
    </w:p>
    <w:p w14:paraId="04E06F82" w14:textId="77777777" w:rsidR="00EF6DA0" w:rsidRPr="00ED05FC" w:rsidRDefault="00EF6DA0" w:rsidP="00EF6DA0">
      <w:pPr>
        <w:pStyle w:val="Heading3"/>
      </w:pPr>
      <w:bookmarkStart w:id="119" w:name="_Toc237232091"/>
      <w:bookmarkStart w:id="120" w:name="_Toc239795072"/>
      <w:r w:rsidRPr="00ED05FC">
        <w:t>4.6.3 The Approach and Implementation</w:t>
      </w:r>
      <w:bookmarkEnd w:id="119"/>
      <w:bookmarkEnd w:id="120"/>
    </w:p>
    <w:p w14:paraId="31227903" w14:textId="77777777" w:rsidR="00EF6DA0" w:rsidRPr="00ED05FC" w:rsidRDefault="00EF6DA0" w:rsidP="00EF6DA0">
      <w:r w:rsidRPr="008C3AE1">
        <w:t xml:space="preserve">Plan for Better combines quantified targets, supplier engagement and investment. </w:t>
      </w:r>
      <w:r>
        <w:t xml:space="preserve">Sainsbury's aims to </w:t>
      </w:r>
      <w:r w:rsidRPr="008C3AE1">
        <w:t>achieve absolute Scope 1 and 2 emission reduction of 68% by 2030</w:t>
      </w:r>
      <w:r>
        <w:t xml:space="preserve">, with </w:t>
      </w:r>
      <w:r w:rsidRPr="008C3AE1">
        <w:t xml:space="preserve">the </w:t>
      </w:r>
      <w:r>
        <w:t>longer-term</w:t>
      </w:r>
      <w:r w:rsidRPr="008C3AE1">
        <w:t xml:space="preserve"> target </w:t>
      </w:r>
      <w:r>
        <w:t xml:space="preserve">of </w:t>
      </w:r>
      <w:r w:rsidRPr="008C3AE1">
        <w:t xml:space="preserve">net zero in </w:t>
      </w:r>
      <w:r>
        <w:t xml:space="preserve">its </w:t>
      </w:r>
      <w:r w:rsidRPr="008C3AE1">
        <w:t xml:space="preserve">own operations for 2035. In 2025/26, it paid £18.0 million for its Graphite energy-efficiency </w:t>
      </w:r>
      <w:proofErr w:type="spellStart"/>
      <w:r w:rsidRPr="008C3AE1">
        <w:t>programme</w:t>
      </w:r>
      <w:proofErr w:type="spellEnd"/>
      <w:r w:rsidRPr="008C3AE1">
        <w:t xml:space="preserve"> and 51.6% of its Scope 3 emissions were accounted for by suppliers that had </w:t>
      </w:r>
      <w:proofErr w:type="spellStart"/>
      <w:r w:rsidRPr="008C3AE1">
        <w:t>SBTi</w:t>
      </w:r>
      <w:proofErr w:type="spellEnd"/>
      <w:r w:rsidRPr="008C3AE1">
        <w:t xml:space="preserve">-approved 1.5°C-aligned targets in place (J Sainsbury plc, 2026). The performance scorecard links commitments to outcomes and automation enables forecasting, markdown </w:t>
      </w:r>
      <w:r>
        <w:t>and</w:t>
      </w:r>
      <w:r w:rsidRPr="008C3AE1">
        <w:t xml:space="preserve"> </w:t>
      </w:r>
      <w:r>
        <w:t>redistribution</w:t>
      </w:r>
      <w:r w:rsidRPr="008C3AE1">
        <w:t xml:space="preserve">. This can help to build trust and confidence in authenticity and </w:t>
      </w:r>
      <w:proofErr w:type="spellStart"/>
      <w:r w:rsidRPr="008C3AE1">
        <w:t>minimise</w:t>
      </w:r>
      <w:proofErr w:type="spellEnd"/>
      <w:r w:rsidRPr="008C3AE1">
        <w:t xml:space="preserve"> greenwashing concerns (</w:t>
      </w:r>
      <w:proofErr w:type="spellStart"/>
      <w:r w:rsidRPr="008C3AE1">
        <w:t>Poulis</w:t>
      </w:r>
      <w:proofErr w:type="spellEnd"/>
      <w:r w:rsidRPr="008C3AE1">
        <w:t xml:space="preserve">, </w:t>
      </w:r>
      <w:proofErr w:type="spellStart"/>
      <w:r w:rsidRPr="008C3AE1">
        <w:t>Theodoridis</w:t>
      </w:r>
      <w:proofErr w:type="spellEnd"/>
      <w:r w:rsidRPr="008C3AE1">
        <w:t xml:space="preserve"> and </w:t>
      </w:r>
      <w:proofErr w:type="spellStart"/>
      <w:r w:rsidRPr="008C3AE1">
        <w:t>Zacharatos</w:t>
      </w:r>
      <w:proofErr w:type="spellEnd"/>
      <w:r w:rsidRPr="008C3AE1">
        <w:t>, 2026)</w:t>
      </w:r>
      <w:r w:rsidRPr="00B16680">
        <w:t>.</w:t>
      </w:r>
    </w:p>
    <w:p w14:paraId="12893711" w14:textId="77777777" w:rsidR="00EF6DA0" w:rsidRPr="00ED05FC" w:rsidRDefault="00EF6DA0" w:rsidP="00EF6DA0">
      <w:pPr>
        <w:pStyle w:val="Heading3"/>
      </w:pPr>
      <w:bookmarkStart w:id="121" w:name="_Toc237232092"/>
      <w:bookmarkStart w:id="122" w:name="_Toc239795073"/>
      <w:r w:rsidRPr="00ED05FC">
        <w:lastRenderedPageBreak/>
        <w:t>4.6.4 Outcomes and Results</w:t>
      </w:r>
      <w:bookmarkEnd w:id="121"/>
      <w:bookmarkEnd w:id="122"/>
    </w:p>
    <w:p w14:paraId="35124BE3" w14:textId="77777777" w:rsidR="00EF6DA0" w:rsidRDefault="00EF6DA0" w:rsidP="00EF6DA0">
      <w:r w:rsidRPr="007412F3">
        <w:t xml:space="preserve">Sainsbury's operating GHGs fell by 53.6% from </w:t>
      </w:r>
      <w:r>
        <w:t xml:space="preserve">the </w:t>
      </w:r>
      <w:r w:rsidRPr="007412F3">
        <w:t>20</w:t>
      </w:r>
      <w:r>
        <w:t>18/</w:t>
      </w:r>
      <w:r w:rsidRPr="007412F3">
        <w:t xml:space="preserve">19 baseline, and donations of 26.8 million meals were made in 2025/26. It also helped to avoid 11,030 </w:t>
      </w:r>
      <w:proofErr w:type="spellStart"/>
      <w:r w:rsidRPr="007412F3">
        <w:t>tonnes</w:t>
      </w:r>
      <w:proofErr w:type="spellEnd"/>
      <w:r w:rsidRPr="007412F3">
        <w:t xml:space="preserve"> of </w:t>
      </w:r>
      <w:r>
        <w:t>food waste</w:t>
      </w:r>
      <w:r w:rsidRPr="007412F3">
        <w:t>. The reduction in plastic packaging was 17.9% and the recycled content 23% (J Sainsbury plc, 2026). Having</w:t>
      </w:r>
      <w:r>
        <w:t xml:space="preserve"> </w:t>
      </w:r>
      <w:r w:rsidRPr="007412F3">
        <w:t>report</w:t>
      </w:r>
      <w:r>
        <w:t>ed</w:t>
      </w:r>
      <w:r w:rsidRPr="007412F3">
        <w:t xml:space="preserve"> progress and </w:t>
      </w:r>
      <w:r>
        <w:t>shortfalls</w:t>
      </w:r>
      <w:r w:rsidRPr="007412F3">
        <w:t xml:space="preserve"> helps with transparency</w:t>
      </w:r>
      <w:r>
        <w:t xml:space="preserve">. </w:t>
      </w:r>
      <w:r w:rsidRPr="00900EFD">
        <w:t>While there are frequent adjustments of targets, this may make it harder to perceive consistency (CMA, 2026)</w:t>
      </w:r>
      <w:r w:rsidRPr="008C3AE1">
        <w:t>.</w:t>
      </w:r>
    </w:p>
    <w:p w14:paraId="19F60C99" w14:textId="77777777" w:rsidR="00EF6DA0" w:rsidRPr="00ED05FC" w:rsidRDefault="00EF6DA0" w:rsidP="00EF6DA0">
      <w:pPr>
        <w:pStyle w:val="Heading2"/>
      </w:pPr>
      <w:bookmarkStart w:id="123" w:name="_Toc237232093"/>
      <w:bookmarkStart w:id="124" w:name="_Toc239795074"/>
      <w:r w:rsidRPr="00ED05FC">
        <w:t>4.7 Summary of Cross-Case Analysis</w:t>
      </w:r>
      <w:bookmarkEnd w:id="123"/>
      <w:bookmarkEnd w:id="124"/>
    </w:p>
    <w:p w14:paraId="0F4E07DA" w14:textId="77777777" w:rsidR="00EF6DA0" w:rsidRPr="00ED05FC" w:rsidRDefault="00EF6DA0" w:rsidP="00EF6DA0">
      <w:pPr>
        <w:pStyle w:val="Heading3"/>
      </w:pPr>
      <w:bookmarkStart w:id="125" w:name="_Toc237232094"/>
      <w:bookmarkStart w:id="126" w:name="_Toc239795075"/>
      <w:r w:rsidRPr="00ED05FC">
        <w:t>4.7.1 Recurring Triggers Across Cases</w:t>
      </w:r>
      <w:bookmarkEnd w:id="125"/>
      <w:bookmarkEnd w:id="126"/>
    </w:p>
    <w:p w14:paraId="3F8FE780" w14:textId="77777777" w:rsidR="00EF6DA0" w:rsidRDefault="00EF6DA0" w:rsidP="00EF6DA0">
      <w:pPr>
        <w:pStyle w:val="ListParagraph"/>
        <w:numPr>
          <w:ilvl w:val="0"/>
          <w:numId w:val="11"/>
        </w:numPr>
      </w:pPr>
      <w:r>
        <w:t>All five retailers are under pressure to make environmental claims convincing to the stage where consumers cannot directly check.</w:t>
      </w:r>
    </w:p>
    <w:p w14:paraId="0EB0E0E9" w14:textId="77777777" w:rsidR="00EF6DA0" w:rsidRDefault="00EF6DA0" w:rsidP="00EF6DA0">
      <w:pPr>
        <w:pStyle w:val="ListParagraph"/>
        <w:numPr>
          <w:ilvl w:val="0"/>
          <w:numId w:val="11"/>
        </w:numPr>
      </w:pPr>
      <w:r>
        <w:t>These are key areas such as emissions, sourcing, packaging and food waste.</w:t>
      </w:r>
    </w:p>
    <w:p w14:paraId="32B10218" w14:textId="77777777" w:rsidR="00EF6DA0" w:rsidRPr="00900EFD" w:rsidRDefault="00EF6DA0" w:rsidP="00EF6DA0">
      <w:pPr>
        <w:pStyle w:val="ListParagraph"/>
        <w:numPr>
          <w:ilvl w:val="0"/>
          <w:numId w:val="11"/>
        </w:numPr>
      </w:pPr>
      <w:r w:rsidRPr="00900EFD">
        <w:t xml:space="preserve">Specific, transparent and substantiated environmental claims are more important due to regulatory </w:t>
      </w:r>
      <w:r>
        <w:t>scrutiny</w:t>
      </w:r>
      <w:r w:rsidRPr="00900EFD">
        <w:t xml:space="preserve"> (ASA, 2026).</w:t>
      </w:r>
    </w:p>
    <w:p w14:paraId="4BAA1614" w14:textId="77777777" w:rsidR="00EF6DA0" w:rsidRPr="00ED05FC" w:rsidRDefault="00EF6DA0" w:rsidP="00EF6DA0">
      <w:pPr>
        <w:pStyle w:val="Heading3"/>
      </w:pPr>
      <w:bookmarkStart w:id="127" w:name="_Toc237232095"/>
      <w:bookmarkStart w:id="128" w:name="_Toc239795076"/>
      <w:r w:rsidRPr="00ED05FC">
        <w:t>4.7.2 Common Response Patterns</w:t>
      </w:r>
      <w:bookmarkEnd w:id="127"/>
      <w:bookmarkEnd w:id="128"/>
    </w:p>
    <w:p w14:paraId="571DE26B" w14:textId="77777777" w:rsidR="00EF6DA0" w:rsidRDefault="00EF6DA0" w:rsidP="00EF6DA0">
      <w:pPr>
        <w:pStyle w:val="ListParagraph"/>
        <w:numPr>
          <w:ilvl w:val="0"/>
          <w:numId w:val="10"/>
        </w:numPr>
      </w:pPr>
      <w:r>
        <w:t>All retailers have sustainability targets, webpages and operational initiatives.</w:t>
      </w:r>
    </w:p>
    <w:p w14:paraId="308404F4" w14:textId="77777777" w:rsidR="00EF6DA0" w:rsidRPr="00900EFD" w:rsidRDefault="00EF6DA0" w:rsidP="00EF6DA0">
      <w:pPr>
        <w:pStyle w:val="ListParagraph"/>
        <w:numPr>
          <w:ilvl w:val="0"/>
          <w:numId w:val="10"/>
        </w:numPr>
      </w:pPr>
      <w:r w:rsidRPr="00900EFD">
        <w:t xml:space="preserve">Headline claims are linked to baselines, methods, measurable progress, and show how an </w:t>
      </w:r>
      <w:proofErr w:type="spellStart"/>
      <w:r w:rsidRPr="00900EFD">
        <w:t>organisation</w:t>
      </w:r>
      <w:proofErr w:type="spellEnd"/>
      <w:r w:rsidRPr="00900EFD">
        <w:t xml:space="preserve"> is making sustainability a practical reality. </w:t>
      </w:r>
    </w:p>
    <w:p w14:paraId="53BED590" w14:textId="77777777" w:rsidR="00EF6DA0" w:rsidRPr="00900EFD" w:rsidRDefault="00EF6DA0" w:rsidP="00EF6DA0">
      <w:pPr>
        <w:pStyle w:val="ListParagraph"/>
        <w:numPr>
          <w:ilvl w:val="0"/>
          <w:numId w:val="10"/>
        </w:numPr>
      </w:pPr>
      <w:r w:rsidRPr="00900EFD">
        <w:t xml:space="preserve">In terms of integrated evidence, M&amp;S and Tesco provide more evidence; Sainsbury's provides quantified examples, and </w:t>
      </w:r>
      <w:proofErr w:type="spellStart"/>
      <w:r w:rsidRPr="00900EFD">
        <w:t>Morrisons</w:t>
      </w:r>
      <w:proofErr w:type="spellEnd"/>
      <w:r w:rsidRPr="00900EFD">
        <w:t xml:space="preserve"> uses more dispersed webpages (</w:t>
      </w:r>
      <w:proofErr w:type="spellStart"/>
      <w:r w:rsidRPr="00900EFD">
        <w:t>Nemes</w:t>
      </w:r>
      <w:proofErr w:type="spellEnd"/>
      <w:r w:rsidRPr="00900EFD">
        <w:t xml:space="preserve"> et al., 2022).</w:t>
      </w:r>
    </w:p>
    <w:p w14:paraId="5B13D5BE" w14:textId="77777777" w:rsidR="00EF6DA0" w:rsidRPr="00ED05FC" w:rsidRDefault="00EF6DA0" w:rsidP="00EF6DA0">
      <w:pPr>
        <w:pStyle w:val="Heading3"/>
      </w:pPr>
      <w:bookmarkStart w:id="129" w:name="_Toc237232096"/>
      <w:bookmarkStart w:id="130" w:name="_Toc239795077"/>
      <w:r w:rsidRPr="00ED05FC">
        <w:t>4.7.3 Major Differences Between the Cases</w:t>
      </w:r>
      <w:bookmarkEnd w:id="129"/>
      <w:bookmarkEnd w:id="130"/>
    </w:p>
    <w:p w14:paraId="22FBD176" w14:textId="77777777" w:rsidR="00EF6DA0" w:rsidRDefault="00EF6DA0" w:rsidP="00EF6DA0">
      <w:pPr>
        <w:pStyle w:val="ListParagraph"/>
        <w:numPr>
          <w:ilvl w:val="0"/>
          <w:numId w:val="9"/>
        </w:numPr>
      </w:pPr>
      <w:r>
        <w:t>There are reports of underperformance alongside achievements at M&amp;S, Tesco and Sainsbury’s.</w:t>
      </w:r>
    </w:p>
    <w:p w14:paraId="319F63E0" w14:textId="77777777" w:rsidR="00EF6DA0" w:rsidRDefault="00EF6DA0" w:rsidP="00EF6DA0">
      <w:pPr>
        <w:pStyle w:val="ListParagraph"/>
        <w:numPr>
          <w:ilvl w:val="0"/>
          <w:numId w:val="9"/>
        </w:numPr>
      </w:pPr>
      <w:r>
        <w:t>Tesco misses targets for food waste, M&amp;S has weak performance in food waste and Sainsbury's reports packaging shortfalls</w:t>
      </w:r>
      <w:r w:rsidRPr="00ED05FC">
        <w:t>.</w:t>
      </w:r>
    </w:p>
    <w:p w14:paraId="4AC75134" w14:textId="77777777" w:rsidR="00EF6DA0" w:rsidRPr="00900EFD" w:rsidRDefault="00EF6DA0" w:rsidP="00EF6DA0">
      <w:pPr>
        <w:pStyle w:val="ListParagraph"/>
        <w:numPr>
          <w:ilvl w:val="0"/>
          <w:numId w:val="9"/>
        </w:numPr>
      </w:pPr>
      <w:proofErr w:type="spellStart"/>
      <w:r w:rsidRPr="00900EFD">
        <w:t>Asda</w:t>
      </w:r>
      <w:proofErr w:type="spellEnd"/>
      <w:r w:rsidRPr="00900EFD">
        <w:t xml:space="preserve"> provides appropriate examples with quantified values and lacks in setting targets and </w:t>
      </w:r>
      <w:r w:rsidRPr="00900EFD">
        <w:lastRenderedPageBreak/>
        <w:t>performance vs the result.</w:t>
      </w:r>
    </w:p>
    <w:p w14:paraId="5B832702" w14:textId="77777777" w:rsidR="00EF6DA0" w:rsidRPr="00900EFD" w:rsidRDefault="00EF6DA0" w:rsidP="00EF6DA0">
      <w:pPr>
        <w:pStyle w:val="ListParagraph"/>
        <w:numPr>
          <w:ilvl w:val="0"/>
          <w:numId w:val="9"/>
        </w:numPr>
      </w:pPr>
      <w:proofErr w:type="spellStart"/>
      <w:r w:rsidRPr="00900EFD">
        <w:t>Morrisons</w:t>
      </w:r>
      <w:proofErr w:type="spellEnd"/>
      <w:r w:rsidRPr="00900EFD">
        <w:t xml:space="preserve"> </w:t>
      </w:r>
      <w:r>
        <w:t>provides</w:t>
      </w:r>
      <w:r w:rsidRPr="00900EFD">
        <w:t xml:space="preserve"> some direct comparison for emissions but weaker comparability for food-waste performance</w:t>
      </w:r>
    </w:p>
    <w:p w14:paraId="517C5FE0" w14:textId="77777777" w:rsidR="00EF6DA0" w:rsidRPr="00ED05FC" w:rsidRDefault="00EF6DA0" w:rsidP="00EF6DA0">
      <w:pPr>
        <w:pStyle w:val="Heading3"/>
      </w:pPr>
      <w:bookmarkStart w:id="131" w:name="_Toc237232097"/>
      <w:bookmarkStart w:id="132" w:name="_Toc239795078"/>
      <w:r w:rsidRPr="00ED05FC">
        <w:t>4.7.4 Emerging Relationship Between Execution and Results</w:t>
      </w:r>
      <w:bookmarkEnd w:id="131"/>
      <w:bookmarkEnd w:id="132"/>
    </w:p>
    <w:p w14:paraId="2B7700A6" w14:textId="77777777" w:rsidR="00EF6DA0" w:rsidRDefault="00EF6DA0" w:rsidP="00EF6DA0">
      <w:pPr>
        <w:pStyle w:val="ListParagraph"/>
        <w:numPr>
          <w:ilvl w:val="0"/>
          <w:numId w:val="8"/>
        </w:numPr>
      </w:pPr>
      <w:r>
        <w:t>When firms give a credible explanation of the connection between actions and measurable outcomes, that is when the credibility is the strongest.</w:t>
      </w:r>
    </w:p>
    <w:p w14:paraId="0F60A5D7" w14:textId="77777777" w:rsidR="00EF6DA0" w:rsidRDefault="00EF6DA0" w:rsidP="00EF6DA0">
      <w:pPr>
        <w:pStyle w:val="ListParagraph"/>
        <w:numPr>
          <w:ilvl w:val="0"/>
          <w:numId w:val="8"/>
        </w:numPr>
      </w:pPr>
      <w:r>
        <w:t xml:space="preserve">Connecting ambition, implementation and results </w:t>
      </w:r>
      <w:proofErr w:type="spellStart"/>
      <w:r>
        <w:t>minimises</w:t>
      </w:r>
      <w:proofErr w:type="spellEnd"/>
      <w:r>
        <w:t xml:space="preserve"> the disconnect between words and action (Bernini and La Rosa, 2024).</w:t>
      </w:r>
    </w:p>
    <w:p w14:paraId="3044EC8E" w14:textId="54D61ECB" w:rsidR="00EF6DA0" w:rsidRPr="00AB4680" w:rsidRDefault="00EF6DA0" w:rsidP="00EF6DA0">
      <w:pPr>
        <w:pStyle w:val="ListParagraph"/>
        <w:numPr>
          <w:ilvl w:val="0"/>
          <w:numId w:val="8"/>
        </w:numPr>
      </w:pPr>
      <w:r>
        <w:t>The patterns are meant to represent conditions for which consumers are more likely to trust, not to be conclusive evidence of consumer trust</w:t>
      </w:r>
      <w:r w:rsidRPr="00B16680">
        <w:t>.</w:t>
      </w:r>
    </w:p>
    <w:p w14:paraId="4327C99D" w14:textId="696CF548" w:rsidR="00AB4680" w:rsidRDefault="00AB4680" w:rsidP="00AB4680">
      <w:pPr>
        <w:pStyle w:val="Caption"/>
        <w:keepNext/>
      </w:pPr>
      <w:bookmarkStart w:id="133" w:name="_Toc239794896"/>
      <w:r>
        <w:t xml:space="preserve">Table </w:t>
      </w:r>
      <w:r>
        <w:fldChar w:fldCharType="begin"/>
      </w:r>
      <w:r>
        <w:instrText xml:space="preserve"> SEQ Table \* ARABIC </w:instrText>
      </w:r>
      <w:r>
        <w:fldChar w:fldCharType="separate"/>
      </w:r>
      <w:r>
        <w:rPr>
          <w:noProof/>
        </w:rPr>
        <w:t>4</w:t>
      </w:r>
      <w:r>
        <w:rPr>
          <w:noProof/>
        </w:rPr>
        <w:fldChar w:fldCharType="end"/>
      </w:r>
      <w:r>
        <w:t xml:space="preserve">: </w:t>
      </w:r>
      <w:r w:rsidRPr="00D12CB0">
        <w:t>Cross-Case Findings Summary</w:t>
      </w:r>
      <w:bookmarkEnd w:id="133"/>
    </w:p>
    <w:tbl>
      <w:tblPr>
        <w:tblStyle w:val="GridTable6ColourfulAccent1"/>
        <w:tblW w:w="9445" w:type="dxa"/>
        <w:tblLook w:val="04A0" w:firstRow="1" w:lastRow="0" w:firstColumn="1" w:lastColumn="0" w:noHBand="0" w:noVBand="1"/>
      </w:tblPr>
      <w:tblGrid>
        <w:gridCol w:w="1228"/>
        <w:gridCol w:w="1782"/>
        <w:gridCol w:w="2025"/>
        <w:gridCol w:w="2250"/>
        <w:gridCol w:w="2160"/>
      </w:tblGrid>
      <w:tr w:rsidR="00EF6DA0" w:rsidRPr="00EF7095" w14:paraId="1E74CA7C" w14:textId="77777777" w:rsidTr="00AB46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8" w:type="dxa"/>
            <w:hideMark/>
          </w:tcPr>
          <w:p w14:paraId="5F33DF5F" w14:textId="77777777" w:rsidR="00EF6DA0" w:rsidRPr="00EF7095" w:rsidRDefault="00EF6DA0" w:rsidP="00127600">
            <w:pPr>
              <w:rPr>
                <w:color w:val="auto"/>
                <w:sz w:val="20"/>
                <w:szCs w:val="18"/>
              </w:rPr>
            </w:pPr>
            <w:r w:rsidRPr="00EF7095">
              <w:rPr>
                <w:color w:val="auto"/>
                <w:sz w:val="20"/>
                <w:szCs w:val="18"/>
              </w:rPr>
              <w:t>Retailer</w:t>
            </w:r>
          </w:p>
        </w:tc>
        <w:tc>
          <w:tcPr>
            <w:tcW w:w="1782" w:type="dxa"/>
            <w:hideMark/>
          </w:tcPr>
          <w:p w14:paraId="640D2CE8" w14:textId="77777777" w:rsidR="00EF6DA0" w:rsidRPr="00EF7095" w:rsidRDefault="00EF6DA0" w:rsidP="00127600">
            <w:pPr>
              <w:cnfStyle w:val="100000000000" w:firstRow="1"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Recurring Trigger</w:t>
            </w:r>
          </w:p>
        </w:tc>
        <w:tc>
          <w:tcPr>
            <w:tcW w:w="2025" w:type="dxa"/>
            <w:hideMark/>
          </w:tcPr>
          <w:p w14:paraId="6880A19C" w14:textId="77777777" w:rsidR="00EF6DA0" w:rsidRPr="00EF7095" w:rsidRDefault="00EF6DA0" w:rsidP="00127600">
            <w:pPr>
              <w:cnfStyle w:val="100000000000" w:firstRow="1"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Common Response</w:t>
            </w:r>
          </w:p>
        </w:tc>
        <w:tc>
          <w:tcPr>
            <w:tcW w:w="2250" w:type="dxa"/>
            <w:hideMark/>
          </w:tcPr>
          <w:p w14:paraId="29C4DC01" w14:textId="77777777" w:rsidR="00EF6DA0" w:rsidRPr="00EF7095" w:rsidRDefault="00EF6DA0" w:rsidP="00127600">
            <w:pPr>
              <w:cnfStyle w:val="100000000000" w:firstRow="1"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Major Difference</w:t>
            </w:r>
          </w:p>
        </w:tc>
        <w:tc>
          <w:tcPr>
            <w:tcW w:w="2160" w:type="dxa"/>
            <w:hideMark/>
          </w:tcPr>
          <w:p w14:paraId="0038CF49" w14:textId="77777777" w:rsidR="00EF6DA0" w:rsidRPr="00EF7095" w:rsidRDefault="00EF6DA0" w:rsidP="00127600">
            <w:pPr>
              <w:cnfStyle w:val="100000000000" w:firstRow="1"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Execution–Result Relationship</w:t>
            </w:r>
          </w:p>
        </w:tc>
      </w:tr>
      <w:tr w:rsidR="00EF6DA0" w:rsidRPr="00EF7095" w14:paraId="6D208140" w14:textId="77777777" w:rsidTr="00AB4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8" w:type="dxa"/>
            <w:hideMark/>
          </w:tcPr>
          <w:p w14:paraId="0188BBE9" w14:textId="77777777" w:rsidR="00EF6DA0" w:rsidRPr="00EF7095" w:rsidRDefault="00EF6DA0" w:rsidP="00127600">
            <w:pPr>
              <w:rPr>
                <w:color w:val="auto"/>
                <w:sz w:val="20"/>
                <w:szCs w:val="18"/>
              </w:rPr>
            </w:pPr>
            <w:r w:rsidRPr="00EF7095">
              <w:rPr>
                <w:color w:val="auto"/>
                <w:sz w:val="20"/>
                <w:szCs w:val="18"/>
              </w:rPr>
              <w:t>M&amp;S</w:t>
            </w:r>
          </w:p>
        </w:tc>
        <w:tc>
          <w:tcPr>
            <w:tcW w:w="1782" w:type="dxa"/>
            <w:hideMark/>
          </w:tcPr>
          <w:p w14:paraId="759D98BB"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Credibility of whole-value-chain claims</w:t>
            </w:r>
          </w:p>
        </w:tc>
        <w:tc>
          <w:tcPr>
            <w:tcW w:w="2025" w:type="dxa"/>
            <w:hideMark/>
          </w:tcPr>
          <w:p w14:paraId="39F93BE4"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 xml:space="preserve">Plan A, </w:t>
            </w:r>
            <w:proofErr w:type="spellStart"/>
            <w:r w:rsidRPr="00EF7095">
              <w:rPr>
                <w:color w:val="auto"/>
                <w:sz w:val="20"/>
                <w:szCs w:val="18"/>
              </w:rPr>
              <w:t>SBTi</w:t>
            </w:r>
            <w:proofErr w:type="spellEnd"/>
            <w:r w:rsidRPr="00EF7095">
              <w:rPr>
                <w:color w:val="auto"/>
                <w:sz w:val="20"/>
                <w:szCs w:val="18"/>
              </w:rPr>
              <w:t xml:space="preserve"> targets, KPI reporting and implementation mechanisms</w:t>
            </w:r>
          </w:p>
        </w:tc>
        <w:tc>
          <w:tcPr>
            <w:tcW w:w="2250" w:type="dxa"/>
            <w:hideMark/>
          </w:tcPr>
          <w:p w14:paraId="297B65E2"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Inadequate food-waste progress and lack of full recyclability are revealed</w:t>
            </w:r>
          </w:p>
        </w:tc>
        <w:tc>
          <w:tcPr>
            <w:tcW w:w="2160" w:type="dxa"/>
            <w:hideMark/>
          </w:tcPr>
          <w:p w14:paraId="7E005096"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Effective implementation, but inconsistent results</w:t>
            </w:r>
          </w:p>
        </w:tc>
      </w:tr>
      <w:tr w:rsidR="00EF6DA0" w:rsidRPr="00EF7095" w14:paraId="65FBBA71" w14:textId="77777777" w:rsidTr="00AB4680">
        <w:tc>
          <w:tcPr>
            <w:cnfStyle w:val="001000000000" w:firstRow="0" w:lastRow="0" w:firstColumn="1" w:lastColumn="0" w:oddVBand="0" w:evenVBand="0" w:oddHBand="0" w:evenHBand="0" w:firstRowFirstColumn="0" w:firstRowLastColumn="0" w:lastRowFirstColumn="0" w:lastRowLastColumn="0"/>
            <w:tcW w:w="1228" w:type="dxa"/>
            <w:hideMark/>
          </w:tcPr>
          <w:p w14:paraId="130B70B5" w14:textId="77777777" w:rsidR="00EF6DA0" w:rsidRPr="00EF7095" w:rsidRDefault="00EF6DA0" w:rsidP="00127600">
            <w:pPr>
              <w:rPr>
                <w:color w:val="auto"/>
                <w:sz w:val="20"/>
                <w:szCs w:val="18"/>
              </w:rPr>
            </w:pPr>
            <w:r w:rsidRPr="00EF7095">
              <w:rPr>
                <w:color w:val="auto"/>
                <w:sz w:val="20"/>
                <w:szCs w:val="18"/>
              </w:rPr>
              <w:t>Tesco</w:t>
            </w:r>
          </w:p>
        </w:tc>
        <w:tc>
          <w:tcPr>
            <w:tcW w:w="1782" w:type="dxa"/>
            <w:hideMark/>
          </w:tcPr>
          <w:p w14:paraId="38EF9E5B" w14:textId="77777777" w:rsidR="00EF6DA0" w:rsidRPr="00EF7095"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Scale and large Scope 3 footprint</w:t>
            </w:r>
          </w:p>
        </w:tc>
        <w:tc>
          <w:tcPr>
            <w:tcW w:w="2025" w:type="dxa"/>
            <w:hideMark/>
          </w:tcPr>
          <w:p w14:paraId="5B9AD14A" w14:textId="77777777" w:rsidR="00EF6DA0" w:rsidRPr="00EF7095"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Environmental pillars, AI, supplier action and progress reporting</w:t>
            </w:r>
          </w:p>
        </w:tc>
        <w:tc>
          <w:tcPr>
            <w:tcW w:w="2250" w:type="dxa"/>
            <w:hideMark/>
          </w:tcPr>
          <w:p w14:paraId="5D5BE19E" w14:textId="77777777" w:rsidR="00EF6DA0" w:rsidRPr="00EF7095"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The failure to achieve the food-waste target is publicly acknowledged</w:t>
            </w:r>
          </w:p>
        </w:tc>
        <w:tc>
          <w:tcPr>
            <w:tcW w:w="2160" w:type="dxa"/>
            <w:hideMark/>
          </w:tcPr>
          <w:p w14:paraId="28EB4D28" w14:textId="77777777" w:rsidR="00EF6DA0" w:rsidRPr="00EF7095"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Progress and data gaps are identified through strong measurement.</w:t>
            </w:r>
          </w:p>
        </w:tc>
      </w:tr>
      <w:tr w:rsidR="00EF6DA0" w:rsidRPr="00EF7095" w14:paraId="1714FB43" w14:textId="77777777" w:rsidTr="00AB4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8" w:type="dxa"/>
            <w:hideMark/>
          </w:tcPr>
          <w:p w14:paraId="052C62C3" w14:textId="77777777" w:rsidR="00EF6DA0" w:rsidRPr="00EF7095" w:rsidRDefault="00EF6DA0" w:rsidP="00127600">
            <w:pPr>
              <w:rPr>
                <w:color w:val="auto"/>
                <w:sz w:val="20"/>
                <w:szCs w:val="18"/>
              </w:rPr>
            </w:pPr>
            <w:proofErr w:type="spellStart"/>
            <w:r w:rsidRPr="00EF7095">
              <w:rPr>
                <w:color w:val="auto"/>
                <w:sz w:val="20"/>
                <w:szCs w:val="18"/>
              </w:rPr>
              <w:t>Asda</w:t>
            </w:r>
            <w:proofErr w:type="spellEnd"/>
          </w:p>
        </w:tc>
        <w:tc>
          <w:tcPr>
            <w:tcW w:w="1782" w:type="dxa"/>
            <w:hideMark/>
          </w:tcPr>
          <w:p w14:paraId="12D580ED"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Need to substantiate headline environmental claims</w:t>
            </w:r>
          </w:p>
        </w:tc>
        <w:tc>
          <w:tcPr>
            <w:tcW w:w="2025" w:type="dxa"/>
            <w:hideMark/>
          </w:tcPr>
          <w:p w14:paraId="23BFAC69"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Carbon reduction, packaging redesign and farming initiatives</w:t>
            </w:r>
          </w:p>
        </w:tc>
        <w:tc>
          <w:tcPr>
            <w:tcW w:w="2250" w:type="dxa"/>
            <w:hideMark/>
          </w:tcPr>
          <w:p w14:paraId="0B460759"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Less visibility of incomplete outcomes and shortfalls</w:t>
            </w:r>
          </w:p>
        </w:tc>
        <w:tc>
          <w:tcPr>
            <w:tcW w:w="2160" w:type="dxa"/>
            <w:hideMark/>
          </w:tcPr>
          <w:p w14:paraId="18949496"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Concrete initiatives back claims, and there is a weaker degree of comparability.</w:t>
            </w:r>
          </w:p>
        </w:tc>
      </w:tr>
      <w:tr w:rsidR="00EF6DA0" w:rsidRPr="00EF7095" w14:paraId="655D3C9D" w14:textId="77777777" w:rsidTr="00AB4680">
        <w:tc>
          <w:tcPr>
            <w:cnfStyle w:val="001000000000" w:firstRow="0" w:lastRow="0" w:firstColumn="1" w:lastColumn="0" w:oddVBand="0" w:evenVBand="0" w:oddHBand="0" w:evenHBand="0" w:firstRowFirstColumn="0" w:firstRowLastColumn="0" w:lastRowFirstColumn="0" w:lastRowLastColumn="0"/>
            <w:tcW w:w="1228" w:type="dxa"/>
            <w:hideMark/>
          </w:tcPr>
          <w:p w14:paraId="1AF7F8BB" w14:textId="77777777" w:rsidR="00EF6DA0" w:rsidRPr="00EF7095" w:rsidRDefault="00EF6DA0" w:rsidP="00127600">
            <w:pPr>
              <w:rPr>
                <w:color w:val="auto"/>
                <w:sz w:val="20"/>
                <w:szCs w:val="18"/>
              </w:rPr>
            </w:pPr>
            <w:proofErr w:type="spellStart"/>
            <w:r w:rsidRPr="00EF7095">
              <w:rPr>
                <w:color w:val="auto"/>
                <w:sz w:val="20"/>
                <w:szCs w:val="18"/>
              </w:rPr>
              <w:t>Morrisons</w:t>
            </w:r>
            <w:proofErr w:type="spellEnd"/>
          </w:p>
        </w:tc>
        <w:tc>
          <w:tcPr>
            <w:tcW w:w="1782" w:type="dxa"/>
            <w:hideMark/>
          </w:tcPr>
          <w:p w14:paraId="360DEB09" w14:textId="77777777" w:rsidR="00EF6DA0" w:rsidRPr="00EF7095"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Supply-chain traceability and verifiability</w:t>
            </w:r>
          </w:p>
        </w:tc>
        <w:tc>
          <w:tcPr>
            <w:tcW w:w="2025" w:type="dxa"/>
            <w:hideMark/>
          </w:tcPr>
          <w:p w14:paraId="4EFE8E96" w14:textId="77777777" w:rsidR="00EF6DA0" w:rsidRPr="00EF7095"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Sustain targets, sourcing commitments and measurable initiatives</w:t>
            </w:r>
          </w:p>
        </w:tc>
        <w:tc>
          <w:tcPr>
            <w:tcW w:w="2250" w:type="dxa"/>
            <w:hideMark/>
          </w:tcPr>
          <w:p w14:paraId="16B0F3ED" w14:textId="77777777" w:rsidR="00EF6DA0" w:rsidRPr="00EF7095"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Evidence is spread out throughout various web pages</w:t>
            </w:r>
          </w:p>
        </w:tc>
        <w:tc>
          <w:tcPr>
            <w:tcW w:w="2160" w:type="dxa"/>
            <w:hideMark/>
          </w:tcPr>
          <w:p w14:paraId="1D8A8000" w14:textId="77777777" w:rsidR="00EF6DA0" w:rsidRPr="00EF7095"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Specific targets help to enhance credibility; fragmentation makes comparison difficult.</w:t>
            </w:r>
          </w:p>
        </w:tc>
      </w:tr>
      <w:tr w:rsidR="00EF6DA0" w:rsidRPr="00EF7095" w14:paraId="6A05C200" w14:textId="77777777" w:rsidTr="00AB4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8" w:type="dxa"/>
            <w:hideMark/>
          </w:tcPr>
          <w:p w14:paraId="44EB5137" w14:textId="77777777" w:rsidR="00EF6DA0" w:rsidRPr="00EF7095" w:rsidRDefault="00EF6DA0" w:rsidP="00127600">
            <w:pPr>
              <w:rPr>
                <w:color w:val="auto"/>
                <w:sz w:val="20"/>
                <w:szCs w:val="18"/>
              </w:rPr>
            </w:pPr>
            <w:r w:rsidRPr="00EF7095">
              <w:rPr>
                <w:color w:val="auto"/>
                <w:sz w:val="20"/>
                <w:szCs w:val="18"/>
              </w:rPr>
              <w:t>Sainsbury’s</w:t>
            </w:r>
          </w:p>
        </w:tc>
        <w:tc>
          <w:tcPr>
            <w:tcW w:w="1782" w:type="dxa"/>
            <w:hideMark/>
          </w:tcPr>
          <w:p w14:paraId="12978054"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Uneven sustainability progress across categories</w:t>
            </w:r>
          </w:p>
        </w:tc>
        <w:tc>
          <w:tcPr>
            <w:tcW w:w="2025" w:type="dxa"/>
            <w:hideMark/>
          </w:tcPr>
          <w:p w14:paraId="5922C5B8"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Plan for Better, supplier engagement and performance scorecard</w:t>
            </w:r>
          </w:p>
        </w:tc>
        <w:tc>
          <w:tcPr>
            <w:tcW w:w="2250" w:type="dxa"/>
            <w:hideMark/>
          </w:tcPr>
          <w:p w14:paraId="26080E52"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The underperformance of packaging is evident and explained</w:t>
            </w:r>
          </w:p>
        </w:tc>
        <w:tc>
          <w:tcPr>
            <w:tcW w:w="2160" w:type="dxa"/>
            <w:hideMark/>
          </w:tcPr>
          <w:p w14:paraId="1E1A178A"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Balanced reporting links the implementation with the outcomes and gaps in implementation</w:t>
            </w:r>
          </w:p>
        </w:tc>
      </w:tr>
    </w:tbl>
    <w:p w14:paraId="79F07507" w14:textId="77777777" w:rsidR="00EF6DA0" w:rsidRDefault="00EF6DA0" w:rsidP="00EF6DA0"/>
    <w:p w14:paraId="18C6977D" w14:textId="0BC379FD" w:rsidR="00EF6DA0" w:rsidRDefault="00EF6DA0" w:rsidP="00EF6DA0">
      <w:r w:rsidRPr="00373BBB">
        <w:lastRenderedPageBreak/>
        <w:t xml:space="preserve">Table 4 presents </w:t>
      </w:r>
      <w:r>
        <w:t>cross-case</w:t>
      </w:r>
      <w:r w:rsidRPr="00373BBB">
        <w:t xml:space="preserve"> findings for the 5 retailers </w:t>
      </w:r>
      <w:r>
        <w:t>throughout</w:t>
      </w:r>
      <w:r w:rsidRPr="00373BBB">
        <w:t xml:space="preserve"> the 4 analytical themes. It highlights the credibility pressures for all cases but the differences in evidence integration and visibility of underperformance and implementation. </w:t>
      </w:r>
      <w:proofErr w:type="spellStart"/>
      <w:r w:rsidRPr="00373BBB">
        <w:t>Asda</w:t>
      </w:r>
      <w:proofErr w:type="spellEnd"/>
      <w:r w:rsidRPr="00373BBB">
        <w:t xml:space="preserve"> and </w:t>
      </w:r>
      <w:proofErr w:type="spellStart"/>
      <w:r w:rsidRPr="00373BBB">
        <w:t>Morrisons</w:t>
      </w:r>
      <w:proofErr w:type="spellEnd"/>
      <w:r w:rsidRPr="00373BBB">
        <w:t xml:space="preserve"> show good evidence of initiatives, while M&amp;S, Tesco and Sainsbury's show better evidence of balanced reporting. In general, measurable targets, mechanisms of implementation and transparency of disclosure improve the credibility of the communication and mitigate potential greenwashing concerns</w:t>
      </w:r>
      <w:r w:rsidRPr="006C5A0A">
        <w:t>.</w:t>
      </w:r>
    </w:p>
    <w:p w14:paraId="15AE5953" w14:textId="77777777" w:rsidR="00EF6DA0" w:rsidRPr="00ED05FC" w:rsidRDefault="00EF6DA0" w:rsidP="00EF6DA0">
      <w:pPr>
        <w:pStyle w:val="Heading2"/>
      </w:pPr>
      <w:bookmarkStart w:id="134" w:name="_Toc237232098"/>
      <w:bookmarkStart w:id="135" w:name="_Toc239795079"/>
      <w:r w:rsidRPr="00ED05FC">
        <w:t>4.8 Chapter Summary</w:t>
      </w:r>
      <w:bookmarkEnd w:id="134"/>
      <w:bookmarkEnd w:id="135"/>
    </w:p>
    <w:p w14:paraId="5CA5807E" w14:textId="77777777" w:rsidR="00EF6DA0" w:rsidRPr="00CD7651" w:rsidRDefault="00EF6DA0" w:rsidP="00EF6DA0">
      <w:r w:rsidRPr="007240C3">
        <w:t xml:space="preserve">The results indicate that the quality of sustainability communication is related less to the presence of commitments than to their clarity in being evidenced, bounded and tied to results. M&amp;S, Tesco and Sainsbury's show greater levels of transparency by making sure to report on both success and failure. </w:t>
      </w:r>
      <w:r>
        <w:t xml:space="preserve">Although </w:t>
      </w:r>
      <w:proofErr w:type="spellStart"/>
      <w:r w:rsidRPr="007240C3">
        <w:t>Asd</w:t>
      </w:r>
      <w:r>
        <w:t>a</w:t>
      </w:r>
      <w:proofErr w:type="spellEnd"/>
      <w:r>
        <w:t xml:space="preserve"> offers quantifiable </w:t>
      </w:r>
      <w:r w:rsidRPr="007240C3">
        <w:t>examples</w:t>
      </w:r>
      <w:r>
        <w:t>,</w:t>
      </w:r>
      <w:r w:rsidRPr="007240C3">
        <w:t xml:space="preserve"> </w:t>
      </w:r>
      <w:r>
        <w:t>it lacks cross-channel comparability. Whereas</w:t>
      </w:r>
      <w:r w:rsidRPr="007240C3">
        <w:t xml:space="preserve"> </w:t>
      </w:r>
      <w:proofErr w:type="spellStart"/>
      <w:r w:rsidRPr="007240C3">
        <w:t>Morrisons</w:t>
      </w:r>
      <w:proofErr w:type="spellEnd"/>
      <w:r w:rsidRPr="007240C3">
        <w:t xml:space="preserve"> </w:t>
      </w:r>
      <w:r>
        <w:t>offers</w:t>
      </w:r>
      <w:r w:rsidRPr="007240C3">
        <w:t xml:space="preserve"> measurable examples </w:t>
      </w:r>
      <w:r>
        <w:t>which</w:t>
      </w:r>
      <w:r w:rsidRPr="007240C3">
        <w:t xml:space="preserve"> </w:t>
      </w:r>
      <w:r>
        <w:t>remain fragmented throughout sources</w:t>
      </w:r>
      <w:r w:rsidRPr="007240C3">
        <w:t xml:space="preserve">. Targets and baselines, methodologies and </w:t>
      </w:r>
      <w:r>
        <w:t>acknowledgement</w:t>
      </w:r>
      <w:r w:rsidRPr="007240C3">
        <w:t xml:space="preserve"> of limitations are all evidence of credibility, while selective emphasis and low boundaries </w:t>
      </w:r>
      <w:r>
        <w:t>may indicate</w:t>
      </w:r>
      <w:r w:rsidRPr="007240C3">
        <w:t xml:space="preserve"> </w:t>
      </w:r>
      <w:r>
        <w:t>increased risk</w:t>
      </w:r>
      <w:r w:rsidRPr="007240C3">
        <w:t xml:space="preserve"> of greenwashing. Chapter 5 will explore these patterns in the light of relevant theory and literature concerning trust</w:t>
      </w:r>
      <w:r w:rsidRPr="00B16680">
        <w:t>.</w:t>
      </w:r>
    </w:p>
    <w:p w14:paraId="3467C562" w14:textId="31920019" w:rsidR="00EF6DA0" w:rsidRDefault="00EF6DA0">
      <w:pPr>
        <w:widowControl/>
        <w:autoSpaceDE/>
        <w:autoSpaceDN/>
        <w:spacing w:after="160" w:line="259" w:lineRule="auto"/>
        <w:jc w:val="left"/>
      </w:pPr>
      <w:r>
        <w:br w:type="page"/>
      </w:r>
    </w:p>
    <w:p w14:paraId="1D18BF85" w14:textId="77777777" w:rsidR="00EF6DA0" w:rsidRPr="008535D7" w:rsidRDefault="00EF6DA0" w:rsidP="00EF6DA0">
      <w:pPr>
        <w:pStyle w:val="Heading1"/>
        <w:jc w:val="center"/>
        <w:rPr>
          <w:bCs/>
        </w:rPr>
      </w:pPr>
      <w:bookmarkStart w:id="136" w:name="_Toc238719980"/>
      <w:bookmarkStart w:id="137" w:name="_Toc239795080"/>
      <w:r w:rsidRPr="00B21494">
        <w:rPr>
          <w:bCs/>
        </w:rPr>
        <w:lastRenderedPageBreak/>
        <w:t>Chapter 5: Discussion and Analysis</w:t>
      </w:r>
      <w:bookmarkEnd w:id="136"/>
      <w:bookmarkEnd w:id="137"/>
    </w:p>
    <w:p w14:paraId="59781580" w14:textId="77777777" w:rsidR="00EF6DA0" w:rsidRPr="00B21494" w:rsidRDefault="00EF6DA0" w:rsidP="00EF6DA0">
      <w:pPr>
        <w:pStyle w:val="Heading2"/>
      </w:pPr>
      <w:bookmarkStart w:id="138" w:name="_Toc238719981"/>
      <w:bookmarkStart w:id="139" w:name="_Toc239795081"/>
      <w:r w:rsidRPr="00B21494">
        <w:t>5.1 Purpose and Positioning</w:t>
      </w:r>
      <w:bookmarkEnd w:id="138"/>
      <w:bookmarkEnd w:id="139"/>
    </w:p>
    <w:p w14:paraId="6EDDB493" w14:textId="77777777" w:rsidR="00EF6DA0" w:rsidRDefault="00EF6DA0" w:rsidP="00EF6DA0">
      <w:r>
        <w:t xml:space="preserve">This chapter critically interprets the findings from Chapter 4 through the theoretical arguments, concepts and empirical evidence reviewed in Chapter 2. Instead of recreating the five retailer cases, it </w:t>
      </w:r>
      <w:proofErr w:type="spellStart"/>
      <w:r>
        <w:t>generalises</w:t>
      </w:r>
      <w:proofErr w:type="spellEnd"/>
      <w:r>
        <w:t xml:space="preserve"> the similarities, differences and contradictions across M&amp;S, Tesco, </w:t>
      </w:r>
      <w:proofErr w:type="spellStart"/>
      <w:r>
        <w:t>Asda</w:t>
      </w:r>
      <w:proofErr w:type="spellEnd"/>
      <w:r>
        <w:t xml:space="preserve">, </w:t>
      </w:r>
      <w:proofErr w:type="spellStart"/>
      <w:r>
        <w:t>Morrisons</w:t>
      </w:r>
      <w:proofErr w:type="spellEnd"/>
      <w:r>
        <w:t xml:space="preserve"> and </w:t>
      </w:r>
      <w:r w:rsidRPr="001A0D0B">
        <w:t>Sainsbury’s</w:t>
      </w:r>
      <w:r>
        <w:t xml:space="preserve"> to assess sustainability marketing communication and possible implications for brand trust. </w:t>
      </w:r>
    </w:p>
    <w:p w14:paraId="4A656CE1" w14:textId="77777777" w:rsidR="00EF6DA0" w:rsidRDefault="00EF6DA0" w:rsidP="00EF6DA0">
      <w:r>
        <w:t xml:space="preserve">This discussion will focus on four dimensions identified by the conceptual framework as interrelated: claim clarity, quality of evidence and substantiation, transparency and cross-channel consistency. Authenticity and possible greenwashing are considered as the conditions that should have an impact on the credibility of these dimensions. </w:t>
      </w:r>
      <w:proofErr w:type="spellStart"/>
      <w:r>
        <w:t>Signalling</w:t>
      </w:r>
      <w:proofErr w:type="spellEnd"/>
      <w:r>
        <w:t xml:space="preserve"> Theory offers the key prism since consumers fail to observe most of the environmental practices, which causes a lack of information between retailers and external stakeholders (Choudhury, 2024). </w:t>
      </w:r>
    </w:p>
    <w:p w14:paraId="300EC8C8" w14:textId="66C063D9" w:rsidR="00EF6DA0" w:rsidRPr="00B21494" w:rsidRDefault="00EF6DA0" w:rsidP="00EF6DA0">
      <w:r>
        <w:t>This chapter thus evaluates cross-case evidence in supporting, extending or qualifying existing literature and differentiating between credible and actual environmental performance, and actual evidence of consumer brand trust, in which strong communication does not equate with balanced sustainability performance in practice</w:t>
      </w:r>
      <w:r w:rsidR="0021681F">
        <w:t xml:space="preserve"> (Zhang et al., 2023)</w:t>
      </w:r>
      <w:r w:rsidRPr="006E2CD4">
        <w:t>.</w:t>
      </w:r>
    </w:p>
    <w:p w14:paraId="423980B7" w14:textId="77777777" w:rsidR="00EF6DA0" w:rsidRPr="00B21494" w:rsidRDefault="00EF6DA0" w:rsidP="00EF6DA0">
      <w:pPr>
        <w:pStyle w:val="Heading2"/>
      </w:pPr>
      <w:bookmarkStart w:id="140" w:name="_Toc238719982"/>
      <w:bookmarkStart w:id="141" w:name="_Toc239795082"/>
      <w:r w:rsidRPr="00B21494">
        <w:t>5.2 Analytical Framework and Logic</w:t>
      </w:r>
      <w:bookmarkEnd w:id="140"/>
      <w:bookmarkEnd w:id="141"/>
    </w:p>
    <w:p w14:paraId="330BC113" w14:textId="77777777" w:rsidR="00EF6DA0" w:rsidRDefault="00EF6DA0" w:rsidP="00EF6DA0">
      <w:r>
        <w:t xml:space="preserve">The conceptual framework of Chapter 2 is followed in the analytical logic. According to </w:t>
      </w:r>
      <w:proofErr w:type="spellStart"/>
      <w:r>
        <w:t>Signalling</w:t>
      </w:r>
      <w:proofErr w:type="spellEnd"/>
      <w:r>
        <w:t xml:space="preserve"> Theory, </w:t>
      </w:r>
      <w:proofErr w:type="spellStart"/>
      <w:r>
        <w:t>organisations</w:t>
      </w:r>
      <w:proofErr w:type="spellEnd"/>
      <w:r>
        <w:t xml:space="preserve"> convey visible cues regarding attributes that cannot be verified by external stakeholders, and the effectiveness is reliant on the reliability and intelligibility of such cues (Amaya et al., 2021). Claim clarity in this research is specificity, scope, terminology and timeframe, and evidence and substantiation involve measurable indicators, baselines, targets, certifications and implementation evidence. </w:t>
      </w:r>
    </w:p>
    <w:p w14:paraId="64FAD283" w14:textId="77777777" w:rsidR="00EF6DA0" w:rsidRDefault="00EF6DA0" w:rsidP="00EF6DA0">
      <w:r>
        <w:t xml:space="preserve">Transparency covers the disclosure of successes, constraints and reality, and cross-channel consistency is connected with the consistency between reports, webpages and customer-facing documents. The analysis uses a hybrid thematic design, which combines literature with Chapter 4 evidence summaries to evaluate convergence, divergence and contingencies. </w:t>
      </w:r>
      <w:r w:rsidRPr="00120A50">
        <w:t xml:space="preserve">This method is appropriate as too much disclosure is not necessarily transparency. </w:t>
      </w:r>
      <w:r>
        <w:t xml:space="preserve">Also, the credibility of the </w:t>
      </w:r>
      <w:r>
        <w:lastRenderedPageBreak/>
        <w:t xml:space="preserve">communications is based not on volume but on the relationship between the claims and </w:t>
      </w:r>
      <w:proofErr w:type="spellStart"/>
      <w:r>
        <w:t>rationalisations</w:t>
      </w:r>
      <w:proofErr w:type="spellEnd"/>
      <w:r>
        <w:t xml:space="preserve"> (Xu, Li and Xu, 2023). </w:t>
      </w:r>
    </w:p>
    <w:p w14:paraId="056AD8EA" w14:textId="77777777" w:rsidR="00EF6DA0" w:rsidRPr="00B21494" w:rsidRDefault="00EF6DA0" w:rsidP="00EF6DA0">
      <w:r>
        <w:t>Credibility and authenticity are thus intervening mechanisms, despite brand trust being interpretive, in the absence of direct measurement in this documentary research context. There are four related themes discussed</w:t>
      </w:r>
      <w:r w:rsidRPr="00B21494">
        <w:t>.</w:t>
      </w:r>
    </w:p>
    <w:p w14:paraId="6F103D01" w14:textId="77777777" w:rsidR="00EF6DA0" w:rsidRPr="00B21494" w:rsidRDefault="00EF6DA0" w:rsidP="00EF6DA0">
      <w:pPr>
        <w:pStyle w:val="Heading2"/>
      </w:pPr>
      <w:bookmarkStart w:id="142" w:name="_Toc238719983"/>
      <w:bookmarkStart w:id="143" w:name="_Toc239795083"/>
      <w:r w:rsidRPr="00B21494">
        <w:t>5.3 Cross-Case Synthesis and Comparison with Literature</w:t>
      </w:r>
      <w:bookmarkEnd w:id="142"/>
      <w:bookmarkEnd w:id="143"/>
    </w:p>
    <w:p w14:paraId="5D0151D0" w14:textId="77777777" w:rsidR="00EF6DA0" w:rsidRPr="00B21494" w:rsidRDefault="00EF6DA0" w:rsidP="00EF6DA0">
      <w:pPr>
        <w:pStyle w:val="Heading3"/>
      </w:pPr>
      <w:bookmarkStart w:id="144" w:name="_Toc238719984"/>
      <w:bookmarkStart w:id="145" w:name="_Toc239795084"/>
      <w:r w:rsidRPr="00B21494">
        <w:t xml:space="preserve">5.3.1 </w:t>
      </w:r>
      <w:r w:rsidRPr="00F8026E">
        <w:t>Claim Clarity and Substantiation as Credibility Conditions</w:t>
      </w:r>
      <w:bookmarkEnd w:id="144"/>
      <w:bookmarkEnd w:id="145"/>
    </w:p>
    <w:p w14:paraId="16AC7B8C" w14:textId="77777777" w:rsidR="00EF6DA0" w:rsidRDefault="00EF6DA0" w:rsidP="00EF6DA0">
      <w:r>
        <w:t>The literature states that environmental communication becomes more credible due to clearly delimited claims that have evidence-based support and information that can be measured, and vague or unsubstantiated claims undermine credibility (</w:t>
      </w:r>
      <w:proofErr w:type="spellStart"/>
      <w:r>
        <w:t>Bengtson</w:t>
      </w:r>
      <w:proofErr w:type="spellEnd"/>
      <w:r>
        <w:t xml:space="preserve"> and Mossberg, 2023). This opinion is confirmed by the cross-case findings. M&amp;S and Tesco merge targets, </w:t>
      </w:r>
      <w:r w:rsidRPr="001A0D0B">
        <w:t>baselines</w:t>
      </w:r>
      <w:r>
        <w:t xml:space="preserve"> and KPIs and implementation evidence, and </w:t>
      </w:r>
      <w:r w:rsidRPr="001A0D0B">
        <w:t>Sainsbury’s</w:t>
      </w:r>
      <w:r>
        <w:t xml:space="preserve"> correlates multiple commitments with measurable indicators. A good example of operations to consider is </w:t>
      </w:r>
      <w:proofErr w:type="spellStart"/>
      <w:r>
        <w:t>Asda</w:t>
      </w:r>
      <w:proofErr w:type="spellEnd"/>
      <w:r>
        <w:t xml:space="preserve">, which has announced a decrease in the packaging of its Just Essentials beef-mince item by 60 in total and 43 </w:t>
      </w:r>
      <w:proofErr w:type="spellStart"/>
      <w:r w:rsidRPr="001A0D0B">
        <w:t>tonnes</w:t>
      </w:r>
      <w:proofErr w:type="spellEnd"/>
      <w:r>
        <w:t xml:space="preserve"> of plastic (</w:t>
      </w:r>
      <w:proofErr w:type="spellStart"/>
      <w:r>
        <w:t>Asda</w:t>
      </w:r>
      <w:proofErr w:type="spellEnd"/>
      <w:r>
        <w:t xml:space="preserve"> Group Ltd, 2025). </w:t>
      </w:r>
    </w:p>
    <w:p w14:paraId="720C5B4F" w14:textId="6C005270" w:rsidR="00EF6DA0" w:rsidRDefault="00EF6DA0" w:rsidP="00EF6DA0">
      <w:r w:rsidRPr="005C2C40">
        <w:t xml:space="preserve">Nonetheless, quantification does not substantiate. Evidence at a product level might be convincing on a particular claim without reflecting on sustainability performance at an </w:t>
      </w:r>
      <w:proofErr w:type="spellStart"/>
      <w:r w:rsidRPr="005C2C40">
        <w:t>organisational</w:t>
      </w:r>
      <w:proofErr w:type="spellEnd"/>
      <w:r w:rsidRPr="005C2C40">
        <w:t xml:space="preserve"> level</w:t>
      </w:r>
      <w:r w:rsidR="0021681F">
        <w:t xml:space="preserve"> (</w:t>
      </w:r>
      <w:proofErr w:type="spellStart"/>
      <w:r w:rsidR="0021681F">
        <w:t>Verleye</w:t>
      </w:r>
      <w:proofErr w:type="spellEnd"/>
      <w:r w:rsidR="0021681F">
        <w:t xml:space="preserve"> et al., 2023)</w:t>
      </w:r>
      <w:r>
        <w:t xml:space="preserve">. This especially applies to </w:t>
      </w:r>
      <w:proofErr w:type="spellStart"/>
      <w:r>
        <w:t>Asda</w:t>
      </w:r>
      <w:proofErr w:type="spellEnd"/>
      <w:r>
        <w:t xml:space="preserve">, where concrete efforts offer convincing demonstrations, but less target-to-result comparability restricts more </w:t>
      </w:r>
      <w:proofErr w:type="spellStart"/>
      <w:r>
        <w:t>generalisations</w:t>
      </w:r>
      <w:proofErr w:type="spellEnd"/>
      <w:r>
        <w:t xml:space="preserve">. </w:t>
      </w:r>
    </w:p>
    <w:p w14:paraId="5F17E167" w14:textId="77777777" w:rsidR="00EF6DA0" w:rsidRDefault="00EF6DA0" w:rsidP="00EF6DA0">
      <w:r>
        <w:t>The results thus indicate that substantiation is a quality and scope dimension: the evidence must be quantifiable and relative to the strength of the statement. Simplified environmental terminology can become troublesome when particularly pertinent boundaries or conditions are not considered (Ding et al., 2024). M&amp;S also shows that substantiation of good strength can depict imbalanced advancement in the sense that good communication must be backed by evidence that can challenge its arguments and not just endorse.</w:t>
      </w:r>
    </w:p>
    <w:p w14:paraId="322F286D" w14:textId="77777777" w:rsidR="00EF6DA0" w:rsidRPr="00B21494" w:rsidRDefault="00EF6DA0" w:rsidP="00EF6DA0">
      <w:pPr>
        <w:rPr>
          <w:i/>
          <w:iCs/>
        </w:rPr>
      </w:pPr>
      <w:r w:rsidRPr="006176BA">
        <w:rPr>
          <w:b/>
          <w:bCs/>
        </w:rPr>
        <w:t>Interim conclusion:</w:t>
      </w:r>
      <w:r>
        <w:t xml:space="preserve"> clear and measurable claims enhance credibility only to the extent that the magnitude of the supporting evidence is equal to the magnitude of the sustainability claim</w:t>
      </w:r>
      <w:r w:rsidRPr="00B21494">
        <w:rPr>
          <w:i/>
          <w:iCs/>
        </w:rPr>
        <w:t>.</w:t>
      </w:r>
    </w:p>
    <w:p w14:paraId="562EA8AD" w14:textId="77777777" w:rsidR="00EF6DA0" w:rsidRPr="00B21494" w:rsidRDefault="00EF6DA0" w:rsidP="00EF6DA0">
      <w:pPr>
        <w:pStyle w:val="Heading3"/>
      </w:pPr>
      <w:bookmarkStart w:id="146" w:name="_Toc238719985"/>
      <w:bookmarkStart w:id="147" w:name="_Toc239795085"/>
      <w:r w:rsidRPr="00B21494">
        <w:t>5.3.2 Transparency, Underperformance and Credibility</w:t>
      </w:r>
      <w:bookmarkEnd w:id="146"/>
      <w:bookmarkEnd w:id="147"/>
    </w:p>
    <w:p w14:paraId="5709CED6" w14:textId="77777777" w:rsidR="00EF6DA0" w:rsidRDefault="00EF6DA0" w:rsidP="00EF6DA0">
      <w:r w:rsidRPr="00120A50">
        <w:t xml:space="preserve">Transparency is an essential factor for differences across cases. </w:t>
      </w:r>
      <w:r>
        <w:t xml:space="preserve">M&amp;S, Tesco and </w:t>
      </w:r>
      <w:r w:rsidRPr="001A0D0B">
        <w:t>Sainsbury’s</w:t>
      </w:r>
      <w:r>
        <w:t xml:space="preserve"> also </w:t>
      </w:r>
      <w:r>
        <w:lastRenderedPageBreak/>
        <w:t xml:space="preserve">report successes and areas such as food-waste and packaging underperformance relative to set goals. This questions the idea that successful sustainability marketing ought to convey primarily positive messages. Instead, transparency implies that information should be available and should be subject to review, not just be </w:t>
      </w:r>
      <w:proofErr w:type="spellStart"/>
      <w:r>
        <w:t>favourable</w:t>
      </w:r>
      <w:proofErr w:type="spellEnd"/>
      <w:r>
        <w:t xml:space="preserve"> to the </w:t>
      </w:r>
      <w:proofErr w:type="spellStart"/>
      <w:r>
        <w:t>organisation</w:t>
      </w:r>
      <w:proofErr w:type="spellEnd"/>
      <w:r>
        <w:t xml:space="preserve"> (Li, Sun and Hu, 2022). </w:t>
      </w:r>
    </w:p>
    <w:p w14:paraId="2E50C75A" w14:textId="77777777" w:rsidR="00EF6DA0" w:rsidRDefault="00EF6DA0" w:rsidP="00EF6DA0">
      <w:r>
        <w:t xml:space="preserve">Weak performances can undermine environmental performance and bolster credibility of communication when they are openly admitted. Tesco demonstrates this by revealing the problems of food-waste classification, showing that acknowledging weaknesses in measurement may </w:t>
      </w:r>
      <w:proofErr w:type="spellStart"/>
      <w:r>
        <w:t>minimise</w:t>
      </w:r>
      <w:proofErr w:type="spellEnd"/>
      <w:r>
        <w:t xml:space="preserve"> the temptation to report an artificially full account. This also supports a wider concept of greenwashing, which may also be associated with selective disclosure, exaggerated emphasis and vagueness instead of just false statements (Bernini and La Rosa, 2024). </w:t>
      </w:r>
    </w:p>
    <w:p w14:paraId="6BFC98D7" w14:textId="6E47E019" w:rsidR="00EF6DA0" w:rsidRDefault="00EF6DA0" w:rsidP="00EF6DA0">
      <w:r w:rsidRPr="00120A50">
        <w:t xml:space="preserve">However, continual subpar performance cannot be mitigated by transparency. </w:t>
      </w:r>
      <w:r>
        <w:t>Consistency of missed targets without being corrected can undermine credibility in the future. In the case of M&amp;S, Plan A is based in part on maintaining the presence of limitations and achievements. Altogether, balanced disclosure can bolster authenticity, as well as credibility, when underpinned by clarification, responsibility and perpetuated sustainability performance</w:t>
      </w:r>
      <w:r w:rsidR="0021681F">
        <w:t xml:space="preserve"> (</w:t>
      </w:r>
      <w:proofErr w:type="spellStart"/>
      <w:r w:rsidR="0021681F">
        <w:t>Alyahia</w:t>
      </w:r>
      <w:proofErr w:type="spellEnd"/>
      <w:r w:rsidR="0021681F">
        <w:t xml:space="preserve"> et al., 2024)</w:t>
      </w:r>
      <w:r>
        <w:t>.</w:t>
      </w:r>
    </w:p>
    <w:p w14:paraId="54806571" w14:textId="77777777" w:rsidR="00EF6DA0" w:rsidRPr="00B21494" w:rsidRDefault="00EF6DA0" w:rsidP="00EF6DA0">
      <w:pPr>
        <w:rPr>
          <w:i/>
          <w:iCs/>
        </w:rPr>
      </w:pPr>
      <w:r w:rsidRPr="006C63AA">
        <w:rPr>
          <w:b/>
          <w:bCs/>
        </w:rPr>
        <w:t>Interim implication:</w:t>
      </w:r>
      <w:r>
        <w:t xml:space="preserve"> credibility of communication can be enhanced through open disclosure of poor performance, but where disclosure is followed with accountability, flexibility and follow-up.</w:t>
      </w:r>
    </w:p>
    <w:p w14:paraId="5CC08B46" w14:textId="77777777" w:rsidR="00EF6DA0" w:rsidRPr="00B21494" w:rsidRDefault="00EF6DA0" w:rsidP="00EF6DA0">
      <w:pPr>
        <w:pStyle w:val="Heading3"/>
      </w:pPr>
      <w:bookmarkStart w:id="148" w:name="_Toc238719986"/>
      <w:bookmarkStart w:id="149" w:name="_Toc239795086"/>
      <w:r w:rsidRPr="00B21494">
        <w:t xml:space="preserve">5.3.3 </w:t>
      </w:r>
      <w:r w:rsidRPr="00FF2981">
        <w:t>Cross-Channel Consistency and Evidence Accessibility</w:t>
      </w:r>
      <w:bookmarkEnd w:id="148"/>
      <w:bookmarkEnd w:id="149"/>
    </w:p>
    <w:p w14:paraId="61ABD37F" w14:textId="77777777" w:rsidR="00EF6DA0" w:rsidRDefault="00EF6DA0" w:rsidP="00EF6DA0">
      <w:r>
        <w:t>Communication on sustainability occurs through reports, corporate webpages, packaging, advertising and social media; thus, cross-channel consistency is significant to credibility. The overall sustainability message of the retailer cannot be entirely expressed through a single channel (</w:t>
      </w:r>
      <w:proofErr w:type="spellStart"/>
      <w:r>
        <w:t>Nemes</w:t>
      </w:r>
      <w:proofErr w:type="spellEnd"/>
      <w:r>
        <w:t xml:space="preserve"> et al., 2022). The results validate this opinion but highlight accessibility. </w:t>
      </w:r>
      <w:proofErr w:type="spellStart"/>
      <w:r>
        <w:t>Morrisons</w:t>
      </w:r>
      <w:proofErr w:type="spellEnd"/>
      <w:r>
        <w:t xml:space="preserve"> demonstrates that relevant evidence might be scattered across webpages and will be more difficult to connect commitments, actions and outcomes by stakeholders. </w:t>
      </w:r>
    </w:p>
    <w:p w14:paraId="17DD8B87" w14:textId="6F4B267F" w:rsidR="00EF6DA0" w:rsidRDefault="00EF6DA0" w:rsidP="00EF6DA0">
      <w:r w:rsidRPr="00BD1606">
        <w:t>M&amp;S and Tesco demonstrate robust evidence integration</w:t>
      </w:r>
      <w:r>
        <w:t>.</w:t>
      </w:r>
      <w:r w:rsidRPr="005C2C40">
        <w:t xml:space="preserve"> </w:t>
      </w:r>
      <w:r w:rsidRPr="001A0D0B">
        <w:t>Sainsbury’s</w:t>
      </w:r>
      <w:r>
        <w:t xml:space="preserve"> </w:t>
      </w:r>
      <w:r w:rsidRPr="005C2C40">
        <w:t xml:space="preserve">is better </w:t>
      </w:r>
      <w:r>
        <w:t>at</w:t>
      </w:r>
      <w:r w:rsidRPr="005C2C40">
        <w:t xml:space="preserve"> providing structured performance data and </w:t>
      </w:r>
      <w:proofErr w:type="spellStart"/>
      <w:r w:rsidRPr="005C2C40">
        <w:t>Asda</w:t>
      </w:r>
      <w:proofErr w:type="spellEnd"/>
      <w:r w:rsidRPr="005C2C40">
        <w:t xml:space="preserve"> is better </w:t>
      </w:r>
      <w:r>
        <w:t>at</w:t>
      </w:r>
      <w:r w:rsidRPr="005C2C40">
        <w:t xml:space="preserve"> giving clear examples to customers at the expense of a weaker target-to-result comparison</w:t>
      </w:r>
      <w:r>
        <w:t>. Cross-channel consistency thus ought to imply consistency in meaning, scope and evidence, but not the same messaging. Customer-facing channels and reports inherently vary in their technicality. Increasing disclosure is not necessarily a positive contribution towards better communication; it may make it more difficult to access, and simplify it to the point of eliminating valuable qualification</w:t>
      </w:r>
      <w:r w:rsidR="0021681F">
        <w:t xml:space="preserve"> (Xu, Li and Xu, 2023)</w:t>
      </w:r>
      <w:r>
        <w:t xml:space="preserve">. </w:t>
      </w:r>
    </w:p>
    <w:p w14:paraId="293E6C19" w14:textId="65F8A9C4" w:rsidR="00EF6DA0" w:rsidRDefault="00EF6DA0" w:rsidP="00EF6DA0">
      <w:r>
        <w:lastRenderedPageBreak/>
        <w:t>Sustainability information to various stakeholder audiences and communication purposes should thus be simplified effectively without compromising on its verifiability</w:t>
      </w:r>
      <w:r w:rsidR="0021681F">
        <w:t xml:space="preserve"> (Ding et al., 2024)</w:t>
      </w:r>
      <w:r>
        <w:t>.</w:t>
      </w:r>
    </w:p>
    <w:p w14:paraId="5AC5BB72" w14:textId="77777777" w:rsidR="00EF6DA0" w:rsidRPr="00B21494" w:rsidRDefault="00EF6DA0" w:rsidP="00EF6DA0">
      <w:pPr>
        <w:rPr>
          <w:i/>
          <w:iCs/>
        </w:rPr>
      </w:pPr>
      <w:r w:rsidRPr="0095656A">
        <w:rPr>
          <w:b/>
          <w:bCs/>
        </w:rPr>
        <w:t>Interim conclusion:</w:t>
      </w:r>
      <w:r>
        <w:t xml:space="preserve"> sustainability evidence builds more powerful credibility when the stakeholders can trace coherent claims made in the customer-facing messaging to more support information elsewhere</w:t>
      </w:r>
      <w:r w:rsidRPr="00B21494">
        <w:rPr>
          <w:i/>
          <w:iCs/>
        </w:rPr>
        <w:t>.</w:t>
      </w:r>
    </w:p>
    <w:p w14:paraId="6EB4DF60" w14:textId="77777777" w:rsidR="00EF6DA0" w:rsidRPr="00B21494" w:rsidRDefault="00EF6DA0" w:rsidP="00EF6DA0">
      <w:pPr>
        <w:pStyle w:val="Heading3"/>
      </w:pPr>
      <w:bookmarkStart w:id="150" w:name="_Toc238719987"/>
      <w:bookmarkStart w:id="151" w:name="_Toc239795087"/>
      <w:r w:rsidRPr="00B21494">
        <w:t>5.3.4 Authenticity, Greenwashing Risk and Potential Brand Trust</w:t>
      </w:r>
      <w:bookmarkEnd w:id="150"/>
      <w:bookmarkEnd w:id="151"/>
    </w:p>
    <w:p w14:paraId="2BEA5359" w14:textId="77777777" w:rsidR="00EF6DA0" w:rsidRDefault="00EF6DA0" w:rsidP="00EF6DA0">
      <w:r>
        <w:t xml:space="preserve">The last theme explores the role that credibility of communication, authenticity and greenwashing threat can play in brand trust. Credible communication may enhance confidence; however, it is not an indication that consumers believe in the brand. Green trust is an expression of confidence in the fulfilment of environmental commitments, whereas broader brand trust involves reliability and intentions (Chen, 2010). </w:t>
      </w:r>
    </w:p>
    <w:p w14:paraId="3A66EDC8" w14:textId="6533ED9C" w:rsidR="00EF6DA0" w:rsidRPr="00AB4680" w:rsidRDefault="00EF6DA0" w:rsidP="00EF6DA0">
      <w:r w:rsidRPr="005C2C40">
        <w:t xml:space="preserve">Some cross-case evidence reports a conditional association: M&amp;S, Tesco and </w:t>
      </w:r>
      <w:r w:rsidRPr="001A0D0B">
        <w:t>Sainsbury’s</w:t>
      </w:r>
      <w:r>
        <w:t xml:space="preserve"> </w:t>
      </w:r>
      <w:r w:rsidRPr="005C2C40">
        <w:t xml:space="preserve">strongly report and exemplify conditions of trust, the comparability of </w:t>
      </w:r>
      <w:proofErr w:type="spellStart"/>
      <w:r w:rsidRPr="005C2C40">
        <w:t>Asda</w:t>
      </w:r>
      <w:proofErr w:type="spellEnd"/>
      <w:r w:rsidRPr="005C2C40">
        <w:t xml:space="preserve"> is limited and the evidence of </w:t>
      </w:r>
      <w:proofErr w:type="spellStart"/>
      <w:r w:rsidRPr="005C2C40">
        <w:t>Morrisons</w:t>
      </w:r>
      <w:proofErr w:type="spellEnd"/>
      <w:r w:rsidRPr="005C2C40">
        <w:t xml:space="preserve"> is fragmented, which undermines overall plausibility throughout the </w:t>
      </w:r>
      <w:r>
        <w:t>company's</w:t>
      </w:r>
      <w:r w:rsidRPr="005C2C40">
        <w:t xml:space="preserve"> sustainability communications</w:t>
      </w:r>
      <w:r w:rsidRPr="00A36C24">
        <w:t>.</w:t>
      </w:r>
    </w:p>
    <w:p w14:paraId="44C64E0F" w14:textId="0CFD9470" w:rsidR="00AB4680" w:rsidRDefault="00AB4680" w:rsidP="00AB4680">
      <w:pPr>
        <w:pStyle w:val="Caption"/>
        <w:keepNext/>
      </w:pPr>
      <w:bookmarkStart w:id="152" w:name="_Toc239794897"/>
      <w:r>
        <w:t xml:space="preserve">Table </w:t>
      </w:r>
      <w:r>
        <w:fldChar w:fldCharType="begin"/>
      </w:r>
      <w:r>
        <w:instrText xml:space="preserve"> SEQ Table \* ARABIC </w:instrText>
      </w:r>
      <w:r>
        <w:fldChar w:fldCharType="separate"/>
      </w:r>
      <w:r>
        <w:rPr>
          <w:noProof/>
        </w:rPr>
        <w:t>5</w:t>
      </w:r>
      <w:r>
        <w:rPr>
          <w:noProof/>
        </w:rPr>
        <w:fldChar w:fldCharType="end"/>
      </w:r>
      <w:r>
        <w:t xml:space="preserve">: </w:t>
      </w:r>
      <w:r w:rsidRPr="00971074">
        <w:t>Cross-Case Credibility Comparison</w:t>
      </w:r>
      <w:bookmarkEnd w:id="152"/>
    </w:p>
    <w:tbl>
      <w:tblPr>
        <w:tblStyle w:val="GridTable6ColourfulAccent1"/>
        <w:tblW w:w="0" w:type="auto"/>
        <w:tblLook w:val="04A0" w:firstRow="1" w:lastRow="0" w:firstColumn="1" w:lastColumn="0" w:noHBand="0" w:noVBand="1"/>
      </w:tblPr>
      <w:tblGrid>
        <w:gridCol w:w="1228"/>
        <w:gridCol w:w="2457"/>
        <w:gridCol w:w="2250"/>
        <w:gridCol w:w="3415"/>
      </w:tblGrid>
      <w:tr w:rsidR="00EF6DA0" w:rsidRPr="00EF7095" w14:paraId="3570A5F7" w14:textId="77777777" w:rsidTr="00F175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BCF131" w14:textId="77777777" w:rsidR="00EF6DA0" w:rsidRPr="00EF7095" w:rsidRDefault="00EF6DA0" w:rsidP="00127600">
            <w:pPr>
              <w:jc w:val="center"/>
              <w:rPr>
                <w:color w:val="auto"/>
                <w:sz w:val="20"/>
                <w:szCs w:val="18"/>
              </w:rPr>
            </w:pPr>
            <w:r w:rsidRPr="00EF7095">
              <w:rPr>
                <w:color w:val="auto"/>
                <w:sz w:val="20"/>
                <w:szCs w:val="18"/>
              </w:rPr>
              <w:t>Company</w:t>
            </w:r>
          </w:p>
        </w:tc>
        <w:tc>
          <w:tcPr>
            <w:tcW w:w="2457" w:type="dxa"/>
            <w:hideMark/>
          </w:tcPr>
          <w:p w14:paraId="007DAEFC" w14:textId="77777777" w:rsidR="00EF6DA0" w:rsidRPr="00EF7095" w:rsidRDefault="00EF6DA0" w:rsidP="00127600">
            <w:pPr>
              <w:jc w:val="center"/>
              <w:cnfStyle w:val="100000000000" w:firstRow="1"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Key strength</w:t>
            </w:r>
          </w:p>
        </w:tc>
        <w:tc>
          <w:tcPr>
            <w:tcW w:w="2250" w:type="dxa"/>
            <w:hideMark/>
          </w:tcPr>
          <w:p w14:paraId="70AEA647" w14:textId="77777777" w:rsidR="00EF6DA0" w:rsidRPr="00EF7095" w:rsidRDefault="00EF6DA0" w:rsidP="00127600">
            <w:pPr>
              <w:jc w:val="center"/>
              <w:cnfStyle w:val="100000000000" w:firstRow="1"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Key limitation</w:t>
            </w:r>
          </w:p>
        </w:tc>
        <w:tc>
          <w:tcPr>
            <w:tcW w:w="3415" w:type="dxa"/>
            <w:hideMark/>
          </w:tcPr>
          <w:p w14:paraId="772DDC7D" w14:textId="77777777" w:rsidR="00EF6DA0" w:rsidRPr="00EF7095" w:rsidRDefault="00EF6DA0" w:rsidP="00127600">
            <w:pPr>
              <w:jc w:val="center"/>
              <w:cnfStyle w:val="100000000000" w:firstRow="1"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Overall view</w:t>
            </w:r>
          </w:p>
        </w:tc>
      </w:tr>
      <w:tr w:rsidR="00EF6DA0" w:rsidRPr="00EF7095" w14:paraId="294B84C8" w14:textId="77777777" w:rsidTr="00F175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9BC6A1" w14:textId="77777777" w:rsidR="00EF6DA0" w:rsidRPr="00EF7095" w:rsidRDefault="00EF6DA0" w:rsidP="00127600">
            <w:pPr>
              <w:rPr>
                <w:color w:val="auto"/>
                <w:sz w:val="20"/>
                <w:szCs w:val="18"/>
              </w:rPr>
            </w:pPr>
            <w:r w:rsidRPr="00EF7095">
              <w:rPr>
                <w:color w:val="auto"/>
                <w:sz w:val="20"/>
                <w:szCs w:val="18"/>
              </w:rPr>
              <w:t>M&amp;S</w:t>
            </w:r>
          </w:p>
        </w:tc>
        <w:tc>
          <w:tcPr>
            <w:tcW w:w="2457" w:type="dxa"/>
            <w:hideMark/>
          </w:tcPr>
          <w:p w14:paraId="1C1FD66C"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Evidence and measurable reporting in the Integrated Plan A.</w:t>
            </w:r>
          </w:p>
        </w:tc>
        <w:tc>
          <w:tcPr>
            <w:tcW w:w="2250" w:type="dxa"/>
            <w:hideMark/>
          </w:tcPr>
          <w:p w14:paraId="0C71AF1A"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Imbalanced improvement in certain targets.</w:t>
            </w:r>
          </w:p>
        </w:tc>
        <w:tc>
          <w:tcPr>
            <w:tcW w:w="3415" w:type="dxa"/>
            <w:hideMark/>
          </w:tcPr>
          <w:p w14:paraId="00571EF6"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Good communication structure, yet it is a promise to be kept.</w:t>
            </w:r>
          </w:p>
        </w:tc>
      </w:tr>
      <w:tr w:rsidR="00EF6DA0" w:rsidRPr="00EF7095" w14:paraId="35DE1E3F" w14:textId="77777777" w:rsidTr="00F175CF">
        <w:tc>
          <w:tcPr>
            <w:cnfStyle w:val="001000000000" w:firstRow="0" w:lastRow="0" w:firstColumn="1" w:lastColumn="0" w:oddVBand="0" w:evenVBand="0" w:oddHBand="0" w:evenHBand="0" w:firstRowFirstColumn="0" w:firstRowLastColumn="0" w:lastRowFirstColumn="0" w:lastRowLastColumn="0"/>
            <w:tcW w:w="0" w:type="auto"/>
            <w:hideMark/>
          </w:tcPr>
          <w:p w14:paraId="5131B616" w14:textId="77777777" w:rsidR="00EF6DA0" w:rsidRPr="00EF7095" w:rsidRDefault="00EF6DA0" w:rsidP="00127600">
            <w:pPr>
              <w:rPr>
                <w:color w:val="auto"/>
                <w:sz w:val="20"/>
                <w:szCs w:val="18"/>
              </w:rPr>
            </w:pPr>
            <w:r w:rsidRPr="00EF7095">
              <w:rPr>
                <w:color w:val="auto"/>
                <w:sz w:val="20"/>
                <w:szCs w:val="18"/>
              </w:rPr>
              <w:t>Tesco</w:t>
            </w:r>
          </w:p>
        </w:tc>
        <w:tc>
          <w:tcPr>
            <w:tcW w:w="2457" w:type="dxa"/>
            <w:hideMark/>
          </w:tcPr>
          <w:p w14:paraId="7B235284" w14:textId="77777777" w:rsidR="00EF6DA0" w:rsidRPr="00EF7095"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Performance gaps measurement and disclosure.</w:t>
            </w:r>
          </w:p>
        </w:tc>
        <w:tc>
          <w:tcPr>
            <w:tcW w:w="2250" w:type="dxa"/>
            <w:hideMark/>
          </w:tcPr>
          <w:p w14:paraId="15217AB5" w14:textId="77777777" w:rsidR="00EF6DA0" w:rsidRPr="00EF7095"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Weaknesses in food waste and measurement.</w:t>
            </w:r>
          </w:p>
        </w:tc>
        <w:tc>
          <w:tcPr>
            <w:tcW w:w="3415" w:type="dxa"/>
            <w:hideMark/>
          </w:tcPr>
          <w:p w14:paraId="406D22D5" w14:textId="77777777" w:rsidR="00EF6DA0" w:rsidRPr="00EF7095"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Even if sustainability outcomes are far from perfect, disclosure of performance gaps can enhance the credibility of communication.</w:t>
            </w:r>
          </w:p>
        </w:tc>
      </w:tr>
      <w:tr w:rsidR="00EF6DA0" w:rsidRPr="00EF7095" w14:paraId="1DCA9611" w14:textId="77777777" w:rsidTr="00F175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3B1AB3" w14:textId="77777777" w:rsidR="00EF6DA0" w:rsidRPr="00EF7095" w:rsidRDefault="00EF6DA0" w:rsidP="00127600">
            <w:pPr>
              <w:rPr>
                <w:color w:val="auto"/>
                <w:sz w:val="20"/>
                <w:szCs w:val="18"/>
              </w:rPr>
            </w:pPr>
            <w:proofErr w:type="spellStart"/>
            <w:r w:rsidRPr="00EF7095">
              <w:rPr>
                <w:color w:val="auto"/>
                <w:sz w:val="20"/>
                <w:szCs w:val="18"/>
              </w:rPr>
              <w:t>Asda</w:t>
            </w:r>
            <w:proofErr w:type="spellEnd"/>
          </w:p>
        </w:tc>
        <w:tc>
          <w:tcPr>
            <w:tcW w:w="2457" w:type="dxa"/>
            <w:hideMark/>
          </w:tcPr>
          <w:p w14:paraId="677C0743"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Clear measured initiatives</w:t>
            </w:r>
          </w:p>
        </w:tc>
        <w:tc>
          <w:tcPr>
            <w:tcW w:w="2250" w:type="dxa"/>
            <w:hideMark/>
          </w:tcPr>
          <w:p w14:paraId="1C2F850F"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Weaker overall business comparison</w:t>
            </w:r>
          </w:p>
        </w:tc>
        <w:tc>
          <w:tcPr>
            <w:tcW w:w="3415" w:type="dxa"/>
            <w:hideMark/>
          </w:tcPr>
          <w:p w14:paraId="6610639E"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Good supporting evidence for specific claims, but less for company level claims.</w:t>
            </w:r>
          </w:p>
        </w:tc>
      </w:tr>
      <w:tr w:rsidR="00EF6DA0" w:rsidRPr="00EF7095" w14:paraId="4E4B259E" w14:textId="77777777" w:rsidTr="00F175CF">
        <w:tc>
          <w:tcPr>
            <w:cnfStyle w:val="001000000000" w:firstRow="0" w:lastRow="0" w:firstColumn="1" w:lastColumn="0" w:oddVBand="0" w:evenVBand="0" w:oddHBand="0" w:evenHBand="0" w:firstRowFirstColumn="0" w:firstRowLastColumn="0" w:lastRowFirstColumn="0" w:lastRowLastColumn="0"/>
            <w:tcW w:w="0" w:type="auto"/>
            <w:hideMark/>
          </w:tcPr>
          <w:p w14:paraId="7FEBD2B4" w14:textId="77777777" w:rsidR="00EF6DA0" w:rsidRPr="00EF7095" w:rsidRDefault="00EF6DA0" w:rsidP="00127600">
            <w:pPr>
              <w:rPr>
                <w:color w:val="auto"/>
                <w:sz w:val="20"/>
                <w:szCs w:val="18"/>
              </w:rPr>
            </w:pPr>
            <w:proofErr w:type="spellStart"/>
            <w:r w:rsidRPr="00EF7095">
              <w:rPr>
                <w:color w:val="auto"/>
                <w:sz w:val="20"/>
                <w:szCs w:val="18"/>
              </w:rPr>
              <w:t>Morrisons</w:t>
            </w:r>
            <w:proofErr w:type="spellEnd"/>
          </w:p>
        </w:tc>
        <w:tc>
          <w:tcPr>
            <w:tcW w:w="2457" w:type="dxa"/>
            <w:hideMark/>
          </w:tcPr>
          <w:p w14:paraId="14FF3D01" w14:textId="77777777" w:rsidR="00EF6DA0" w:rsidRPr="00EF7095"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Quantifiable goals and action plans.</w:t>
            </w:r>
          </w:p>
        </w:tc>
        <w:tc>
          <w:tcPr>
            <w:tcW w:w="2250" w:type="dxa"/>
            <w:hideMark/>
          </w:tcPr>
          <w:p w14:paraId="1ED3FB59" w14:textId="77777777" w:rsidR="00EF6DA0" w:rsidRPr="00EF7095"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Fragmented public evidence</w:t>
            </w:r>
          </w:p>
        </w:tc>
        <w:tc>
          <w:tcPr>
            <w:tcW w:w="3415" w:type="dxa"/>
            <w:hideMark/>
          </w:tcPr>
          <w:p w14:paraId="455E50B6" w14:textId="77777777" w:rsidR="00EF6DA0" w:rsidRPr="00EF7095"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18"/>
              </w:rPr>
            </w:pPr>
            <w:r w:rsidRPr="00EF7095">
              <w:rPr>
                <w:color w:val="auto"/>
                <w:sz w:val="20"/>
                <w:szCs w:val="18"/>
              </w:rPr>
              <w:t>Verification difficulty is communicatively weakening of substantive activity</w:t>
            </w:r>
          </w:p>
        </w:tc>
      </w:tr>
      <w:tr w:rsidR="00EF6DA0" w:rsidRPr="00EF7095" w14:paraId="569AF579" w14:textId="77777777" w:rsidTr="00F175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EEED86" w14:textId="77777777" w:rsidR="00EF6DA0" w:rsidRPr="00EF7095" w:rsidRDefault="00EF6DA0" w:rsidP="00127600">
            <w:pPr>
              <w:rPr>
                <w:color w:val="auto"/>
                <w:sz w:val="20"/>
                <w:szCs w:val="18"/>
              </w:rPr>
            </w:pPr>
            <w:r w:rsidRPr="00EF7095">
              <w:rPr>
                <w:color w:val="auto"/>
                <w:sz w:val="20"/>
                <w:szCs w:val="18"/>
              </w:rPr>
              <w:t>Sainsbury’s</w:t>
            </w:r>
          </w:p>
        </w:tc>
        <w:tc>
          <w:tcPr>
            <w:tcW w:w="2457" w:type="dxa"/>
            <w:hideMark/>
          </w:tcPr>
          <w:p w14:paraId="701B0053"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Balanced performance reporting</w:t>
            </w:r>
          </w:p>
        </w:tc>
        <w:tc>
          <w:tcPr>
            <w:tcW w:w="2250" w:type="dxa"/>
            <w:hideMark/>
          </w:tcPr>
          <w:p w14:paraId="56E85767"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Lack of consistency and shifting goals</w:t>
            </w:r>
          </w:p>
        </w:tc>
        <w:tc>
          <w:tcPr>
            <w:tcW w:w="3415" w:type="dxa"/>
            <w:hideMark/>
          </w:tcPr>
          <w:p w14:paraId="2A6DEFF3" w14:textId="77777777" w:rsidR="00EF6DA0" w:rsidRPr="00EF7095"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18"/>
              </w:rPr>
            </w:pPr>
            <w:r w:rsidRPr="00EF7095">
              <w:rPr>
                <w:color w:val="auto"/>
                <w:sz w:val="20"/>
                <w:szCs w:val="18"/>
              </w:rPr>
              <w:t>Transparency propagates credibility in circumstances where reforms are sufficiently put in context</w:t>
            </w:r>
          </w:p>
        </w:tc>
      </w:tr>
    </w:tbl>
    <w:p w14:paraId="11C805A4" w14:textId="77777777" w:rsidR="00EF6DA0" w:rsidRDefault="00EF6DA0" w:rsidP="00EF6DA0"/>
    <w:p w14:paraId="418D2085" w14:textId="21A4DFE5" w:rsidR="00EF6DA0" w:rsidRDefault="00EF6DA0" w:rsidP="00EF6DA0">
      <w:r>
        <w:lastRenderedPageBreak/>
        <w:t xml:space="preserve">Table 5 </w:t>
      </w:r>
      <w:proofErr w:type="spellStart"/>
      <w:r>
        <w:t>synthesises</w:t>
      </w:r>
      <w:proofErr w:type="spellEnd"/>
      <w:r>
        <w:t xml:space="preserve"> the four analytical themes and indicates that there is no retailer that appears to be consistently strong or weak across credibility dimensions. Instead of ranking environmental performance, it determines the mechanisms of determining the credibility of communication and demonstrates that effective sustainability performance does not necessarily lead to effective sustainability communication. Appendix A gives a retailer-by-retailer comparison, indicating the differences in credibility conditions and limitations between the five cases. These discoveries support the view that authenticity may reinforce trust and that credible signals and consumer reactions are diverse (Lee and </w:t>
      </w:r>
      <w:proofErr w:type="spellStart"/>
      <w:r>
        <w:t>Jeong</w:t>
      </w:r>
      <w:proofErr w:type="spellEnd"/>
      <w:r>
        <w:t>, 2022). They also support concerns that perceived greenwashing is detrimental to brand image and green trust (</w:t>
      </w:r>
      <w:proofErr w:type="spellStart"/>
      <w:r>
        <w:t>Tu</w:t>
      </w:r>
      <w:proofErr w:type="spellEnd"/>
      <w:r>
        <w:t xml:space="preserve"> et al., 2024).</w:t>
      </w:r>
    </w:p>
    <w:p w14:paraId="5E257424" w14:textId="77777777" w:rsidR="00EF6DA0" w:rsidRPr="00B21494" w:rsidRDefault="00EF6DA0" w:rsidP="00EF6DA0">
      <w:pPr>
        <w:rPr>
          <w:i/>
          <w:iCs/>
        </w:rPr>
      </w:pPr>
      <w:r w:rsidRPr="0095656A">
        <w:rPr>
          <w:b/>
          <w:bCs/>
        </w:rPr>
        <w:t>Interim conclusion:</w:t>
      </w:r>
      <w:r>
        <w:t xml:space="preserve"> credibility and authenticity mediate the possible connection between sustainability communication and brand trust, and are not determined by communication quantity or good environmental statements</w:t>
      </w:r>
      <w:r w:rsidRPr="00B21494">
        <w:rPr>
          <w:i/>
          <w:iCs/>
        </w:rPr>
        <w:t>.</w:t>
      </w:r>
    </w:p>
    <w:p w14:paraId="5DE58382" w14:textId="77777777" w:rsidR="00EF6DA0" w:rsidRPr="00B21494" w:rsidRDefault="00EF6DA0" w:rsidP="00EF6DA0">
      <w:pPr>
        <w:pStyle w:val="Heading2"/>
      </w:pPr>
      <w:bookmarkStart w:id="153" w:name="_Toc238719988"/>
      <w:bookmarkStart w:id="154" w:name="_Toc239795088"/>
      <w:r w:rsidRPr="00B21494">
        <w:t>5.4 Integration with the Conceptual Framework</w:t>
      </w:r>
      <w:bookmarkEnd w:id="153"/>
      <w:bookmarkEnd w:id="154"/>
    </w:p>
    <w:p w14:paraId="48F30AC9" w14:textId="77777777" w:rsidR="00EF6DA0" w:rsidRDefault="00EF6DA0" w:rsidP="00EF6DA0">
      <w:r w:rsidRPr="0095656A">
        <w:t>The Chapter 2 conceptual framework is widely based</w:t>
      </w:r>
      <w:r>
        <w:t>,</w:t>
      </w:r>
      <w:r w:rsidRPr="0095656A">
        <w:t xml:space="preserve"> but it has to be refined. It initially considered clarity of claims, quality of evidence, transparency and cross-channel consistency </w:t>
      </w:r>
      <w:r>
        <w:t xml:space="preserve">as credibility </w:t>
      </w:r>
      <w:proofErr w:type="spellStart"/>
      <w:r>
        <w:t>behaviours</w:t>
      </w:r>
      <w:proofErr w:type="spellEnd"/>
      <w:r w:rsidRPr="0095656A">
        <w:t xml:space="preserve"> that determined the possible trust implications of sustainability communication. Results </w:t>
      </w:r>
      <w:r w:rsidRPr="0058350B">
        <w:t>support</w:t>
      </w:r>
      <w:r>
        <w:t xml:space="preserve"> </w:t>
      </w:r>
      <w:r w:rsidRPr="0095656A">
        <w:t>all four dimensions, yet indicate that the effects of all four are not independent</w:t>
      </w:r>
      <w:r>
        <w:t>,</w:t>
      </w:r>
      <w:r w:rsidRPr="0095656A">
        <w:t xml:space="preserve"> nor are they equally strong. </w:t>
      </w:r>
      <w:r w:rsidRPr="00386A48">
        <w:t>The results suggest that the quality of evidence is influenced by whether measures are scaled to the scope of the claim, if positive and negative performance are reported, and if there is a consistency between the claim presented to customers and the supporting evidence provided in various channels</w:t>
      </w:r>
      <w:r w:rsidRPr="00A36C24">
        <w:t xml:space="preserve">. </w:t>
      </w:r>
    </w:p>
    <w:p w14:paraId="2EF1A4D3" w14:textId="77777777" w:rsidR="00EF6DA0" w:rsidRDefault="00EF6DA0" w:rsidP="00EF6DA0">
      <w:r w:rsidRPr="00A36C24">
        <w:t xml:space="preserve">The refined pathway is: </w:t>
      </w:r>
    </w:p>
    <w:p w14:paraId="6C033982" w14:textId="77777777" w:rsidR="00470DA8" w:rsidRDefault="00470DA8" w:rsidP="00EF6DA0"/>
    <w:p w14:paraId="1EA25E0E" w14:textId="77777777" w:rsidR="00F175CF" w:rsidRDefault="00EF6DA0" w:rsidP="00F175CF">
      <w:pPr>
        <w:keepNext/>
        <w:jc w:val="center"/>
      </w:pPr>
      <w:r>
        <w:rPr>
          <w:noProof/>
        </w:rPr>
        <w:lastRenderedPageBreak/>
        <w:drawing>
          <wp:inline distT="0" distB="0" distL="0" distR="0" wp14:anchorId="7FA7DD10" wp14:editId="65D8B0D0">
            <wp:extent cx="5927463" cy="1946910"/>
            <wp:effectExtent l="0" t="0" r="0" b="1524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74D0A66" w14:textId="7BF1E9D9" w:rsidR="00EF6DA0" w:rsidRDefault="00F175CF" w:rsidP="00F175CF">
      <w:pPr>
        <w:pStyle w:val="Caption"/>
        <w:jc w:val="center"/>
      </w:pPr>
      <w:bookmarkStart w:id="155" w:name="_Toc239794907"/>
      <w:r>
        <w:t xml:space="preserve">Figure </w:t>
      </w:r>
      <w:r>
        <w:fldChar w:fldCharType="begin"/>
      </w:r>
      <w:r>
        <w:instrText xml:space="preserve"> SEQ Figure \* ARABIC </w:instrText>
      </w:r>
      <w:r>
        <w:fldChar w:fldCharType="separate"/>
      </w:r>
      <w:r>
        <w:rPr>
          <w:noProof/>
        </w:rPr>
        <w:t>4</w:t>
      </w:r>
      <w:r>
        <w:rPr>
          <w:noProof/>
        </w:rPr>
        <w:fldChar w:fldCharType="end"/>
      </w:r>
      <w:r>
        <w:t xml:space="preserve">: </w:t>
      </w:r>
      <w:r w:rsidRPr="00EC16BE">
        <w:t>Refined Sustainability–Trust Pathway. Source: Self-made based on the Chapter 2 conceptual framework and Chapter 5 findings.</w:t>
      </w:r>
      <w:bookmarkEnd w:id="155"/>
    </w:p>
    <w:p w14:paraId="2BDACCDE" w14:textId="3313E2A0" w:rsidR="00EF6DA0" w:rsidRDefault="00EF6DA0" w:rsidP="00EF6DA0">
      <w:r>
        <w:t xml:space="preserve">Figure </w:t>
      </w:r>
      <w:r w:rsidR="00CE37BB">
        <w:t>4</w:t>
      </w:r>
      <w:r>
        <w:t xml:space="preserve"> indicates that sustainability communication itself affects trust-supporting conditions indirectly via the mediating variables of clarity, substantiation, transparency and consistency which determine credibility and authenticity. These, in turn, decrease the possible risk of greenwashing and ensure more </w:t>
      </w:r>
      <w:proofErr w:type="spellStart"/>
      <w:r>
        <w:t>favourable</w:t>
      </w:r>
      <w:proofErr w:type="spellEnd"/>
      <w:r>
        <w:t xml:space="preserve"> conditions to support brand trust instead of proving it.</w:t>
      </w:r>
    </w:p>
    <w:p w14:paraId="03F22463" w14:textId="2E732B14" w:rsidR="00EF6DA0" w:rsidRPr="00B21494" w:rsidRDefault="00EF6DA0" w:rsidP="00EF6DA0">
      <w:r>
        <w:t>Proportionality of claim and evidence are further predisposing factors to this linkage, whereas poor performance is reported and supportive information is available. All in all, clarity and substantiation are two credibility conditions, and transparency and consistency are two conditions on accountability and accessibility. Nonetheless, the credibility/authenticity-to-brand-trust relationship is theoretically substantiated but empirically unexplored, because documentary evidence is unable to prove a causal change in consumer trust in this secondary documentary research design</w:t>
      </w:r>
      <w:r w:rsidR="0021681F">
        <w:t xml:space="preserve"> (Lee and </w:t>
      </w:r>
      <w:proofErr w:type="spellStart"/>
      <w:r w:rsidR="0021681F">
        <w:t>Jeong</w:t>
      </w:r>
      <w:proofErr w:type="spellEnd"/>
      <w:r w:rsidR="0021681F">
        <w:t>, 2022)</w:t>
      </w:r>
      <w:r w:rsidRPr="00A36C24">
        <w:t>.</w:t>
      </w:r>
    </w:p>
    <w:p w14:paraId="7B6AA53B" w14:textId="77777777" w:rsidR="00EF6DA0" w:rsidRPr="00B21494" w:rsidRDefault="00EF6DA0" w:rsidP="00EF6DA0">
      <w:pPr>
        <w:pStyle w:val="Heading2"/>
      </w:pPr>
      <w:bookmarkStart w:id="156" w:name="_Toc238719989"/>
      <w:bookmarkStart w:id="157" w:name="_Toc239795089"/>
      <w:r w:rsidRPr="00B21494">
        <w:t>5.5 Robustness Considerations</w:t>
      </w:r>
      <w:bookmarkEnd w:id="156"/>
      <w:bookmarkEnd w:id="157"/>
    </w:p>
    <w:p w14:paraId="4551BC46" w14:textId="77777777" w:rsidR="00EF6DA0" w:rsidRDefault="00EF6DA0" w:rsidP="00EF6DA0">
      <w:r>
        <w:t xml:space="preserve">The interpretation should be qualified by various alternative explanations. First, the research hinges on primarily secondary documentary sources created by </w:t>
      </w:r>
      <w:proofErr w:type="spellStart"/>
      <w:r>
        <w:t>organisations</w:t>
      </w:r>
      <w:proofErr w:type="spellEnd"/>
      <w:r>
        <w:t xml:space="preserve"> that can be biased to show sustainability efforts in a positive light. Self-presentation may be part of corporate reporting, along with selection bias, publication bias, and such initiatives are better-known than failed ones or those that are terminated (Bernini and La Rosa, 2024). </w:t>
      </w:r>
    </w:p>
    <w:p w14:paraId="6BB09C5F" w14:textId="44BC33B6" w:rsidR="00EF6DA0" w:rsidRDefault="00EF6DA0" w:rsidP="00EF6DA0">
      <w:r>
        <w:t xml:space="preserve">Second, the variability in retailers might be a sign of maturity in reporting, scale of </w:t>
      </w:r>
      <w:proofErr w:type="spellStart"/>
      <w:r>
        <w:t>organisation</w:t>
      </w:r>
      <w:proofErr w:type="spellEnd"/>
      <w:r>
        <w:t xml:space="preserve"> and information architecture as opposed to true variations in sustainability commitment</w:t>
      </w:r>
      <w:r w:rsidR="0021681F">
        <w:t xml:space="preserve"> (</w:t>
      </w:r>
      <w:proofErr w:type="spellStart"/>
      <w:r w:rsidR="0021681F">
        <w:t>Jha</w:t>
      </w:r>
      <w:proofErr w:type="spellEnd"/>
      <w:r w:rsidR="0021681F">
        <w:t xml:space="preserve"> and </w:t>
      </w:r>
      <w:proofErr w:type="spellStart"/>
      <w:r w:rsidR="0021681F">
        <w:t>Verma</w:t>
      </w:r>
      <w:proofErr w:type="spellEnd"/>
      <w:r w:rsidR="0021681F">
        <w:t>, 2024)</w:t>
      </w:r>
      <w:r>
        <w:t xml:space="preserve">. </w:t>
      </w:r>
      <w:r w:rsidRPr="00120A50">
        <w:t xml:space="preserve">The fragmented evidence generated by </w:t>
      </w:r>
      <w:proofErr w:type="spellStart"/>
      <w:r w:rsidRPr="00120A50">
        <w:t>Morrisons</w:t>
      </w:r>
      <w:proofErr w:type="spellEnd"/>
      <w:r w:rsidRPr="00120A50">
        <w:t xml:space="preserve"> should not automatically be read as a lack of good environmental performance, for instance. </w:t>
      </w:r>
      <w:r>
        <w:t xml:space="preserve"> Attribution bias is also relevant since </w:t>
      </w:r>
      <w:r>
        <w:lastRenderedPageBreak/>
        <w:t xml:space="preserve">regulation, investment, supply-chain structures and reporting practices can have an independent impact on sustainability outcomes and their visibility. </w:t>
      </w:r>
    </w:p>
    <w:p w14:paraId="716BEBA2" w14:textId="77777777" w:rsidR="00EF6DA0" w:rsidRDefault="00EF6DA0" w:rsidP="00EF6DA0">
      <w:r w:rsidRPr="00954D52">
        <w:t xml:space="preserve">Third, </w:t>
      </w:r>
      <w:r w:rsidRPr="00BD1606">
        <w:t>triangulation of sustainability reports, corporate webpages and regulatory documents enhances the confidence of the documentary findings</w:t>
      </w:r>
      <w:r w:rsidRPr="00954D52">
        <w:t xml:space="preserve">, but </w:t>
      </w:r>
      <w:r>
        <w:t xml:space="preserve">it </w:t>
      </w:r>
      <w:r w:rsidRPr="00954D52">
        <w:t>does not show the way of consumer interpretation or psychological trust</w:t>
      </w:r>
      <w:r>
        <w:t xml:space="preserve">. </w:t>
      </w:r>
    </w:p>
    <w:p w14:paraId="543BA142" w14:textId="77777777" w:rsidR="00EF6DA0" w:rsidRPr="00B21494" w:rsidRDefault="00EF6DA0" w:rsidP="00EF6DA0">
      <w:r w:rsidRPr="00D96298">
        <w:t xml:space="preserve">Consequently, the paper will be highly </w:t>
      </w:r>
      <w:proofErr w:type="spellStart"/>
      <w:r>
        <w:t>sceptical</w:t>
      </w:r>
      <w:proofErr w:type="spellEnd"/>
      <w:r w:rsidRPr="00D96298">
        <w:t xml:space="preserve"> of signals of credibility and will not make causal inferences based </w:t>
      </w:r>
      <w:r>
        <w:t>solely on documentary evidence</w:t>
      </w:r>
      <w:r w:rsidRPr="00B21494">
        <w:t>.</w:t>
      </w:r>
    </w:p>
    <w:p w14:paraId="0EA6411D" w14:textId="77777777" w:rsidR="00EF6DA0" w:rsidRPr="00B21494" w:rsidRDefault="00EF6DA0" w:rsidP="00EF6DA0">
      <w:pPr>
        <w:pStyle w:val="Heading2"/>
      </w:pPr>
      <w:bookmarkStart w:id="158" w:name="_Toc238719990"/>
      <w:bookmarkStart w:id="159" w:name="_Toc239795090"/>
      <w:r w:rsidRPr="00B21494">
        <w:t>5.6 Practical Synthesis and Bridge to Chapter 6</w:t>
      </w:r>
      <w:bookmarkEnd w:id="158"/>
      <w:bookmarkEnd w:id="159"/>
    </w:p>
    <w:p w14:paraId="1B1CAABD" w14:textId="77777777" w:rsidR="00EF6DA0" w:rsidRDefault="00EF6DA0" w:rsidP="00EF6DA0">
      <w:r>
        <w:t xml:space="preserve">The cross-case analysis provides four insights. Firstly, retailers are advised to associate sustainability objectives with specific benchmarks, processes and quantifiable results to enable stakeholders to determine the level of achievement </w:t>
      </w:r>
      <w:r w:rsidRPr="0058350B">
        <w:t>(</w:t>
      </w:r>
      <w:proofErr w:type="spellStart"/>
      <w:r w:rsidRPr="0058350B">
        <w:t>Bengtson</w:t>
      </w:r>
      <w:proofErr w:type="spellEnd"/>
      <w:r w:rsidRPr="0058350B">
        <w:t xml:space="preserve"> and Mossberg, 2023)</w:t>
      </w:r>
      <w:r>
        <w:t xml:space="preserve">. This is traceable through the percentage of material claims against specific baselines, time and progress markers, which is </w:t>
      </w:r>
      <w:proofErr w:type="spellStart"/>
      <w:r>
        <w:t>substantiable</w:t>
      </w:r>
      <w:proofErr w:type="spellEnd"/>
      <w:r>
        <w:t xml:space="preserve">. </w:t>
      </w:r>
    </w:p>
    <w:p w14:paraId="35CEC6CA" w14:textId="77777777" w:rsidR="00EF6DA0" w:rsidRDefault="00EF6DA0" w:rsidP="00EF6DA0">
      <w:r>
        <w:t>Second, it is appropriate to report on material shortfalls as well as the achievements since partial positivity can lead to higher levels of greenwashing (</w:t>
      </w:r>
      <w:r w:rsidRPr="0058350B">
        <w:t>Bernini and La Rosa, 2024)</w:t>
      </w:r>
      <w:r>
        <w:t xml:space="preserve">. Retailers can monitor the ratio of sustainability goals where both successes and failures are described clearly. </w:t>
      </w:r>
    </w:p>
    <w:p w14:paraId="58ACFAB7" w14:textId="77777777" w:rsidR="00EF6DA0" w:rsidRDefault="00EF6DA0" w:rsidP="00EF6DA0">
      <w:r>
        <w:t xml:space="preserve">Third, </w:t>
      </w:r>
      <w:proofErr w:type="spellStart"/>
      <w:r>
        <w:t>organisations</w:t>
      </w:r>
      <w:proofErr w:type="spellEnd"/>
      <w:r>
        <w:t xml:space="preserve"> are supposed to enhance the accessibility of evidence that supports them through channels </w:t>
      </w:r>
      <w:r w:rsidRPr="0058350B">
        <w:t>(</w:t>
      </w:r>
      <w:proofErr w:type="spellStart"/>
      <w:r w:rsidRPr="0058350B">
        <w:t>Nemes</w:t>
      </w:r>
      <w:proofErr w:type="spellEnd"/>
      <w:r w:rsidRPr="0058350B">
        <w:t xml:space="preserve"> et al., 2022)</w:t>
      </w:r>
      <w:r>
        <w:t xml:space="preserve">. Claims seen by the customer can be in a brief form, but should be linked to comprehensive reporting. Measurement can also involve the percentage of claims which are directly connected to supporting evidence and the amount of cross-channel discrepancies that cannot be resolved. </w:t>
      </w:r>
    </w:p>
    <w:p w14:paraId="7F1B1552" w14:textId="77777777" w:rsidR="00EF6DA0" w:rsidRDefault="00EF6DA0" w:rsidP="00EF6DA0">
      <w:r w:rsidRPr="00120A50">
        <w:t>Fourthly, claims need to align with the boundaries of evidence.</w:t>
      </w:r>
      <w:r>
        <w:t xml:space="preserve"> Also, p</w:t>
      </w:r>
      <w:r w:rsidRPr="0058350B">
        <w:t xml:space="preserve">roduct-level performance claims should not be broadly interpreted as an indication of overall </w:t>
      </w:r>
      <w:proofErr w:type="spellStart"/>
      <w:r w:rsidRPr="0058350B">
        <w:t>organisational</w:t>
      </w:r>
      <w:proofErr w:type="spellEnd"/>
      <w:r w:rsidRPr="0058350B">
        <w:t xml:space="preserve"> sustainability performance unless there is adequate support</w:t>
      </w:r>
      <w:r>
        <w:t xml:space="preserve"> </w:t>
      </w:r>
      <w:r w:rsidRPr="0058350B">
        <w:t>(Ding et al., 2024)</w:t>
      </w:r>
      <w:r>
        <w:t xml:space="preserve">. </w:t>
      </w:r>
      <w:r w:rsidRPr="0058350B">
        <w:t>There are situations where the scope of a sustainability claim is larger than the scope of supporting evidence that can be identified through regular claim audits</w:t>
      </w:r>
      <w:r>
        <w:t xml:space="preserve">. Such measures would render the quality of communication transparent, comparable and manageable among reporting periods. </w:t>
      </w:r>
    </w:p>
    <w:p w14:paraId="4D0DD8A2" w14:textId="77777777" w:rsidR="00EF6DA0" w:rsidRPr="00B21494" w:rsidRDefault="00EF6DA0" w:rsidP="00EF6DA0">
      <w:r>
        <w:t xml:space="preserve">In the case of M&amp;S, the activities that should be secured by Plan A are therefore integrated claims, evidence and progress reporting. The focus of Chapter 6 must then be on </w:t>
      </w:r>
      <w:proofErr w:type="spellStart"/>
      <w:r w:rsidRPr="001A0D0B">
        <w:t>signalling</w:t>
      </w:r>
      <w:proofErr w:type="spellEnd"/>
      <w:r>
        <w:t>, credibility on measurability, equal disclosure, cross-channel traceability and consistency in the stated ambition and provided sustainability results</w:t>
      </w:r>
      <w:r w:rsidRPr="00B21494">
        <w:t>.</w:t>
      </w:r>
    </w:p>
    <w:p w14:paraId="273CA3C8" w14:textId="77777777" w:rsidR="00EF6DA0" w:rsidRPr="00B21494" w:rsidRDefault="00EF6DA0" w:rsidP="00EF6DA0">
      <w:pPr>
        <w:pStyle w:val="Heading2"/>
      </w:pPr>
      <w:bookmarkStart w:id="160" w:name="_Toc238719991"/>
      <w:bookmarkStart w:id="161" w:name="_Toc239795091"/>
      <w:r w:rsidRPr="00B21494">
        <w:lastRenderedPageBreak/>
        <w:t>5.7 Chapter Summary</w:t>
      </w:r>
      <w:bookmarkEnd w:id="160"/>
      <w:bookmarkEnd w:id="161"/>
    </w:p>
    <w:p w14:paraId="5C63FCD5" w14:textId="350DF549" w:rsidR="00EF6DA0" w:rsidRPr="00B21494" w:rsidRDefault="00EF6DA0" w:rsidP="00EF6DA0">
      <w:r w:rsidRPr="00D96298">
        <w:t xml:space="preserve">Chapter 4 largely supports the literature while refining several relationships. Claim clarity, substantiation, transparency and </w:t>
      </w:r>
      <w:r>
        <w:t>cross-channel</w:t>
      </w:r>
      <w:r w:rsidRPr="00D96298">
        <w:t xml:space="preserve"> consistency are all signals of credibility, but their usefulness is equal to </w:t>
      </w:r>
      <w:r>
        <w:t xml:space="preserve">the </w:t>
      </w:r>
      <w:r w:rsidRPr="00D96298">
        <w:t xml:space="preserve">proportionality of the evidence, accessibility and openness of poor performance. The results also dispel the impression that there is a commonality between environmental performance and plausible sustainability communication. Adverse results can coexist with plausible reporting when they are reported clearly, whereas the plausible </w:t>
      </w:r>
      <w:proofErr w:type="spellStart"/>
      <w:r w:rsidRPr="00D96298">
        <w:t>program</w:t>
      </w:r>
      <w:r>
        <w:t>me</w:t>
      </w:r>
      <w:r w:rsidRPr="00D96298">
        <w:t>s</w:t>
      </w:r>
      <w:proofErr w:type="spellEnd"/>
      <w:r w:rsidRPr="00D96298">
        <w:t xml:space="preserve"> may undermine the plausibility when presented selectively or when they are </w:t>
      </w:r>
      <w:proofErr w:type="spellStart"/>
      <w:r w:rsidRPr="00D96298">
        <w:t>generalised</w:t>
      </w:r>
      <w:proofErr w:type="spellEnd"/>
      <w:r w:rsidRPr="00D96298">
        <w:t xml:space="preserve"> out of </w:t>
      </w:r>
      <w:r>
        <w:t xml:space="preserve">the </w:t>
      </w:r>
      <w:r w:rsidRPr="00D96298">
        <w:t xml:space="preserve">scope of the evidence. </w:t>
      </w:r>
      <w:proofErr w:type="spellStart"/>
      <w:r w:rsidRPr="00D96298">
        <w:t>Signalling</w:t>
      </w:r>
      <w:proofErr w:type="spellEnd"/>
      <w:r w:rsidRPr="00D96298">
        <w:t xml:space="preserve"> Theory is also a suitable choice as sustainability communication involves a lack of information between retailers and stakeholders. Nonetheless, </w:t>
      </w:r>
      <w:r>
        <w:t xml:space="preserve">the </w:t>
      </w:r>
      <w:r w:rsidRPr="00D96298">
        <w:t>credibility of signals is based on the ability of stakeholders to confirm the extent, evidence and performance context</w:t>
      </w:r>
      <w:r w:rsidR="0021681F">
        <w:t xml:space="preserve"> (Amaya et al., 2021)</w:t>
      </w:r>
      <w:r w:rsidRPr="00D96298">
        <w:t xml:space="preserve">. Sustainability marketing communications thus orchestrate environments that could possibly underpin brand trust instead of </w:t>
      </w:r>
      <w:proofErr w:type="spellStart"/>
      <w:r>
        <w:t>realising</w:t>
      </w:r>
      <w:proofErr w:type="spellEnd"/>
      <w:r w:rsidRPr="00D96298">
        <w:t xml:space="preserve"> augmented trust, informing Chapter 6 consequences</w:t>
      </w:r>
      <w:r w:rsidRPr="00B21494">
        <w:t>.</w:t>
      </w:r>
    </w:p>
    <w:p w14:paraId="02E754AB" w14:textId="77777777" w:rsidR="00EF6DA0" w:rsidRPr="00CD7651" w:rsidRDefault="00EF6DA0" w:rsidP="00EF6DA0"/>
    <w:p w14:paraId="491A9D7E" w14:textId="58D1FCDC" w:rsidR="00DA766E" w:rsidRDefault="00DA766E">
      <w:pPr>
        <w:widowControl/>
        <w:autoSpaceDE/>
        <w:autoSpaceDN/>
        <w:spacing w:after="160" w:line="259" w:lineRule="auto"/>
        <w:jc w:val="left"/>
      </w:pPr>
      <w:r>
        <w:br w:type="page"/>
      </w:r>
    </w:p>
    <w:p w14:paraId="11AB5D66" w14:textId="77777777" w:rsidR="00DA766E" w:rsidRPr="008535D7" w:rsidRDefault="00DA766E" w:rsidP="00DA766E">
      <w:pPr>
        <w:pStyle w:val="Heading1"/>
        <w:jc w:val="center"/>
        <w:rPr>
          <w:bCs/>
        </w:rPr>
      </w:pPr>
      <w:bookmarkStart w:id="162" w:name="_Toc238784177"/>
      <w:bookmarkStart w:id="163" w:name="_Toc239795092"/>
      <w:r w:rsidRPr="00EF1748">
        <w:rPr>
          <w:bCs/>
        </w:rPr>
        <w:lastRenderedPageBreak/>
        <w:t>Chapter 6: Conclusion</w:t>
      </w:r>
      <w:bookmarkEnd w:id="162"/>
      <w:bookmarkEnd w:id="163"/>
    </w:p>
    <w:p w14:paraId="762ADD48" w14:textId="77777777" w:rsidR="00DA766E" w:rsidRPr="00EF1748" w:rsidRDefault="00DA766E" w:rsidP="00DA766E">
      <w:pPr>
        <w:pStyle w:val="Heading2"/>
      </w:pPr>
      <w:bookmarkStart w:id="164" w:name="_Toc238784178"/>
      <w:bookmarkStart w:id="165" w:name="_Toc239795093"/>
      <w:r w:rsidRPr="00EF1748">
        <w:t>6.1 Introduction</w:t>
      </w:r>
      <w:bookmarkEnd w:id="164"/>
      <w:bookmarkEnd w:id="165"/>
    </w:p>
    <w:p w14:paraId="6577FB14" w14:textId="77777777" w:rsidR="00DA766E" w:rsidRPr="006F7BFB" w:rsidRDefault="00DA766E" w:rsidP="00DA766E">
      <w:r w:rsidRPr="00AC13E8">
        <w:t xml:space="preserve">The final chapter of this research </w:t>
      </w:r>
      <w:proofErr w:type="spellStart"/>
      <w:r w:rsidRPr="00AC13E8">
        <w:t>summarises</w:t>
      </w:r>
      <w:proofErr w:type="spellEnd"/>
      <w:r w:rsidRPr="00AC13E8">
        <w:t xml:space="preserve"> the main findings and reflects on the implications </w:t>
      </w:r>
      <w:r>
        <w:t>for</w:t>
      </w:r>
      <w:r w:rsidRPr="00AC13E8">
        <w:t xml:space="preserve"> the theory, managerial practice and future research. It investigated the potential of sustainability marketing communication to affect brand-trust-enabling circumstances in UK grocery retail, with reference to M&amp;S and a comparison across Tesco, </w:t>
      </w:r>
      <w:proofErr w:type="spellStart"/>
      <w:r w:rsidRPr="00AC13E8">
        <w:t>Asda</w:t>
      </w:r>
      <w:proofErr w:type="spellEnd"/>
      <w:r w:rsidRPr="00AC13E8">
        <w:t xml:space="preserve">, </w:t>
      </w:r>
      <w:proofErr w:type="spellStart"/>
      <w:r w:rsidRPr="00AC13E8">
        <w:t>Morrisons</w:t>
      </w:r>
      <w:proofErr w:type="spellEnd"/>
      <w:r w:rsidRPr="00AC13E8">
        <w:t xml:space="preserve"> and </w:t>
      </w:r>
      <w:r w:rsidRPr="00F04B19">
        <w:t>Sainsbury’s</w:t>
      </w:r>
      <w:r w:rsidRPr="00AC13E8">
        <w:t xml:space="preserve">. In a qualitative multiple-case design that relied on secondary documentary evidence, the study evaluated the claim clarity, substantiation, transparency and cross-channel consistency. These findings are </w:t>
      </w:r>
      <w:proofErr w:type="spellStart"/>
      <w:r w:rsidRPr="00AC13E8">
        <w:t>synthesised</w:t>
      </w:r>
      <w:proofErr w:type="spellEnd"/>
      <w:r w:rsidRPr="00AC13E8">
        <w:t xml:space="preserve"> in the chapter</w:t>
      </w:r>
      <w:r>
        <w:t>,</w:t>
      </w:r>
      <w:r w:rsidRPr="00AC13E8">
        <w:t xml:space="preserve"> and theoretical contributions, practical recommendations, limitations and future research directions are presented</w:t>
      </w:r>
      <w:r w:rsidRPr="006F7BFB">
        <w:t>.</w:t>
      </w:r>
    </w:p>
    <w:p w14:paraId="46E82C12" w14:textId="77777777" w:rsidR="00DA766E" w:rsidRPr="006F7BFB" w:rsidRDefault="00DA766E" w:rsidP="00DA766E">
      <w:pPr>
        <w:pStyle w:val="Heading2"/>
      </w:pPr>
      <w:bookmarkStart w:id="166" w:name="_Toc238784179"/>
      <w:bookmarkStart w:id="167" w:name="_Toc239795094"/>
      <w:r w:rsidRPr="006F7BFB">
        <w:t>6.2 Summary of Key Findings</w:t>
      </w:r>
      <w:bookmarkEnd w:id="166"/>
      <w:bookmarkEnd w:id="167"/>
    </w:p>
    <w:p w14:paraId="53EF8767" w14:textId="77777777" w:rsidR="00DA766E" w:rsidRDefault="00DA766E" w:rsidP="00DA766E">
      <w:r>
        <w:t xml:space="preserve">The research observes four related findings. To begin with, a clear claim is only helpful to the extent that it is backed by evidence </w:t>
      </w:r>
      <w:r w:rsidRPr="00905F37">
        <w:t>proportionate to the scope and strength of the claim</w:t>
      </w:r>
      <w:r>
        <w:t>. While p</w:t>
      </w:r>
      <w:r w:rsidRPr="00626CE3">
        <w:t>roduct-level evidence can support a specific environmental claim</w:t>
      </w:r>
      <w:r>
        <w:t>,</w:t>
      </w:r>
      <w:r w:rsidRPr="00626CE3">
        <w:t xml:space="preserve"> it </w:t>
      </w:r>
      <w:r>
        <w:t>may not</w:t>
      </w:r>
      <w:r w:rsidRPr="00626CE3">
        <w:t xml:space="preserve"> be </w:t>
      </w:r>
      <w:r>
        <w:t>enough</w:t>
      </w:r>
      <w:r w:rsidRPr="00626CE3">
        <w:t xml:space="preserve"> </w:t>
      </w:r>
      <w:r>
        <w:t>for</w:t>
      </w:r>
      <w:r w:rsidRPr="00626CE3">
        <w:t xml:space="preserve"> support</w:t>
      </w:r>
      <w:r>
        <w:t>ing</w:t>
      </w:r>
      <w:r w:rsidRPr="00626CE3">
        <w:t xml:space="preserve"> a company's overall sustainability </w:t>
      </w:r>
      <w:r>
        <w:t>standpoint</w:t>
      </w:r>
      <w:r w:rsidRPr="00626CE3">
        <w:t>.</w:t>
      </w:r>
      <w:r>
        <w:t xml:space="preserve"> </w:t>
      </w:r>
      <w:r w:rsidRPr="005D1BE9">
        <w:t>The more clearly defined and supported the boundaries, baselines, targets and timelines are, the more credible the claims become, consistent with the requirements of regulators for clear and substantiated environmental claims</w:t>
      </w:r>
      <w:r>
        <w:t xml:space="preserve"> (CMA, 2021).</w:t>
      </w:r>
    </w:p>
    <w:p w14:paraId="272A6498" w14:textId="77777777" w:rsidR="00DA766E" w:rsidRDefault="00DA766E" w:rsidP="00DA766E">
      <w:r w:rsidRPr="00977A14">
        <w:t>Second, transparency</w:t>
      </w:r>
      <w:r>
        <w:t xml:space="preserve"> does not refer to positive disclosure</w:t>
      </w:r>
      <w:r w:rsidRPr="00977A14">
        <w:t xml:space="preserve">. Data and evidence from M&amp;S, Tesco and Sainsbury's </w:t>
      </w:r>
      <w:r>
        <w:t>show</w:t>
      </w:r>
      <w:r w:rsidRPr="00977A14">
        <w:t xml:space="preserve"> that when targets are not met, openly and honestly acknowledging and explaining the </w:t>
      </w:r>
      <w:r>
        <w:t>missed</w:t>
      </w:r>
      <w:r w:rsidRPr="00977A14">
        <w:t xml:space="preserve"> targets and measurement limits can help to build communication credibility when gaps are identified and understood</w:t>
      </w:r>
      <w:r>
        <w:t>. Transparency also enables stakeholders to either evaluate shortcomings or successes, and selective disclosure can raise the greenwashing threat (Xu, Li and Xu, 2023).</w:t>
      </w:r>
    </w:p>
    <w:p w14:paraId="2061DD75" w14:textId="77777777" w:rsidR="00DA766E" w:rsidRDefault="00DA766E" w:rsidP="00DA766E">
      <w:r>
        <w:t xml:space="preserve">Third, access to evidence is an issue. Fragmented information found on webpages and reports </w:t>
      </w:r>
      <w:r w:rsidRPr="00905F37">
        <w:t>may be available but difficult for stakeholders to trace, connect and verify</w:t>
      </w:r>
      <w:r>
        <w:t>, and claims presented to consumers need to be tracked down to substantiation (</w:t>
      </w:r>
      <w:proofErr w:type="spellStart"/>
      <w:r>
        <w:t>Verleye</w:t>
      </w:r>
      <w:proofErr w:type="spellEnd"/>
      <w:r>
        <w:t xml:space="preserve"> et al., 2023).</w:t>
      </w:r>
    </w:p>
    <w:p w14:paraId="65799ADB" w14:textId="77777777" w:rsidR="00DA766E" w:rsidRDefault="00DA766E" w:rsidP="00DA766E">
      <w:r w:rsidRPr="005D1BE9">
        <w:t xml:space="preserve">These principles, however, were applied in different ways to the cases. M&amp;S and Tesco had relatively well-integrated evidence structures, while </w:t>
      </w:r>
      <w:proofErr w:type="spellStart"/>
      <w:r w:rsidRPr="005D1BE9">
        <w:t>Asda's</w:t>
      </w:r>
      <w:proofErr w:type="spellEnd"/>
      <w:r w:rsidRPr="005D1BE9">
        <w:t xml:space="preserve"> evidence structures were less </w:t>
      </w:r>
      <w:r w:rsidRPr="005D1BE9">
        <w:lastRenderedPageBreak/>
        <w:t xml:space="preserve">integrated across the company and </w:t>
      </w:r>
      <w:proofErr w:type="spellStart"/>
      <w:r w:rsidRPr="005D1BE9">
        <w:t>Morrisons</w:t>
      </w:r>
      <w:proofErr w:type="spellEnd"/>
      <w:r w:rsidRPr="005D1BE9">
        <w:t>' evidence structures were more dispersed</w:t>
      </w:r>
      <w:r>
        <w:t>.</w:t>
      </w:r>
    </w:p>
    <w:p w14:paraId="0536BD19" w14:textId="77777777" w:rsidR="00DA766E" w:rsidRPr="006F7BFB" w:rsidRDefault="00DA766E" w:rsidP="00DA766E">
      <w:r>
        <w:t>Lastly, brand trust is not directly seen in the communication of sustainability. Rather, transparency and clear substantiation enhance credibility and authenticity, perceived risk of greenwashing decreases and more desirable grounds of trust formation amongst relevant stakeholders are developed</w:t>
      </w:r>
      <w:r w:rsidRPr="0022529A">
        <w:t>.</w:t>
      </w:r>
    </w:p>
    <w:p w14:paraId="20010D06" w14:textId="0AA52DEF" w:rsidR="00DA766E" w:rsidRDefault="00DA766E" w:rsidP="00DA766E">
      <w:pPr>
        <w:pStyle w:val="Heading2"/>
      </w:pPr>
      <w:bookmarkStart w:id="168" w:name="_Toc238784180"/>
      <w:bookmarkStart w:id="169" w:name="_Toc239795095"/>
      <w:r w:rsidRPr="006F7BFB">
        <w:t>6.3 Theoretical Implications</w:t>
      </w:r>
      <w:bookmarkEnd w:id="168"/>
      <w:bookmarkEnd w:id="169"/>
    </w:p>
    <w:p w14:paraId="1B7035C5" w14:textId="012DD5E1" w:rsidR="00F175CF" w:rsidRPr="00F175CF" w:rsidRDefault="004D048A" w:rsidP="00F175CF">
      <w:r w:rsidRPr="004D048A">
        <w:t xml:space="preserve">This study makes three theoretical contributions to understanding sustainability marketing communication and its potential relationship with brand trust. The contributions refine </w:t>
      </w:r>
      <w:proofErr w:type="spellStart"/>
      <w:r w:rsidRPr="004D048A">
        <w:t>Signalling</w:t>
      </w:r>
      <w:proofErr w:type="spellEnd"/>
      <w:r w:rsidRPr="004D048A">
        <w:t xml:space="preserve"> Theory in the field of sustainability communication to make it more explicit, and explain the role of credibility, transparency and authenticity, when consumers are not able to check the environmental practices of the </w:t>
      </w:r>
      <w:proofErr w:type="spellStart"/>
      <w:r w:rsidRPr="004D048A">
        <w:t>organisation</w:t>
      </w:r>
      <w:proofErr w:type="spellEnd"/>
      <w:r w:rsidRPr="004D048A">
        <w:t xml:space="preserve"> directly</w:t>
      </w:r>
      <w:r w:rsidR="00F175CF" w:rsidRPr="00F175CF">
        <w:t>.</w:t>
      </w:r>
    </w:p>
    <w:p w14:paraId="3ACB74F3" w14:textId="77777777" w:rsidR="00F175CF" w:rsidRPr="00F175CF" w:rsidRDefault="00F175CF" w:rsidP="00F175CF">
      <w:pPr>
        <w:pStyle w:val="Heading3"/>
      </w:pPr>
      <w:bookmarkStart w:id="170" w:name="_Toc239795096"/>
      <w:r w:rsidRPr="00F175CF">
        <w:t>6.3.1 Contribution 1: Evidence Proportionality as a Condition of Signal Credibility</w:t>
      </w:r>
      <w:bookmarkEnd w:id="170"/>
    </w:p>
    <w:p w14:paraId="55865FEC" w14:textId="77777777" w:rsidR="004D048A" w:rsidRDefault="004D048A" w:rsidP="004D048A">
      <w:r>
        <w:t xml:space="preserve">The first theoretical contribution is the development of </w:t>
      </w:r>
      <w:proofErr w:type="spellStart"/>
      <w:r>
        <w:t>Signalling</w:t>
      </w:r>
      <w:proofErr w:type="spellEnd"/>
      <w:r>
        <w:t xml:space="preserve"> Theory, which adds the notion of claim-evidence proportionality as one of the conditions of the credibility of the signal. Sustainability communication acts as a signal as it contains information that consumers cannot easily see, such as emissions, sourcing, packaging, waste and supply chains, that are known by the retailers. The practices themselves can thus provide a source of observable signals of otherwise hard to measure organizational practices, thus decreasing information asymmetry (Amaya et al., 2021). </w:t>
      </w:r>
    </w:p>
    <w:p w14:paraId="33325DF2" w14:textId="765EAC58" w:rsidR="00F175CF" w:rsidRPr="00F175CF" w:rsidRDefault="004D048A" w:rsidP="004D048A">
      <w:r>
        <w:t xml:space="preserve">However, measurable evidence is not always sufficient for ensuring credibility. Additionally, the extent of the evidence corresponds with its extent of the claim, it is important to determine whether the extent of the evidence corresponds to the extent of the claim. For instance, a reduction in packaging quantified at a product level can be used to back a product sustainability claim but not for a retailer's sustainability claim. In practice, this is an extension of </w:t>
      </w:r>
      <w:proofErr w:type="spellStart"/>
      <w:r>
        <w:t>Signalling</w:t>
      </w:r>
      <w:proofErr w:type="spellEnd"/>
      <w:r>
        <w:t xml:space="preserve"> Theory as signal strength is also dependent on claim-evidence congruence, rather than just evidence quantity, visibility and specificity (</w:t>
      </w:r>
      <w:proofErr w:type="spellStart"/>
      <w:r>
        <w:t>Bengtson</w:t>
      </w:r>
      <w:proofErr w:type="spellEnd"/>
      <w:r>
        <w:t xml:space="preserve"> and Mossberg, 2023)</w:t>
      </w:r>
      <w:r w:rsidR="00F175CF" w:rsidRPr="00F175CF">
        <w:t>.</w:t>
      </w:r>
    </w:p>
    <w:p w14:paraId="2E4AE807" w14:textId="77777777" w:rsidR="00F175CF" w:rsidRPr="00F175CF" w:rsidRDefault="00F175CF" w:rsidP="00F175CF">
      <w:pPr>
        <w:pStyle w:val="Heading3"/>
      </w:pPr>
      <w:bookmarkStart w:id="171" w:name="_Toc239795097"/>
      <w:r w:rsidRPr="00F175CF">
        <w:t>6.3.2 Contribution 2: Transparency as a Conditional Credibility Mechanism</w:t>
      </w:r>
      <w:bookmarkEnd w:id="171"/>
    </w:p>
    <w:p w14:paraId="1F4E4095" w14:textId="77777777" w:rsidR="004D048A" w:rsidRDefault="004D048A" w:rsidP="004D048A">
      <w:r>
        <w:t xml:space="preserve">The second theoretical contribution, ‘transparency as a conditional, not automatic source of </w:t>
      </w:r>
      <w:r>
        <w:lastRenderedPageBreak/>
        <w:t xml:space="preserve">credibility’, is a </w:t>
      </w:r>
      <w:proofErr w:type="spellStart"/>
      <w:r>
        <w:t>conceptualisation</w:t>
      </w:r>
      <w:proofErr w:type="spellEnd"/>
      <w:r>
        <w:t xml:space="preserve"> of transparency as a credential source that requires extra qualification. Although sustainability disclosure is related to openness, it does not necessarily lead to transparency in itself, the results of this study indicate. In-depth reporting or overemphasis on achievements may perpetuate information asymmetry by downplaying the limitations, missed targets or weaker performance. Hence, the disclosure may not lead to the credibility (Xu, Li and Xu, 2023). </w:t>
      </w:r>
    </w:p>
    <w:p w14:paraId="3CAC3F8D" w14:textId="462CF93C" w:rsidR="00F175CF" w:rsidRPr="00F175CF" w:rsidRDefault="004D048A" w:rsidP="004D048A">
      <w:r>
        <w:t xml:space="preserve">The results of the cross-case analysis suggest that when there is underperformance, along with explanation, accountability and corrective action, then it has a positive impact on the credibility of the report. Transparency is best achieved when </w:t>
      </w:r>
      <w:proofErr w:type="spellStart"/>
      <w:r>
        <w:t>organisations</w:t>
      </w:r>
      <w:proofErr w:type="spellEnd"/>
      <w:r>
        <w:t xml:space="preserve"> report on successes and significant shortcomings, and provide appropriate background to stakeholders for judging the performance. This builds on previous research that correlates transparency and green-brand authenticity, revealing that transparent and accountable reporting can help to establish more credible sustainability signals (Li, Sun and Hu, 2022)</w:t>
      </w:r>
      <w:r w:rsidR="00F175CF" w:rsidRPr="00F175CF">
        <w:t>.</w:t>
      </w:r>
    </w:p>
    <w:p w14:paraId="370ED8D1" w14:textId="77777777" w:rsidR="00F175CF" w:rsidRPr="00F175CF" w:rsidRDefault="00F175CF" w:rsidP="00F175CF">
      <w:pPr>
        <w:pStyle w:val="Heading3"/>
      </w:pPr>
      <w:bookmarkStart w:id="172" w:name="_Toc239795098"/>
      <w:r w:rsidRPr="00F175CF">
        <w:t>6.3.3 Contribution 3: Credibility and Authenticity as Intervening Mechanisms between Communication and Brand Trust</w:t>
      </w:r>
      <w:bookmarkEnd w:id="172"/>
    </w:p>
    <w:p w14:paraId="224ACC9C" w14:textId="77777777" w:rsidR="00CF2B3D" w:rsidRDefault="00CF2B3D" w:rsidP="00F175CF">
      <w:r w:rsidRPr="00CF2B3D">
        <w:t xml:space="preserve">This theoretical contribution extends the assumed relationship between the sustainability marketing communication and brand trust by introducing the third theoretical contribution, which refines the assumed relationship between sustainability marketing communication and brand trust. The results challenge the notion that a linear relationship exists between the amount of sustainability communication and trust. Rather, credibility and authenticity exist as mediating factors between communication and trust building factors. Communication can be factual, but selective, promotional, or inconsistent with the rest of the </w:t>
      </w:r>
      <w:proofErr w:type="spellStart"/>
      <w:r w:rsidRPr="00CF2B3D">
        <w:t>organisation's</w:t>
      </w:r>
      <w:proofErr w:type="spellEnd"/>
      <w:r w:rsidRPr="00CF2B3D">
        <w:t xml:space="preserve"> communication, and communication style and corporate self-praise can influence the evaluation of the communication by stakeholders (</w:t>
      </w:r>
      <w:proofErr w:type="spellStart"/>
      <w:r w:rsidRPr="00CF2B3D">
        <w:t>Christis</w:t>
      </w:r>
      <w:proofErr w:type="spellEnd"/>
      <w:r w:rsidRPr="00CF2B3D">
        <w:t xml:space="preserve"> and Wang, 2021). </w:t>
      </w:r>
    </w:p>
    <w:p w14:paraId="5AAA279A" w14:textId="047CC3D6" w:rsidR="00AB4680" w:rsidRDefault="00CF2B3D" w:rsidP="00F175CF">
      <w:pPr>
        <w:sectPr w:rsidR="00AB4680">
          <w:pgSz w:w="12240" w:h="15840"/>
          <w:pgMar w:top="1440" w:right="1440" w:bottom="1440" w:left="1440" w:header="720" w:footer="720" w:gutter="0"/>
          <w:cols w:space="720"/>
          <w:docGrid w:linePitch="360"/>
        </w:sectPr>
      </w:pPr>
      <w:r w:rsidRPr="00CF2B3D">
        <w:t>Similarly, if claims are not actually false, but they are ambiguous or they only have enough information to support only part of the claim, the potential for greenwashing exists (</w:t>
      </w:r>
      <w:proofErr w:type="spellStart"/>
      <w:r w:rsidRPr="00CF2B3D">
        <w:t>Nemes</w:t>
      </w:r>
      <w:proofErr w:type="spellEnd"/>
      <w:r w:rsidRPr="00CF2B3D">
        <w:t xml:space="preserve"> et al., 2022). The uncertainty can influence the green-brand equity and make people suspicious of environmental information (</w:t>
      </w:r>
      <w:proofErr w:type="spellStart"/>
      <w:r w:rsidRPr="00CF2B3D">
        <w:t>Qayyum</w:t>
      </w:r>
      <w:proofErr w:type="spellEnd"/>
      <w:r w:rsidRPr="00CF2B3D">
        <w:t xml:space="preserve"> et al., 2023). The </w:t>
      </w:r>
      <w:r>
        <w:t>polished</w:t>
      </w:r>
      <w:r w:rsidRPr="00CF2B3D">
        <w:t xml:space="preserve"> </w:t>
      </w:r>
      <w:r>
        <w:t>pathway</w:t>
      </w:r>
      <w:r w:rsidRPr="00CF2B3D">
        <w:t xml:space="preserve"> is sustainability communication </w:t>
      </w:r>
      <w:r>
        <w:rPr>
          <w:rFonts w:cs="Times New Roman"/>
        </w:rPr>
        <w:t>→</w:t>
      </w:r>
      <w:r>
        <w:t xml:space="preserve"> </w:t>
      </w:r>
      <w:r w:rsidRPr="00CF2B3D">
        <w:t xml:space="preserve">communication-quality signals </w:t>
      </w:r>
      <w:r>
        <w:rPr>
          <w:rFonts w:cs="Times New Roman"/>
        </w:rPr>
        <w:t xml:space="preserve">→ </w:t>
      </w:r>
      <w:r w:rsidRPr="00CF2B3D">
        <w:t xml:space="preserve">credibility and authenticity </w:t>
      </w:r>
      <w:r>
        <w:rPr>
          <w:rFonts w:cs="Times New Roman"/>
        </w:rPr>
        <w:t xml:space="preserve">→ </w:t>
      </w:r>
      <w:r w:rsidRPr="00CF2B3D">
        <w:t>diminished greenwashing risk</w:t>
      </w:r>
      <w:r>
        <w:t xml:space="preserve"> </w:t>
      </w:r>
      <w:r>
        <w:rPr>
          <w:rFonts w:cs="Times New Roman"/>
        </w:rPr>
        <w:t>→</w:t>
      </w:r>
      <w:r w:rsidRPr="00CF2B3D">
        <w:t xml:space="preserve"> increased trust-supporting conditions. This is influenced by clarity, level of substantiation, proportionality, transparency and cross-channel consistency. Since consumer trust </w:t>
      </w:r>
      <w:r w:rsidRPr="00CF2B3D">
        <w:lastRenderedPageBreak/>
        <w:t xml:space="preserve">was not directly assessed, the contribution is of an analytical nature and does not lend itself to statistical </w:t>
      </w:r>
      <w:proofErr w:type="spellStart"/>
      <w:r w:rsidRPr="00CF2B3D">
        <w:t>generalisation</w:t>
      </w:r>
      <w:proofErr w:type="spellEnd"/>
      <w:r w:rsidRPr="00CF2B3D">
        <w:t xml:space="preserve">, but to analytical </w:t>
      </w:r>
      <w:proofErr w:type="spellStart"/>
      <w:r w:rsidRPr="00CF2B3D">
        <w:t>generalisation</w:t>
      </w:r>
      <w:proofErr w:type="spellEnd"/>
      <w:r w:rsidRPr="00CF2B3D">
        <w:t xml:space="preserve"> (</w:t>
      </w:r>
      <w:proofErr w:type="spellStart"/>
      <w:r w:rsidRPr="00CF2B3D">
        <w:t>Verleye</w:t>
      </w:r>
      <w:proofErr w:type="spellEnd"/>
      <w:r w:rsidRPr="00CF2B3D">
        <w:t xml:space="preserve"> et al., 2023)</w:t>
      </w:r>
      <w:r w:rsidR="00F175CF" w:rsidRPr="00F175CF">
        <w:t>.</w:t>
      </w:r>
    </w:p>
    <w:p w14:paraId="7DDFE64A" w14:textId="6AA1C25C" w:rsidR="00F175CF" w:rsidRPr="006F7BFB" w:rsidRDefault="00F175CF" w:rsidP="00F175CF"/>
    <w:p w14:paraId="4E08FFFB" w14:textId="77777777" w:rsidR="00DA766E" w:rsidRPr="006F7BFB" w:rsidRDefault="00DA766E" w:rsidP="00DA766E">
      <w:pPr>
        <w:pStyle w:val="Heading2"/>
      </w:pPr>
      <w:bookmarkStart w:id="173" w:name="_Toc238784186"/>
      <w:bookmarkStart w:id="174" w:name="_Toc239795099"/>
      <w:r w:rsidRPr="006F7BFB">
        <w:t>6.4 Managerial Implications</w:t>
      </w:r>
      <w:bookmarkEnd w:id="173"/>
      <w:bookmarkEnd w:id="174"/>
    </w:p>
    <w:p w14:paraId="23CD9073" w14:textId="1F99CEDD" w:rsidR="00DA766E" w:rsidRPr="00AB4680" w:rsidRDefault="00DA766E" w:rsidP="00DA766E">
      <w:r w:rsidRPr="00AC13E8">
        <w:t xml:space="preserve">The results suggest that </w:t>
      </w:r>
      <w:r w:rsidRPr="00A96937">
        <w:t>communication of sustainability should be treated by retailers as a system for auditing the credibility of the communication and not just as a means of promotion</w:t>
      </w:r>
      <w:r w:rsidRPr="006F7BFB">
        <w:t>.</w:t>
      </w:r>
    </w:p>
    <w:p w14:paraId="10F2D525" w14:textId="0FC52B7F" w:rsidR="00AB4680" w:rsidRDefault="00AB4680" w:rsidP="00AB4680">
      <w:pPr>
        <w:pStyle w:val="Caption"/>
        <w:keepNext/>
      </w:pPr>
      <w:bookmarkStart w:id="175" w:name="_Toc239794898"/>
      <w:r>
        <w:t xml:space="preserve">Table </w:t>
      </w:r>
      <w:r>
        <w:fldChar w:fldCharType="begin"/>
      </w:r>
      <w:r>
        <w:instrText xml:space="preserve"> SEQ Table \* ARABIC </w:instrText>
      </w:r>
      <w:r>
        <w:fldChar w:fldCharType="separate"/>
      </w:r>
      <w:r>
        <w:rPr>
          <w:noProof/>
        </w:rPr>
        <w:t>6</w:t>
      </w:r>
      <w:r>
        <w:rPr>
          <w:noProof/>
        </w:rPr>
        <w:fldChar w:fldCharType="end"/>
      </w:r>
      <w:r>
        <w:t>:</w:t>
      </w:r>
      <w:r w:rsidRPr="00401171">
        <w:t xml:space="preserve"> Managerial Action and Control Framework</w:t>
      </w:r>
      <w:bookmarkEnd w:id="175"/>
    </w:p>
    <w:tbl>
      <w:tblPr>
        <w:tblStyle w:val="GridTable6ColourfulAccent1"/>
        <w:tblW w:w="13050" w:type="dxa"/>
        <w:tblInd w:w="-5" w:type="dxa"/>
        <w:tblLook w:val="04A0" w:firstRow="1" w:lastRow="0" w:firstColumn="1" w:lastColumn="0" w:noHBand="0" w:noVBand="1"/>
      </w:tblPr>
      <w:tblGrid>
        <w:gridCol w:w="1488"/>
        <w:gridCol w:w="2742"/>
        <w:gridCol w:w="2160"/>
        <w:gridCol w:w="2880"/>
        <w:gridCol w:w="3780"/>
      </w:tblGrid>
      <w:tr w:rsidR="00CF2B3D" w:rsidRPr="00CF2B3D" w14:paraId="155137A3" w14:textId="77777777" w:rsidTr="00CF2B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8" w:type="dxa"/>
            <w:hideMark/>
          </w:tcPr>
          <w:p w14:paraId="1380E02F" w14:textId="77777777" w:rsidR="00F175CF" w:rsidRPr="00F175CF" w:rsidRDefault="00F175CF" w:rsidP="00F175CF">
            <w:pPr>
              <w:rPr>
                <w:color w:val="auto"/>
                <w:sz w:val="22"/>
              </w:rPr>
            </w:pPr>
            <w:r w:rsidRPr="00F175CF">
              <w:rPr>
                <w:color w:val="auto"/>
                <w:sz w:val="22"/>
              </w:rPr>
              <w:t>Priority</w:t>
            </w:r>
          </w:p>
        </w:tc>
        <w:tc>
          <w:tcPr>
            <w:tcW w:w="2742" w:type="dxa"/>
            <w:hideMark/>
          </w:tcPr>
          <w:p w14:paraId="52251C14" w14:textId="77777777" w:rsidR="00F175CF" w:rsidRPr="00F175CF" w:rsidRDefault="00F175CF" w:rsidP="00F175CF">
            <w:pPr>
              <w:cnfStyle w:val="100000000000" w:firstRow="1" w:lastRow="0" w:firstColumn="0" w:lastColumn="0" w:oddVBand="0" w:evenVBand="0" w:oddHBand="0" w:evenHBand="0" w:firstRowFirstColumn="0" w:firstRowLastColumn="0" w:lastRowFirstColumn="0" w:lastRowLastColumn="0"/>
              <w:rPr>
                <w:color w:val="auto"/>
                <w:sz w:val="22"/>
              </w:rPr>
            </w:pPr>
            <w:r w:rsidRPr="00F175CF">
              <w:rPr>
                <w:color w:val="auto"/>
                <w:sz w:val="22"/>
              </w:rPr>
              <w:t>Managerial action</w:t>
            </w:r>
          </w:p>
        </w:tc>
        <w:tc>
          <w:tcPr>
            <w:tcW w:w="2160" w:type="dxa"/>
            <w:hideMark/>
          </w:tcPr>
          <w:p w14:paraId="74B2FD29" w14:textId="77777777" w:rsidR="00F175CF" w:rsidRPr="00F175CF" w:rsidRDefault="00F175CF" w:rsidP="00F175CF">
            <w:pPr>
              <w:cnfStyle w:val="100000000000" w:firstRow="1" w:lastRow="0" w:firstColumn="0" w:lastColumn="0" w:oddVBand="0" w:evenVBand="0" w:oddHBand="0" w:evenHBand="0" w:firstRowFirstColumn="0" w:firstRowLastColumn="0" w:lastRowFirstColumn="0" w:lastRowLastColumn="0"/>
              <w:rPr>
                <w:color w:val="auto"/>
                <w:sz w:val="22"/>
              </w:rPr>
            </w:pPr>
            <w:r w:rsidRPr="00F175CF">
              <w:rPr>
                <w:color w:val="auto"/>
                <w:sz w:val="22"/>
              </w:rPr>
              <w:t>Key implementation requirement</w:t>
            </w:r>
          </w:p>
        </w:tc>
        <w:tc>
          <w:tcPr>
            <w:tcW w:w="2880" w:type="dxa"/>
            <w:hideMark/>
          </w:tcPr>
          <w:p w14:paraId="11A6FC31" w14:textId="77777777" w:rsidR="00F175CF" w:rsidRPr="00F175CF" w:rsidRDefault="00F175CF" w:rsidP="00F175CF">
            <w:pPr>
              <w:cnfStyle w:val="100000000000" w:firstRow="1" w:lastRow="0" w:firstColumn="0" w:lastColumn="0" w:oddVBand="0" w:evenVBand="0" w:oddHBand="0" w:evenHBand="0" w:firstRowFirstColumn="0" w:firstRowLastColumn="0" w:lastRowFirstColumn="0" w:lastRowLastColumn="0"/>
              <w:rPr>
                <w:color w:val="auto"/>
                <w:sz w:val="22"/>
              </w:rPr>
            </w:pPr>
            <w:r w:rsidRPr="00F175CF">
              <w:rPr>
                <w:color w:val="auto"/>
                <w:sz w:val="22"/>
              </w:rPr>
              <w:t>Suggested KPI</w:t>
            </w:r>
          </w:p>
        </w:tc>
        <w:tc>
          <w:tcPr>
            <w:tcW w:w="3780" w:type="dxa"/>
            <w:hideMark/>
          </w:tcPr>
          <w:p w14:paraId="4E25A5AA" w14:textId="7D223BCD" w:rsidR="00F175CF" w:rsidRPr="00F175CF" w:rsidRDefault="00F175CF" w:rsidP="00F175CF">
            <w:pPr>
              <w:cnfStyle w:val="100000000000" w:firstRow="1" w:lastRow="0" w:firstColumn="0" w:lastColumn="0" w:oddVBand="0" w:evenVBand="0" w:oddHBand="0" w:evenHBand="0" w:firstRowFirstColumn="0" w:firstRowLastColumn="0" w:lastRowFirstColumn="0" w:lastRowLastColumn="0"/>
              <w:rPr>
                <w:color w:val="auto"/>
                <w:sz w:val="22"/>
              </w:rPr>
            </w:pPr>
            <w:r w:rsidRPr="00F175CF">
              <w:rPr>
                <w:color w:val="auto"/>
                <w:sz w:val="22"/>
              </w:rPr>
              <w:t xml:space="preserve">Why it matters </w:t>
            </w:r>
          </w:p>
        </w:tc>
      </w:tr>
      <w:tr w:rsidR="00CF2B3D" w:rsidRPr="00CF2B3D" w14:paraId="2AF6308B" w14:textId="77777777" w:rsidTr="00CF2B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8" w:type="dxa"/>
            <w:hideMark/>
          </w:tcPr>
          <w:p w14:paraId="67D029A0" w14:textId="77777777" w:rsidR="00CF2B3D" w:rsidRPr="00F175CF" w:rsidRDefault="00CF2B3D" w:rsidP="00CF2B3D">
            <w:pPr>
              <w:rPr>
                <w:b w:val="0"/>
                <w:bCs w:val="0"/>
                <w:color w:val="auto"/>
                <w:sz w:val="22"/>
              </w:rPr>
            </w:pPr>
            <w:r w:rsidRPr="00F175CF">
              <w:rPr>
                <w:b w:val="0"/>
                <w:bCs w:val="0"/>
                <w:color w:val="auto"/>
                <w:sz w:val="22"/>
              </w:rPr>
              <w:t>Claim substantiation</w:t>
            </w:r>
          </w:p>
        </w:tc>
        <w:tc>
          <w:tcPr>
            <w:tcW w:w="2742" w:type="dxa"/>
            <w:hideMark/>
          </w:tcPr>
          <w:p w14:paraId="37D9CEEB" w14:textId="108585F9" w:rsidR="00CF2B3D" w:rsidRPr="00F175CF" w:rsidRDefault="00CF2B3D" w:rsidP="00CF2B3D">
            <w:pPr>
              <w:cnfStyle w:val="000000100000" w:firstRow="0" w:lastRow="0" w:firstColumn="0" w:lastColumn="0" w:oddVBand="0" w:evenVBand="0" w:oddHBand="1" w:evenHBand="0" w:firstRowFirstColumn="0" w:firstRowLastColumn="0" w:lastRowFirstColumn="0" w:lastRowLastColumn="0"/>
              <w:rPr>
                <w:color w:val="auto"/>
                <w:sz w:val="22"/>
              </w:rPr>
            </w:pPr>
            <w:r w:rsidRPr="00CF2B3D">
              <w:rPr>
                <w:color w:val="auto"/>
                <w:sz w:val="22"/>
              </w:rPr>
              <w:t>Before publication, review all material environmental claims, and ensure that the scope of a claim is supported by sufficient and credible evidence.</w:t>
            </w:r>
          </w:p>
        </w:tc>
        <w:tc>
          <w:tcPr>
            <w:tcW w:w="2160" w:type="dxa"/>
            <w:hideMark/>
          </w:tcPr>
          <w:p w14:paraId="39E3E783" w14:textId="77777777" w:rsidR="00CF2B3D" w:rsidRPr="00F175CF" w:rsidRDefault="00CF2B3D" w:rsidP="00CF2B3D">
            <w:pPr>
              <w:cnfStyle w:val="000000100000" w:firstRow="0" w:lastRow="0" w:firstColumn="0" w:lastColumn="0" w:oddVBand="0" w:evenVBand="0" w:oddHBand="1" w:evenHBand="0" w:firstRowFirstColumn="0" w:firstRowLastColumn="0" w:lastRowFirstColumn="0" w:lastRowLastColumn="0"/>
              <w:rPr>
                <w:color w:val="auto"/>
                <w:sz w:val="22"/>
              </w:rPr>
            </w:pPr>
            <w:r w:rsidRPr="00F175CF">
              <w:rPr>
                <w:color w:val="auto"/>
                <w:sz w:val="22"/>
              </w:rPr>
              <w:t>Defined claim ownership, baselines, evidence sources and reporting timeframes.</w:t>
            </w:r>
          </w:p>
        </w:tc>
        <w:tc>
          <w:tcPr>
            <w:tcW w:w="2880" w:type="dxa"/>
            <w:hideMark/>
          </w:tcPr>
          <w:p w14:paraId="773553C5" w14:textId="77777777" w:rsidR="00CF2B3D" w:rsidRPr="00F175CF" w:rsidRDefault="00CF2B3D" w:rsidP="00CF2B3D">
            <w:pPr>
              <w:cnfStyle w:val="000000100000" w:firstRow="0" w:lastRow="0" w:firstColumn="0" w:lastColumn="0" w:oddVBand="0" w:evenVBand="0" w:oddHBand="1" w:evenHBand="0" w:firstRowFirstColumn="0" w:firstRowLastColumn="0" w:lastRowFirstColumn="0" w:lastRowLastColumn="0"/>
              <w:rPr>
                <w:color w:val="auto"/>
                <w:sz w:val="22"/>
              </w:rPr>
            </w:pPr>
            <w:r w:rsidRPr="00F175CF">
              <w:rPr>
                <w:color w:val="auto"/>
                <w:sz w:val="22"/>
              </w:rPr>
              <w:t>% of material claims supported by verified evidence, baseline and timeframe.</w:t>
            </w:r>
          </w:p>
        </w:tc>
        <w:tc>
          <w:tcPr>
            <w:tcW w:w="3780" w:type="dxa"/>
            <w:hideMark/>
          </w:tcPr>
          <w:p w14:paraId="53DB9BD6" w14:textId="341A9477" w:rsidR="00CF2B3D" w:rsidRPr="00F175CF" w:rsidRDefault="00CF2B3D" w:rsidP="00CF2B3D">
            <w:pPr>
              <w:cnfStyle w:val="000000100000" w:firstRow="0" w:lastRow="0" w:firstColumn="0" w:lastColumn="0" w:oddVBand="0" w:evenVBand="0" w:oddHBand="1" w:evenHBand="0" w:firstRowFirstColumn="0" w:firstRowLastColumn="0" w:lastRowFirstColumn="0" w:lastRowLastColumn="0"/>
              <w:rPr>
                <w:color w:val="auto"/>
                <w:sz w:val="22"/>
              </w:rPr>
            </w:pPr>
            <w:r w:rsidRPr="00CF2B3D">
              <w:rPr>
                <w:color w:val="auto"/>
                <w:sz w:val="22"/>
              </w:rPr>
              <w:t>Does not allow evidence gathered at the product level to be extrapolated to environmental claims. Sustainability managers need to check the evidence and marketing managers make sure that the published claim doesn't stretch beyond the scope.</w:t>
            </w:r>
          </w:p>
        </w:tc>
      </w:tr>
      <w:tr w:rsidR="00CF2B3D" w:rsidRPr="00CF2B3D" w14:paraId="2C043C1A" w14:textId="77777777" w:rsidTr="00CF2B3D">
        <w:tc>
          <w:tcPr>
            <w:cnfStyle w:val="001000000000" w:firstRow="0" w:lastRow="0" w:firstColumn="1" w:lastColumn="0" w:oddVBand="0" w:evenVBand="0" w:oddHBand="0" w:evenHBand="0" w:firstRowFirstColumn="0" w:firstRowLastColumn="0" w:lastRowFirstColumn="0" w:lastRowLastColumn="0"/>
            <w:tcW w:w="1488" w:type="dxa"/>
            <w:hideMark/>
          </w:tcPr>
          <w:p w14:paraId="41B10921" w14:textId="77777777" w:rsidR="00CF2B3D" w:rsidRPr="00F175CF" w:rsidRDefault="00CF2B3D" w:rsidP="00CF2B3D">
            <w:pPr>
              <w:rPr>
                <w:b w:val="0"/>
                <w:bCs w:val="0"/>
                <w:color w:val="auto"/>
                <w:sz w:val="22"/>
              </w:rPr>
            </w:pPr>
            <w:r w:rsidRPr="00F175CF">
              <w:rPr>
                <w:b w:val="0"/>
                <w:bCs w:val="0"/>
                <w:color w:val="auto"/>
                <w:sz w:val="22"/>
              </w:rPr>
              <w:t>Balanced transparency</w:t>
            </w:r>
          </w:p>
        </w:tc>
        <w:tc>
          <w:tcPr>
            <w:tcW w:w="2742" w:type="dxa"/>
            <w:hideMark/>
          </w:tcPr>
          <w:p w14:paraId="3FB81F83" w14:textId="30FC392D" w:rsidR="00CF2B3D" w:rsidRPr="00F175CF" w:rsidRDefault="00CF2B3D" w:rsidP="00CF2B3D">
            <w:pPr>
              <w:cnfStyle w:val="000000000000" w:firstRow="0" w:lastRow="0" w:firstColumn="0" w:lastColumn="0" w:oddVBand="0" w:evenVBand="0" w:oddHBand="0" w:evenHBand="0" w:firstRowFirstColumn="0" w:firstRowLastColumn="0" w:lastRowFirstColumn="0" w:lastRowLastColumn="0"/>
              <w:rPr>
                <w:color w:val="auto"/>
                <w:sz w:val="22"/>
              </w:rPr>
            </w:pPr>
            <w:r w:rsidRPr="00CF2B3D">
              <w:rPr>
                <w:color w:val="auto"/>
                <w:sz w:val="22"/>
              </w:rPr>
              <w:t>Report material gains, failures to meet objectives and performance weaknesses based on similar criteria and time periods, and corrective action as appropriate.</w:t>
            </w:r>
          </w:p>
        </w:tc>
        <w:tc>
          <w:tcPr>
            <w:tcW w:w="2160" w:type="dxa"/>
            <w:hideMark/>
          </w:tcPr>
          <w:p w14:paraId="159DCD58" w14:textId="77777777" w:rsidR="00CF2B3D" w:rsidRPr="00F175CF" w:rsidRDefault="00CF2B3D" w:rsidP="00CF2B3D">
            <w:pPr>
              <w:cnfStyle w:val="000000000000" w:firstRow="0" w:lastRow="0" w:firstColumn="0" w:lastColumn="0" w:oddVBand="0" w:evenVBand="0" w:oddHBand="0" w:evenHBand="0" w:firstRowFirstColumn="0" w:firstRowLastColumn="0" w:lastRowFirstColumn="0" w:lastRowLastColumn="0"/>
              <w:rPr>
                <w:color w:val="auto"/>
                <w:sz w:val="22"/>
              </w:rPr>
            </w:pPr>
            <w:r w:rsidRPr="00F175CF">
              <w:rPr>
                <w:color w:val="auto"/>
                <w:sz w:val="22"/>
              </w:rPr>
              <w:t>Formal exception reporting, explanation of shortfalls and documented remedial actions.</w:t>
            </w:r>
          </w:p>
        </w:tc>
        <w:tc>
          <w:tcPr>
            <w:tcW w:w="2880" w:type="dxa"/>
            <w:hideMark/>
          </w:tcPr>
          <w:p w14:paraId="61DB59E5" w14:textId="77777777" w:rsidR="00CF2B3D" w:rsidRPr="00F175CF" w:rsidRDefault="00CF2B3D" w:rsidP="00CF2B3D">
            <w:pPr>
              <w:cnfStyle w:val="000000000000" w:firstRow="0" w:lastRow="0" w:firstColumn="0" w:lastColumn="0" w:oddVBand="0" w:evenVBand="0" w:oddHBand="0" w:evenHBand="0" w:firstRowFirstColumn="0" w:firstRowLastColumn="0" w:lastRowFirstColumn="0" w:lastRowLastColumn="0"/>
              <w:rPr>
                <w:color w:val="auto"/>
                <w:sz w:val="22"/>
              </w:rPr>
            </w:pPr>
            <w:r w:rsidRPr="00F175CF">
              <w:rPr>
                <w:color w:val="auto"/>
                <w:sz w:val="22"/>
              </w:rPr>
              <w:t>% of material sustainability targets with current progress and shortfalls publicly reported.</w:t>
            </w:r>
          </w:p>
        </w:tc>
        <w:tc>
          <w:tcPr>
            <w:tcW w:w="3780" w:type="dxa"/>
            <w:hideMark/>
          </w:tcPr>
          <w:p w14:paraId="3714977C" w14:textId="73073C9C" w:rsidR="00CF2B3D" w:rsidRPr="00F175CF" w:rsidRDefault="00CF2B3D" w:rsidP="00CF2B3D">
            <w:pPr>
              <w:cnfStyle w:val="000000000000" w:firstRow="0" w:lastRow="0" w:firstColumn="0" w:lastColumn="0" w:oddVBand="0" w:evenVBand="0" w:oddHBand="0" w:evenHBand="0" w:firstRowFirstColumn="0" w:firstRowLastColumn="0" w:lastRowFirstColumn="0" w:lastRowLastColumn="0"/>
              <w:rPr>
                <w:color w:val="auto"/>
                <w:sz w:val="22"/>
              </w:rPr>
            </w:pPr>
            <w:r w:rsidRPr="00CF2B3D">
              <w:rPr>
                <w:color w:val="auto"/>
                <w:sz w:val="22"/>
              </w:rPr>
              <w:t>Reduces one-sided reporting and increases accountability for both successes and failures. Sustainability reporting teams need to produce a balanced report on performance, and senior management should look to corrective responses for major weaknesses.</w:t>
            </w:r>
          </w:p>
        </w:tc>
      </w:tr>
      <w:tr w:rsidR="00CF2B3D" w:rsidRPr="00CF2B3D" w14:paraId="444B9325" w14:textId="77777777" w:rsidTr="00CF2B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8" w:type="dxa"/>
            <w:hideMark/>
          </w:tcPr>
          <w:p w14:paraId="398272EF" w14:textId="77777777" w:rsidR="00CF2B3D" w:rsidRPr="00F175CF" w:rsidRDefault="00CF2B3D" w:rsidP="00CF2B3D">
            <w:pPr>
              <w:rPr>
                <w:b w:val="0"/>
                <w:bCs w:val="0"/>
                <w:color w:val="auto"/>
                <w:sz w:val="22"/>
              </w:rPr>
            </w:pPr>
            <w:r w:rsidRPr="00F175CF">
              <w:rPr>
                <w:b w:val="0"/>
                <w:bCs w:val="0"/>
                <w:color w:val="auto"/>
                <w:sz w:val="22"/>
              </w:rPr>
              <w:t xml:space="preserve">Cross-channel </w:t>
            </w:r>
            <w:r w:rsidRPr="00F175CF">
              <w:rPr>
                <w:b w:val="0"/>
                <w:bCs w:val="0"/>
                <w:color w:val="auto"/>
                <w:sz w:val="22"/>
              </w:rPr>
              <w:lastRenderedPageBreak/>
              <w:t>traceability and consistency</w:t>
            </w:r>
          </w:p>
        </w:tc>
        <w:tc>
          <w:tcPr>
            <w:tcW w:w="2742" w:type="dxa"/>
            <w:hideMark/>
          </w:tcPr>
          <w:p w14:paraId="5C800B39" w14:textId="0C72C107" w:rsidR="00CF2B3D" w:rsidRPr="00F175CF" w:rsidRDefault="00CF2B3D" w:rsidP="00CF2B3D">
            <w:pPr>
              <w:cnfStyle w:val="000000100000" w:firstRow="0" w:lastRow="0" w:firstColumn="0" w:lastColumn="0" w:oddVBand="0" w:evenVBand="0" w:oddHBand="1" w:evenHBand="0" w:firstRowFirstColumn="0" w:firstRowLastColumn="0" w:lastRowFirstColumn="0" w:lastRowLastColumn="0"/>
              <w:rPr>
                <w:color w:val="auto"/>
                <w:sz w:val="22"/>
              </w:rPr>
            </w:pPr>
            <w:r w:rsidRPr="00CF2B3D">
              <w:rPr>
                <w:color w:val="auto"/>
                <w:sz w:val="22"/>
              </w:rPr>
              <w:lastRenderedPageBreak/>
              <w:t xml:space="preserve">Ensure that sustainability </w:t>
            </w:r>
            <w:r w:rsidRPr="00CF2B3D">
              <w:rPr>
                <w:color w:val="auto"/>
                <w:sz w:val="22"/>
              </w:rPr>
              <w:lastRenderedPageBreak/>
              <w:t>statements are tied to supporting information and regularly check reports, webpages, packaging and campaign statements for inconsistencies.</w:t>
            </w:r>
          </w:p>
        </w:tc>
        <w:tc>
          <w:tcPr>
            <w:tcW w:w="2160" w:type="dxa"/>
            <w:hideMark/>
          </w:tcPr>
          <w:p w14:paraId="373B5FBA" w14:textId="77777777" w:rsidR="00CF2B3D" w:rsidRPr="00F175CF" w:rsidRDefault="00CF2B3D" w:rsidP="00CF2B3D">
            <w:pPr>
              <w:cnfStyle w:val="000000100000" w:firstRow="0" w:lastRow="0" w:firstColumn="0" w:lastColumn="0" w:oddVBand="0" w:evenVBand="0" w:oddHBand="1" w:evenHBand="0" w:firstRowFirstColumn="0" w:firstRowLastColumn="0" w:lastRowFirstColumn="0" w:lastRowLastColumn="0"/>
              <w:rPr>
                <w:color w:val="auto"/>
                <w:sz w:val="22"/>
              </w:rPr>
            </w:pPr>
            <w:r w:rsidRPr="00F175CF">
              <w:rPr>
                <w:color w:val="auto"/>
                <w:sz w:val="22"/>
              </w:rPr>
              <w:lastRenderedPageBreak/>
              <w:t xml:space="preserve">Central evidence </w:t>
            </w:r>
            <w:r w:rsidRPr="00F175CF">
              <w:rPr>
                <w:color w:val="auto"/>
                <w:sz w:val="22"/>
              </w:rPr>
              <w:lastRenderedPageBreak/>
              <w:t>repository, common claim definitions and regular cross-functional communication audits.</w:t>
            </w:r>
          </w:p>
        </w:tc>
        <w:tc>
          <w:tcPr>
            <w:tcW w:w="2880" w:type="dxa"/>
            <w:hideMark/>
          </w:tcPr>
          <w:p w14:paraId="7BD42A20" w14:textId="77777777" w:rsidR="00CF2B3D" w:rsidRPr="00F175CF" w:rsidRDefault="00CF2B3D" w:rsidP="00CF2B3D">
            <w:pPr>
              <w:cnfStyle w:val="000000100000" w:firstRow="0" w:lastRow="0" w:firstColumn="0" w:lastColumn="0" w:oddVBand="0" w:evenVBand="0" w:oddHBand="1" w:evenHBand="0" w:firstRowFirstColumn="0" w:firstRowLastColumn="0" w:lastRowFirstColumn="0" w:lastRowLastColumn="0"/>
              <w:rPr>
                <w:color w:val="auto"/>
                <w:sz w:val="22"/>
              </w:rPr>
            </w:pPr>
            <w:r w:rsidRPr="00F175CF">
              <w:rPr>
                <w:color w:val="auto"/>
                <w:sz w:val="22"/>
              </w:rPr>
              <w:lastRenderedPageBreak/>
              <w:t xml:space="preserve">% of customer-facing claims </w:t>
            </w:r>
            <w:r w:rsidRPr="00F175CF">
              <w:rPr>
                <w:color w:val="auto"/>
                <w:sz w:val="22"/>
              </w:rPr>
              <w:lastRenderedPageBreak/>
              <w:t>linked to supporting evidence; number of unresolved cross-channel inconsistencies.</w:t>
            </w:r>
          </w:p>
        </w:tc>
        <w:tc>
          <w:tcPr>
            <w:tcW w:w="3780" w:type="dxa"/>
            <w:hideMark/>
          </w:tcPr>
          <w:p w14:paraId="1560F960" w14:textId="49C1DD92" w:rsidR="00CF2B3D" w:rsidRPr="00F175CF" w:rsidRDefault="00CF2B3D" w:rsidP="00CF2B3D">
            <w:pPr>
              <w:cnfStyle w:val="000000100000" w:firstRow="0" w:lastRow="0" w:firstColumn="0" w:lastColumn="0" w:oddVBand="0" w:evenVBand="0" w:oddHBand="1" w:evenHBand="0" w:firstRowFirstColumn="0" w:firstRowLastColumn="0" w:lastRowFirstColumn="0" w:lastRowLastColumn="0"/>
              <w:rPr>
                <w:color w:val="auto"/>
                <w:sz w:val="22"/>
              </w:rPr>
            </w:pPr>
            <w:r w:rsidRPr="00CF2B3D">
              <w:rPr>
                <w:color w:val="auto"/>
                <w:sz w:val="22"/>
              </w:rPr>
              <w:lastRenderedPageBreak/>
              <w:t xml:space="preserve">Allows stakeholders to follow claims to </w:t>
            </w:r>
            <w:r w:rsidRPr="00CF2B3D">
              <w:rPr>
                <w:color w:val="auto"/>
                <w:sz w:val="22"/>
              </w:rPr>
              <w:lastRenderedPageBreak/>
              <w:t>evidence and helps to minimize miscommunication. Consistent claims should be maintained by a joint effort between marketing, sustainability, corporate communications and digital teams with the customers and corporate channels.</w:t>
            </w:r>
          </w:p>
        </w:tc>
      </w:tr>
      <w:tr w:rsidR="00CF2B3D" w:rsidRPr="00CF2B3D" w14:paraId="569CD419" w14:textId="77777777" w:rsidTr="00CF2B3D">
        <w:tc>
          <w:tcPr>
            <w:cnfStyle w:val="001000000000" w:firstRow="0" w:lastRow="0" w:firstColumn="1" w:lastColumn="0" w:oddVBand="0" w:evenVBand="0" w:oddHBand="0" w:evenHBand="0" w:firstRowFirstColumn="0" w:firstRowLastColumn="0" w:lastRowFirstColumn="0" w:lastRowLastColumn="0"/>
            <w:tcW w:w="1488" w:type="dxa"/>
            <w:hideMark/>
          </w:tcPr>
          <w:p w14:paraId="2258BFEB" w14:textId="77777777" w:rsidR="00CF2B3D" w:rsidRPr="00F175CF" w:rsidRDefault="00CF2B3D" w:rsidP="00CF2B3D">
            <w:pPr>
              <w:rPr>
                <w:b w:val="0"/>
                <w:bCs w:val="0"/>
                <w:color w:val="auto"/>
                <w:sz w:val="22"/>
              </w:rPr>
            </w:pPr>
            <w:r w:rsidRPr="00F175CF">
              <w:rPr>
                <w:b w:val="0"/>
                <w:bCs w:val="0"/>
                <w:color w:val="auto"/>
                <w:sz w:val="22"/>
              </w:rPr>
              <w:t>Greenwashing prevention</w:t>
            </w:r>
          </w:p>
        </w:tc>
        <w:tc>
          <w:tcPr>
            <w:tcW w:w="2742" w:type="dxa"/>
            <w:hideMark/>
          </w:tcPr>
          <w:p w14:paraId="41C76D2B" w14:textId="778A55D4" w:rsidR="00CF2B3D" w:rsidRPr="00F175CF" w:rsidRDefault="00CF2B3D" w:rsidP="00CF2B3D">
            <w:pPr>
              <w:cnfStyle w:val="000000000000" w:firstRow="0" w:lastRow="0" w:firstColumn="0" w:lastColumn="0" w:oddVBand="0" w:evenVBand="0" w:oddHBand="0" w:evenHBand="0" w:firstRowFirstColumn="0" w:firstRowLastColumn="0" w:lastRowFirstColumn="0" w:lastRowLastColumn="0"/>
              <w:rPr>
                <w:color w:val="auto"/>
                <w:sz w:val="22"/>
              </w:rPr>
            </w:pPr>
            <w:r w:rsidRPr="00CF2B3D">
              <w:rPr>
                <w:color w:val="auto"/>
                <w:sz w:val="22"/>
              </w:rPr>
              <w:t>Formally audit material environmental claims for quality and update claims with imprecise, inflated or poorly substantiated statements before publication.</w:t>
            </w:r>
          </w:p>
        </w:tc>
        <w:tc>
          <w:tcPr>
            <w:tcW w:w="2160" w:type="dxa"/>
            <w:hideMark/>
          </w:tcPr>
          <w:p w14:paraId="1AB3D973" w14:textId="77777777" w:rsidR="00CF2B3D" w:rsidRPr="00F175CF" w:rsidRDefault="00CF2B3D" w:rsidP="00CF2B3D">
            <w:pPr>
              <w:cnfStyle w:val="000000000000" w:firstRow="0" w:lastRow="0" w:firstColumn="0" w:lastColumn="0" w:oddVBand="0" w:evenVBand="0" w:oddHBand="0" w:evenHBand="0" w:firstRowFirstColumn="0" w:firstRowLastColumn="0" w:lastRowFirstColumn="0" w:lastRowLastColumn="0"/>
              <w:rPr>
                <w:color w:val="auto"/>
                <w:sz w:val="22"/>
              </w:rPr>
            </w:pPr>
            <w:r w:rsidRPr="00F175CF">
              <w:rPr>
                <w:color w:val="auto"/>
                <w:sz w:val="22"/>
              </w:rPr>
              <w:t>Mandatory legal, compliance, sustainability and marketing approval for material green claims.</w:t>
            </w:r>
          </w:p>
        </w:tc>
        <w:tc>
          <w:tcPr>
            <w:tcW w:w="2880" w:type="dxa"/>
            <w:hideMark/>
          </w:tcPr>
          <w:p w14:paraId="00A9C78E" w14:textId="77777777" w:rsidR="00CF2B3D" w:rsidRPr="00F175CF" w:rsidRDefault="00CF2B3D" w:rsidP="00CF2B3D">
            <w:pPr>
              <w:cnfStyle w:val="000000000000" w:firstRow="0" w:lastRow="0" w:firstColumn="0" w:lastColumn="0" w:oddVBand="0" w:evenVBand="0" w:oddHBand="0" w:evenHBand="0" w:firstRowFirstColumn="0" w:firstRowLastColumn="0" w:lastRowFirstColumn="0" w:lastRowLastColumn="0"/>
              <w:rPr>
                <w:color w:val="auto"/>
                <w:sz w:val="22"/>
              </w:rPr>
            </w:pPr>
            <w:r w:rsidRPr="00F175CF">
              <w:rPr>
                <w:color w:val="auto"/>
                <w:sz w:val="22"/>
              </w:rPr>
              <w:t>% of material environmental claims passing pre-publication review before release.</w:t>
            </w:r>
          </w:p>
        </w:tc>
        <w:tc>
          <w:tcPr>
            <w:tcW w:w="3780" w:type="dxa"/>
            <w:hideMark/>
          </w:tcPr>
          <w:p w14:paraId="0C593D99" w14:textId="0A1B282C" w:rsidR="00CF2B3D" w:rsidRPr="00F175CF" w:rsidRDefault="00CF2B3D" w:rsidP="00CF2B3D">
            <w:pPr>
              <w:cnfStyle w:val="000000000000" w:firstRow="0" w:lastRow="0" w:firstColumn="0" w:lastColumn="0" w:oddVBand="0" w:evenVBand="0" w:oddHBand="0" w:evenHBand="0" w:firstRowFirstColumn="0" w:firstRowLastColumn="0" w:lastRowFirstColumn="0" w:lastRowLastColumn="0"/>
              <w:rPr>
                <w:color w:val="auto"/>
                <w:sz w:val="22"/>
              </w:rPr>
            </w:pPr>
            <w:proofErr w:type="spellStart"/>
            <w:r w:rsidRPr="00CF2B3D">
              <w:rPr>
                <w:color w:val="auto"/>
                <w:sz w:val="22"/>
              </w:rPr>
              <w:t>Minimises</w:t>
            </w:r>
            <w:proofErr w:type="spellEnd"/>
            <w:r w:rsidRPr="00CF2B3D">
              <w:rPr>
                <w:color w:val="auto"/>
                <w:sz w:val="22"/>
              </w:rPr>
              <w:t xml:space="preserve"> regulatory and reputational risk due to false or inflated claims. Regulatory risk should be considered by the legal/compliance team, evidence accuracy and suitable claim wording by sustainability and marketing managers.</w:t>
            </w:r>
          </w:p>
        </w:tc>
      </w:tr>
    </w:tbl>
    <w:p w14:paraId="2F2F6824" w14:textId="77777777" w:rsidR="00DA766E" w:rsidRDefault="00DA766E" w:rsidP="00DA766E">
      <w:pPr>
        <w:rPr>
          <w:b/>
          <w:bCs/>
        </w:rPr>
      </w:pPr>
    </w:p>
    <w:p w14:paraId="747F0871" w14:textId="7FEF1CFE" w:rsidR="00CF2B3D" w:rsidRDefault="00CF2B3D" w:rsidP="00CF2B3D">
      <w:r>
        <w:t xml:space="preserve">Table 6 compares the results to four managerial controls. Claim substantiation helps to prevent narrow claims from being extrapolated into broader environmental claims whilst balanced transparency enables creators to see that there may be material weaknesses. Cross channel traceability and consistency ensures that the customer-facing claims are linked to evidence across the channels of communication, and that there are no conflicting messages between the reports, web pages, packaging and campaigns. Pre-publication review </w:t>
      </w:r>
      <w:proofErr w:type="spellStart"/>
      <w:r>
        <w:t>minimises</w:t>
      </w:r>
      <w:proofErr w:type="spellEnd"/>
      <w:r>
        <w:t xml:space="preserve"> regulatory and reputational risks if environmental claims are misleading or may have exaggerated claims (ASA, 2023).</w:t>
      </w:r>
    </w:p>
    <w:p w14:paraId="32F21264" w14:textId="4390E966" w:rsidR="00AB4680" w:rsidRDefault="00CF2B3D" w:rsidP="00CF2B3D">
      <w:pPr>
        <w:sectPr w:rsidR="00AB4680" w:rsidSect="00AB4680">
          <w:pgSz w:w="15840" w:h="12240" w:orient="landscape"/>
          <w:pgMar w:top="1440" w:right="1440" w:bottom="1440" w:left="1440" w:header="720" w:footer="720" w:gutter="0"/>
          <w:cols w:space="720"/>
          <w:docGrid w:linePitch="360"/>
        </w:sectPr>
      </w:pPr>
      <w:r>
        <w:t xml:space="preserve">For M&amp;S, the focus is on improving the connection between Plan A aspirations and implementation and tangible results, not on increasing the frequency of communication. While M&amp;S is very detailed in its reporting it is essential that it reports successes, failures and remedial measures to earn credibility, as well (Marks and Spencer Group plc, 2026). Transparency and claim verification should be a continuous responsibility of sustainability, marketing and communications and compliance managers. There is a risk of weakening </w:t>
      </w:r>
      <w:r>
        <w:lastRenderedPageBreak/>
        <w:t>credibility conditions, which could lead to a decrease in trust-supported perceptions (Li and Sun, 2022). Greenwashing concerns need to be addressed by organizational adjustments, not a renewed push for promotion (Wang and Walker, 2023)</w:t>
      </w:r>
      <w:r w:rsidR="00E07273" w:rsidRPr="00E07273">
        <w:t>.</w:t>
      </w:r>
    </w:p>
    <w:p w14:paraId="4595CA20" w14:textId="4CBE132A" w:rsidR="00DA766E" w:rsidRPr="006F7BFB" w:rsidRDefault="00DA766E" w:rsidP="00DA766E"/>
    <w:p w14:paraId="1E781793" w14:textId="77777777" w:rsidR="00DA766E" w:rsidRPr="006F7BFB" w:rsidRDefault="00DA766E" w:rsidP="00DA766E">
      <w:pPr>
        <w:pStyle w:val="Heading2"/>
      </w:pPr>
      <w:bookmarkStart w:id="176" w:name="_Toc238784187"/>
      <w:bookmarkStart w:id="177" w:name="_Toc239795100"/>
      <w:r w:rsidRPr="006F7BFB">
        <w:t>6.5 Limitations and Directions for Future Research</w:t>
      </w:r>
      <w:bookmarkEnd w:id="176"/>
      <w:bookmarkEnd w:id="177"/>
    </w:p>
    <w:p w14:paraId="002D361A" w14:textId="77777777" w:rsidR="00DA766E" w:rsidRDefault="00DA766E" w:rsidP="00DA766E">
      <w:r>
        <w:t xml:space="preserve">There are three limitations to the study. Firstly, it has been based on secondary documentary evidence, meaning that much </w:t>
      </w:r>
      <w:proofErr w:type="spellStart"/>
      <w:r>
        <w:t>organisational</w:t>
      </w:r>
      <w:proofErr w:type="spellEnd"/>
      <w:r>
        <w:t xml:space="preserve"> content was created or chosen by the retailers themselves. Webpages and corporate reports might focus on successes and </w:t>
      </w:r>
      <w:r w:rsidRPr="00DD34CB">
        <w:t>give less attention to failed initiatives, underperformance or internal challenges</w:t>
      </w:r>
      <w:r>
        <w:t>. Whereas comparison between the various types of sources enhances analytical strength, documentary triangulation does not completely abolish source bias.</w:t>
      </w:r>
    </w:p>
    <w:p w14:paraId="618132CC" w14:textId="77777777" w:rsidR="00DA766E" w:rsidRDefault="00DA766E" w:rsidP="00DA766E">
      <w:r>
        <w:t xml:space="preserve">Second, the research is based on five UK </w:t>
      </w:r>
      <w:r w:rsidRPr="00DD34CB">
        <w:t>grocery retailers</w:t>
      </w:r>
      <w:r>
        <w:t xml:space="preserve">. This offers convenient analytical comparison, but is not statistically </w:t>
      </w:r>
      <w:proofErr w:type="spellStart"/>
      <w:r>
        <w:t>generalisable</w:t>
      </w:r>
      <w:proofErr w:type="spellEnd"/>
      <w:r>
        <w:t xml:space="preserve"> across industries or even countries, where the expectations on regulatory efforts, environmental consciousness and reporting maturity may vary.</w:t>
      </w:r>
    </w:p>
    <w:p w14:paraId="3486B486" w14:textId="77777777" w:rsidR="00DA766E" w:rsidRDefault="00DA766E" w:rsidP="00DA766E">
      <w:r>
        <w:t>Third, the study evaluates brand-trust-enhancing circumstances instead of brand trust of consumers directly. It thus cannot establish whether more transparent or clearer sustainability communication can lead to higher levels of trust, purchase intention or loyalty, nor can it provide documentary evidence of causal associations between communication practices and consumer responses.</w:t>
      </w:r>
    </w:p>
    <w:p w14:paraId="2EC83692" w14:textId="77777777" w:rsidR="00DA766E" w:rsidRPr="006F7BFB" w:rsidRDefault="00DA766E" w:rsidP="00DA766E">
      <w:r>
        <w:t xml:space="preserve">The refined conceptual pathway should be tested by future studies using mixed methods. The effects on credibility, authenticity and trust of claim clarity, disclosure of underperformance and access to evidence could be explored through experiments. Longitudinal research may help </w:t>
      </w:r>
      <w:r w:rsidRPr="00DD34CB">
        <w:t xml:space="preserve">assess the ability of transparency to maintain consumer trust over time after repeated </w:t>
      </w:r>
      <w:r>
        <w:t>missed</w:t>
      </w:r>
      <w:r w:rsidRPr="00DD34CB">
        <w:t xml:space="preserve"> targets</w:t>
      </w:r>
      <w:r>
        <w:t xml:space="preserve">. Triangulation using surveys, documentary coding and </w:t>
      </w:r>
      <w:proofErr w:type="spellStart"/>
      <w:r>
        <w:t>behavioural</w:t>
      </w:r>
      <w:proofErr w:type="spellEnd"/>
      <w:r>
        <w:t xml:space="preserve"> indicators may be enhanced by comparing the perception and responses of consumers to retailer communication. Claim evidence proportionality in multi-industry studies and in cross-country studies could also be tested under varying competitive and regulatory conditions, and provide greater evidence of long-term trust</w:t>
      </w:r>
      <w:r w:rsidRPr="0022529A">
        <w:t>.</w:t>
      </w:r>
    </w:p>
    <w:p w14:paraId="51E25A3A" w14:textId="77777777" w:rsidR="00DA766E" w:rsidRPr="006F7BFB" w:rsidRDefault="00DA766E" w:rsidP="00DA766E">
      <w:pPr>
        <w:pStyle w:val="Heading2"/>
      </w:pPr>
      <w:bookmarkStart w:id="178" w:name="_Toc238784188"/>
      <w:bookmarkStart w:id="179" w:name="_Toc239795101"/>
      <w:r w:rsidRPr="006F7BFB">
        <w:t>6.6 Closing Statement</w:t>
      </w:r>
      <w:bookmarkEnd w:id="178"/>
      <w:bookmarkEnd w:id="179"/>
    </w:p>
    <w:p w14:paraId="0ADE6A94" w14:textId="73AC3F14" w:rsidR="00EF6DA0" w:rsidRPr="0032640A" w:rsidRDefault="00DA766E" w:rsidP="00DA766E">
      <w:r w:rsidRPr="00770D72">
        <w:t xml:space="preserve">This paper finds that sustainability marketing communication can reinforce brand credibility when the claims are stated, supported in </w:t>
      </w:r>
      <w:r>
        <w:t xml:space="preserve">a </w:t>
      </w:r>
      <w:r w:rsidRPr="00770D72">
        <w:t xml:space="preserve">proportional way and reflected transparently and consistently in the channels. These attributes reinforce credibility, authenticity and </w:t>
      </w:r>
      <w:proofErr w:type="spellStart"/>
      <w:r>
        <w:t>minimise</w:t>
      </w:r>
      <w:proofErr w:type="spellEnd"/>
      <w:r w:rsidRPr="00770D72">
        <w:t xml:space="preserve"> the risk of greenwashing. </w:t>
      </w:r>
      <w:r w:rsidRPr="00732221">
        <w:t xml:space="preserve">Trust-enabling sustainability communication in M&amp;S and similar retailers relies on the consistency between what the retailer says, what the retailer can substantiate and what the </w:t>
      </w:r>
      <w:r w:rsidRPr="00732221">
        <w:lastRenderedPageBreak/>
        <w:t>retailer delivers</w:t>
      </w:r>
      <w:r w:rsidRPr="00DD34CB">
        <w:t>.</w:t>
      </w:r>
    </w:p>
    <w:p w14:paraId="4608C198" w14:textId="22DD92F6" w:rsidR="00C31AF6" w:rsidRPr="00653248" w:rsidRDefault="00B90618" w:rsidP="00AC14C3">
      <w:pPr>
        <w:widowControl/>
        <w:autoSpaceDE/>
        <w:autoSpaceDN/>
        <w:spacing w:after="160" w:line="259" w:lineRule="auto"/>
        <w:jc w:val="left"/>
      </w:pPr>
      <w:r>
        <w:br w:type="page"/>
      </w:r>
    </w:p>
    <w:p w14:paraId="35310E37" w14:textId="4A9CA63C" w:rsidR="006F7213" w:rsidRPr="006C09B2" w:rsidRDefault="00653248" w:rsidP="006F7213">
      <w:pPr>
        <w:pStyle w:val="Heading1"/>
      </w:pPr>
      <w:bookmarkStart w:id="180" w:name="_Toc239795102"/>
      <w:r w:rsidRPr="006C09B2">
        <w:lastRenderedPageBreak/>
        <w:t>Reference</w:t>
      </w:r>
      <w:r w:rsidR="0018743B">
        <w:t>s</w:t>
      </w:r>
      <w:bookmarkEnd w:id="180"/>
    </w:p>
    <w:p w14:paraId="60E88646" w14:textId="77777777" w:rsidR="00DA766E" w:rsidRDefault="00DA766E" w:rsidP="006F7213">
      <w:pPr>
        <w:ind w:left="720" w:hanging="720"/>
      </w:pPr>
      <w:r w:rsidRPr="006C09B2">
        <w:t>Advertising Standards Authority</w:t>
      </w:r>
      <w:r>
        <w:t xml:space="preserve"> (ASA)</w:t>
      </w:r>
      <w:r w:rsidRPr="006C09B2">
        <w:t xml:space="preserve"> (2023) </w:t>
      </w:r>
      <w:r w:rsidRPr="006F7213">
        <w:rPr>
          <w:i/>
          <w:iCs/>
        </w:rPr>
        <w:t>Misleading environmental claims and social responsibility in advertising</w:t>
      </w:r>
      <w:r w:rsidRPr="006C09B2">
        <w:t xml:space="preserve">. London: ASA. Available at: </w:t>
      </w:r>
      <w:hyperlink r:id="rId19" w:history="1">
        <w:r w:rsidRPr="006C09B2">
          <w:rPr>
            <w:rStyle w:val="Hyperlink"/>
          </w:rPr>
          <w:t>https://www.asa.org.uk/static/d819e399-3cf9-44ea-942b82d5ecd6dff3/0cb6bf59-8b70-44bd-98c7b048994b9096/Misleading-environmental-claims-and-social-responsibility-in-advertising.pdf</w:t>
        </w:r>
      </w:hyperlink>
      <w:r w:rsidRPr="006C09B2">
        <w:t xml:space="preserve"> (Accessed: 19 June 2026).</w:t>
      </w:r>
    </w:p>
    <w:p w14:paraId="627BA923" w14:textId="77777777" w:rsidR="00DA766E" w:rsidRDefault="00DA766E" w:rsidP="00EF6DA0">
      <w:pPr>
        <w:ind w:left="720" w:hanging="720"/>
      </w:pPr>
      <w:r w:rsidRPr="00EF6DA0">
        <w:t xml:space="preserve">Advertising Standards Authority (ASA) (2025) </w:t>
      </w:r>
      <w:r w:rsidRPr="00EF6DA0">
        <w:rPr>
          <w:i/>
          <w:iCs/>
        </w:rPr>
        <w:t>Misleading environmental claims and social responsibility in advertising</w:t>
      </w:r>
      <w:r w:rsidRPr="00EF6DA0">
        <w:t xml:space="preserve">. Available at: </w:t>
      </w:r>
      <w:hyperlink r:id="rId20" w:tgtFrame="_new" w:history="1">
        <w:r w:rsidRPr="00EF6DA0">
          <w:rPr>
            <w:rStyle w:val="Hyperlink"/>
          </w:rPr>
          <w:t>https://www.asa.org.uk/resource/misleading-environmental-claims-and-social-responsibility-in-advertising.html</w:t>
        </w:r>
      </w:hyperlink>
      <w:r w:rsidRPr="00EF6DA0">
        <w:t xml:space="preserve"> (Accessed: 26 July 2026).</w:t>
      </w:r>
    </w:p>
    <w:p w14:paraId="3D147E01" w14:textId="77777777" w:rsidR="00DA766E" w:rsidRPr="00EF6DA0" w:rsidRDefault="00DA766E" w:rsidP="00EF6DA0">
      <w:pPr>
        <w:ind w:left="720" w:hanging="720"/>
      </w:pPr>
      <w:r w:rsidRPr="00EF6DA0">
        <w:t xml:space="preserve">Advertising Standards Authority (ASA) (2026) </w:t>
      </w:r>
      <w:r w:rsidRPr="00EF6DA0">
        <w:rPr>
          <w:i/>
          <w:iCs/>
        </w:rPr>
        <w:t>Misleading environmental claims and social responsibility in advertising</w:t>
      </w:r>
      <w:r w:rsidRPr="00EF6DA0">
        <w:t xml:space="preserve">. Available at: </w:t>
      </w:r>
      <w:hyperlink r:id="rId21" w:tgtFrame="_new" w:history="1">
        <w:r w:rsidRPr="00EF6DA0">
          <w:rPr>
            <w:rStyle w:val="Hyperlink"/>
          </w:rPr>
          <w:t>https://www.asa.org.uk/resource/misleading-environmental-claims-and-social-responsibility-in-advertising.html</w:t>
        </w:r>
      </w:hyperlink>
      <w:r w:rsidRPr="00EF6DA0">
        <w:t xml:space="preserve"> (Accessed: 2 August 2026).</w:t>
      </w:r>
    </w:p>
    <w:p w14:paraId="5632C17B" w14:textId="77777777" w:rsidR="00DA766E" w:rsidRPr="00F939C2" w:rsidRDefault="00DA766E" w:rsidP="006F7213">
      <w:pPr>
        <w:ind w:left="720" w:hanging="720"/>
      </w:pPr>
      <w:proofErr w:type="spellStart"/>
      <w:r w:rsidRPr="00F939C2">
        <w:t>Aïmeur</w:t>
      </w:r>
      <w:proofErr w:type="spellEnd"/>
      <w:r w:rsidRPr="00F939C2">
        <w:t xml:space="preserve">, E., </w:t>
      </w:r>
      <w:proofErr w:type="spellStart"/>
      <w:r w:rsidRPr="00F939C2">
        <w:t>Amri</w:t>
      </w:r>
      <w:proofErr w:type="spellEnd"/>
      <w:r w:rsidRPr="00F939C2">
        <w:t xml:space="preserve">, S. and Brassard, G. (2023) ‘Fake news, disinformation and misinformation in social media: a review’, </w:t>
      </w:r>
      <w:r w:rsidRPr="006F7213">
        <w:rPr>
          <w:i/>
          <w:iCs/>
        </w:rPr>
        <w:t>Social Network Analysis and Mining</w:t>
      </w:r>
      <w:r w:rsidRPr="00F939C2">
        <w:t xml:space="preserve">, 13(1), Article 30. Available at: </w:t>
      </w:r>
      <w:hyperlink r:id="rId22" w:history="1">
        <w:r w:rsidRPr="00F939C2">
          <w:rPr>
            <w:rStyle w:val="Hyperlink"/>
          </w:rPr>
          <w:t>https://doi.org/10.1007/s13278-023-01028-5</w:t>
        </w:r>
      </w:hyperlink>
    </w:p>
    <w:p w14:paraId="743572B5" w14:textId="77777777" w:rsidR="00DA766E" w:rsidRPr="00EF6DA0" w:rsidRDefault="00DA766E" w:rsidP="00EF6DA0">
      <w:pPr>
        <w:ind w:left="720" w:hanging="720"/>
      </w:pPr>
      <w:proofErr w:type="spellStart"/>
      <w:r w:rsidRPr="00EF6DA0">
        <w:t>Alyahia</w:t>
      </w:r>
      <w:proofErr w:type="spellEnd"/>
      <w:r w:rsidRPr="00EF6DA0">
        <w:t xml:space="preserve">, M., </w:t>
      </w:r>
      <w:proofErr w:type="spellStart"/>
      <w:r w:rsidRPr="00EF6DA0">
        <w:t>Azazz</w:t>
      </w:r>
      <w:proofErr w:type="spellEnd"/>
      <w:r w:rsidRPr="00EF6DA0">
        <w:t xml:space="preserve">, A.M.S., Fayyad, S., </w:t>
      </w:r>
      <w:proofErr w:type="spellStart"/>
      <w:r w:rsidRPr="00EF6DA0">
        <w:t>Elshaer</w:t>
      </w:r>
      <w:proofErr w:type="spellEnd"/>
      <w:r w:rsidRPr="00EF6DA0">
        <w:t xml:space="preserve">, I.A. and Mohammad, A.A.A. (2024) ‘Greenwashing behavior in hotels industry: The role of green transparency and green authenticity’, </w:t>
      </w:r>
      <w:r w:rsidRPr="00EF6DA0">
        <w:rPr>
          <w:i/>
          <w:iCs/>
        </w:rPr>
        <w:t>Sustainability</w:t>
      </w:r>
      <w:r w:rsidRPr="00EF6DA0">
        <w:t xml:space="preserve">, 16(3), 1050. Available at: </w:t>
      </w:r>
      <w:hyperlink r:id="rId23" w:tgtFrame="_new" w:history="1">
        <w:r w:rsidRPr="00EF6DA0">
          <w:rPr>
            <w:rStyle w:val="Hyperlink"/>
          </w:rPr>
          <w:t>https://doi.org/10.3390/su16031050</w:t>
        </w:r>
      </w:hyperlink>
      <w:r w:rsidRPr="00EF6DA0">
        <w:t>.</w:t>
      </w:r>
    </w:p>
    <w:p w14:paraId="2D17FDFE" w14:textId="77777777" w:rsidR="00DA766E" w:rsidRPr="00DA766E" w:rsidRDefault="00DA766E" w:rsidP="00DA766E">
      <w:pPr>
        <w:ind w:left="720" w:hanging="720"/>
      </w:pPr>
      <w:r w:rsidRPr="00DA766E">
        <w:t xml:space="preserve">Amaya, N., </w:t>
      </w:r>
      <w:proofErr w:type="spellStart"/>
      <w:r w:rsidRPr="00DA766E">
        <w:t>López-Santamaría</w:t>
      </w:r>
      <w:proofErr w:type="spellEnd"/>
      <w:r w:rsidRPr="00DA766E">
        <w:t xml:space="preserve">, M., Cuero Acosta, Y.A. and </w:t>
      </w:r>
      <w:proofErr w:type="spellStart"/>
      <w:r w:rsidRPr="00DA766E">
        <w:t>Grueso</w:t>
      </w:r>
      <w:proofErr w:type="spellEnd"/>
      <w:r w:rsidRPr="00DA766E">
        <w:t xml:space="preserve"> </w:t>
      </w:r>
      <w:proofErr w:type="spellStart"/>
      <w:r w:rsidRPr="00DA766E">
        <w:t>Hinestroza</w:t>
      </w:r>
      <w:proofErr w:type="spellEnd"/>
      <w:r w:rsidRPr="00DA766E">
        <w:t xml:space="preserve">, M.P. (2021) ‘A step-by-step method to classify corporate sustainability practices based on the Signaling Theory’, </w:t>
      </w:r>
      <w:proofErr w:type="spellStart"/>
      <w:r w:rsidRPr="00DA766E">
        <w:rPr>
          <w:i/>
          <w:iCs/>
        </w:rPr>
        <w:t>MethodsX</w:t>
      </w:r>
      <w:proofErr w:type="spellEnd"/>
      <w:r w:rsidRPr="00DA766E">
        <w:t xml:space="preserve">, 8, 101538. Available at: </w:t>
      </w:r>
      <w:hyperlink r:id="rId24" w:tgtFrame="_new" w:history="1">
        <w:r w:rsidRPr="00DA766E">
          <w:rPr>
            <w:rStyle w:val="Hyperlink"/>
          </w:rPr>
          <w:t>https://doi.org/10.1016/j.mex.2021.101538</w:t>
        </w:r>
      </w:hyperlink>
      <w:r w:rsidRPr="00DA766E">
        <w:t>.</w:t>
      </w:r>
    </w:p>
    <w:p w14:paraId="7D53F9FF" w14:textId="77777777" w:rsidR="00DA766E" w:rsidRPr="006C09B2" w:rsidRDefault="00DA766E" w:rsidP="006F7213">
      <w:pPr>
        <w:ind w:left="720" w:hanging="720"/>
      </w:pPr>
      <w:proofErr w:type="spellStart"/>
      <w:r w:rsidRPr="006C09B2">
        <w:t>Asda</w:t>
      </w:r>
      <w:proofErr w:type="spellEnd"/>
      <w:r w:rsidRPr="006C09B2">
        <w:t xml:space="preserve"> Group Ltd (2024) </w:t>
      </w:r>
      <w:r w:rsidRPr="006F7213">
        <w:rPr>
          <w:i/>
          <w:iCs/>
        </w:rPr>
        <w:t>ESG report 2024</w:t>
      </w:r>
      <w:r w:rsidRPr="006C09B2">
        <w:t xml:space="preserve">. Leeds: </w:t>
      </w:r>
      <w:proofErr w:type="spellStart"/>
      <w:r w:rsidRPr="006C09B2">
        <w:t>Asda</w:t>
      </w:r>
      <w:proofErr w:type="spellEnd"/>
      <w:r w:rsidRPr="006C09B2">
        <w:t xml:space="preserve"> Group Ltd. Available at: </w:t>
      </w:r>
      <w:hyperlink r:id="rId25" w:history="1">
        <w:r w:rsidRPr="006C09B2">
          <w:rPr>
            <w:rStyle w:val="Hyperlink"/>
          </w:rPr>
          <w:t>https://asdagroceries.scene7.com/is/content/asdagroceries/Z%20FUTURE/Microsites/Corporate/Documents/ESG_Report_2024.pdf</w:t>
        </w:r>
      </w:hyperlink>
      <w:r w:rsidRPr="006C09B2">
        <w:t xml:space="preserve"> (Accessed: 29 June 2026).</w:t>
      </w:r>
    </w:p>
    <w:p w14:paraId="19AA9C42" w14:textId="77777777" w:rsidR="00DA766E" w:rsidRPr="00EF6DA0" w:rsidRDefault="00DA766E" w:rsidP="00EF6DA0">
      <w:pPr>
        <w:ind w:left="720" w:hanging="720"/>
      </w:pPr>
      <w:proofErr w:type="spellStart"/>
      <w:r w:rsidRPr="00EF6DA0">
        <w:t>Asda</w:t>
      </w:r>
      <w:proofErr w:type="spellEnd"/>
      <w:r w:rsidRPr="00EF6DA0">
        <w:t xml:space="preserve"> Group Ltd (2025) </w:t>
      </w:r>
      <w:proofErr w:type="spellStart"/>
      <w:r w:rsidRPr="00EF6DA0">
        <w:rPr>
          <w:i/>
          <w:iCs/>
        </w:rPr>
        <w:t>Asda</w:t>
      </w:r>
      <w:proofErr w:type="spellEnd"/>
      <w:r w:rsidRPr="00EF6DA0">
        <w:rPr>
          <w:i/>
          <w:iCs/>
        </w:rPr>
        <w:t xml:space="preserve"> updates on ESG performance</w:t>
      </w:r>
      <w:r w:rsidRPr="00EF6DA0">
        <w:t xml:space="preserve">. Available at: </w:t>
      </w:r>
      <w:hyperlink r:id="rId26" w:tgtFrame="_new" w:history="1">
        <w:r w:rsidRPr="00EF6DA0">
          <w:rPr>
            <w:rStyle w:val="Hyperlink"/>
          </w:rPr>
          <w:t>https://corporate.asda.com/newsroom/2025/12/02/asda-updates-on-esg-performance</w:t>
        </w:r>
      </w:hyperlink>
      <w:r w:rsidRPr="00EF6DA0">
        <w:t xml:space="preserve"> (Accessed: 28 June 2026).</w:t>
      </w:r>
    </w:p>
    <w:p w14:paraId="233CCE84" w14:textId="77777777" w:rsidR="00DA766E" w:rsidRPr="00F939C2" w:rsidRDefault="00DA766E" w:rsidP="006F7213">
      <w:pPr>
        <w:ind w:left="720" w:hanging="720"/>
      </w:pPr>
      <w:r w:rsidRPr="00F939C2">
        <w:t xml:space="preserve">Badhwar, A., Islam, S., Tan, C.S.L., </w:t>
      </w:r>
      <w:proofErr w:type="spellStart"/>
      <w:r w:rsidRPr="00F939C2">
        <w:t>Panwar</w:t>
      </w:r>
      <w:proofErr w:type="spellEnd"/>
      <w:r w:rsidRPr="00F939C2">
        <w:t xml:space="preserve">, T., </w:t>
      </w:r>
      <w:proofErr w:type="spellStart"/>
      <w:r w:rsidRPr="00F939C2">
        <w:t>Wigley</w:t>
      </w:r>
      <w:proofErr w:type="spellEnd"/>
      <w:r w:rsidRPr="00F939C2">
        <w:t xml:space="preserve">, S. and </w:t>
      </w:r>
      <w:proofErr w:type="spellStart"/>
      <w:r w:rsidRPr="00F939C2">
        <w:t>Nayak</w:t>
      </w:r>
      <w:proofErr w:type="spellEnd"/>
      <w:r w:rsidRPr="00F939C2">
        <w:t xml:space="preserve">, R. (2024) ‘Unravelling green marketing and greenwashing: a systematic review in the context of the fashion and </w:t>
      </w:r>
      <w:r w:rsidRPr="00F939C2">
        <w:lastRenderedPageBreak/>
        <w:t xml:space="preserve">textiles industry’, </w:t>
      </w:r>
      <w:r w:rsidRPr="006F7213">
        <w:rPr>
          <w:i/>
          <w:iCs/>
        </w:rPr>
        <w:t>Sustainability</w:t>
      </w:r>
      <w:r w:rsidRPr="00F939C2">
        <w:t xml:space="preserve">, 16(7), Article 2738. Available at: </w:t>
      </w:r>
      <w:hyperlink r:id="rId27" w:history="1">
        <w:r w:rsidRPr="00F939C2">
          <w:rPr>
            <w:rStyle w:val="Hyperlink"/>
          </w:rPr>
          <w:t>https://doi.org/10.3390/su16072738</w:t>
        </w:r>
      </w:hyperlink>
    </w:p>
    <w:p w14:paraId="6ECB6DAD" w14:textId="0679EAF3" w:rsidR="00DA766E" w:rsidRPr="00EF6DA0" w:rsidRDefault="00DA766E" w:rsidP="00EF6DA0">
      <w:pPr>
        <w:ind w:left="720" w:hanging="720"/>
      </w:pPr>
      <w:proofErr w:type="spellStart"/>
      <w:r w:rsidRPr="00EF6DA0">
        <w:t>Bendig</w:t>
      </w:r>
      <w:proofErr w:type="spellEnd"/>
      <w:r w:rsidRPr="00EF6DA0">
        <w:t xml:space="preserve">, D., </w:t>
      </w:r>
      <w:proofErr w:type="spellStart"/>
      <w:r w:rsidRPr="00EF6DA0">
        <w:t>Schäper</w:t>
      </w:r>
      <w:proofErr w:type="spellEnd"/>
      <w:r w:rsidRPr="00EF6DA0">
        <w:t xml:space="preserve">, T. and </w:t>
      </w:r>
      <w:proofErr w:type="spellStart"/>
      <w:r w:rsidRPr="00EF6DA0">
        <w:t>Erbar</w:t>
      </w:r>
      <w:proofErr w:type="spellEnd"/>
      <w:r w:rsidRPr="00EF6DA0">
        <w:t xml:space="preserve">, F. (2024) ‘Revealing the truth: The moderating role of internal stakeholders in sustainability communication’, </w:t>
      </w:r>
      <w:r w:rsidRPr="00EF6DA0">
        <w:rPr>
          <w:i/>
          <w:iCs/>
        </w:rPr>
        <w:t>Journal of Cleaner Production</w:t>
      </w:r>
      <w:r w:rsidRPr="00EF6DA0">
        <w:t xml:space="preserve">, 434, 139969. Available at: </w:t>
      </w:r>
      <w:hyperlink r:id="rId28" w:history="1">
        <w:r w:rsidR="001C439A" w:rsidRPr="00EF6DA0">
          <w:rPr>
            <w:rStyle w:val="Hyperlink"/>
          </w:rPr>
          <w:t>https://doi.org/10.1016/j.jclepro.2023.139969</w:t>
        </w:r>
      </w:hyperlink>
      <w:r w:rsidR="001C439A">
        <w:t xml:space="preserve"> </w:t>
      </w:r>
      <w:r w:rsidRPr="00EF6DA0">
        <w:t>.</w:t>
      </w:r>
    </w:p>
    <w:p w14:paraId="78D2BF0F" w14:textId="77777777" w:rsidR="00DA766E" w:rsidRPr="00EF6DA0" w:rsidRDefault="00DA766E" w:rsidP="00EF6DA0">
      <w:pPr>
        <w:ind w:left="720" w:hanging="720"/>
      </w:pPr>
      <w:proofErr w:type="spellStart"/>
      <w:r w:rsidRPr="00EF6DA0">
        <w:t>Bengtson</w:t>
      </w:r>
      <w:proofErr w:type="spellEnd"/>
      <w:r w:rsidRPr="00EF6DA0">
        <w:t xml:space="preserve">, E. and Mossberg, O. (2023) </w:t>
      </w:r>
      <w:r w:rsidRPr="00EF6DA0">
        <w:rPr>
          <w:i/>
          <w:iCs/>
        </w:rPr>
        <w:t>The virtues of green marketing: A constructive take on corporate rhetoric</w:t>
      </w:r>
      <w:r w:rsidRPr="00EF6DA0">
        <w:t xml:space="preserve">. Cham: Palgrave Macmillan.  </w:t>
      </w:r>
    </w:p>
    <w:p w14:paraId="6E300D75" w14:textId="77777777" w:rsidR="00DA766E" w:rsidRPr="00EF6DA0" w:rsidRDefault="00DA766E" w:rsidP="00EF6DA0">
      <w:pPr>
        <w:ind w:left="720" w:hanging="720"/>
      </w:pPr>
      <w:r w:rsidRPr="00EF6DA0">
        <w:t xml:space="preserve">Bernini, F. and La Rosa, F. (2024) ‘Research in the greenwashing field: Concepts, theories, and potential impacts on economic and social value’, </w:t>
      </w:r>
      <w:r w:rsidRPr="00EF6DA0">
        <w:rPr>
          <w:i/>
          <w:iCs/>
        </w:rPr>
        <w:t>Journal of Management and Governance</w:t>
      </w:r>
      <w:r w:rsidRPr="00EF6DA0">
        <w:t xml:space="preserve">, 28, pp. 405–444. Available at: </w:t>
      </w:r>
      <w:hyperlink r:id="rId29" w:tgtFrame="_new" w:history="1">
        <w:r w:rsidRPr="00EF6DA0">
          <w:rPr>
            <w:rStyle w:val="Hyperlink"/>
          </w:rPr>
          <w:t>https://doi.org/10.1007/s10997-023-09686-5</w:t>
        </w:r>
      </w:hyperlink>
    </w:p>
    <w:p w14:paraId="514AC0DD" w14:textId="77777777" w:rsidR="00DA766E" w:rsidRPr="00EF6DA0" w:rsidRDefault="00DA766E" w:rsidP="00EF6DA0">
      <w:pPr>
        <w:ind w:left="720" w:hanging="720"/>
      </w:pPr>
      <w:r w:rsidRPr="00EF6DA0">
        <w:t xml:space="preserve">Bernini, F., Giuliani, M. and La Rosa, F. (2024) ‘Measuring greenwashing: A systematic methodological literature review’, </w:t>
      </w:r>
      <w:r w:rsidRPr="00EF6DA0">
        <w:rPr>
          <w:i/>
          <w:iCs/>
        </w:rPr>
        <w:t>Business Ethics, the Environment &amp; Responsibility</w:t>
      </w:r>
      <w:r w:rsidRPr="00EF6DA0">
        <w:t xml:space="preserve">, 33, pp. 649–667. Available at: </w:t>
      </w:r>
      <w:hyperlink r:id="rId30" w:tgtFrame="_new" w:history="1">
        <w:r w:rsidRPr="00EF6DA0">
          <w:rPr>
            <w:rStyle w:val="Hyperlink"/>
          </w:rPr>
          <w:t>https://doi.org/10.1111/beer.12631</w:t>
        </w:r>
      </w:hyperlink>
    </w:p>
    <w:p w14:paraId="1227C83D" w14:textId="77777777" w:rsidR="00DA766E" w:rsidRPr="00EF6DA0" w:rsidRDefault="00DA766E" w:rsidP="00EF6DA0">
      <w:pPr>
        <w:ind w:left="720" w:hanging="720"/>
      </w:pPr>
      <w:r w:rsidRPr="00EF6DA0">
        <w:t xml:space="preserve">Bhattacharyya, J., Dash, M.K., </w:t>
      </w:r>
      <w:proofErr w:type="spellStart"/>
      <w:r w:rsidRPr="00EF6DA0">
        <w:t>Hewege</w:t>
      </w:r>
      <w:proofErr w:type="spellEnd"/>
      <w:r w:rsidRPr="00EF6DA0">
        <w:t xml:space="preserve">, C., </w:t>
      </w:r>
      <w:proofErr w:type="spellStart"/>
      <w:r w:rsidRPr="00EF6DA0">
        <w:t>Balaji</w:t>
      </w:r>
      <w:proofErr w:type="spellEnd"/>
      <w:r w:rsidRPr="00EF6DA0">
        <w:t xml:space="preserve">, M.S. and Lim, W.M. (2021) </w:t>
      </w:r>
      <w:r w:rsidRPr="00EF6DA0">
        <w:rPr>
          <w:i/>
          <w:iCs/>
        </w:rPr>
        <w:t>Social and sustainability marketing: A casebook for reaching your socially responsible consumers through marketing science</w:t>
      </w:r>
      <w:r w:rsidRPr="00EF6DA0">
        <w:t xml:space="preserve">. 1st </w:t>
      </w:r>
      <w:proofErr w:type="spellStart"/>
      <w:r w:rsidRPr="00EF6DA0">
        <w:t>edn</w:t>
      </w:r>
      <w:proofErr w:type="spellEnd"/>
      <w:r w:rsidRPr="00EF6DA0">
        <w:t>. Boca Raton, FL: Productivity Press.</w:t>
      </w:r>
    </w:p>
    <w:p w14:paraId="08AE78B5" w14:textId="370EC4F3" w:rsidR="00DA766E" w:rsidRPr="00EF6DA0" w:rsidRDefault="00DA766E" w:rsidP="00EF6DA0">
      <w:pPr>
        <w:ind w:left="720" w:hanging="720"/>
      </w:pPr>
      <w:r w:rsidRPr="00EF6DA0">
        <w:t>Braun, V. and Clarke, V. (2021</w:t>
      </w:r>
      <w:r w:rsidR="004E6FAB">
        <w:t>a</w:t>
      </w:r>
      <w:r w:rsidRPr="00EF6DA0">
        <w:t xml:space="preserve">) </w:t>
      </w:r>
      <w:r w:rsidRPr="00EF6DA0">
        <w:rPr>
          <w:i/>
          <w:iCs/>
        </w:rPr>
        <w:t>Thematic analysis: A practical guide</w:t>
      </w:r>
      <w:r w:rsidRPr="00EF6DA0">
        <w:t xml:space="preserve">. 1st </w:t>
      </w:r>
      <w:proofErr w:type="spellStart"/>
      <w:r w:rsidRPr="00EF6DA0">
        <w:t>edn</w:t>
      </w:r>
      <w:proofErr w:type="spellEnd"/>
      <w:r w:rsidRPr="00EF6DA0">
        <w:t>. London: SAGE Publications Ltd.</w:t>
      </w:r>
    </w:p>
    <w:p w14:paraId="0B87502F" w14:textId="77777777" w:rsidR="00DA766E" w:rsidRPr="00EF6DA0" w:rsidRDefault="00DA766E" w:rsidP="00EF6DA0">
      <w:pPr>
        <w:ind w:left="720" w:hanging="720"/>
      </w:pPr>
      <w:r w:rsidRPr="00EF6DA0">
        <w:t xml:space="preserve">Braun, V. and Clarke, V. (2021b) ‘One size fits all? What counts as quality practice in (reflexive) thematic analysis?’, </w:t>
      </w:r>
      <w:r w:rsidRPr="00EF6DA0">
        <w:rPr>
          <w:i/>
          <w:iCs/>
        </w:rPr>
        <w:t>Qualitative Research in Psychology</w:t>
      </w:r>
      <w:r w:rsidRPr="00EF6DA0">
        <w:t>, 18(3), pp. 328–352.</w:t>
      </w:r>
    </w:p>
    <w:p w14:paraId="611BD2F8" w14:textId="24F6006F" w:rsidR="00DA766E" w:rsidRDefault="00DA766E" w:rsidP="00DA766E">
      <w:pPr>
        <w:ind w:left="720" w:hanging="720"/>
      </w:pPr>
      <w:r w:rsidRPr="00DA766E">
        <w:t xml:space="preserve">Brereton, P. (2022) </w:t>
      </w:r>
      <w:r w:rsidRPr="00DA766E">
        <w:rPr>
          <w:i/>
          <w:iCs/>
        </w:rPr>
        <w:t>Essential concepts of environmental communication: An A–Z guide</w:t>
      </w:r>
      <w:r w:rsidRPr="00DA766E">
        <w:t xml:space="preserve">. 1st </w:t>
      </w:r>
      <w:proofErr w:type="spellStart"/>
      <w:r w:rsidRPr="00DA766E">
        <w:t>edn</w:t>
      </w:r>
      <w:proofErr w:type="spellEnd"/>
      <w:r w:rsidRPr="00DA766E">
        <w:t>. Abingdon: Routledge.</w:t>
      </w:r>
    </w:p>
    <w:p w14:paraId="0C7B6577" w14:textId="5CA329AB" w:rsidR="004022FA" w:rsidRPr="00DA766E" w:rsidRDefault="004022FA" w:rsidP="00DA766E">
      <w:pPr>
        <w:ind w:left="720" w:hanging="720"/>
      </w:pPr>
      <w:r>
        <w:t xml:space="preserve">Chaudhuri, A. and Holbrook, M.B. (2001) ‘The chain of effects from brand trust and brand affect to brand performance: The role of brand loyalty’, </w:t>
      </w:r>
      <w:r>
        <w:rPr>
          <w:rStyle w:val="Emphasis"/>
        </w:rPr>
        <w:t>Journal of Marketing</w:t>
      </w:r>
      <w:r>
        <w:t xml:space="preserve">, 65(2), pp. 81–93. Available at: </w:t>
      </w:r>
      <w:hyperlink r:id="rId31" w:tgtFrame="_new" w:history="1">
        <w:r>
          <w:rPr>
            <w:rStyle w:val="Hyperlink"/>
          </w:rPr>
          <w:t>https://eli.johogo.com/Class/jm-2001.pdf</w:t>
        </w:r>
      </w:hyperlink>
    </w:p>
    <w:p w14:paraId="6F544D94" w14:textId="77777777" w:rsidR="00DA766E" w:rsidRPr="00EF6DA0" w:rsidRDefault="00DA766E" w:rsidP="00EF6DA0">
      <w:pPr>
        <w:ind w:left="720" w:hanging="720"/>
      </w:pPr>
      <w:proofErr w:type="spellStart"/>
      <w:r w:rsidRPr="00EF6DA0">
        <w:t>Chattopadhyay</w:t>
      </w:r>
      <w:proofErr w:type="spellEnd"/>
      <w:r w:rsidRPr="00EF6DA0">
        <w:t xml:space="preserve">, S., </w:t>
      </w:r>
      <w:proofErr w:type="spellStart"/>
      <w:r w:rsidRPr="00EF6DA0">
        <w:t>Sondhi</w:t>
      </w:r>
      <w:proofErr w:type="spellEnd"/>
      <w:r w:rsidRPr="00EF6DA0">
        <w:t xml:space="preserve">, S.S. and </w:t>
      </w:r>
      <w:proofErr w:type="spellStart"/>
      <w:r w:rsidRPr="00EF6DA0">
        <w:t>Dalal</w:t>
      </w:r>
      <w:proofErr w:type="spellEnd"/>
      <w:r w:rsidRPr="00EF6DA0">
        <w:t>, A. (</w:t>
      </w:r>
      <w:proofErr w:type="spellStart"/>
      <w:r w:rsidRPr="00EF6DA0">
        <w:t>eds</w:t>
      </w:r>
      <w:proofErr w:type="spellEnd"/>
      <w:r w:rsidRPr="00EF6DA0">
        <w:t xml:space="preserve">) (2024) </w:t>
      </w:r>
      <w:r w:rsidRPr="00EF6DA0">
        <w:rPr>
          <w:i/>
          <w:iCs/>
        </w:rPr>
        <w:t>Sustainable marketing and customer value</w:t>
      </w:r>
      <w:r w:rsidRPr="00EF6DA0">
        <w:t xml:space="preserve">. 1st </w:t>
      </w:r>
      <w:proofErr w:type="spellStart"/>
      <w:r w:rsidRPr="00EF6DA0">
        <w:t>edn</w:t>
      </w:r>
      <w:proofErr w:type="spellEnd"/>
      <w:r w:rsidRPr="00EF6DA0">
        <w:t>. Abingdon: Routledge.</w:t>
      </w:r>
    </w:p>
    <w:p w14:paraId="10312506" w14:textId="77777777" w:rsidR="00DA766E" w:rsidRPr="00EF6DA0" w:rsidRDefault="00DA766E" w:rsidP="00EF6DA0">
      <w:pPr>
        <w:ind w:left="720" w:hanging="720"/>
      </w:pPr>
      <w:bookmarkStart w:id="181" w:name="_Hlk238698225"/>
      <w:r w:rsidRPr="00EF6DA0">
        <w:t xml:space="preserve">Chen, Y.-S. (2010) ‘The drivers of green brand equity: Green brand image, green satisfaction, and green trust’, </w:t>
      </w:r>
      <w:r w:rsidRPr="00EF6DA0">
        <w:rPr>
          <w:i/>
          <w:iCs/>
        </w:rPr>
        <w:t>Journal of Business Ethics</w:t>
      </w:r>
      <w:r w:rsidRPr="00EF6DA0">
        <w:t>, 93, pp. 307–319.</w:t>
      </w:r>
    </w:p>
    <w:bookmarkEnd w:id="181"/>
    <w:p w14:paraId="0E155C4F" w14:textId="77777777" w:rsidR="00DA766E" w:rsidRPr="00EF6DA0" w:rsidRDefault="00DA766E" w:rsidP="00EF6DA0">
      <w:pPr>
        <w:ind w:left="720" w:hanging="720"/>
      </w:pPr>
      <w:r w:rsidRPr="00EF6DA0">
        <w:t xml:space="preserve">Choudhury, M. (2024) ‘Signaling theory’, </w:t>
      </w:r>
      <w:r w:rsidRPr="00EF6DA0">
        <w:rPr>
          <w:i/>
          <w:iCs/>
        </w:rPr>
        <w:t>Journal of Accounting, Business and Management (JABM)</w:t>
      </w:r>
      <w:r w:rsidRPr="00EF6DA0">
        <w:t>, 31(2), pp. 98–120.</w:t>
      </w:r>
    </w:p>
    <w:p w14:paraId="111957C7" w14:textId="77777777" w:rsidR="00DA766E" w:rsidRPr="00DA766E" w:rsidRDefault="00DA766E" w:rsidP="00DA766E">
      <w:pPr>
        <w:ind w:left="720" w:hanging="720"/>
      </w:pPr>
      <w:proofErr w:type="spellStart"/>
      <w:r w:rsidRPr="00DA766E">
        <w:t>Christis</w:t>
      </w:r>
      <w:proofErr w:type="spellEnd"/>
      <w:r w:rsidRPr="00DA766E">
        <w:t xml:space="preserve">, J. and Wang, Y. (2021) ‘Communicating environmental CSR towards consumers: The </w:t>
      </w:r>
      <w:r w:rsidRPr="00DA766E">
        <w:lastRenderedPageBreak/>
        <w:t xml:space="preserve">impact of message content, message style and praise tactics’, </w:t>
      </w:r>
      <w:r w:rsidRPr="00DA766E">
        <w:rPr>
          <w:i/>
          <w:iCs/>
        </w:rPr>
        <w:t>Sustainability</w:t>
      </w:r>
      <w:r w:rsidRPr="00DA766E">
        <w:t xml:space="preserve">, 13(7), 3981. Available at: </w:t>
      </w:r>
      <w:hyperlink r:id="rId32" w:history="1">
        <w:r w:rsidRPr="00DA766E">
          <w:rPr>
            <w:rStyle w:val="Hyperlink"/>
          </w:rPr>
          <w:t>https://doi.org/10.3390/su13073981</w:t>
        </w:r>
      </w:hyperlink>
      <w:r w:rsidRPr="00DA766E">
        <w:t>.</w:t>
      </w:r>
    </w:p>
    <w:p w14:paraId="57F3BD35" w14:textId="77777777" w:rsidR="00DA766E" w:rsidRPr="00EF6DA0" w:rsidRDefault="00DA766E" w:rsidP="00EF6DA0">
      <w:pPr>
        <w:ind w:left="720" w:hanging="720"/>
      </w:pPr>
      <w:r w:rsidRPr="00EF6DA0">
        <w:t xml:space="preserve">Competition and Markets Authority (CMA) (2021) </w:t>
      </w:r>
      <w:r w:rsidRPr="00EF6DA0">
        <w:rPr>
          <w:i/>
          <w:iCs/>
        </w:rPr>
        <w:t>Green Claims Code: Making environmental claims</w:t>
      </w:r>
      <w:r w:rsidRPr="00EF6DA0">
        <w:t xml:space="preserve">. Available at: </w:t>
      </w:r>
      <w:hyperlink r:id="rId33" w:tgtFrame="_new" w:history="1">
        <w:r w:rsidRPr="00EF6DA0">
          <w:rPr>
            <w:rStyle w:val="Hyperlink"/>
          </w:rPr>
          <w:t>https://www.gov.uk/government/publications/green-claims-code-making-environmental-claims</w:t>
        </w:r>
      </w:hyperlink>
      <w:r w:rsidRPr="00EF6DA0">
        <w:t xml:space="preserve"> (Accessed: 24 July 2026).</w:t>
      </w:r>
    </w:p>
    <w:p w14:paraId="3CAE70F2" w14:textId="77777777" w:rsidR="00DA766E" w:rsidRPr="00EF6DA0" w:rsidRDefault="00DA766E" w:rsidP="00EF6DA0">
      <w:pPr>
        <w:ind w:left="720" w:hanging="720"/>
      </w:pPr>
      <w:r w:rsidRPr="00EF6DA0">
        <w:t xml:space="preserve">Competition and Markets Authority (CMA) (2024) </w:t>
      </w:r>
      <w:r w:rsidRPr="00EF6DA0">
        <w:rPr>
          <w:i/>
          <w:iCs/>
        </w:rPr>
        <w:t xml:space="preserve">Green claims: CMA secures landmark changes from ASOS, Boohoo and </w:t>
      </w:r>
      <w:proofErr w:type="spellStart"/>
      <w:r w:rsidRPr="00EF6DA0">
        <w:rPr>
          <w:i/>
          <w:iCs/>
        </w:rPr>
        <w:t>Asda</w:t>
      </w:r>
      <w:proofErr w:type="spellEnd"/>
      <w:r w:rsidRPr="00EF6DA0">
        <w:t xml:space="preserve">. London: GOV.UK. Available at: </w:t>
      </w:r>
      <w:hyperlink r:id="rId34" w:tgtFrame="_new" w:history="1">
        <w:r w:rsidRPr="00EF6DA0">
          <w:rPr>
            <w:rStyle w:val="Hyperlink"/>
          </w:rPr>
          <w:t>https://www.gov.uk/government/news/green-claims-cma-secures-landmark-changes-from-asos-boohoo-and-asda</w:t>
        </w:r>
      </w:hyperlink>
      <w:r w:rsidRPr="00EF6DA0">
        <w:t xml:space="preserve"> (Accessed: 29 June 2026).</w:t>
      </w:r>
    </w:p>
    <w:p w14:paraId="158B178E" w14:textId="77777777" w:rsidR="00DA766E" w:rsidRPr="00EF6DA0" w:rsidRDefault="00DA766E" w:rsidP="00EF6DA0">
      <w:pPr>
        <w:ind w:left="720" w:hanging="720"/>
      </w:pPr>
      <w:r w:rsidRPr="00EF6DA0">
        <w:t xml:space="preserve">Competition and Markets Authority (CMA) (2026) </w:t>
      </w:r>
      <w:r w:rsidRPr="00EF6DA0">
        <w:rPr>
          <w:i/>
          <w:iCs/>
        </w:rPr>
        <w:t>Making green claims: Getting it right, across the supply chain</w:t>
      </w:r>
      <w:r w:rsidRPr="00EF6DA0">
        <w:t xml:space="preserve">. Available at: </w:t>
      </w:r>
      <w:hyperlink r:id="rId35" w:tgtFrame="_new" w:history="1">
        <w:r w:rsidRPr="00EF6DA0">
          <w:rPr>
            <w:rStyle w:val="Hyperlink"/>
          </w:rPr>
          <w:t>https://www.gov.uk/government/publications/making-green-claims-getting-it-right-across-the-supply-chain/making-green-claims-getting-it-right-across-the-supply-chain</w:t>
        </w:r>
      </w:hyperlink>
      <w:r w:rsidRPr="00EF6DA0">
        <w:t xml:space="preserve"> (Accessed: 4 August 2026).</w:t>
      </w:r>
    </w:p>
    <w:p w14:paraId="141368CC" w14:textId="77777777" w:rsidR="00DA766E" w:rsidRPr="00EF6DA0" w:rsidRDefault="00DA766E" w:rsidP="00EF6DA0">
      <w:pPr>
        <w:ind w:left="720" w:hanging="720"/>
      </w:pPr>
      <w:proofErr w:type="spellStart"/>
      <w:r w:rsidRPr="00EF6DA0">
        <w:t>Daou</w:t>
      </w:r>
      <w:proofErr w:type="spellEnd"/>
      <w:r w:rsidRPr="00EF6DA0">
        <w:t xml:space="preserve">, L., </w:t>
      </w:r>
      <w:proofErr w:type="spellStart"/>
      <w:r w:rsidRPr="00EF6DA0">
        <w:t>Sayegh</w:t>
      </w:r>
      <w:proofErr w:type="spellEnd"/>
      <w:r w:rsidRPr="00EF6DA0">
        <w:t xml:space="preserve">, E., </w:t>
      </w:r>
      <w:proofErr w:type="spellStart"/>
      <w:r w:rsidRPr="00EF6DA0">
        <w:t>Atallah</w:t>
      </w:r>
      <w:proofErr w:type="spellEnd"/>
      <w:r w:rsidRPr="00EF6DA0">
        <w:t xml:space="preserve">, E., </w:t>
      </w:r>
      <w:proofErr w:type="spellStart"/>
      <w:r w:rsidRPr="00EF6DA0">
        <w:t>Jabbour</w:t>
      </w:r>
      <w:proofErr w:type="spellEnd"/>
      <w:r w:rsidRPr="00EF6DA0">
        <w:t xml:space="preserve"> Al </w:t>
      </w:r>
      <w:proofErr w:type="spellStart"/>
      <w:r w:rsidRPr="00EF6DA0">
        <w:t>Maalouf</w:t>
      </w:r>
      <w:proofErr w:type="spellEnd"/>
      <w:r w:rsidRPr="00EF6DA0">
        <w:t xml:space="preserve">, N. and </w:t>
      </w:r>
      <w:proofErr w:type="spellStart"/>
      <w:r w:rsidRPr="00EF6DA0">
        <w:t>Sarkis</w:t>
      </w:r>
      <w:proofErr w:type="spellEnd"/>
      <w:r w:rsidRPr="00EF6DA0">
        <w:t xml:space="preserve">, N. (2025) ‘Greenwashing as a barrier to sustainable marketing: Expectation disconfirmation, confusion, and brand–consumer relationships’, </w:t>
      </w:r>
      <w:r w:rsidRPr="00EF6DA0">
        <w:rPr>
          <w:i/>
          <w:iCs/>
        </w:rPr>
        <w:t>Sustainability</w:t>
      </w:r>
      <w:r w:rsidRPr="00EF6DA0">
        <w:t xml:space="preserve">, 17(22), Article 9979. Available at: </w:t>
      </w:r>
      <w:hyperlink r:id="rId36" w:tgtFrame="_new" w:history="1">
        <w:r w:rsidRPr="00EF6DA0">
          <w:rPr>
            <w:rStyle w:val="Hyperlink"/>
          </w:rPr>
          <w:t>https://doi.org/10.3390/su17229979</w:t>
        </w:r>
      </w:hyperlink>
    </w:p>
    <w:p w14:paraId="47A81527" w14:textId="31A817F3" w:rsidR="00DA766E" w:rsidRDefault="00DA766E" w:rsidP="00EF6DA0">
      <w:pPr>
        <w:ind w:left="720" w:hanging="720"/>
      </w:pPr>
      <w:r w:rsidRPr="00EF6DA0">
        <w:t xml:space="preserve">de </w:t>
      </w:r>
      <w:proofErr w:type="spellStart"/>
      <w:r w:rsidRPr="00EF6DA0">
        <w:t>Sio</w:t>
      </w:r>
      <w:proofErr w:type="spellEnd"/>
      <w:r w:rsidRPr="00EF6DA0">
        <w:t xml:space="preserve">, S., </w:t>
      </w:r>
      <w:proofErr w:type="spellStart"/>
      <w:r w:rsidRPr="00EF6DA0">
        <w:t>Zamagni</w:t>
      </w:r>
      <w:proofErr w:type="spellEnd"/>
      <w:r w:rsidRPr="00EF6DA0">
        <w:t xml:space="preserve">, A., </w:t>
      </w:r>
      <w:proofErr w:type="spellStart"/>
      <w:r w:rsidRPr="00EF6DA0">
        <w:t>Casu</w:t>
      </w:r>
      <w:proofErr w:type="spellEnd"/>
      <w:r w:rsidRPr="00EF6DA0">
        <w:t xml:space="preserve">, G. and </w:t>
      </w:r>
      <w:proofErr w:type="spellStart"/>
      <w:r w:rsidRPr="00EF6DA0">
        <w:t>Gremigni</w:t>
      </w:r>
      <w:proofErr w:type="spellEnd"/>
      <w:r w:rsidRPr="00EF6DA0">
        <w:t xml:space="preserve">, P. (2022) ‘Green trust as a mediator in the relationship between green advertising skepticism, environmental knowledge, and intention to buy green food’, </w:t>
      </w:r>
      <w:r w:rsidRPr="00EF6DA0">
        <w:rPr>
          <w:i/>
          <w:iCs/>
        </w:rPr>
        <w:t>International Journal of Environmental Research and Public Health</w:t>
      </w:r>
      <w:r w:rsidRPr="00EF6DA0">
        <w:t xml:space="preserve">, 19(24), 16757. Available at: </w:t>
      </w:r>
      <w:hyperlink r:id="rId37" w:history="1">
        <w:r w:rsidR="001C439A" w:rsidRPr="00EF6DA0">
          <w:rPr>
            <w:rStyle w:val="Hyperlink"/>
          </w:rPr>
          <w:t>https://doi.org/10.3390/ijerph192416757</w:t>
        </w:r>
      </w:hyperlink>
      <w:r w:rsidR="001C439A">
        <w:t xml:space="preserve"> </w:t>
      </w:r>
    </w:p>
    <w:p w14:paraId="18AB8651" w14:textId="25D9FE53" w:rsidR="004022FA" w:rsidRPr="00EF6DA0" w:rsidRDefault="004022FA" w:rsidP="00EF6DA0">
      <w:pPr>
        <w:ind w:left="720" w:hanging="720"/>
      </w:pPr>
      <w:r>
        <w:t>Delgado-</w:t>
      </w:r>
      <w:proofErr w:type="spellStart"/>
      <w:r>
        <w:t>Ballester</w:t>
      </w:r>
      <w:proofErr w:type="spellEnd"/>
      <w:r>
        <w:t xml:space="preserve">, E. (2004) ‘Applicability of a brand trust scale across product categories: A </w:t>
      </w:r>
      <w:proofErr w:type="spellStart"/>
      <w:r>
        <w:t>multigroup</w:t>
      </w:r>
      <w:proofErr w:type="spellEnd"/>
      <w:r>
        <w:t xml:space="preserve"> invariance analysis’, </w:t>
      </w:r>
      <w:r>
        <w:rPr>
          <w:rStyle w:val="Emphasis"/>
        </w:rPr>
        <w:t>European Journal of Marketing</w:t>
      </w:r>
      <w:r>
        <w:t xml:space="preserve">, 38(5/6), pp. 573–592. </w:t>
      </w:r>
      <w:proofErr w:type="spellStart"/>
      <w:r>
        <w:t>doi</w:t>
      </w:r>
      <w:proofErr w:type="spellEnd"/>
      <w:r>
        <w:t>: 10.1108/03090560410529222.</w:t>
      </w:r>
    </w:p>
    <w:p w14:paraId="3D80BC9B" w14:textId="77777777" w:rsidR="00DA766E" w:rsidRPr="006C09B2" w:rsidRDefault="00DA766E" w:rsidP="006F7213">
      <w:pPr>
        <w:ind w:left="720" w:hanging="720"/>
      </w:pPr>
      <w:r w:rsidRPr="006C09B2">
        <w:t xml:space="preserve">Deloitte (2024) </w:t>
      </w:r>
      <w:r w:rsidRPr="006F7213">
        <w:rPr>
          <w:i/>
          <w:iCs/>
        </w:rPr>
        <w:t>Consumer sustainability report: Creating value from sustainable products</w:t>
      </w:r>
      <w:r w:rsidRPr="006C09B2">
        <w:t xml:space="preserve">. London: Deloitte. Available at: </w:t>
      </w:r>
      <w:hyperlink r:id="rId38" w:history="1">
        <w:r w:rsidRPr="006C09B2">
          <w:rPr>
            <w:rStyle w:val="Hyperlink"/>
          </w:rPr>
          <w:t>https://www.deloitte.com/global/en/industries/consumer/research/consumer-sustainability-report.html</w:t>
        </w:r>
      </w:hyperlink>
      <w:r w:rsidRPr="006C09B2">
        <w:t xml:space="preserve"> (Accessed: 29 June 2026).</w:t>
      </w:r>
    </w:p>
    <w:p w14:paraId="0ED05403" w14:textId="77777777" w:rsidR="00DA766E" w:rsidRPr="00EF6DA0" w:rsidRDefault="00DA766E" w:rsidP="00EF6DA0">
      <w:pPr>
        <w:ind w:left="720" w:hanging="720"/>
      </w:pPr>
      <w:r w:rsidRPr="00EF6DA0">
        <w:t xml:space="preserve">Ding, Y., </w:t>
      </w:r>
      <w:proofErr w:type="spellStart"/>
      <w:r w:rsidRPr="00EF6DA0">
        <w:t>Meng</w:t>
      </w:r>
      <w:proofErr w:type="spellEnd"/>
      <w:r w:rsidRPr="00EF6DA0">
        <w:t xml:space="preserve">, X. and Sun, C. (2024) ‘Simplicity matters: Unraveling the impact of minimalist packaging on green trust in daily consumer goods’, </w:t>
      </w:r>
      <w:r w:rsidRPr="00EF6DA0">
        <w:rPr>
          <w:i/>
          <w:iCs/>
        </w:rPr>
        <w:t>Sustainability</w:t>
      </w:r>
      <w:r w:rsidRPr="00EF6DA0">
        <w:t xml:space="preserve">, 16(12), 4932. Available at: </w:t>
      </w:r>
      <w:hyperlink r:id="rId39" w:tgtFrame="_new" w:history="1">
        <w:r w:rsidRPr="00EF6DA0">
          <w:rPr>
            <w:rStyle w:val="Hyperlink"/>
          </w:rPr>
          <w:t>https://doi.org/10.3390/su16124932</w:t>
        </w:r>
      </w:hyperlink>
      <w:r w:rsidRPr="00EF6DA0">
        <w:t>.</w:t>
      </w:r>
    </w:p>
    <w:p w14:paraId="0037166D" w14:textId="77777777" w:rsidR="00DA766E" w:rsidRPr="00EF6DA0" w:rsidRDefault="00DA766E" w:rsidP="00EF6DA0">
      <w:pPr>
        <w:ind w:left="720" w:hanging="720"/>
      </w:pPr>
      <w:proofErr w:type="spellStart"/>
      <w:r w:rsidRPr="00EF6DA0">
        <w:t>Eisenhardt</w:t>
      </w:r>
      <w:proofErr w:type="spellEnd"/>
      <w:r w:rsidRPr="00EF6DA0">
        <w:t xml:space="preserve">, K.M. (1989) ‘Building theories from case study research’, </w:t>
      </w:r>
      <w:r w:rsidRPr="00EF6DA0">
        <w:rPr>
          <w:i/>
          <w:iCs/>
        </w:rPr>
        <w:t xml:space="preserve">Academy of Management </w:t>
      </w:r>
      <w:r w:rsidRPr="00EF6DA0">
        <w:rPr>
          <w:i/>
          <w:iCs/>
        </w:rPr>
        <w:lastRenderedPageBreak/>
        <w:t>Review</w:t>
      </w:r>
      <w:r w:rsidRPr="00EF6DA0">
        <w:t xml:space="preserve">, 14(4), pp. 532–550. </w:t>
      </w:r>
      <w:proofErr w:type="spellStart"/>
      <w:r w:rsidRPr="00EF6DA0">
        <w:t>doi</w:t>
      </w:r>
      <w:proofErr w:type="spellEnd"/>
      <w:r w:rsidRPr="00EF6DA0">
        <w:t xml:space="preserve">: 10.2307/258557. Available at: </w:t>
      </w:r>
      <w:hyperlink r:id="rId40" w:tgtFrame="_new" w:history="1">
        <w:r w:rsidRPr="00EF6DA0">
          <w:rPr>
            <w:rStyle w:val="Hyperlink"/>
          </w:rPr>
          <w:t>https://www.jstor.org/stable/258557</w:t>
        </w:r>
      </w:hyperlink>
      <w:r w:rsidRPr="00EF6DA0">
        <w:t>.</w:t>
      </w:r>
    </w:p>
    <w:p w14:paraId="5C640B7E" w14:textId="77777777" w:rsidR="00DA766E" w:rsidRPr="00C31AF6" w:rsidRDefault="00DA766E" w:rsidP="006F7213">
      <w:pPr>
        <w:ind w:left="720" w:hanging="720"/>
      </w:pPr>
      <w:proofErr w:type="spellStart"/>
      <w:r w:rsidRPr="00C31AF6">
        <w:t>Fenech</w:t>
      </w:r>
      <w:proofErr w:type="spellEnd"/>
      <w:r w:rsidRPr="00C31AF6">
        <w:t xml:space="preserve">, C., Walton, B. and </w:t>
      </w:r>
      <w:proofErr w:type="spellStart"/>
      <w:r w:rsidRPr="00C31AF6">
        <w:t>Majury</w:t>
      </w:r>
      <w:proofErr w:type="spellEnd"/>
      <w:r w:rsidRPr="00C31AF6">
        <w:t xml:space="preserve">, A. (2024) ‘The sustainable consumer: understanding consumer attitudes to sustainability and sustainable </w:t>
      </w:r>
      <w:proofErr w:type="spellStart"/>
      <w:r w:rsidRPr="00C31AF6">
        <w:t>behaviours</w:t>
      </w:r>
      <w:proofErr w:type="spellEnd"/>
      <w:r w:rsidRPr="00C31AF6">
        <w:t xml:space="preserve">’, </w:t>
      </w:r>
      <w:r w:rsidRPr="006F7213">
        <w:rPr>
          <w:i/>
          <w:iCs/>
        </w:rPr>
        <w:t>Deloitte UK</w:t>
      </w:r>
      <w:r w:rsidRPr="00C31AF6">
        <w:t xml:space="preserve">. Available at: </w:t>
      </w:r>
      <w:hyperlink r:id="rId41" w:tgtFrame="_new" w:history="1">
        <w:r w:rsidRPr="00C31AF6">
          <w:rPr>
            <w:rStyle w:val="Hyperlink"/>
          </w:rPr>
          <w:t>https://www.deloitte.com/uk/en/Industries/consumer/perspectives/the-sustainable-consumer.html</w:t>
        </w:r>
      </w:hyperlink>
      <w:r w:rsidRPr="00C31AF6">
        <w:t xml:space="preserve"> (Accessed: 29 June 2026).</w:t>
      </w:r>
    </w:p>
    <w:p w14:paraId="0519CDF3" w14:textId="77777777" w:rsidR="00DA766E" w:rsidRPr="00C31AF6" w:rsidRDefault="00DA766E" w:rsidP="006F7213">
      <w:pPr>
        <w:ind w:left="720" w:hanging="720"/>
      </w:pPr>
      <w:r w:rsidRPr="00C31AF6">
        <w:t>Financial Times (2024) ‘</w:t>
      </w:r>
      <w:proofErr w:type="spellStart"/>
      <w:r w:rsidRPr="00C31AF6">
        <w:t>Asos</w:t>
      </w:r>
      <w:proofErr w:type="spellEnd"/>
      <w:r w:rsidRPr="00C31AF6">
        <w:t xml:space="preserve">, Boohoo and George pledge clarity on green credentials after CMA probe’, </w:t>
      </w:r>
      <w:r w:rsidRPr="006F7213">
        <w:rPr>
          <w:i/>
          <w:iCs/>
        </w:rPr>
        <w:t>Financial Times</w:t>
      </w:r>
      <w:r w:rsidRPr="00C31AF6">
        <w:t xml:space="preserve">, 27 March. Available at: </w:t>
      </w:r>
      <w:hyperlink r:id="rId42" w:tgtFrame="_new" w:history="1">
        <w:r w:rsidRPr="00C31AF6">
          <w:rPr>
            <w:rStyle w:val="Hyperlink"/>
          </w:rPr>
          <w:t>https://www.ft.com/content/14f4af4b-083a-4a8f-926f-dd97b6a30ec0</w:t>
        </w:r>
      </w:hyperlink>
      <w:r w:rsidRPr="00C31AF6">
        <w:t xml:space="preserve"> (Accessed: 29 June 2026).</w:t>
      </w:r>
    </w:p>
    <w:p w14:paraId="49FE97BA" w14:textId="77777777" w:rsidR="00DA766E" w:rsidRPr="00DA766E" w:rsidRDefault="00DA766E" w:rsidP="00DA766E">
      <w:pPr>
        <w:ind w:left="720" w:hanging="720"/>
      </w:pPr>
      <w:proofErr w:type="spellStart"/>
      <w:r w:rsidRPr="00DA766E">
        <w:t>Foroudi</w:t>
      </w:r>
      <w:proofErr w:type="spellEnd"/>
      <w:r w:rsidRPr="00DA766E">
        <w:t>, P. and Palazzo, M. (</w:t>
      </w:r>
      <w:proofErr w:type="spellStart"/>
      <w:r w:rsidRPr="00DA766E">
        <w:t>eds</w:t>
      </w:r>
      <w:proofErr w:type="spellEnd"/>
      <w:r w:rsidRPr="00DA766E">
        <w:t xml:space="preserve">) (2021) </w:t>
      </w:r>
      <w:r w:rsidRPr="00DA766E">
        <w:rPr>
          <w:i/>
          <w:iCs/>
        </w:rPr>
        <w:t>Sustainable branding: Ethical, social, and environmental cases and perspectives</w:t>
      </w:r>
      <w:r w:rsidRPr="00DA766E">
        <w:t xml:space="preserve">. 1st </w:t>
      </w:r>
      <w:proofErr w:type="spellStart"/>
      <w:r w:rsidRPr="00DA766E">
        <w:t>edn</w:t>
      </w:r>
      <w:proofErr w:type="spellEnd"/>
      <w:r w:rsidRPr="00DA766E">
        <w:t>. Abingdon: Routledge</w:t>
      </w:r>
    </w:p>
    <w:p w14:paraId="3C97C7FD" w14:textId="77777777" w:rsidR="00DA766E" w:rsidRPr="00EF6DA0" w:rsidRDefault="00DA766E" w:rsidP="00EF6DA0">
      <w:pPr>
        <w:ind w:left="720" w:hanging="720"/>
      </w:pPr>
      <w:r w:rsidRPr="00EF6DA0">
        <w:t xml:space="preserve">Freeman, R.E. (2010) </w:t>
      </w:r>
      <w:r w:rsidRPr="00EF6DA0">
        <w:rPr>
          <w:i/>
          <w:iCs/>
        </w:rPr>
        <w:t>Strategic management: A stakeholder approach</w:t>
      </w:r>
      <w:r w:rsidRPr="00EF6DA0">
        <w:t>. Cambridge: Cambridge University Press.</w:t>
      </w:r>
    </w:p>
    <w:p w14:paraId="25E00802" w14:textId="77777777" w:rsidR="00DA766E" w:rsidRPr="00C31AF6" w:rsidRDefault="00DA766E" w:rsidP="006F7213">
      <w:pPr>
        <w:ind w:left="720" w:hanging="720"/>
      </w:pPr>
      <w:r w:rsidRPr="00C31AF6">
        <w:t xml:space="preserve">Frey, S., Bar Am, J., </w:t>
      </w:r>
      <w:proofErr w:type="spellStart"/>
      <w:r w:rsidRPr="00C31AF6">
        <w:t>Doshi</w:t>
      </w:r>
      <w:proofErr w:type="spellEnd"/>
      <w:r w:rsidRPr="00C31AF6">
        <w:t xml:space="preserve">, V., Malik, A. and Noble, S. (2023) ‘Consumers care about sustainability—and back it up with their wallets’, </w:t>
      </w:r>
      <w:r w:rsidRPr="006F7213">
        <w:rPr>
          <w:i/>
          <w:iCs/>
        </w:rPr>
        <w:t>McKinsey &amp; Company</w:t>
      </w:r>
      <w:r w:rsidRPr="00C31AF6">
        <w:t xml:space="preserve">, 6 February. Available at: </w:t>
      </w:r>
      <w:hyperlink r:id="rId43" w:tgtFrame="_new" w:history="1">
        <w:r w:rsidRPr="00C31AF6">
          <w:rPr>
            <w:rStyle w:val="Hyperlink"/>
          </w:rPr>
          <w:t>https://www.mckinsey.com/industries/consumer-packaged-goods/our-insights/consumers-care-about-sustainability-and-back-it-up-with-their-wallets</w:t>
        </w:r>
      </w:hyperlink>
      <w:r w:rsidRPr="00C31AF6">
        <w:t xml:space="preserve"> (Accessed: 29 June 2026).</w:t>
      </w:r>
    </w:p>
    <w:p w14:paraId="1E9FF910" w14:textId="77777777" w:rsidR="00DA766E" w:rsidRPr="00EF6DA0" w:rsidRDefault="00DA766E" w:rsidP="00EF6DA0">
      <w:pPr>
        <w:ind w:left="720" w:hanging="720"/>
      </w:pPr>
      <w:proofErr w:type="spellStart"/>
      <w:r w:rsidRPr="00EF6DA0">
        <w:t>Ghitti</w:t>
      </w:r>
      <w:proofErr w:type="spellEnd"/>
      <w:r w:rsidRPr="00EF6DA0">
        <w:t xml:space="preserve">, M., </w:t>
      </w:r>
      <w:proofErr w:type="spellStart"/>
      <w:r w:rsidRPr="00EF6DA0">
        <w:t>Gianfrate</w:t>
      </w:r>
      <w:proofErr w:type="spellEnd"/>
      <w:r w:rsidRPr="00EF6DA0">
        <w:t xml:space="preserve">, G. and Palma, L. (2024) ‘The agency of greenwashing’, </w:t>
      </w:r>
      <w:r w:rsidRPr="00EF6DA0">
        <w:rPr>
          <w:i/>
          <w:iCs/>
        </w:rPr>
        <w:t>Journal of Management and Governance</w:t>
      </w:r>
      <w:r w:rsidRPr="00EF6DA0">
        <w:t xml:space="preserve">, 28, pp. 905–941. Available at: </w:t>
      </w:r>
      <w:hyperlink r:id="rId44" w:tgtFrame="_new" w:history="1">
        <w:r w:rsidRPr="00EF6DA0">
          <w:rPr>
            <w:rStyle w:val="Hyperlink"/>
          </w:rPr>
          <w:t>https://doi.org/10.1007/s10997-023-09683-8</w:t>
        </w:r>
      </w:hyperlink>
      <w:r w:rsidRPr="00EF6DA0">
        <w:t>.</w:t>
      </w:r>
    </w:p>
    <w:p w14:paraId="15A3E264" w14:textId="77777777" w:rsidR="00DA766E" w:rsidRDefault="00DA766E" w:rsidP="006F7213">
      <w:pPr>
        <w:ind w:left="720" w:hanging="720"/>
      </w:pPr>
      <w:r w:rsidRPr="006C09B2">
        <w:t xml:space="preserve">GS1 UK (2024) </w:t>
      </w:r>
      <w:r w:rsidRPr="006F7213">
        <w:rPr>
          <w:i/>
          <w:iCs/>
        </w:rPr>
        <w:t>Majority of consumers don’t trust companies to come clean about their environmental impact</w:t>
      </w:r>
      <w:r w:rsidRPr="006C09B2">
        <w:t xml:space="preserve">. London: GS1 UK. Available at: </w:t>
      </w:r>
      <w:hyperlink r:id="rId45" w:history="1">
        <w:r w:rsidRPr="006C09B2">
          <w:rPr>
            <w:rStyle w:val="Hyperlink"/>
          </w:rPr>
          <w:t>https://www.gs1uk.org/insights/press-releases/majority-of-consumers-don%E2%80%99t-trust-companies-to-come-clean-about-their-environmental-impact</w:t>
        </w:r>
      </w:hyperlink>
      <w:r w:rsidRPr="006C09B2">
        <w:t xml:space="preserve"> (Accessed: 29 June 2026).</w:t>
      </w:r>
    </w:p>
    <w:p w14:paraId="4B30D6EA" w14:textId="77777777" w:rsidR="00DA766E" w:rsidRPr="00EF6DA0" w:rsidRDefault="00DA766E" w:rsidP="00EF6DA0">
      <w:pPr>
        <w:ind w:left="720" w:hanging="720"/>
      </w:pPr>
      <w:proofErr w:type="spellStart"/>
      <w:r w:rsidRPr="00EF6DA0">
        <w:t>Guerreiro</w:t>
      </w:r>
      <w:proofErr w:type="spellEnd"/>
      <w:r w:rsidRPr="00EF6DA0">
        <w:t xml:space="preserve">, J. and Pacheco, M. (2021) ‘How green trust, consumer brand engagement and green word-of-mouth mediate purchasing intentions’, </w:t>
      </w:r>
      <w:r w:rsidRPr="00EF6DA0">
        <w:rPr>
          <w:i/>
          <w:iCs/>
        </w:rPr>
        <w:t>Sustainability</w:t>
      </w:r>
      <w:r w:rsidRPr="00EF6DA0">
        <w:t xml:space="preserve">, 13(14), 7877. Available at: </w:t>
      </w:r>
      <w:hyperlink r:id="rId46" w:tgtFrame="_new" w:history="1">
        <w:r w:rsidRPr="00EF6DA0">
          <w:rPr>
            <w:rStyle w:val="Hyperlink"/>
          </w:rPr>
          <w:t>https://doi.org/10.3390/su13147877</w:t>
        </w:r>
      </w:hyperlink>
      <w:r w:rsidRPr="00EF6DA0">
        <w:t>.</w:t>
      </w:r>
    </w:p>
    <w:p w14:paraId="5CF4787B" w14:textId="77777777" w:rsidR="00DA766E" w:rsidRPr="006C09B2" w:rsidRDefault="00DA766E" w:rsidP="006F7213">
      <w:pPr>
        <w:ind w:left="720" w:hanging="720"/>
      </w:pPr>
      <w:r w:rsidRPr="006C09B2">
        <w:t xml:space="preserve">Ha, M.-T., </w:t>
      </w:r>
      <w:proofErr w:type="spellStart"/>
      <w:r w:rsidRPr="006C09B2">
        <w:t>Ngan</w:t>
      </w:r>
      <w:proofErr w:type="spellEnd"/>
      <w:r w:rsidRPr="006C09B2">
        <w:t xml:space="preserve">, V.T.K. and Nguyen, P.N.D. (2022) ‘Greenwash and green brand equity: The mediating role of green brand image, green satisfaction and green trust and the moderating role of information and knowledge’, </w:t>
      </w:r>
      <w:r w:rsidRPr="006F7213">
        <w:rPr>
          <w:i/>
          <w:iCs/>
        </w:rPr>
        <w:t>Business Ethics, the Environment &amp; Responsibility</w:t>
      </w:r>
      <w:r w:rsidRPr="006C09B2">
        <w:t xml:space="preserve">, </w:t>
      </w:r>
      <w:r w:rsidRPr="006C09B2">
        <w:lastRenderedPageBreak/>
        <w:t xml:space="preserve">31(4), pp. 904–922. Available at: </w:t>
      </w:r>
      <w:hyperlink r:id="rId47" w:history="1">
        <w:r w:rsidRPr="006C09B2">
          <w:rPr>
            <w:rStyle w:val="Hyperlink"/>
          </w:rPr>
          <w:t>https://doi.org/10.1111/beer.12462</w:t>
        </w:r>
      </w:hyperlink>
    </w:p>
    <w:p w14:paraId="29BEF01C" w14:textId="77777777" w:rsidR="00DA766E" w:rsidRPr="00EF6DA0" w:rsidRDefault="00DA766E" w:rsidP="00EF6DA0">
      <w:pPr>
        <w:ind w:left="720" w:hanging="720"/>
      </w:pPr>
      <w:r w:rsidRPr="00EF6DA0">
        <w:t xml:space="preserve">Hansen, H. (2023) </w:t>
      </w:r>
      <w:r w:rsidRPr="00EF6DA0">
        <w:rPr>
          <w:i/>
          <w:iCs/>
        </w:rPr>
        <w:t>Brand management in a co-creation perspective: Communication as constitutive of brands</w:t>
      </w:r>
      <w:r w:rsidRPr="00EF6DA0">
        <w:t xml:space="preserve">. 1st </w:t>
      </w:r>
      <w:proofErr w:type="spellStart"/>
      <w:r w:rsidRPr="00EF6DA0">
        <w:t>edn</w:t>
      </w:r>
      <w:proofErr w:type="spellEnd"/>
      <w:r w:rsidRPr="00EF6DA0">
        <w:t>. Abingdon: Routledge.</w:t>
      </w:r>
    </w:p>
    <w:p w14:paraId="1D0E2B74" w14:textId="77777777" w:rsidR="00DA766E" w:rsidRPr="00EF6DA0" w:rsidRDefault="00DA766E" w:rsidP="00EF6DA0">
      <w:pPr>
        <w:ind w:left="720" w:hanging="720"/>
      </w:pPr>
      <w:r w:rsidRPr="00EF6DA0">
        <w:t xml:space="preserve">Hinson, R.E., </w:t>
      </w:r>
      <w:proofErr w:type="spellStart"/>
      <w:r w:rsidRPr="00EF6DA0">
        <w:t>Adeola</w:t>
      </w:r>
      <w:proofErr w:type="spellEnd"/>
      <w:r w:rsidRPr="00EF6DA0">
        <w:t xml:space="preserve">, O. and </w:t>
      </w:r>
      <w:proofErr w:type="spellStart"/>
      <w:r w:rsidRPr="00EF6DA0">
        <w:t>Adisa</w:t>
      </w:r>
      <w:proofErr w:type="spellEnd"/>
      <w:r w:rsidRPr="00EF6DA0">
        <w:t>, I. (</w:t>
      </w:r>
      <w:proofErr w:type="spellStart"/>
      <w:r w:rsidRPr="00EF6DA0">
        <w:t>eds</w:t>
      </w:r>
      <w:proofErr w:type="spellEnd"/>
      <w:r w:rsidRPr="00EF6DA0">
        <w:t xml:space="preserve">) (2021) </w:t>
      </w:r>
      <w:r w:rsidRPr="00EF6DA0">
        <w:rPr>
          <w:i/>
          <w:iCs/>
        </w:rPr>
        <w:t>Green marketing and management in emerging markets: The crucial role of people management in successful implementation</w:t>
      </w:r>
      <w:r w:rsidRPr="00EF6DA0">
        <w:t>. Cham: Palgrave Macmillan.</w:t>
      </w:r>
    </w:p>
    <w:p w14:paraId="43A5CD58" w14:textId="77777777" w:rsidR="00DA766E" w:rsidRPr="006C09B2" w:rsidRDefault="00DA766E" w:rsidP="006F7213">
      <w:pPr>
        <w:ind w:left="720" w:hanging="720"/>
      </w:pPr>
      <w:r w:rsidRPr="006C09B2">
        <w:t xml:space="preserve">J Sainsbury plc (2025) </w:t>
      </w:r>
      <w:r w:rsidRPr="006F7213">
        <w:rPr>
          <w:i/>
          <w:iCs/>
        </w:rPr>
        <w:t>Annual report and financial statements 2025</w:t>
      </w:r>
      <w:r w:rsidRPr="006C09B2">
        <w:t xml:space="preserve">. London: J Sainsbury plc. Available at: </w:t>
      </w:r>
      <w:hyperlink r:id="rId48" w:history="1">
        <w:r w:rsidRPr="006C09B2">
          <w:rPr>
            <w:rStyle w:val="Hyperlink"/>
          </w:rPr>
          <w:t>https://corporate.sainsburys.co.uk/media/e1lfnybd/sainsbury-annual-report-and-financial-statements-2025.pdf</w:t>
        </w:r>
      </w:hyperlink>
      <w:r w:rsidRPr="006C09B2">
        <w:t xml:space="preserve"> (Accessed: 27 June 2026).</w:t>
      </w:r>
    </w:p>
    <w:p w14:paraId="4AC37864" w14:textId="77777777" w:rsidR="00DA766E" w:rsidRPr="00EF6DA0" w:rsidRDefault="00DA766E" w:rsidP="00EF6DA0">
      <w:pPr>
        <w:ind w:left="720" w:hanging="720"/>
      </w:pPr>
      <w:r w:rsidRPr="00EF6DA0">
        <w:t xml:space="preserve">J Sainsbury plc (2025) </w:t>
      </w:r>
      <w:r w:rsidRPr="00EF6DA0">
        <w:rPr>
          <w:i/>
          <w:iCs/>
        </w:rPr>
        <w:t>Sustainability</w:t>
      </w:r>
      <w:r w:rsidRPr="00EF6DA0">
        <w:t xml:space="preserve">. London: J Sainsbury plc. Available at: </w:t>
      </w:r>
      <w:hyperlink r:id="rId49" w:tgtFrame="_new" w:history="1">
        <w:r w:rsidRPr="00EF6DA0">
          <w:rPr>
            <w:rStyle w:val="Hyperlink"/>
          </w:rPr>
          <w:t>https://corporate.sainsburys.co.uk/sustainability/</w:t>
        </w:r>
      </w:hyperlink>
      <w:r w:rsidRPr="00EF6DA0">
        <w:t xml:space="preserve"> (Accessed: 26 June 2026).</w:t>
      </w:r>
    </w:p>
    <w:p w14:paraId="241E959A" w14:textId="77777777" w:rsidR="00DA766E" w:rsidRPr="00EF6DA0" w:rsidRDefault="00DA766E" w:rsidP="00EF6DA0">
      <w:pPr>
        <w:ind w:left="720" w:hanging="720"/>
      </w:pPr>
      <w:r w:rsidRPr="00EF6DA0">
        <w:t xml:space="preserve">J Sainsbury plc (2026) </w:t>
      </w:r>
      <w:r w:rsidRPr="00EF6DA0">
        <w:rPr>
          <w:i/>
          <w:iCs/>
        </w:rPr>
        <w:t>Plan for Better report 2025/26</w:t>
      </w:r>
      <w:r w:rsidRPr="00EF6DA0">
        <w:t xml:space="preserve">. London: J Sainsbury plc. Available at: </w:t>
      </w:r>
      <w:hyperlink r:id="rId50" w:tgtFrame="_new" w:history="1">
        <w:r w:rsidRPr="00EF6DA0">
          <w:rPr>
            <w:rStyle w:val="Hyperlink"/>
          </w:rPr>
          <w:t>https://corporate.sainsburys.co.uk/media/pldfss3l/sainsburys-plan-for-better-report-2025-26.pdf</w:t>
        </w:r>
      </w:hyperlink>
      <w:r w:rsidRPr="00EF6DA0">
        <w:t xml:space="preserve"> (Accessed: 5 August 2026).</w:t>
      </w:r>
    </w:p>
    <w:p w14:paraId="445DF575" w14:textId="77777777" w:rsidR="00DA766E" w:rsidRPr="00F939C2" w:rsidRDefault="00DA766E" w:rsidP="006F7213">
      <w:pPr>
        <w:ind w:left="720" w:hanging="720"/>
      </w:pPr>
      <w:r w:rsidRPr="00F939C2">
        <w:t xml:space="preserve">Jamal, F.N., Othman, N.A., </w:t>
      </w:r>
      <w:proofErr w:type="spellStart"/>
      <w:r w:rsidRPr="00F939C2">
        <w:t>Fitriani</w:t>
      </w:r>
      <w:proofErr w:type="spellEnd"/>
      <w:r w:rsidRPr="00F939C2">
        <w:t xml:space="preserve">, D., </w:t>
      </w:r>
      <w:proofErr w:type="spellStart"/>
      <w:r w:rsidRPr="00F939C2">
        <w:t>Rohmah</w:t>
      </w:r>
      <w:proofErr w:type="spellEnd"/>
      <w:r w:rsidRPr="00F939C2">
        <w:t xml:space="preserve">, W., </w:t>
      </w:r>
      <w:proofErr w:type="spellStart"/>
      <w:r w:rsidRPr="00F939C2">
        <w:t>Leuveano</w:t>
      </w:r>
      <w:proofErr w:type="spellEnd"/>
      <w:r w:rsidRPr="00F939C2">
        <w:t xml:space="preserve">, R.A.C. and </w:t>
      </w:r>
      <w:proofErr w:type="spellStart"/>
      <w:r w:rsidRPr="00F939C2">
        <w:t>Fahmi</w:t>
      </w:r>
      <w:proofErr w:type="spellEnd"/>
      <w:r w:rsidRPr="00F939C2">
        <w:t xml:space="preserve">, A.A. (2023) ‘Integrated model of brand trust for green marketing’, </w:t>
      </w:r>
      <w:r w:rsidRPr="006F7213">
        <w:rPr>
          <w:i/>
          <w:iCs/>
        </w:rPr>
        <w:t>International Journal of Sustainable Development and Planning</w:t>
      </w:r>
      <w:r w:rsidRPr="00F939C2">
        <w:t xml:space="preserve">, 18(6). Available at: </w:t>
      </w:r>
      <w:hyperlink r:id="rId51" w:history="1">
        <w:r w:rsidRPr="00F939C2">
          <w:rPr>
            <w:rStyle w:val="Hyperlink"/>
          </w:rPr>
          <w:t>https://www.researchgate.net/profile/Raden-Achmad-Chairdino-Leuveano/publication/371939440_Integrated_Model_of_Brand_Trust_for_Green_Marketing/links/649ee5178de7ed28ba68dc74/Integrated-Model-of-Brand-Trust-for-Green-Marketing.pdf</w:t>
        </w:r>
      </w:hyperlink>
    </w:p>
    <w:p w14:paraId="639E7267" w14:textId="77777777" w:rsidR="00DA766E" w:rsidRPr="00EF6DA0" w:rsidRDefault="00DA766E" w:rsidP="00EF6DA0">
      <w:pPr>
        <w:ind w:left="720" w:hanging="720"/>
      </w:pPr>
      <w:proofErr w:type="spellStart"/>
      <w:r w:rsidRPr="00EF6DA0">
        <w:t>Jha</w:t>
      </w:r>
      <w:proofErr w:type="spellEnd"/>
      <w:r w:rsidRPr="00EF6DA0">
        <w:t xml:space="preserve">, A.K. and </w:t>
      </w:r>
      <w:proofErr w:type="spellStart"/>
      <w:r w:rsidRPr="00EF6DA0">
        <w:t>Verma</w:t>
      </w:r>
      <w:proofErr w:type="spellEnd"/>
      <w:r w:rsidRPr="00EF6DA0">
        <w:t xml:space="preserve">, N.K. (2024) ‘Social media platforms and user engagement: A multi-platform study on one-way firm sustainability communication’, </w:t>
      </w:r>
      <w:r w:rsidRPr="00EF6DA0">
        <w:rPr>
          <w:i/>
          <w:iCs/>
        </w:rPr>
        <w:t>Information Systems Frontiers</w:t>
      </w:r>
      <w:r w:rsidRPr="00EF6DA0">
        <w:t xml:space="preserve">, 26, pp. 177–194. Available at: </w:t>
      </w:r>
      <w:hyperlink r:id="rId52" w:tgtFrame="_new" w:history="1">
        <w:r w:rsidRPr="00EF6DA0">
          <w:rPr>
            <w:rStyle w:val="Hyperlink"/>
          </w:rPr>
          <w:t>https://doi.org/10.1007/s10796-023-10376-8</w:t>
        </w:r>
      </w:hyperlink>
      <w:r w:rsidRPr="00EF6DA0">
        <w:t>.</w:t>
      </w:r>
    </w:p>
    <w:p w14:paraId="6879A8FD" w14:textId="77777777" w:rsidR="00DA766E" w:rsidRPr="00EF6DA0" w:rsidRDefault="00DA766E" w:rsidP="00EF6DA0">
      <w:pPr>
        <w:ind w:left="720" w:hanging="720"/>
      </w:pPr>
      <w:r w:rsidRPr="00EF6DA0">
        <w:t xml:space="preserve">Johnson, T.F. and Greenwell, M.P. (2022) ‘Are companies using Twitter to greenwash and hide bad environmental performance?’, </w:t>
      </w:r>
      <w:r w:rsidRPr="00EF6DA0">
        <w:rPr>
          <w:i/>
          <w:iCs/>
        </w:rPr>
        <w:t>Energy, Ecology and Environment</w:t>
      </w:r>
      <w:r w:rsidRPr="00EF6DA0">
        <w:t xml:space="preserve">, 7, pp. 213–226. Available at: </w:t>
      </w:r>
      <w:hyperlink r:id="rId53" w:tgtFrame="_new" w:history="1">
        <w:r w:rsidRPr="00EF6DA0">
          <w:rPr>
            <w:rStyle w:val="Hyperlink"/>
          </w:rPr>
          <w:t>https://doi.org/10.1007/s40974-021-00237-y</w:t>
        </w:r>
      </w:hyperlink>
    </w:p>
    <w:p w14:paraId="1E54E514" w14:textId="77777777" w:rsidR="00DA766E" w:rsidRPr="00EF6DA0" w:rsidRDefault="00DA766E" w:rsidP="00EF6DA0">
      <w:pPr>
        <w:ind w:left="720" w:hanging="720"/>
      </w:pPr>
      <w:r w:rsidRPr="00EF6DA0">
        <w:t xml:space="preserve">Khan, K.U., Atlas, F., Arshad, M.Z., Akhtar, S. and Khan, F. (2022) ‘Signaling green: Impact of green product attributes on consumers’ trust and the mediating role of green marketing’, </w:t>
      </w:r>
      <w:r w:rsidRPr="00EF6DA0">
        <w:rPr>
          <w:i/>
          <w:iCs/>
        </w:rPr>
        <w:t>Frontiers in Psychology</w:t>
      </w:r>
      <w:r w:rsidRPr="00EF6DA0">
        <w:t xml:space="preserve">, 13, 790272. Available at: </w:t>
      </w:r>
      <w:hyperlink r:id="rId54" w:tgtFrame="_new" w:history="1">
        <w:r w:rsidRPr="00EF6DA0">
          <w:rPr>
            <w:rStyle w:val="Hyperlink"/>
          </w:rPr>
          <w:t>https://doi.org/10.3389/fpsyg.2022.790272</w:t>
        </w:r>
      </w:hyperlink>
      <w:r w:rsidRPr="00EF6DA0">
        <w:t>.</w:t>
      </w:r>
    </w:p>
    <w:p w14:paraId="1E0D15AC" w14:textId="77777777" w:rsidR="00DA766E" w:rsidRPr="006C09B2" w:rsidRDefault="00DA766E" w:rsidP="006F7213">
      <w:pPr>
        <w:ind w:left="720" w:hanging="720"/>
      </w:pPr>
      <w:r w:rsidRPr="006C09B2">
        <w:t xml:space="preserve">Kotler, P., Armstrong, G. and </w:t>
      </w:r>
      <w:proofErr w:type="spellStart"/>
      <w:r w:rsidRPr="006C09B2">
        <w:t>Balasubramanian</w:t>
      </w:r>
      <w:proofErr w:type="spellEnd"/>
      <w:r w:rsidRPr="006C09B2">
        <w:t xml:space="preserve">, S. (2026) </w:t>
      </w:r>
      <w:r w:rsidRPr="006F7213">
        <w:rPr>
          <w:i/>
          <w:iCs/>
        </w:rPr>
        <w:t>Principles of marketing</w:t>
      </w:r>
      <w:r w:rsidRPr="006C09B2">
        <w:t xml:space="preserve">. 20th </w:t>
      </w:r>
      <w:proofErr w:type="spellStart"/>
      <w:r w:rsidRPr="006C09B2">
        <w:t>edn</w:t>
      </w:r>
      <w:proofErr w:type="spellEnd"/>
      <w:r w:rsidRPr="006C09B2">
        <w:t xml:space="preserve">. </w:t>
      </w:r>
      <w:r w:rsidRPr="006C09B2">
        <w:lastRenderedPageBreak/>
        <w:t>Harlow: Pearson.</w:t>
      </w:r>
    </w:p>
    <w:p w14:paraId="77051AE2" w14:textId="77777777" w:rsidR="00DA766E" w:rsidRPr="00EF6DA0" w:rsidRDefault="00DA766E" w:rsidP="00EF6DA0">
      <w:pPr>
        <w:ind w:left="720" w:hanging="720"/>
      </w:pPr>
      <w:r w:rsidRPr="00EF6DA0">
        <w:t xml:space="preserve">Lee, S.-H. and </w:t>
      </w:r>
      <w:proofErr w:type="spellStart"/>
      <w:r w:rsidRPr="00EF6DA0">
        <w:t>Jeong</w:t>
      </w:r>
      <w:proofErr w:type="spellEnd"/>
      <w:r w:rsidRPr="00EF6DA0">
        <w:t xml:space="preserve">, G.-Y. (2022) ‘The effect of corporate social responsibility compatibility and authenticity on brand trust and corporate sustainability management: For Korean cosmetics companies’, </w:t>
      </w:r>
      <w:r w:rsidRPr="00EF6DA0">
        <w:rPr>
          <w:i/>
          <w:iCs/>
        </w:rPr>
        <w:t>Frontiers in Psychology</w:t>
      </w:r>
      <w:r w:rsidRPr="00EF6DA0">
        <w:t xml:space="preserve">, 13, 895823. Available at: </w:t>
      </w:r>
      <w:hyperlink r:id="rId55" w:tgtFrame="_new" w:history="1">
        <w:r w:rsidRPr="00EF6DA0">
          <w:rPr>
            <w:rStyle w:val="Hyperlink"/>
          </w:rPr>
          <w:t>https://doi.org/10.3389/fpsyg.2022.895823</w:t>
        </w:r>
      </w:hyperlink>
      <w:r w:rsidRPr="00EF6DA0">
        <w:t>.</w:t>
      </w:r>
    </w:p>
    <w:p w14:paraId="63CF8212" w14:textId="77777777" w:rsidR="00DA766E" w:rsidRPr="00EF6DA0" w:rsidRDefault="00DA766E" w:rsidP="00EF6DA0">
      <w:pPr>
        <w:ind w:left="720" w:hanging="720"/>
      </w:pPr>
      <w:r w:rsidRPr="00EF6DA0">
        <w:t xml:space="preserve">Li, G. and Sun, X. (2022) ‘The impact of green brand crises on green brand trust: An empirical study’, </w:t>
      </w:r>
      <w:r w:rsidRPr="00EF6DA0">
        <w:rPr>
          <w:i/>
          <w:iCs/>
        </w:rPr>
        <w:t>Sustainability</w:t>
      </w:r>
      <w:r w:rsidRPr="00EF6DA0">
        <w:t xml:space="preserve">, 14(2), 611. Available at: </w:t>
      </w:r>
      <w:hyperlink r:id="rId56" w:tgtFrame="_new" w:history="1">
        <w:r w:rsidRPr="00EF6DA0">
          <w:rPr>
            <w:rStyle w:val="Hyperlink"/>
          </w:rPr>
          <w:t>https://doi.org/10.3390/su14020611</w:t>
        </w:r>
      </w:hyperlink>
      <w:r w:rsidRPr="00EF6DA0">
        <w:t>.</w:t>
      </w:r>
    </w:p>
    <w:p w14:paraId="50FCA00B" w14:textId="77777777" w:rsidR="00DA766E" w:rsidRDefault="00DA766E" w:rsidP="006F7213">
      <w:pPr>
        <w:ind w:left="720" w:hanging="720"/>
      </w:pPr>
      <w:r w:rsidRPr="00F939C2">
        <w:t xml:space="preserve">Li, J., Chiu, D.K.W., Ho, K.K.W. and So, S. (2024) ‘The use of social media in sustainable green lifestyle adoption: social media influencers and value co-creation’, </w:t>
      </w:r>
      <w:r w:rsidRPr="006F7213">
        <w:rPr>
          <w:i/>
          <w:iCs/>
        </w:rPr>
        <w:t>Sustainability</w:t>
      </w:r>
      <w:r w:rsidRPr="00F939C2">
        <w:t xml:space="preserve">, 16(3), Article 1133. Available at: </w:t>
      </w:r>
      <w:hyperlink r:id="rId57" w:history="1">
        <w:r w:rsidRPr="00F939C2">
          <w:rPr>
            <w:rStyle w:val="Hyperlink"/>
          </w:rPr>
          <w:t>https://doi.org/10.3390/su16031133</w:t>
        </w:r>
      </w:hyperlink>
    </w:p>
    <w:p w14:paraId="0694A17D" w14:textId="61B7DD81" w:rsidR="00DA766E" w:rsidRPr="00DA766E" w:rsidRDefault="00DA766E" w:rsidP="00DA766E">
      <w:pPr>
        <w:ind w:left="720" w:hanging="720"/>
      </w:pPr>
      <w:r w:rsidRPr="00DA766E">
        <w:t xml:space="preserve">Li, J., Sun, X. and Hu, C. (2022) ‘The role of skepticism and transparency in shaping green brand authenticity and green brand evangelism’, </w:t>
      </w:r>
      <w:r w:rsidRPr="00DA766E">
        <w:rPr>
          <w:i/>
          <w:iCs/>
        </w:rPr>
        <w:t>Sustainability</w:t>
      </w:r>
      <w:r w:rsidRPr="00DA766E">
        <w:t xml:space="preserve">, 14(23), 16191. Available at: </w:t>
      </w:r>
      <w:hyperlink r:id="rId58" w:history="1">
        <w:r w:rsidR="001C439A" w:rsidRPr="00DA766E">
          <w:rPr>
            <w:rStyle w:val="Hyperlink"/>
          </w:rPr>
          <w:t>https://doi.org/10.3390/su142316191</w:t>
        </w:r>
      </w:hyperlink>
      <w:r w:rsidR="001C439A">
        <w:t xml:space="preserve"> </w:t>
      </w:r>
    </w:p>
    <w:p w14:paraId="538C6887" w14:textId="77777777" w:rsidR="00DA766E" w:rsidRPr="006C09B2" w:rsidRDefault="00DA766E" w:rsidP="006F7213">
      <w:pPr>
        <w:ind w:left="720" w:hanging="720"/>
      </w:pPr>
      <w:r w:rsidRPr="006C09B2">
        <w:t xml:space="preserve">Marks and Spencer Group plc (2025) </w:t>
      </w:r>
      <w:r w:rsidRPr="006F7213">
        <w:rPr>
          <w:i/>
          <w:iCs/>
        </w:rPr>
        <w:t>Annual report and financial statements 2025</w:t>
      </w:r>
      <w:r w:rsidRPr="006C09B2">
        <w:t xml:space="preserve">. London: Marks and Spencer Group plc. Available at: </w:t>
      </w:r>
      <w:hyperlink r:id="rId59" w:history="1">
        <w:r w:rsidRPr="006C09B2">
          <w:rPr>
            <w:rStyle w:val="Hyperlink"/>
          </w:rPr>
          <w:t>https://corporate.marksandspencer.com/sites/marksandspencer/files/2025-05/Marks-and-Spencer-Group-plc-Annual-Report-and-Financial-Statements-2025_INTERACTIVE_FINAL.pdf</w:t>
        </w:r>
      </w:hyperlink>
      <w:r w:rsidRPr="006C09B2">
        <w:t xml:space="preserve"> (Accessed: 24 June 2026).</w:t>
      </w:r>
    </w:p>
    <w:p w14:paraId="4C92D610" w14:textId="77777777" w:rsidR="00DA766E" w:rsidRPr="00EF6DA0" w:rsidRDefault="00DA766E" w:rsidP="00EF6DA0">
      <w:pPr>
        <w:ind w:left="720" w:hanging="720"/>
      </w:pPr>
      <w:r w:rsidRPr="00EF6DA0">
        <w:t xml:space="preserve">Marks and Spencer Group plc (2025) </w:t>
      </w:r>
      <w:r w:rsidRPr="00EF6DA0">
        <w:rPr>
          <w:i/>
          <w:iCs/>
        </w:rPr>
        <w:t>ESG Report 2025</w:t>
      </w:r>
      <w:r w:rsidRPr="00EF6DA0">
        <w:t xml:space="preserve">. Available at: </w:t>
      </w:r>
      <w:hyperlink r:id="rId60" w:tgtFrame="_new" w:history="1">
        <w:r w:rsidRPr="00EF6DA0">
          <w:rPr>
            <w:rStyle w:val="Hyperlink"/>
          </w:rPr>
          <w:t>https://corporate.marksandspencer.com/sites/marksandspencer/files/2025-05/Marks-and-Spencer-Group-plc-ESG-Report-2025.pdf</w:t>
        </w:r>
      </w:hyperlink>
      <w:r w:rsidRPr="00EF6DA0">
        <w:t xml:space="preserve"> (Accessed: 27 July 2026).</w:t>
      </w:r>
    </w:p>
    <w:p w14:paraId="382B078B" w14:textId="77777777" w:rsidR="00DA766E" w:rsidRPr="006C09B2" w:rsidRDefault="00DA766E" w:rsidP="006F7213">
      <w:pPr>
        <w:ind w:left="720" w:hanging="720"/>
      </w:pPr>
      <w:r w:rsidRPr="006C09B2">
        <w:t xml:space="preserve">Marks and Spencer Group plc (2025) </w:t>
      </w:r>
      <w:r w:rsidRPr="006F7213">
        <w:rPr>
          <w:i/>
          <w:iCs/>
        </w:rPr>
        <w:t>Plan A: our planet</w:t>
      </w:r>
      <w:r w:rsidRPr="006C09B2">
        <w:t xml:space="preserve">. London: Marks and Spencer Group plc. Available at: </w:t>
      </w:r>
      <w:hyperlink r:id="rId61" w:history="1">
        <w:r w:rsidRPr="006C09B2">
          <w:rPr>
            <w:rStyle w:val="Hyperlink"/>
          </w:rPr>
          <w:t>https://corporate.marksandspencer.com/esg/plan-a-our-planet</w:t>
        </w:r>
      </w:hyperlink>
      <w:r w:rsidRPr="006C09B2">
        <w:t xml:space="preserve"> (Accessed: 23 June 2026).</w:t>
      </w:r>
    </w:p>
    <w:p w14:paraId="65CD3044" w14:textId="77777777" w:rsidR="00DA766E" w:rsidRPr="00EF6DA0" w:rsidRDefault="00DA766E" w:rsidP="00EF6DA0">
      <w:pPr>
        <w:ind w:left="720" w:hanging="720"/>
      </w:pPr>
      <w:r w:rsidRPr="00EF6DA0">
        <w:t xml:space="preserve">Marks and Spencer Group plc (2025a) </w:t>
      </w:r>
      <w:r w:rsidRPr="00EF6DA0">
        <w:rPr>
          <w:i/>
          <w:iCs/>
        </w:rPr>
        <w:t>Annual report and financial statements 2025</w:t>
      </w:r>
      <w:r w:rsidRPr="00EF6DA0">
        <w:t xml:space="preserve">. London: Marks and Spencer Group plc. Available at: </w:t>
      </w:r>
      <w:hyperlink r:id="rId62" w:tgtFrame="_new" w:history="1">
        <w:r w:rsidRPr="00EF6DA0">
          <w:rPr>
            <w:rStyle w:val="Hyperlink"/>
          </w:rPr>
          <w:t>https://corporate.marksandspencer.com/sites/marksandspencer/files/2025-05/Marks-and-Spencer-Group-plc-Annual-Report-and-Financial-Statements-2025_INTERACTIVE_FINAL.pdf</w:t>
        </w:r>
      </w:hyperlink>
      <w:r w:rsidRPr="00EF6DA0">
        <w:t xml:space="preserve"> (Accessed: 24 June 2026).</w:t>
      </w:r>
    </w:p>
    <w:p w14:paraId="0BC19991" w14:textId="77777777" w:rsidR="00DA766E" w:rsidRPr="00EF6DA0" w:rsidRDefault="00DA766E" w:rsidP="00EF6DA0">
      <w:pPr>
        <w:ind w:left="720" w:hanging="720"/>
      </w:pPr>
      <w:r w:rsidRPr="00EF6DA0">
        <w:t xml:space="preserve">Marks and Spencer Group plc (2025b) </w:t>
      </w:r>
      <w:r w:rsidRPr="00EF6DA0">
        <w:rPr>
          <w:i/>
          <w:iCs/>
        </w:rPr>
        <w:t>Basis of reporting 2025</w:t>
      </w:r>
      <w:r w:rsidRPr="00EF6DA0">
        <w:t xml:space="preserve">. London: Marks and Spencer Group plc. Available at: </w:t>
      </w:r>
      <w:hyperlink r:id="rId63" w:tgtFrame="_new" w:history="1">
        <w:r w:rsidRPr="00EF6DA0">
          <w:rPr>
            <w:rStyle w:val="Hyperlink"/>
          </w:rPr>
          <w:t>https://corporate.marksandspencer.com/sites/marksandspencer/files/2025-</w:t>
        </w:r>
        <w:r w:rsidRPr="00EF6DA0">
          <w:rPr>
            <w:rStyle w:val="Hyperlink"/>
          </w:rPr>
          <w:lastRenderedPageBreak/>
          <w:t>05/Basis_of_Reporting_2025.pdf</w:t>
        </w:r>
      </w:hyperlink>
      <w:r w:rsidRPr="00EF6DA0">
        <w:t xml:space="preserve"> (Accessed: 6 August 2026).</w:t>
      </w:r>
    </w:p>
    <w:p w14:paraId="1D2D02A1" w14:textId="77777777" w:rsidR="00DA766E" w:rsidRPr="00DA766E" w:rsidRDefault="00DA766E" w:rsidP="00DA766E">
      <w:pPr>
        <w:ind w:left="720" w:hanging="720"/>
      </w:pPr>
      <w:r w:rsidRPr="00DA766E">
        <w:t xml:space="preserve">Marks and Spencer Group plc (2026) </w:t>
      </w:r>
      <w:r w:rsidRPr="00DA766E">
        <w:rPr>
          <w:i/>
          <w:iCs/>
        </w:rPr>
        <w:t>ESG report 2026</w:t>
      </w:r>
      <w:r w:rsidRPr="00DA766E">
        <w:t xml:space="preserve">. London: Marks and Spencer Group plc. Available at: </w:t>
      </w:r>
      <w:hyperlink r:id="rId64" w:tgtFrame="_new" w:history="1">
        <w:r w:rsidRPr="00DA766E">
          <w:rPr>
            <w:rStyle w:val="Hyperlink"/>
          </w:rPr>
          <w:t>https://corporate.marksandspencer.com/sites/marksandspencer/files/marksandspencer/annual-report/marks-and-spencer-group-plc-esg-report-2026.pdf</w:t>
        </w:r>
      </w:hyperlink>
      <w:r w:rsidRPr="00DA766E">
        <w:t xml:space="preserve"> (Accessed: 7 August 2026).</w:t>
      </w:r>
    </w:p>
    <w:p w14:paraId="689391F1" w14:textId="77777777" w:rsidR="00DA766E" w:rsidRPr="00EF6DA0" w:rsidRDefault="00DA766E" w:rsidP="00EF6DA0">
      <w:pPr>
        <w:ind w:left="720" w:hanging="720"/>
      </w:pPr>
      <w:proofErr w:type="spellStart"/>
      <w:r w:rsidRPr="00EF6DA0">
        <w:t>Mogaji</w:t>
      </w:r>
      <w:proofErr w:type="spellEnd"/>
      <w:r w:rsidRPr="00EF6DA0">
        <w:t xml:space="preserve">, E., </w:t>
      </w:r>
      <w:proofErr w:type="spellStart"/>
      <w:r w:rsidRPr="00EF6DA0">
        <w:t>Adeola</w:t>
      </w:r>
      <w:proofErr w:type="spellEnd"/>
      <w:r w:rsidRPr="00EF6DA0">
        <w:t xml:space="preserve">, O., </w:t>
      </w:r>
      <w:proofErr w:type="spellStart"/>
      <w:r w:rsidRPr="00EF6DA0">
        <w:t>Adisa</w:t>
      </w:r>
      <w:proofErr w:type="spellEnd"/>
      <w:r w:rsidRPr="00EF6DA0">
        <w:t xml:space="preserve">, I., Hinson, R.E., </w:t>
      </w:r>
      <w:proofErr w:type="spellStart"/>
      <w:r w:rsidRPr="00EF6DA0">
        <w:t>Mukonza</w:t>
      </w:r>
      <w:proofErr w:type="spellEnd"/>
      <w:r w:rsidRPr="00EF6DA0">
        <w:t>, C. and Kirgiz, A.C. (</w:t>
      </w:r>
      <w:proofErr w:type="spellStart"/>
      <w:r w:rsidRPr="00EF6DA0">
        <w:t>eds</w:t>
      </w:r>
      <w:proofErr w:type="spellEnd"/>
      <w:r w:rsidRPr="00EF6DA0">
        <w:t xml:space="preserve">) (2022) </w:t>
      </w:r>
      <w:r w:rsidRPr="00EF6DA0">
        <w:rPr>
          <w:i/>
          <w:iCs/>
        </w:rPr>
        <w:t>Green marketing in emerging economies: A communications perspective</w:t>
      </w:r>
      <w:r w:rsidRPr="00EF6DA0">
        <w:t>. Cham: Palgrave Macmillan.</w:t>
      </w:r>
    </w:p>
    <w:p w14:paraId="0052AEF5" w14:textId="77777777" w:rsidR="00DA766E" w:rsidRPr="00EF6DA0" w:rsidRDefault="00DA766E" w:rsidP="00EF6DA0">
      <w:pPr>
        <w:ind w:left="720" w:hanging="720"/>
      </w:pPr>
      <w:r w:rsidRPr="00EF6DA0">
        <w:t xml:space="preserve">Mohamad Saleh, M.S., Rahman, N.A.A. and </w:t>
      </w:r>
      <w:proofErr w:type="spellStart"/>
      <w:r w:rsidRPr="00EF6DA0">
        <w:t>Adi</w:t>
      </w:r>
      <w:proofErr w:type="spellEnd"/>
      <w:r w:rsidRPr="00EF6DA0">
        <w:t xml:space="preserve"> </w:t>
      </w:r>
      <w:proofErr w:type="spellStart"/>
      <w:r w:rsidRPr="00EF6DA0">
        <w:t>Kasuma</w:t>
      </w:r>
      <w:proofErr w:type="spellEnd"/>
      <w:r w:rsidRPr="00EF6DA0">
        <w:t>, S.A. (</w:t>
      </w:r>
      <w:proofErr w:type="spellStart"/>
      <w:r w:rsidRPr="00EF6DA0">
        <w:t>eds</w:t>
      </w:r>
      <w:proofErr w:type="spellEnd"/>
      <w:r w:rsidRPr="00EF6DA0">
        <w:t xml:space="preserve">) (2023) </w:t>
      </w:r>
      <w:r w:rsidRPr="00EF6DA0">
        <w:rPr>
          <w:i/>
          <w:iCs/>
        </w:rPr>
        <w:t>Sustainability communication across Asia: Fundamental principles, digital strategies and community engagement</w:t>
      </w:r>
      <w:r w:rsidRPr="00EF6DA0">
        <w:t xml:space="preserve">. 1st </w:t>
      </w:r>
      <w:proofErr w:type="spellStart"/>
      <w:r w:rsidRPr="00EF6DA0">
        <w:t>edn</w:t>
      </w:r>
      <w:proofErr w:type="spellEnd"/>
      <w:r w:rsidRPr="00EF6DA0">
        <w:t>. Abingdon: Routledge.</w:t>
      </w:r>
    </w:p>
    <w:p w14:paraId="7F0EAFC3" w14:textId="77777777" w:rsidR="00DA766E" w:rsidRPr="00EF6DA0" w:rsidRDefault="00DA766E" w:rsidP="00EF6DA0">
      <w:pPr>
        <w:ind w:left="720" w:hanging="720"/>
      </w:pPr>
      <w:r w:rsidRPr="00EF6DA0">
        <w:t xml:space="preserve">Montgomery, A.W., Lyon, T.P. and </w:t>
      </w:r>
      <w:proofErr w:type="spellStart"/>
      <w:r w:rsidRPr="00EF6DA0">
        <w:t>Barg</w:t>
      </w:r>
      <w:proofErr w:type="spellEnd"/>
      <w:r w:rsidRPr="00EF6DA0">
        <w:t xml:space="preserve">, J. (2024) ‘No end in sight? A greenwash review and research agenda’, </w:t>
      </w:r>
      <w:r w:rsidRPr="00EF6DA0">
        <w:rPr>
          <w:i/>
          <w:iCs/>
        </w:rPr>
        <w:t>Organization &amp; Environment</w:t>
      </w:r>
      <w:r w:rsidRPr="00EF6DA0">
        <w:t>, 37(2), pp. 221–256.</w:t>
      </w:r>
    </w:p>
    <w:p w14:paraId="7179C5F9" w14:textId="77777777" w:rsidR="00DA766E" w:rsidRPr="00EF6DA0" w:rsidRDefault="00DA766E" w:rsidP="00EF6DA0">
      <w:pPr>
        <w:ind w:left="720" w:hanging="720"/>
      </w:pPr>
      <w:proofErr w:type="spellStart"/>
      <w:r w:rsidRPr="00EF6DA0">
        <w:t>Moodaley</w:t>
      </w:r>
      <w:proofErr w:type="spellEnd"/>
      <w:r w:rsidRPr="00EF6DA0">
        <w:t xml:space="preserve">, W. and </w:t>
      </w:r>
      <w:proofErr w:type="spellStart"/>
      <w:r w:rsidRPr="00EF6DA0">
        <w:t>Telukdarie</w:t>
      </w:r>
      <w:proofErr w:type="spellEnd"/>
      <w:r w:rsidRPr="00EF6DA0">
        <w:t xml:space="preserve">, A. (2023) ‘Greenwashing, sustainability reporting, and artificial intelligence: A systematic literature review’, </w:t>
      </w:r>
      <w:r w:rsidRPr="00EF6DA0">
        <w:rPr>
          <w:i/>
          <w:iCs/>
        </w:rPr>
        <w:t>Sustainability</w:t>
      </w:r>
      <w:r w:rsidRPr="00EF6DA0">
        <w:t>, 15(2), p. 1481. doi:10.3390/su15021481.</w:t>
      </w:r>
    </w:p>
    <w:p w14:paraId="67ACCC87" w14:textId="77777777" w:rsidR="00DA766E" w:rsidRPr="00EF6DA0" w:rsidRDefault="00DA766E" w:rsidP="00EF6DA0">
      <w:pPr>
        <w:ind w:left="720" w:hanging="720"/>
      </w:pPr>
      <w:proofErr w:type="spellStart"/>
      <w:r w:rsidRPr="00EF6DA0">
        <w:t>Morrisons</w:t>
      </w:r>
      <w:proofErr w:type="spellEnd"/>
      <w:r w:rsidRPr="00EF6DA0">
        <w:t xml:space="preserve"> (2025) </w:t>
      </w:r>
      <w:r w:rsidRPr="00EF6DA0">
        <w:rPr>
          <w:i/>
          <w:iCs/>
        </w:rPr>
        <w:t>Sustainability</w:t>
      </w:r>
      <w:r w:rsidRPr="00EF6DA0">
        <w:t xml:space="preserve">. Bradford: Wm Morrison Supermarkets Ltd. Available at: </w:t>
      </w:r>
      <w:hyperlink r:id="rId65" w:tgtFrame="_new" w:history="1">
        <w:r w:rsidRPr="00EF6DA0">
          <w:rPr>
            <w:rStyle w:val="Hyperlink"/>
          </w:rPr>
          <w:t>https://www.morrisons-corporate.com/morrisons-sustainability/sustainability/</w:t>
        </w:r>
      </w:hyperlink>
      <w:r w:rsidRPr="00EF6DA0">
        <w:t xml:space="preserve"> (Accessed: 22 June 2026).</w:t>
      </w:r>
    </w:p>
    <w:p w14:paraId="0FB4BA46" w14:textId="77777777" w:rsidR="00DA766E" w:rsidRPr="00C31AF6" w:rsidRDefault="00DA766E" w:rsidP="006F7213">
      <w:pPr>
        <w:ind w:left="720" w:hanging="720"/>
      </w:pPr>
      <w:proofErr w:type="spellStart"/>
      <w:r w:rsidRPr="00C31AF6">
        <w:t>Mugoni</w:t>
      </w:r>
      <w:proofErr w:type="spellEnd"/>
      <w:r w:rsidRPr="00C31AF6">
        <w:t xml:space="preserve">, E., </w:t>
      </w:r>
      <w:proofErr w:type="spellStart"/>
      <w:r w:rsidRPr="00C31AF6">
        <w:t>Kanyepe</w:t>
      </w:r>
      <w:proofErr w:type="spellEnd"/>
      <w:r w:rsidRPr="00C31AF6">
        <w:t xml:space="preserve">, J. and </w:t>
      </w:r>
      <w:proofErr w:type="spellStart"/>
      <w:r w:rsidRPr="00C31AF6">
        <w:t>Tukuta</w:t>
      </w:r>
      <w:proofErr w:type="spellEnd"/>
      <w:r w:rsidRPr="00C31AF6">
        <w:t xml:space="preserve">, M. (2024) ‘Sustainable supply chain management practices (SSCMPS) and environmental performance: a systematic review’, </w:t>
      </w:r>
      <w:r w:rsidRPr="006F7213">
        <w:rPr>
          <w:i/>
          <w:iCs/>
        </w:rPr>
        <w:t>Sustainable Technology and Entrepreneurship</w:t>
      </w:r>
      <w:r w:rsidRPr="00C31AF6">
        <w:t xml:space="preserve">, 3(1), Article 100050. Available at: </w:t>
      </w:r>
      <w:hyperlink r:id="rId66" w:tgtFrame="_new" w:history="1">
        <w:r w:rsidRPr="00C31AF6">
          <w:rPr>
            <w:rStyle w:val="Hyperlink"/>
          </w:rPr>
          <w:t>https://doi.org/10.1016/j.stae.2023.100050</w:t>
        </w:r>
      </w:hyperlink>
    </w:p>
    <w:p w14:paraId="235ABC9D" w14:textId="77777777" w:rsidR="00DA766E" w:rsidRPr="00EF6DA0" w:rsidRDefault="00DA766E" w:rsidP="00EF6DA0">
      <w:pPr>
        <w:ind w:left="720" w:hanging="720"/>
      </w:pPr>
      <w:proofErr w:type="spellStart"/>
      <w:r w:rsidRPr="00EF6DA0">
        <w:t>Mukonza</w:t>
      </w:r>
      <w:proofErr w:type="spellEnd"/>
      <w:r w:rsidRPr="00EF6DA0">
        <w:t xml:space="preserve">, C., Hinson, R.E., </w:t>
      </w:r>
      <w:proofErr w:type="spellStart"/>
      <w:r w:rsidRPr="00EF6DA0">
        <w:t>Adeola</w:t>
      </w:r>
      <w:proofErr w:type="spellEnd"/>
      <w:r w:rsidRPr="00EF6DA0">
        <w:t xml:space="preserve">, O., </w:t>
      </w:r>
      <w:proofErr w:type="spellStart"/>
      <w:r w:rsidRPr="00EF6DA0">
        <w:t>Adisa</w:t>
      </w:r>
      <w:proofErr w:type="spellEnd"/>
      <w:r w:rsidRPr="00EF6DA0">
        <w:t xml:space="preserve">, I., </w:t>
      </w:r>
      <w:proofErr w:type="spellStart"/>
      <w:r w:rsidRPr="00EF6DA0">
        <w:t>Mogaji</w:t>
      </w:r>
      <w:proofErr w:type="spellEnd"/>
      <w:r w:rsidRPr="00EF6DA0">
        <w:t>, E. and Kirgiz, A.C. (</w:t>
      </w:r>
      <w:proofErr w:type="spellStart"/>
      <w:r w:rsidRPr="00EF6DA0">
        <w:t>eds</w:t>
      </w:r>
      <w:proofErr w:type="spellEnd"/>
      <w:r w:rsidRPr="00EF6DA0">
        <w:t xml:space="preserve">) (2021) </w:t>
      </w:r>
      <w:r w:rsidRPr="00EF6DA0">
        <w:rPr>
          <w:i/>
          <w:iCs/>
        </w:rPr>
        <w:t>Green marketing in emerging markets: Strategic and operational perspectives</w:t>
      </w:r>
      <w:r w:rsidRPr="00EF6DA0">
        <w:t>. Cham: Palgrave Macmillan.</w:t>
      </w:r>
    </w:p>
    <w:p w14:paraId="6B029AD0" w14:textId="77777777" w:rsidR="00DA766E" w:rsidRPr="00DA766E" w:rsidRDefault="00DA766E" w:rsidP="00DA766E">
      <w:pPr>
        <w:ind w:left="720" w:hanging="720"/>
      </w:pPr>
      <w:proofErr w:type="spellStart"/>
      <w:r w:rsidRPr="00DA766E">
        <w:t>Nemes</w:t>
      </w:r>
      <w:proofErr w:type="spellEnd"/>
      <w:r w:rsidRPr="00DA766E">
        <w:t xml:space="preserve">, N., </w:t>
      </w:r>
      <w:proofErr w:type="spellStart"/>
      <w:r w:rsidRPr="00DA766E">
        <w:t>Scanlan</w:t>
      </w:r>
      <w:proofErr w:type="spellEnd"/>
      <w:r w:rsidRPr="00DA766E">
        <w:t xml:space="preserve">, S.J., Smith, P., Smith, T., </w:t>
      </w:r>
      <w:proofErr w:type="spellStart"/>
      <w:r w:rsidRPr="00DA766E">
        <w:t>Aronczyk</w:t>
      </w:r>
      <w:proofErr w:type="spellEnd"/>
      <w:r w:rsidRPr="00DA766E">
        <w:t xml:space="preserve">, M., Hill, S., Lewis, S.L., Montgomery, A.W., </w:t>
      </w:r>
      <w:proofErr w:type="spellStart"/>
      <w:r w:rsidRPr="00DA766E">
        <w:t>Tubiello</w:t>
      </w:r>
      <w:proofErr w:type="spellEnd"/>
      <w:r w:rsidRPr="00DA766E">
        <w:t xml:space="preserve">, F.N. and </w:t>
      </w:r>
      <w:proofErr w:type="spellStart"/>
      <w:r w:rsidRPr="00DA766E">
        <w:t>Stabinsky</w:t>
      </w:r>
      <w:proofErr w:type="spellEnd"/>
      <w:r w:rsidRPr="00DA766E">
        <w:t xml:space="preserve">, D. (2022) ‘An integrated framework to assess greenwashing’, </w:t>
      </w:r>
      <w:r w:rsidRPr="00DA766E">
        <w:rPr>
          <w:i/>
          <w:iCs/>
        </w:rPr>
        <w:t>Sustainability</w:t>
      </w:r>
      <w:r w:rsidRPr="00DA766E">
        <w:t xml:space="preserve">, 14(8), Article 4431. Available at: </w:t>
      </w:r>
      <w:hyperlink r:id="rId67" w:history="1">
        <w:r w:rsidRPr="00DA766E">
          <w:rPr>
            <w:rStyle w:val="Hyperlink"/>
          </w:rPr>
          <w:t>https://doi.org/10.3390/su14084431</w:t>
        </w:r>
      </w:hyperlink>
    </w:p>
    <w:p w14:paraId="2111D422" w14:textId="77777777" w:rsidR="00DA766E" w:rsidRPr="00C31AF6" w:rsidRDefault="00DA766E" w:rsidP="006F7213">
      <w:pPr>
        <w:ind w:left="720" w:hanging="720"/>
      </w:pPr>
      <w:proofErr w:type="spellStart"/>
      <w:r w:rsidRPr="00C31AF6">
        <w:t>Nordigården</w:t>
      </w:r>
      <w:proofErr w:type="spellEnd"/>
      <w:r w:rsidRPr="00C31AF6">
        <w:t xml:space="preserve">, D., </w:t>
      </w:r>
      <w:proofErr w:type="spellStart"/>
      <w:r w:rsidRPr="00C31AF6">
        <w:t>Feber</w:t>
      </w:r>
      <w:proofErr w:type="spellEnd"/>
      <w:r w:rsidRPr="00C31AF6">
        <w:t xml:space="preserve">, D., </w:t>
      </w:r>
      <w:proofErr w:type="spellStart"/>
      <w:r w:rsidRPr="00C31AF6">
        <w:t>Grünewald</w:t>
      </w:r>
      <w:proofErr w:type="spellEnd"/>
      <w:r w:rsidRPr="00C31AF6">
        <w:t xml:space="preserve">, F., </w:t>
      </w:r>
      <w:proofErr w:type="spellStart"/>
      <w:r w:rsidRPr="00C31AF6">
        <w:t>Pley</w:t>
      </w:r>
      <w:proofErr w:type="spellEnd"/>
      <w:r w:rsidRPr="00C31AF6">
        <w:t xml:space="preserve">, M., </w:t>
      </w:r>
      <w:proofErr w:type="spellStart"/>
      <w:r w:rsidRPr="00C31AF6">
        <w:t>Seidner</w:t>
      </w:r>
      <w:proofErr w:type="spellEnd"/>
      <w:r w:rsidRPr="00C31AF6">
        <w:t xml:space="preserve">, M. and Conrad, M. (2025) ‘Sustainability in packaging 2025: inside the minds of global consumers’, </w:t>
      </w:r>
      <w:r w:rsidRPr="006F7213">
        <w:rPr>
          <w:i/>
          <w:iCs/>
        </w:rPr>
        <w:t xml:space="preserve">McKinsey &amp; </w:t>
      </w:r>
      <w:r w:rsidRPr="006F7213">
        <w:rPr>
          <w:i/>
          <w:iCs/>
        </w:rPr>
        <w:lastRenderedPageBreak/>
        <w:t>Company</w:t>
      </w:r>
      <w:r w:rsidRPr="00C31AF6">
        <w:t xml:space="preserve">, 24 June. Available at: </w:t>
      </w:r>
      <w:hyperlink r:id="rId68" w:tgtFrame="_new" w:history="1">
        <w:r w:rsidRPr="00C31AF6">
          <w:rPr>
            <w:rStyle w:val="Hyperlink"/>
          </w:rPr>
          <w:t>https://www.mckinsey.com/industries/packaging-and-paper/our-insights/sustainability-in-packaging-2025-inside-the-minds-of-global-consumers</w:t>
        </w:r>
      </w:hyperlink>
      <w:r w:rsidRPr="00C31AF6">
        <w:t xml:space="preserve"> (Accessed: 29 June 2026).</w:t>
      </w:r>
    </w:p>
    <w:p w14:paraId="4403DC44" w14:textId="77777777" w:rsidR="00DA766E" w:rsidRPr="00EF6DA0" w:rsidRDefault="00DA766E" w:rsidP="00EF6DA0">
      <w:pPr>
        <w:ind w:left="720" w:hanging="720"/>
      </w:pPr>
      <w:proofErr w:type="spellStart"/>
      <w:r w:rsidRPr="00EF6DA0">
        <w:t>Oppong-Tawiah</w:t>
      </w:r>
      <w:proofErr w:type="spellEnd"/>
      <w:r w:rsidRPr="00EF6DA0">
        <w:t xml:space="preserve">, D. and Webster, J. (2023) ‘Corporate sustainability communication as “fake news”: Firms’ greenwashing on Twitter’, </w:t>
      </w:r>
      <w:r w:rsidRPr="00EF6DA0">
        <w:rPr>
          <w:i/>
          <w:iCs/>
        </w:rPr>
        <w:t>Sustainability</w:t>
      </w:r>
      <w:r w:rsidRPr="00EF6DA0">
        <w:t xml:space="preserve">, 15(8), Article 6683. Available at: </w:t>
      </w:r>
      <w:hyperlink r:id="rId69" w:tgtFrame="_new" w:history="1">
        <w:r w:rsidRPr="00EF6DA0">
          <w:rPr>
            <w:rStyle w:val="Hyperlink"/>
          </w:rPr>
          <w:t>https://doi.org/10.3390/su15086683</w:t>
        </w:r>
      </w:hyperlink>
    </w:p>
    <w:p w14:paraId="6325F438" w14:textId="77777777" w:rsidR="00DA766E" w:rsidRPr="00EF6DA0" w:rsidRDefault="00DA766E" w:rsidP="00EF6DA0">
      <w:pPr>
        <w:ind w:left="720" w:hanging="720"/>
      </w:pPr>
      <w:proofErr w:type="spellStart"/>
      <w:r w:rsidRPr="00EF6DA0">
        <w:t>Poulis</w:t>
      </w:r>
      <w:proofErr w:type="spellEnd"/>
      <w:r w:rsidRPr="00EF6DA0">
        <w:t xml:space="preserve">, A., </w:t>
      </w:r>
      <w:proofErr w:type="spellStart"/>
      <w:r w:rsidRPr="00EF6DA0">
        <w:t>Theodoridis</w:t>
      </w:r>
      <w:proofErr w:type="spellEnd"/>
      <w:r w:rsidRPr="00EF6DA0">
        <w:t xml:space="preserve">, P. and </w:t>
      </w:r>
      <w:proofErr w:type="spellStart"/>
      <w:r w:rsidRPr="00EF6DA0">
        <w:t>Zacharatos</w:t>
      </w:r>
      <w:proofErr w:type="spellEnd"/>
      <w:r w:rsidRPr="00EF6DA0">
        <w:t xml:space="preserve">, T. (2026) ‘Green branding in the digital era: The role of influencer credibility and greenwashing in shaping brand authenticity, trust and purchase intentions’, </w:t>
      </w:r>
      <w:r w:rsidRPr="00EF6DA0">
        <w:rPr>
          <w:i/>
          <w:iCs/>
        </w:rPr>
        <w:t>Sustainability</w:t>
      </w:r>
      <w:r w:rsidRPr="00EF6DA0">
        <w:t xml:space="preserve">, 18(1), Article 451. Available at: </w:t>
      </w:r>
      <w:hyperlink r:id="rId70" w:tgtFrame="_new" w:history="1">
        <w:r w:rsidRPr="00EF6DA0">
          <w:rPr>
            <w:rStyle w:val="Hyperlink"/>
          </w:rPr>
          <w:t>https://doi.org/10.3390/su18010451</w:t>
        </w:r>
      </w:hyperlink>
    </w:p>
    <w:p w14:paraId="4216E82D" w14:textId="6B99EC6C" w:rsidR="00DA766E" w:rsidRPr="00EF6DA0" w:rsidRDefault="00DA766E" w:rsidP="00EF6DA0">
      <w:pPr>
        <w:ind w:left="720" w:hanging="720"/>
      </w:pPr>
      <w:proofErr w:type="spellStart"/>
      <w:r w:rsidRPr="00EF6DA0">
        <w:t>Primožič</w:t>
      </w:r>
      <w:proofErr w:type="spellEnd"/>
      <w:r w:rsidRPr="00EF6DA0">
        <w:t xml:space="preserve">, L. and </w:t>
      </w:r>
      <w:proofErr w:type="spellStart"/>
      <w:r w:rsidRPr="00EF6DA0">
        <w:t>Kutnar</w:t>
      </w:r>
      <w:proofErr w:type="spellEnd"/>
      <w:r w:rsidRPr="00EF6DA0">
        <w:t xml:space="preserve">, A. (2022) ‘Sustainability communication in global consumer brands’, </w:t>
      </w:r>
      <w:r w:rsidRPr="00EF6DA0">
        <w:rPr>
          <w:i/>
          <w:iCs/>
        </w:rPr>
        <w:t>Sustainability</w:t>
      </w:r>
      <w:r w:rsidRPr="00EF6DA0">
        <w:t xml:space="preserve">, 14(20), Article 13586. Available at: </w:t>
      </w:r>
      <w:hyperlink r:id="rId71" w:history="1">
        <w:r w:rsidR="001C439A" w:rsidRPr="00EF6DA0">
          <w:rPr>
            <w:rStyle w:val="Hyperlink"/>
          </w:rPr>
          <w:t>https://doi.org/10.3390/su142013586</w:t>
        </w:r>
      </w:hyperlink>
      <w:r w:rsidR="001C439A">
        <w:t xml:space="preserve"> </w:t>
      </w:r>
    </w:p>
    <w:p w14:paraId="40DAEE08" w14:textId="77777777" w:rsidR="00DA766E" w:rsidRPr="006C09B2" w:rsidRDefault="00DA766E" w:rsidP="006F7213">
      <w:pPr>
        <w:ind w:left="720" w:hanging="720"/>
      </w:pPr>
      <w:r w:rsidRPr="00F939C2">
        <w:t xml:space="preserve">Prior, D.D., </w:t>
      </w:r>
      <w:proofErr w:type="spellStart"/>
      <w:r w:rsidRPr="00F939C2">
        <w:t>Buttle</w:t>
      </w:r>
      <w:proofErr w:type="spellEnd"/>
      <w:r w:rsidRPr="00F939C2">
        <w:t xml:space="preserve">, F. and </w:t>
      </w:r>
      <w:proofErr w:type="spellStart"/>
      <w:r w:rsidRPr="00F939C2">
        <w:t>Maklan</w:t>
      </w:r>
      <w:proofErr w:type="spellEnd"/>
      <w:r w:rsidRPr="00F939C2">
        <w:t xml:space="preserve">, S. (2024) </w:t>
      </w:r>
      <w:r w:rsidRPr="006F7213">
        <w:rPr>
          <w:i/>
          <w:iCs/>
        </w:rPr>
        <w:t>Customer relationship management: concepts and technologies</w:t>
      </w:r>
      <w:r w:rsidRPr="00F939C2">
        <w:t xml:space="preserve">. 5th </w:t>
      </w:r>
      <w:proofErr w:type="spellStart"/>
      <w:r w:rsidRPr="00F939C2">
        <w:t>edn</w:t>
      </w:r>
      <w:proofErr w:type="spellEnd"/>
      <w:r w:rsidRPr="00F939C2">
        <w:t>. London: Routledge.</w:t>
      </w:r>
    </w:p>
    <w:p w14:paraId="29EA6EBE" w14:textId="77777777" w:rsidR="00DA766E" w:rsidRPr="00DA766E" w:rsidRDefault="00DA766E" w:rsidP="00DA766E">
      <w:pPr>
        <w:ind w:left="720" w:hanging="720"/>
      </w:pPr>
      <w:proofErr w:type="spellStart"/>
      <w:r w:rsidRPr="00DA766E">
        <w:t>Qayyum</w:t>
      </w:r>
      <w:proofErr w:type="spellEnd"/>
      <w:r w:rsidRPr="00DA766E">
        <w:t xml:space="preserve">, A., Jamil, R.A. and </w:t>
      </w:r>
      <w:proofErr w:type="spellStart"/>
      <w:r w:rsidRPr="00DA766E">
        <w:t>Sehar</w:t>
      </w:r>
      <w:proofErr w:type="spellEnd"/>
      <w:r w:rsidRPr="00DA766E">
        <w:t xml:space="preserve">, A. (2023) ‘Impact of green marketing, greenwashing and green confusion on green brand equity’, </w:t>
      </w:r>
      <w:r w:rsidRPr="00DA766E">
        <w:rPr>
          <w:i/>
          <w:iCs/>
        </w:rPr>
        <w:t>Spanish Journal of Marketing - ESIC</w:t>
      </w:r>
      <w:r w:rsidRPr="00DA766E">
        <w:t xml:space="preserve">, 27(3), pp. 286–305. Available at: </w:t>
      </w:r>
      <w:hyperlink r:id="rId72" w:history="1">
        <w:r w:rsidRPr="00DA766E">
          <w:rPr>
            <w:rStyle w:val="Hyperlink"/>
          </w:rPr>
          <w:t>https://doi.org/10.1108/SJME-03-2022-0032</w:t>
        </w:r>
      </w:hyperlink>
    </w:p>
    <w:p w14:paraId="6903461B" w14:textId="77777777" w:rsidR="00DA766E" w:rsidRPr="00EF6DA0" w:rsidRDefault="00DA766E" w:rsidP="00EF6DA0">
      <w:pPr>
        <w:ind w:left="720" w:hanging="720"/>
      </w:pPr>
      <w:r w:rsidRPr="00EF6DA0">
        <w:t>Ruiz-Blanco, S., Romero, S. and Fernandez-</w:t>
      </w:r>
      <w:proofErr w:type="spellStart"/>
      <w:r w:rsidRPr="00EF6DA0">
        <w:t>Feijoo</w:t>
      </w:r>
      <w:proofErr w:type="spellEnd"/>
      <w:r w:rsidRPr="00EF6DA0">
        <w:t xml:space="preserve">, B. (2022) ‘Green, blue or black, but washing: What company characteristics determine greenwashing?’, </w:t>
      </w:r>
      <w:r w:rsidRPr="00EF6DA0">
        <w:rPr>
          <w:i/>
          <w:iCs/>
        </w:rPr>
        <w:t>Environment, Development and Sustainability</w:t>
      </w:r>
      <w:r w:rsidRPr="00EF6DA0">
        <w:t>, 24, pp. 4024–4045. doi:10.1007/s10668-021-01602-x.</w:t>
      </w:r>
    </w:p>
    <w:p w14:paraId="3DA57BCF" w14:textId="77777777" w:rsidR="00DA766E" w:rsidRPr="00EF6DA0" w:rsidRDefault="00DA766E" w:rsidP="00EF6DA0">
      <w:pPr>
        <w:ind w:left="720" w:hanging="720"/>
      </w:pPr>
      <w:proofErr w:type="spellStart"/>
      <w:r w:rsidRPr="00EF6DA0">
        <w:t>Salimi</w:t>
      </w:r>
      <w:proofErr w:type="spellEnd"/>
      <w:r w:rsidRPr="00EF6DA0">
        <w:t xml:space="preserve">, M., </w:t>
      </w:r>
      <w:proofErr w:type="spellStart"/>
      <w:r w:rsidRPr="00EF6DA0">
        <w:t>Tuscolano</w:t>
      </w:r>
      <w:proofErr w:type="spellEnd"/>
      <w:r w:rsidRPr="00EF6DA0">
        <w:t xml:space="preserve">, F., </w:t>
      </w:r>
      <w:proofErr w:type="spellStart"/>
      <w:r w:rsidRPr="00EF6DA0">
        <w:t>Niininen</w:t>
      </w:r>
      <w:proofErr w:type="spellEnd"/>
      <w:r w:rsidRPr="00EF6DA0">
        <w:t xml:space="preserve">, O. and </w:t>
      </w:r>
      <w:proofErr w:type="spellStart"/>
      <w:r w:rsidRPr="00EF6DA0">
        <w:t>Uusitalo</w:t>
      </w:r>
      <w:proofErr w:type="spellEnd"/>
      <w:r w:rsidRPr="00EF6DA0">
        <w:t xml:space="preserve">, O. (2026) ‘The role of social media in exposing greenwashing: Consumer sentiments and discussions’, </w:t>
      </w:r>
      <w:r w:rsidRPr="00EF6DA0">
        <w:rPr>
          <w:i/>
          <w:iCs/>
        </w:rPr>
        <w:t>Corporate Social Responsibility and Environmental Management</w:t>
      </w:r>
      <w:r w:rsidRPr="00EF6DA0">
        <w:t>, 33(2), pp. 2360–2383.</w:t>
      </w:r>
    </w:p>
    <w:p w14:paraId="108B93A9" w14:textId="77777777" w:rsidR="00DA766E" w:rsidRPr="00EF6DA0" w:rsidRDefault="00DA766E" w:rsidP="00EF6DA0">
      <w:pPr>
        <w:ind w:left="720" w:hanging="720"/>
      </w:pPr>
      <w:r w:rsidRPr="00EF6DA0">
        <w:t xml:space="preserve">Sander, F., </w:t>
      </w:r>
      <w:proofErr w:type="spellStart"/>
      <w:r w:rsidRPr="00EF6DA0">
        <w:t>Föhl</w:t>
      </w:r>
      <w:proofErr w:type="spellEnd"/>
      <w:r w:rsidRPr="00EF6DA0">
        <w:t xml:space="preserve">, U., Walter, N. and </w:t>
      </w:r>
      <w:proofErr w:type="spellStart"/>
      <w:r w:rsidRPr="00EF6DA0">
        <w:t>Demmer</w:t>
      </w:r>
      <w:proofErr w:type="spellEnd"/>
      <w:r w:rsidRPr="00EF6DA0">
        <w:t xml:space="preserve">, V. (2021) ‘Green or social? An analysis of environmental and social sustainability advertising and its impact on brand personality, credibility and attitude’, </w:t>
      </w:r>
      <w:r w:rsidRPr="00EF6DA0">
        <w:rPr>
          <w:i/>
          <w:iCs/>
        </w:rPr>
        <w:t>Journal of Brand Management</w:t>
      </w:r>
      <w:r w:rsidRPr="00EF6DA0">
        <w:t>, 28(3), pp. 429–445. doi:10.1057/s41262-021-00236-8.</w:t>
      </w:r>
    </w:p>
    <w:p w14:paraId="55AC7D9B" w14:textId="77777777" w:rsidR="00DA766E" w:rsidRPr="00EF6DA0" w:rsidRDefault="00DA766E" w:rsidP="00EF6DA0">
      <w:pPr>
        <w:ind w:left="720" w:hanging="720"/>
      </w:pPr>
      <w:r w:rsidRPr="00EF6DA0">
        <w:t xml:space="preserve">Santos, C., Coelho, A. and Marques, A. (2024) ‘A systematic literature review on greenwashing and its relationship to stakeholders: State of art and future research agenda’, </w:t>
      </w:r>
      <w:r w:rsidRPr="00EF6DA0">
        <w:rPr>
          <w:i/>
          <w:iCs/>
        </w:rPr>
        <w:t>Management Review Quarterly</w:t>
      </w:r>
      <w:r w:rsidRPr="00EF6DA0">
        <w:t xml:space="preserve">, 74, pp. 1397–1421. Available at: </w:t>
      </w:r>
      <w:hyperlink r:id="rId73" w:tgtFrame="_new" w:history="1">
        <w:r w:rsidRPr="00EF6DA0">
          <w:rPr>
            <w:rStyle w:val="Hyperlink"/>
          </w:rPr>
          <w:t>https://doi.org/10.1007/s11301-023-00337-5</w:t>
        </w:r>
      </w:hyperlink>
    </w:p>
    <w:p w14:paraId="31785101" w14:textId="77777777" w:rsidR="00DA766E" w:rsidRPr="00EF6DA0" w:rsidRDefault="00DA766E" w:rsidP="00EF6DA0">
      <w:pPr>
        <w:ind w:left="720" w:hanging="720"/>
      </w:pPr>
      <w:r w:rsidRPr="00EF6DA0">
        <w:t xml:space="preserve">Saunders, M.N.K., Lewis, P. and Thornhill, A. (2024) </w:t>
      </w:r>
      <w:r w:rsidRPr="00EF6DA0">
        <w:rPr>
          <w:i/>
          <w:iCs/>
        </w:rPr>
        <w:t>Research Methods for Business Students</w:t>
      </w:r>
      <w:r w:rsidRPr="00EF6DA0">
        <w:t xml:space="preserve">. </w:t>
      </w:r>
      <w:r w:rsidRPr="00EF6DA0">
        <w:lastRenderedPageBreak/>
        <w:t xml:space="preserve">9th </w:t>
      </w:r>
      <w:proofErr w:type="spellStart"/>
      <w:r w:rsidRPr="00EF6DA0">
        <w:t>edn</w:t>
      </w:r>
      <w:proofErr w:type="spellEnd"/>
      <w:r w:rsidRPr="00EF6DA0">
        <w:t>. Harlow: Pearson.</w:t>
      </w:r>
    </w:p>
    <w:p w14:paraId="6FC86389" w14:textId="77777777" w:rsidR="00DA766E" w:rsidRPr="00EF6DA0" w:rsidRDefault="00DA766E" w:rsidP="00EF6DA0">
      <w:pPr>
        <w:ind w:left="720" w:hanging="720"/>
      </w:pPr>
      <w:r w:rsidRPr="00EF6DA0">
        <w:t xml:space="preserve">Spence, M. (1973) ‘Job market signaling’, </w:t>
      </w:r>
      <w:r w:rsidRPr="00EF6DA0">
        <w:rPr>
          <w:i/>
          <w:iCs/>
        </w:rPr>
        <w:t>The Quarterly Journal of Economics</w:t>
      </w:r>
      <w:r w:rsidRPr="00EF6DA0">
        <w:t xml:space="preserve">, 87(3), pp. 355–374. Available at: </w:t>
      </w:r>
      <w:hyperlink r:id="rId74" w:tgtFrame="_new" w:history="1">
        <w:r w:rsidRPr="00EF6DA0">
          <w:rPr>
            <w:rStyle w:val="Hyperlink"/>
          </w:rPr>
          <w:t>https://doi.org/10.2307/1882010</w:t>
        </w:r>
      </w:hyperlink>
    </w:p>
    <w:p w14:paraId="759F663E" w14:textId="77777777" w:rsidR="00DA766E" w:rsidRPr="00EF6DA0" w:rsidRDefault="00DA766E" w:rsidP="00EF6DA0">
      <w:pPr>
        <w:ind w:left="720" w:hanging="720"/>
      </w:pPr>
      <w:proofErr w:type="spellStart"/>
      <w:r w:rsidRPr="00EF6DA0">
        <w:t>Suchman</w:t>
      </w:r>
      <w:proofErr w:type="spellEnd"/>
      <w:r w:rsidRPr="00EF6DA0">
        <w:t xml:space="preserve">, M.C. (1995) ‘Managing legitimacy: Strategic and institutional approaches’, </w:t>
      </w:r>
      <w:r w:rsidRPr="00EF6DA0">
        <w:rPr>
          <w:i/>
          <w:iCs/>
        </w:rPr>
        <w:t>Academy of Management Review</w:t>
      </w:r>
      <w:r w:rsidRPr="00EF6DA0">
        <w:t xml:space="preserve">, 20(3), pp. 571–610. Available at: </w:t>
      </w:r>
      <w:hyperlink r:id="rId75" w:tgtFrame="_new" w:history="1">
        <w:r w:rsidRPr="00EF6DA0">
          <w:rPr>
            <w:rStyle w:val="Hyperlink"/>
          </w:rPr>
          <w:t>https://doi.org/10.2307/258788</w:t>
        </w:r>
      </w:hyperlink>
    </w:p>
    <w:p w14:paraId="7F2252E1" w14:textId="77777777" w:rsidR="00DA766E" w:rsidRPr="006C09B2" w:rsidRDefault="00DA766E" w:rsidP="006F7213">
      <w:pPr>
        <w:ind w:left="720" w:hanging="720"/>
      </w:pPr>
      <w:r w:rsidRPr="006C09B2">
        <w:t xml:space="preserve">Tesco plc (2025) </w:t>
      </w:r>
      <w:r w:rsidRPr="006F7213">
        <w:rPr>
          <w:i/>
          <w:iCs/>
        </w:rPr>
        <w:t>Annual report and financial statements 2025</w:t>
      </w:r>
      <w:r w:rsidRPr="006C09B2">
        <w:t xml:space="preserve">. </w:t>
      </w:r>
      <w:proofErr w:type="spellStart"/>
      <w:r w:rsidRPr="006C09B2">
        <w:t>Welwyn</w:t>
      </w:r>
      <w:proofErr w:type="spellEnd"/>
      <w:r w:rsidRPr="006C09B2">
        <w:t xml:space="preserve"> Garden City: Tesco plc. Available at: </w:t>
      </w:r>
      <w:hyperlink r:id="rId76" w:history="1">
        <w:r w:rsidRPr="006C09B2">
          <w:rPr>
            <w:rStyle w:val="Hyperlink"/>
          </w:rPr>
          <w:t>https://www.tescoplc.com/media/ky0bfwpo/tesco_ar25_interactive.pdf</w:t>
        </w:r>
      </w:hyperlink>
      <w:r w:rsidRPr="006C09B2">
        <w:t xml:space="preserve"> (Accessed: 21 June 2026).</w:t>
      </w:r>
    </w:p>
    <w:p w14:paraId="62D27367" w14:textId="77777777" w:rsidR="00DA766E" w:rsidRPr="00EF6DA0" w:rsidRDefault="00DA766E" w:rsidP="00EF6DA0">
      <w:pPr>
        <w:ind w:left="720" w:hanging="720"/>
      </w:pPr>
      <w:r w:rsidRPr="00EF6DA0">
        <w:t xml:space="preserve">Tesco plc (2026) </w:t>
      </w:r>
      <w:r w:rsidRPr="00EF6DA0">
        <w:rPr>
          <w:i/>
          <w:iCs/>
        </w:rPr>
        <w:t>Sustainability report 2026</w:t>
      </w:r>
      <w:r w:rsidRPr="00EF6DA0">
        <w:t xml:space="preserve">. </w:t>
      </w:r>
      <w:proofErr w:type="spellStart"/>
      <w:r w:rsidRPr="00EF6DA0">
        <w:t>Welwyn</w:t>
      </w:r>
      <w:proofErr w:type="spellEnd"/>
      <w:r w:rsidRPr="00EF6DA0">
        <w:t xml:space="preserve"> Garden City: Tesco plc. Available at: </w:t>
      </w:r>
      <w:hyperlink r:id="rId77" w:tgtFrame="_new" w:history="1">
        <w:r w:rsidRPr="00EF6DA0">
          <w:rPr>
            <w:rStyle w:val="Hyperlink"/>
          </w:rPr>
          <w:t>https://www.tescoplc.com/media/yjmlhji0/tesco-sustainability-report-2026.pdf</w:t>
        </w:r>
      </w:hyperlink>
      <w:r w:rsidRPr="00EF6DA0">
        <w:t xml:space="preserve"> (Accessed: 20 June 2026)</w:t>
      </w:r>
    </w:p>
    <w:p w14:paraId="6D81212D" w14:textId="77777777" w:rsidR="00DA766E" w:rsidRPr="00EF6DA0" w:rsidRDefault="00DA766E" w:rsidP="00EF6DA0">
      <w:pPr>
        <w:ind w:left="720" w:hanging="720"/>
      </w:pPr>
      <w:proofErr w:type="spellStart"/>
      <w:r w:rsidRPr="00EF6DA0">
        <w:t>Tu</w:t>
      </w:r>
      <w:proofErr w:type="spellEnd"/>
      <w:r w:rsidRPr="00EF6DA0">
        <w:t xml:space="preserve">, J.-C., Cui, Y., Liu, L. and Yang, C. (2024) ‘Perceived greenwashing and its impact on the green image of brands’, </w:t>
      </w:r>
      <w:r w:rsidRPr="00EF6DA0">
        <w:rPr>
          <w:i/>
          <w:iCs/>
        </w:rPr>
        <w:t>Sustainability</w:t>
      </w:r>
      <w:r w:rsidRPr="00EF6DA0">
        <w:t xml:space="preserve">, 16(20), 9009. Available at: </w:t>
      </w:r>
      <w:hyperlink r:id="rId78" w:tgtFrame="_new" w:history="1">
        <w:r w:rsidRPr="00EF6DA0">
          <w:rPr>
            <w:rStyle w:val="Hyperlink"/>
          </w:rPr>
          <w:t>https://doi.org/10.3390/su16209009</w:t>
        </w:r>
      </w:hyperlink>
    </w:p>
    <w:p w14:paraId="4C817625" w14:textId="77777777" w:rsidR="00DA766E" w:rsidRPr="00DA766E" w:rsidRDefault="00DA766E" w:rsidP="00DA766E">
      <w:pPr>
        <w:ind w:left="720" w:hanging="720"/>
      </w:pPr>
      <w:proofErr w:type="spellStart"/>
      <w:r w:rsidRPr="00DA766E">
        <w:t>Verleye</w:t>
      </w:r>
      <w:proofErr w:type="spellEnd"/>
      <w:r w:rsidRPr="00DA766E">
        <w:t xml:space="preserve">, G., De </w:t>
      </w:r>
      <w:proofErr w:type="spellStart"/>
      <w:r w:rsidRPr="00DA766E">
        <w:t>Ruyck</w:t>
      </w:r>
      <w:proofErr w:type="spellEnd"/>
      <w:r w:rsidRPr="00DA766E">
        <w:t xml:space="preserve">, A., </w:t>
      </w:r>
      <w:proofErr w:type="spellStart"/>
      <w:r w:rsidRPr="00DA766E">
        <w:t>Vermeulen</w:t>
      </w:r>
      <w:proofErr w:type="spellEnd"/>
      <w:r w:rsidRPr="00DA766E">
        <w:t xml:space="preserve">, W. and </w:t>
      </w:r>
      <w:proofErr w:type="spellStart"/>
      <w:r w:rsidRPr="00DA766E">
        <w:t>Schoenaers</w:t>
      </w:r>
      <w:proofErr w:type="spellEnd"/>
      <w:r w:rsidRPr="00DA766E">
        <w:t xml:space="preserve">, I. (2023) ‘Credibility of green advertising: Six elements that drive credibility in green advertising’, </w:t>
      </w:r>
      <w:r w:rsidRPr="00DA766E">
        <w:rPr>
          <w:i/>
          <w:iCs/>
        </w:rPr>
        <w:t>Frontiers in Communication</w:t>
      </w:r>
      <w:r w:rsidRPr="00DA766E">
        <w:t>, 8, p. 1056020. doi:10.3389/fcomm.2023.1056020.</w:t>
      </w:r>
    </w:p>
    <w:p w14:paraId="194E3A74" w14:textId="77777777" w:rsidR="00DA766E" w:rsidRPr="00EF6DA0" w:rsidRDefault="00DA766E" w:rsidP="00EF6DA0">
      <w:pPr>
        <w:ind w:left="720" w:hanging="720"/>
      </w:pPr>
      <w:r w:rsidRPr="00EF6DA0">
        <w:t xml:space="preserve">Wang, D. and Walker, T. (2023) ‘How to regain green consumer trust after greenwashing: Experimental evidence from China’, </w:t>
      </w:r>
      <w:r w:rsidRPr="00EF6DA0">
        <w:rPr>
          <w:i/>
          <w:iCs/>
        </w:rPr>
        <w:t>Sustainability</w:t>
      </w:r>
      <w:r w:rsidRPr="00EF6DA0">
        <w:t>, 15(19), p. 14436. doi:10.3390/su151914436.</w:t>
      </w:r>
    </w:p>
    <w:p w14:paraId="0E717320" w14:textId="77777777" w:rsidR="00DA766E" w:rsidRDefault="00DA766E" w:rsidP="006F7213">
      <w:pPr>
        <w:ind w:left="720" w:hanging="720"/>
        <w:rPr>
          <w:rStyle w:val="Hyperlink"/>
        </w:rPr>
      </w:pPr>
      <w:r w:rsidRPr="006C09B2">
        <w:t xml:space="preserve">Wu, L. and Liu, Z. (2022) ‘The influence of green marketing on brand trust: The mediation role of brand image and the moderation effect of greenwash’, </w:t>
      </w:r>
      <w:r w:rsidRPr="006F7213">
        <w:rPr>
          <w:i/>
          <w:iCs/>
        </w:rPr>
        <w:t>Discrete Dynamics in Nature and Society</w:t>
      </w:r>
      <w:r w:rsidRPr="006C09B2">
        <w:t xml:space="preserve">, 2022, Article ID 6392172, pp. 1–10. Available at: </w:t>
      </w:r>
      <w:hyperlink r:id="rId79" w:history="1">
        <w:r w:rsidRPr="006C09B2">
          <w:rPr>
            <w:rStyle w:val="Hyperlink"/>
          </w:rPr>
          <w:t>https://doi.org/10.1155/2022/6392172</w:t>
        </w:r>
      </w:hyperlink>
    </w:p>
    <w:p w14:paraId="315A5490" w14:textId="77777777" w:rsidR="00DA766E" w:rsidRDefault="00DA766E" w:rsidP="00DA766E">
      <w:pPr>
        <w:ind w:left="720" w:hanging="720"/>
      </w:pPr>
      <w:r w:rsidRPr="00DA766E">
        <w:t xml:space="preserve">Xu, W., Li, M. and Xu, S. (2023) ‘Unveiling the “veil” of information disclosure: Sustainability reporting “greenwashing” and “shared value”’, </w:t>
      </w:r>
      <w:r w:rsidRPr="00DA766E">
        <w:rPr>
          <w:i/>
          <w:iCs/>
        </w:rPr>
        <w:t>PLOS ONE</w:t>
      </w:r>
      <w:r w:rsidRPr="00DA766E">
        <w:t>, 18(1), p. e0279904. doi:10.1371/journal.pone.0279904.</w:t>
      </w:r>
    </w:p>
    <w:p w14:paraId="4FAB6164" w14:textId="1CCDADB4" w:rsidR="00DA766E" w:rsidRPr="00EF6DA0" w:rsidRDefault="00DA766E" w:rsidP="001C439A">
      <w:pPr>
        <w:ind w:left="720" w:hanging="720"/>
      </w:pPr>
      <w:r w:rsidRPr="00EF6DA0">
        <w:t xml:space="preserve">Xu, Y., Du, J., </w:t>
      </w:r>
      <w:proofErr w:type="spellStart"/>
      <w:r w:rsidRPr="00EF6DA0">
        <w:t>Shahzad</w:t>
      </w:r>
      <w:proofErr w:type="spellEnd"/>
      <w:r w:rsidRPr="00EF6DA0">
        <w:t xml:space="preserve">, F. and Li, X. (2021) ‘Untying the influence of green brand authenticity on electronic word-of-mouth intention: A moderation–mediation model’, </w:t>
      </w:r>
      <w:r w:rsidRPr="00EF6DA0">
        <w:rPr>
          <w:i/>
          <w:iCs/>
        </w:rPr>
        <w:t>Frontiers in Psychology</w:t>
      </w:r>
      <w:r w:rsidRPr="00EF6DA0">
        <w:t>, 12, p. 724452. doi:10.3389/fpsyg.2021.724452.</w:t>
      </w:r>
    </w:p>
    <w:p w14:paraId="7CC41DE1" w14:textId="77777777" w:rsidR="00DA766E" w:rsidRDefault="00DA766E" w:rsidP="00EF6DA0">
      <w:pPr>
        <w:ind w:left="720" w:hanging="720"/>
      </w:pPr>
      <w:r w:rsidRPr="00EF6DA0">
        <w:t xml:space="preserve">Yin, R.K. (2018) </w:t>
      </w:r>
      <w:r w:rsidRPr="00EF6DA0">
        <w:rPr>
          <w:i/>
          <w:iCs/>
        </w:rPr>
        <w:t>Case Study Research and Applications: Design and Methods</w:t>
      </w:r>
      <w:r w:rsidRPr="00EF6DA0">
        <w:t xml:space="preserve">. 6th </w:t>
      </w:r>
      <w:proofErr w:type="spellStart"/>
      <w:r w:rsidRPr="00EF6DA0">
        <w:t>edn</w:t>
      </w:r>
      <w:proofErr w:type="spellEnd"/>
      <w:r w:rsidRPr="00EF6DA0">
        <w:t>. Los Angeles, CA: SAGE Publications.</w:t>
      </w:r>
    </w:p>
    <w:p w14:paraId="0ABB37CE" w14:textId="77777777" w:rsidR="00DA766E" w:rsidRPr="006C09B2" w:rsidRDefault="00DA766E" w:rsidP="00EF6DA0">
      <w:pPr>
        <w:ind w:left="720" w:hanging="720"/>
      </w:pPr>
      <w:r w:rsidRPr="00EF6DA0">
        <w:lastRenderedPageBreak/>
        <w:t xml:space="preserve">Zhang, K., Pan, Z., </w:t>
      </w:r>
      <w:proofErr w:type="spellStart"/>
      <w:r w:rsidRPr="00EF6DA0">
        <w:t>Janardhanan</w:t>
      </w:r>
      <w:proofErr w:type="spellEnd"/>
      <w:r w:rsidRPr="00EF6DA0">
        <w:t xml:space="preserve">, M. and Patel, I. (2023) ‘Relationship analysis between greenwashing and environmental performance’, </w:t>
      </w:r>
      <w:r w:rsidRPr="00EF6DA0">
        <w:rPr>
          <w:i/>
          <w:iCs/>
        </w:rPr>
        <w:t>Environment, Development and Sustainability</w:t>
      </w:r>
      <w:r w:rsidRPr="00EF6DA0">
        <w:t>, 25, pp. 7927–7957. doi:10.1007/s10668-022-02381-9.</w:t>
      </w:r>
    </w:p>
    <w:p w14:paraId="7B185817" w14:textId="77777777" w:rsidR="00DA766E" w:rsidRDefault="00DA766E">
      <w:pPr>
        <w:widowControl/>
        <w:autoSpaceDE/>
        <w:autoSpaceDN/>
        <w:spacing w:after="160" w:line="259" w:lineRule="auto"/>
        <w:jc w:val="left"/>
        <w:sectPr w:rsidR="00DA766E">
          <w:pgSz w:w="12240" w:h="15840"/>
          <w:pgMar w:top="1440" w:right="1440" w:bottom="1440" w:left="1440" w:header="720" w:footer="720" w:gutter="0"/>
          <w:cols w:space="720"/>
          <w:docGrid w:linePitch="360"/>
        </w:sectPr>
      </w:pPr>
    </w:p>
    <w:p w14:paraId="434A7CDD" w14:textId="72696355" w:rsidR="006752EC" w:rsidRDefault="006752EC" w:rsidP="006752EC">
      <w:pPr>
        <w:pStyle w:val="Heading1"/>
      </w:pPr>
      <w:bookmarkStart w:id="182" w:name="_Toc239795103"/>
      <w:r>
        <w:lastRenderedPageBreak/>
        <w:t>Appendices</w:t>
      </w:r>
      <w:bookmarkEnd w:id="182"/>
    </w:p>
    <w:p w14:paraId="6F22D030" w14:textId="7BC62295" w:rsidR="002D09F1" w:rsidRDefault="006752EC" w:rsidP="002D0A84">
      <w:pPr>
        <w:pStyle w:val="Heading2"/>
      </w:pPr>
      <w:bookmarkStart w:id="183" w:name="_Toc239795104"/>
      <w:r w:rsidRPr="006752EC">
        <w:t xml:space="preserve">Appendix </w:t>
      </w:r>
      <w:r w:rsidR="00A95F4E">
        <w:t>A</w:t>
      </w:r>
      <w:r w:rsidRPr="006752EC">
        <w:t>:</w:t>
      </w:r>
      <w:r w:rsidR="00A95F4E" w:rsidRPr="00A95F4E">
        <w:t xml:space="preserve"> Proposed Conceptual Framing</w:t>
      </w:r>
      <w:bookmarkEnd w:id="183"/>
    </w:p>
    <w:p w14:paraId="043668FC" w14:textId="148C1D64" w:rsidR="00AB4680" w:rsidRDefault="00AB4680" w:rsidP="00AB4680">
      <w:pPr>
        <w:pStyle w:val="Caption"/>
        <w:keepNext/>
      </w:pPr>
      <w:bookmarkStart w:id="184" w:name="_Toc239794899"/>
      <w:r>
        <w:t xml:space="preserve">Table </w:t>
      </w:r>
      <w:r>
        <w:fldChar w:fldCharType="begin"/>
      </w:r>
      <w:r>
        <w:instrText xml:space="preserve"> SEQ Table \* ARABIC </w:instrText>
      </w:r>
      <w:r>
        <w:fldChar w:fldCharType="separate"/>
      </w:r>
      <w:r>
        <w:rPr>
          <w:noProof/>
        </w:rPr>
        <w:t>7</w:t>
      </w:r>
      <w:r>
        <w:rPr>
          <w:noProof/>
        </w:rPr>
        <w:fldChar w:fldCharType="end"/>
      </w:r>
      <w:r>
        <w:t xml:space="preserve">: </w:t>
      </w:r>
      <w:r w:rsidRPr="006704DC">
        <w:t>Proposed Conceptual Framing</w:t>
      </w:r>
      <w:bookmarkEnd w:id="184"/>
    </w:p>
    <w:tbl>
      <w:tblPr>
        <w:tblStyle w:val="GridTable6ColourfulAccent1"/>
        <w:tblW w:w="0" w:type="auto"/>
        <w:tblLook w:val="04A0" w:firstRow="1" w:lastRow="0" w:firstColumn="1" w:lastColumn="0" w:noHBand="0" w:noVBand="1"/>
      </w:tblPr>
      <w:tblGrid>
        <w:gridCol w:w="3304"/>
        <w:gridCol w:w="7581"/>
        <w:gridCol w:w="10036"/>
      </w:tblGrid>
      <w:tr w:rsidR="00AC14C3" w:rsidRPr="00AC14C3" w14:paraId="556AA7BA" w14:textId="77777777" w:rsidTr="00DA76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86BAD8" w14:textId="77777777" w:rsidR="00257ADA" w:rsidRPr="00AC14C3" w:rsidRDefault="00257ADA" w:rsidP="00257ADA">
            <w:pPr>
              <w:rPr>
                <w:color w:val="auto"/>
              </w:rPr>
            </w:pPr>
            <w:r w:rsidRPr="00AC14C3">
              <w:rPr>
                <w:color w:val="auto"/>
              </w:rPr>
              <w:t>Analytical component</w:t>
            </w:r>
          </w:p>
        </w:tc>
        <w:tc>
          <w:tcPr>
            <w:tcW w:w="7581" w:type="dxa"/>
            <w:hideMark/>
          </w:tcPr>
          <w:p w14:paraId="78BAA6CA" w14:textId="77777777" w:rsidR="00257ADA" w:rsidRPr="00AC14C3" w:rsidRDefault="00257ADA" w:rsidP="00257ADA">
            <w:pPr>
              <w:cnfStyle w:val="100000000000" w:firstRow="1" w:lastRow="0" w:firstColumn="0" w:lastColumn="0" w:oddVBand="0" w:evenVBand="0" w:oddHBand="0" w:evenHBand="0" w:firstRowFirstColumn="0" w:firstRowLastColumn="0" w:lastRowFirstColumn="0" w:lastRowLastColumn="0"/>
              <w:rPr>
                <w:color w:val="auto"/>
              </w:rPr>
            </w:pPr>
            <w:r w:rsidRPr="00AC14C3">
              <w:rPr>
                <w:color w:val="auto"/>
              </w:rPr>
              <w:t>Evaluation criteria</w:t>
            </w:r>
          </w:p>
        </w:tc>
        <w:tc>
          <w:tcPr>
            <w:tcW w:w="10036" w:type="dxa"/>
            <w:hideMark/>
          </w:tcPr>
          <w:p w14:paraId="2B9D87AC" w14:textId="77777777" w:rsidR="00257ADA" w:rsidRPr="00AC14C3" w:rsidRDefault="00257ADA" w:rsidP="00257ADA">
            <w:pPr>
              <w:cnfStyle w:val="100000000000" w:firstRow="1" w:lastRow="0" w:firstColumn="0" w:lastColumn="0" w:oddVBand="0" w:evenVBand="0" w:oddHBand="0" w:evenHBand="0" w:firstRowFirstColumn="0" w:firstRowLastColumn="0" w:lastRowFirstColumn="0" w:lastRowLastColumn="0"/>
              <w:rPr>
                <w:color w:val="auto"/>
              </w:rPr>
            </w:pPr>
            <w:r w:rsidRPr="00AC14C3">
              <w:rPr>
                <w:color w:val="auto"/>
              </w:rPr>
              <w:t>Analytical purpose</w:t>
            </w:r>
          </w:p>
        </w:tc>
      </w:tr>
      <w:tr w:rsidR="00AC14C3" w:rsidRPr="00AC14C3" w14:paraId="651310B1"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B16707" w14:textId="77777777" w:rsidR="00AC14C3" w:rsidRPr="00AC14C3" w:rsidRDefault="00AC14C3" w:rsidP="00AC14C3">
            <w:pPr>
              <w:rPr>
                <w:color w:val="auto"/>
              </w:rPr>
            </w:pPr>
            <w:r w:rsidRPr="00AC14C3">
              <w:rPr>
                <w:color w:val="auto"/>
              </w:rPr>
              <w:t>Sustainability marketing communication</w:t>
            </w:r>
          </w:p>
        </w:tc>
        <w:tc>
          <w:tcPr>
            <w:tcW w:w="7581" w:type="dxa"/>
            <w:hideMark/>
          </w:tcPr>
          <w:p w14:paraId="6BCA7D4A" w14:textId="77777777" w:rsidR="00AC14C3" w:rsidRPr="00AC14C3" w:rsidRDefault="00AC14C3" w:rsidP="00AC14C3">
            <w:pPr>
              <w:cnfStyle w:val="000000100000" w:firstRow="0" w:lastRow="0" w:firstColumn="0" w:lastColumn="0" w:oddVBand="0" w:evenVBand="0" w:oddHBand="1" w:evenHBand="0" w:firstRowFirstColumn="0" w:firstRowLastColumn="0" w:lastRowFirstColumn="0" w:lastRowLastColumn="0"/>
              <w:rPr>
                <w:color w:val="auto"/>
              </w:rPr>
            </w:pPr>
            <w:r w:rsidRPr="00AC14C3">
              <w:rPr>
                <w:color w:val="auto"/>
              </w:rPr>
              <w:t>Sustainability strategies and reports, annual reports, corporate websites and customer-facing brand messages across the five retailer cases, including M&amp;S Plan A</w:t>
            </w:r>
          </w:p>
        </w:tc>
        <w:tc>
          <w:tcPr>
            <w:tcW w:w="10036" w:type="dxa"/>
            <w:hideMark/>
          </w:tcPr>
          <w:p w14:paraId="52356290" w14:textId="5E42B56C" w:rsidR="00AC14C3" w:rsidRPr="00AC14C3" w:rsidRDefault="00AC14C3" w:rsidP="00AC14C3">
            <w:pPr>
              <w:cnfStyle w:val="000000100000" w:firstRow="0" w:lastRow="0" w:firstColumn="0" w:lastColumn="0" w:oddVBand="0" w:evenVBand="0" w:oddHBand="1" w:evenHBand="0" w:firstRowFirstColumn="0" w:firstRowLastColumn="0" w:lastRowFirstColumn="0" w:lastRowLastColumn="0"/>
              <w:rPr>
                <w:color w:val="auto"/>
              </w:rPr>
            </w:pPr>
            <w:proofErr w:type="spellStart"/>
            <w:r w:rsidRPr="00AC14C3">
              <w:rPr>
                <w:color w:val="auto"/>
              </w:rPr>
              <w:t>Recognise</w:t>
            </w:r>
            <w:proofErr w:type="spellEnd"/>
            <w:r w:rsidRPr="00AC14C3">
              <w:rPr>
                <w:color w:val="auto"/>
              </w:rPr>
              <w:t xml:space="preserve"> and contrast the messages of sustainability in the communication channels and on retailer cases.</w:t>
            </w:r>
          </w:p>
        </w:tc>
      </w:tr>
      <w:tr w:rsidR="00AC14C3" w:rsidRPr="00AC14C3" w14:paraId="01258F9B" w14:textId="77777777" w:rsidTr="00DA766E">
        <w:tc>
          <w:tcPr>
            <w:cnfStyle w:val="001000000000" w:firstRow="0" w:lastRow="0" w:firstColumn="1" w:lastColumn="0" w:oddVBand="0" w:evenVBand="0" w:oddHBand="0" w:evenHBand="0" w:firstRowFirstColumn="0" w:firstRowLastColumn="0" w:lastRowFirstColumn="0" w:lastRowLastColumn="0"/>
            <w:tcW w:w="0" w:type="auto"/>
            <w:hideMark/>
          </w:tcPr>
          <w:p w14:paraId="27744319" w14:textId="77777777" w:rsidR="00AC14C3" w:rsidRPr="00AC14C3" w:rsidRDefault="00AC14C3" w:rsidP="00AC14C3">
            <w:pPr>
              <w:rPr>
                <w:color w:val="auto"/>
              </w:rPr>
            </w:pPr>
            <w:r w:rsidRPr="00AC14C3">
              <w:rPr>
                <w:color w:val="auto"/>
              </w:rPr>
              <w:t>Communication quality</w:t>
            </w:r>
          </w:p>
        </w:tc>
        <w:tc>
          <w:tcPr>
            <w:tcW w:w="7581" w:type="dxa"/>
            <w:hideMark/>
          </w:tcPr>
          <w:p w14:paraId="323EE608" w14:textId="77777777" w:rsidR="00AC14C3" w:rsidRPr="00AC14C3" w:rsidRDefault="00AC14C3" w:rsidP="00AC14C3">
            <w:pPr>
              <w:cnfStyle w:val="000000000000" w:firstRow="0" w:lastRow="0" w:firstColumn="0" w:lastColumn="0" w:oddVBand="0" w:evenVBand="0" w:oddHBand="0" w:evenHBand="0" w:firstRowFirstColumn="0" w:firstRowLastColumn="0" w:lastRowFirstColumn="0" w:lastRowLastColumn="0"/>
              <w:rPr>
                <w:color w:val="auto"/>
              </w:rPr>
            </w:pPr>
            <w:r w:rsidRPr="00AC14C3">
              <w:rPr>
                <w:color w:val="auto"/>
              </w:rPr>
              <w:t>Claim clarity, evidence and substantiation quality, message consistency and transparency</w:t>
            </w:r>
          </w:p>
        </w:tc>
        <w:tc>
          <w:tcPr>
            <w:tcW w:w="10036" w:type="dxa"/>
            <w:hideMark/>
          </w:tcPr>
          <w:p w14:paraId="320B937A" w14:textId="78AF26BF" w:rsidR="00AC14C3" w:rsidRPr="00AC14C3" w:rsidRDefault="00AC14C3" w:rsidP="00AC14C3">
            <w:pPr>
              <w:cnfStyle w:val="000000000000" w:firstRow="0" w:lastRow="0" w:firstColumn="0" w:lastColumn="0" w:oddVBand="0" w:evenVBand="0" w:oddHBand="0" w:evenHBand="0" w:firstRowFirstColumn="0" w:firstRowLastColumn="0" w:lastRowFirstColumn="0" w:lastRowLastColumn="0"/>
              <w:rPr>
                <w:color w:val="auto"/>
              </w:rPr>
            </w:pPr>
            <w:proofErr w:type="spellStart"/>
            <w:r w:rsidRPr="00AC14C3">
              <w:rPr>
                <w:color w:val="auto"/>
              </w:rPr>
              <w:t>Analyse</w:t>
            </w:r>
            <w:proofErr w:type="spellEnd"/>
            <w:r w:rsidRPr="00AC14C3">
              <w:rPr>
                <w:color w:val="auto"/>
              </w:rPr>
              <w:t xml:space="preserve"> the credibility of the communication and its attributes that can build or detract from brand trust.</w:t>
            </w:r>
          </w:p>
        </w:tc>
      </w:tr>
      <w:tr w:rsidR="00AC14C3" w:rsidRPr="00AC14C3" w14:paraId="778A5E0D"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02F072" w14:textId="77777777" w:rsidR="00AC14C3" w:rsidRPr="00AC14C3" w:rsidRDefault="00AC14C3" w:rsidP="00AC14C3">
            <w:pPr>
              <w:rPr>
                <w:color w:val="auto"/>
              </w:rPr>
            </w:pPr>
            <w:r w:rsidRPr="00AC14C3">
              <w:rPr>
                <w:color w:val="auto"/>
              </w:rPr>
              <w:t>Greenwashing risk</w:t>
            </w:r>
          </w:p>
        </w:tc>
        <w:tc>
          <w:tcPr>
            <w:tcW w:w="7581" w:type="dxa"/>
            <w:hideMark/>
          </w:tcPr>
          <w:p w14:paraId="20CF15AA" w14:textId="77777777" w:rsidR="00AC14C3" w:rsidRPr="00AC14C3" w:rsidRDefault="00AC14C3" w:rsidP="00AC14C3">
            <w:pPr>
              <w:cnfStyle w:val="000000100000" w:firstRow="0" w:lastRow="0" w:firstColumn="0" w:lastColumn="0" w:oddVBand="0" w:evenVBand="0" w:oddHBand="1" w:evenHBand="0" w:firstRowFirstColumn="0" w:firstRowLastColumn="0" w:lastRowFirstColumn="0" w:lastRowLastColumn="0"/>
              <w:rPr>
                <w:color w:val="auto"/>
              </w:rPr>
            </w:pPr>
            <w:r w:rsidRPr="00AC14C3">
              <w:rPr>
                <w:color w:val="auto"/>
              </w:rPr>
              <w:t>Vague claims, weak evidence, inconsistency, overstatement and limited substantiation</w:t>
            </w:r>
          </w:p>
        </w:tc>
        <w:tc>
          <w:tcPr>
            <w:tcW w:w="10036" w:type="dxa"/>
            <w:hideMark/>
          </w:tcPr>
          <w:p w14:paraId="437EEE57" w14:textId="646D4606" w:rsidR="00AC14C3" w:rsidRPr="00AC14C3" w:rsidRDefault="00AC14C3" w:rsidP="00AC14C3">
            <w:pPr>
              <w:cnfStyle w:val="000000100000" w:firstRow="0" w:lastRow="0" w:firstColumn="0" w:lastColumn="0" w:oddVBand="0" w:evenVBand="0" w:oddHBand="1" w:evenHBand="0" w:firstRowFirstColumn="0" w:firstRowLastColumn="0" w:lastRowFirstColumn="0" w:lastRowLastColumn="0"/>
              <w:rPr>
                <w:color w:val="auto"/>
              </w:rPr>
            </w:pPr>
            <w:r w:rsidRPr="00AC14C3">
              <w:rPr>
                <w:color w:val="auto"/>
              </w:rPr>
              <w:t xml:space="preserve">State factors that could cause loss of credibility and consumer </w:t>
            </w:r>
            <w:proofErr w:type="spellStart"/>
            <w:r w:rsidRPr="00AC14C3">
              <w:rPr>
                <w:color w:val="auto"/>
              </w:rPr>
              <w:t>scepticism</w:t>
            </w:r>
            <w:proofErr w:type="spellEnd"/>
            <w:r w:rsidRPr="00AC14C3">
              <w:rPr>
                <w:color w:val="auto"/>
              </w:rPr>
              <w:t>.</w:t>
            </w:r>
          </w:p>
        </w:tc>
      </w:tr>
      <w:tr w:rsidR="00AC14C3" w:rsidRPr="00AC14C3" w14:paraId="2F5AEBD8" w14:textId="77777777" w:rsidTr="00DA766E">
        <w:tc>
          <w:tcPr>
            <w:cnfStyle w:val="001000000000" w:firstRow="0" w:lastRow="0" w:firstColumn="1" w:lastColumn="0" w:oddVBand="0" w:evenVBand="0" w:oddHBand="0" w:evenHBand="0" w:firstRowFirstColumn="0" w:firstRowLastColumn="0" w:lastRowFirstColumn="0" w:lastRowLastColumn="0"/>
            <w:tcW w:w="0" w:type="auto"/>
            <w:hideMark/>
          </w:tcPr>
          <w:p w14:paraId="1247042C" w14:textId="77777777" w:rsidR="00AC14C3" w:rsidRPr="00AC14C3" w:rsidRDefault="00AC14C3" w:rsidP="00AC14C3">
            <w:pPr>
              <w:rPr>
                <w:color w:val="auto"/>
              </w:rPr>
            </w:pPr>
            <w:r w:rsidRPr="00AC14C3">
              <w:rPr>
                <w:color w:val="auto"/>
              </w:rPr>
              <w:t>Cross-case comparison</w:t>
            </w:r>
          </w:p>
        </w:tc>
        <w:tc>
          <w:tcPr>
            <w:tcW w:w="7581" w:type="dxa"/>
            <w:hideMark/>
          </w:tcPr>
          <w:p w14:paraId="4977D1BE" w14:textId="77777777" w:rsidR="00AC14C3" w:rsidRPr="00AC14C3" w:rsidRDefault="00AC14C3" w:rsidP="00AC14C3">
            <w:pPr>
              <w:cnfStyle w:val="000000000000" w:firstRow="0" w:lastRow="0" w:firstColumn="0" w:lastColumn="0" w:oddVBand="0" w:evenVBand="0" w:oddHBand="0" w:evenHBand="0" w:firstRowFirstColumn="0" w:firstRowLastColumn="0" w:lastRowFirstColumn="0" w:lastRowLastColumn="0"/>
              <w:rPr>
                <w:color w:val="auto"/>
              </w:rPr>
            </w:pPr>
            <w:r w:rsidRPr="00AC14C3">
              <w:rPr>
                <w:color w:val="auto"/>
              </w:rPr>
              <w:t xml:space="preserve">M&amp;S as the focal case compared with Tesco, </w:t>
            </w:r>
            <w:proofErr w:type="spellStart"/>
            <w:r w:rsidRPr="00AC14C3">
              <w:rPr>
                <w:color w:val="auto"/>
              </w:rPr>
              <w:t>Asda</w:t>
            </w:r>
            <w:proofErr w:type="spellEnd"/>
            <w:r w:rsidRPr="00AC14C3">
              <w:rPr>
                <w:color w:val="auto"/>
              </w:rPr>
              <w:t xml:space="preserve">, </w:t>
            </w:r>
            <w:proofErr w:type="spellStart"/>
            <w:r w:rsidRPr="00AC14C3">
              <w:rPr>
                <w:color w:val="auto"/>
              </w:rPr>
              <w:t>Morrisons</w:t>
            </w:r>
            <w:proofErr w:type="spellEnd"/>
            <w:r w:rsidRPr="00AC14C3">
              <w:rPr>
                <w:color w:val="auto"/>
              </w:rPr>
              <w:t xml:space="preserve"> and Sainsbury’s</w:t>
            </w:r>
          </w:p>
        </w:tc>
        <w:tc>
          <w:tcPr>
            <w:tcW w:w="10036" w:type="dxa"/>
            <w:hideMark/>
          </w:tcPr>
          <w:p w14:paraId="14B643FD" w14:textId="3F13CD4B" w:rsidR="00AC14C3" w:rsidRPr="00AC14C3" w:rsidRDefault="00AC14C3" w:rsidP="00AC14C3">
            <w:pPr>
              <w:cnfStyle w:val="000000000000" w:firstRow="0" w:lastRow="0" w:firstColumn="0" w:lastColumn="0" w:oddVBand="0" w:evenVBand="0" w:oddHBand="0" w:evenHBand="0" w:firstRowFirstColumn="0" w:firstRowLastColumn="0" w:lastRowFirstColumn="0" w:lastRowLastColumn="0"/>
              <w:rPr>
                <w:color w:val="auto"/>
              </w:rPr>
            </w:pPr>
            <w:r w:rsidRPr="00AC14C3">
              <w:rPr>
                <w:color w:val="auto"/>
              </w:rPr>
              <w:t>Evaluate similarities and differences in sustainability communication practices and credibility in cases.</w:t>
            </w:r>
          </w:p>
        </w:tc>
      </w:tr>
      <w:tr w:rsidR="00AC14C3" w:rsidRPr="00AC14C3" w14:paraId="7429C074"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169A61" w14:textId="77777777" w:rsidR="00AC14C3" w:rsidRPr="00AC14C3" w:rsidRDefault="00AC14C3" w:rsidP="00AC14C3">
            <w:pPr>
              <w:rPr>
                <w:color w:val="auto"/>
              </w:rPr>
            </w:pPr>
            <w:r w:rsidRPr="00AC14C3">
              <w:rPr>
                <w:color w:val="auto"/>
              </w:rPr>
              <w:t>Brand-trust implications</w:t>
            </w:r>
          </w:p>
        </w:tc>
        <w:tc>
          <w:tcPr>
            <w:tcW w:w="7581" w:type="dxa"/>
            <w:hideMark/>
          </w:tcPr>
          <w:p w14:paraId="542D5E11" w14:textId="77777777" w:rsidR="00AC14C3" w:rsidRPr="00AC14C3" w:rsidRDefault="00AC14C3" w:rsidP="00AC14C3">
            <w:pPr>
              <w:cnfStyle w:val="000000100000" w:firstRow="0" w:lastRow="0" w:firstColumn="0" w:lastColumn="0" w:oddVBand="0" w:evenVBand="0" w:oddHBand="1" w:evenHBand="0" w:firstRowFirstColumn="0" w:firstRowLastColumn="0" w:lastRowFirstColumn="0" w:lastRowLastColumn="0"/>
              <w:rPr>
                <w:color w:val="auto"/>
              </w:rPr>
            </w:pPr>
            <w:r w:rsidRPr="00AC14C3">
              <w:rPr>
                <w:color w:val="auto"/>
              </w:rPr>
              <w:t>Credibility, authenticity and trust relevance</w:t>
            </w:r>
          </w:p>
        </w:tc>
        <w:tc>
          <w:tcPr>
            <w:tcW w:w="10036" w:type="dxa"/>
            <w:hideMark/>
          </w:tcPr>
          <w:p w14:paraId="6B7EA26B" w14:textId="76EDCE4E" w:rsidR="00AC14C3" w:rsidRPr="00AC14C3" w:rsidRDefault="00AC14C3" w:rsidP="00AC14C3">
            <w:pPr>
              <w:cnfStyle w:val="000000100000" w:firstRow="0" w:lastRow="0" w:firstColumn="0" w:lastColumn="0" w:oddVBand="0" w:evenVBand="0" w:oddHBand="1" w:evenHBand="0" w:firstRowFirstColumn="0" w:firstRowLastColumn="0" w:lastRowFirstColumn="0" w:lastRowLastColumn="0"/>
              <w:rPr>
                <w:color w:val="auto"/>
              </w:rPr>
            </w:pPr>
            <w:r w:rsidRPr="00AC14C3">
              <w:rPr>
                <w:color w:val="auto"/>
              </w:rPr>
              <w:t>Evaluate potential impacts of the credibility and authenticity of the communicator on brand trust without measuring consumer trust.</w:t>
            </w:r>
          </w:p>
        </w:tc>
      </w:tr>
    </w:tbl>
    <w:p w14:paraId="6D3A27A4" w14:textId="31E73C05" w:rsidR="00653248" w:rsidRDefault="00653248" w:rsidP="00A95F4E"/>
    <w:p w14:paraId="577E75CB" w14:textId="77777777" w:rsidR="002953D8" w:rsidRDefault="002953D8">
      <w:pPr>
        <w:widowControl/>
        <w:autoSpaceDE/>
        <w:autoSpaceDN/>
        <w:spacing w:after="160" w:line="259" w:lineRule="auto"/>
        <w:jc w:val="left"/>
        <w:rPr>
          <w:rFonts w:eastAsia="Times New Roman" w:cs="Times New Roman"/>
          <w:b/>
          <w:bCs/>
          <w:i/>
          <w:sz w:val="28"/>
          <w:szCs w:val="36"/>
        </w:rPr>
      </w:pPr>
      <w:bookmarkStart w:id="185" w:name="_Toc237143977"/>
      <w:r>
        <w:br w:type="page"/>
      </w:r>
    </w:p>
    <w:p w14:paraId="44097610" w14:textId="6F241D21" w:rsidR="00EF6DA0" w:rsidRDefault="00EF6DA0" w:rsidP="002D0A84">
      <w:pPr>
        <w:pStyle w:val="Heading2"/>
      </w:pPr>
      <w:bookmarkStart w:id="186" w:name="_Toc239795105"/>
      <w:r w:rsidRPr="00DC30A4">
        <w:lastRenderedPageBreak/>
        <w:t xml:space="preserve">Appendix </w:t>
      </w:r>
      <w:r>
        <w:t>B</w:t>
      </w:r>
      <w:r w:rsidRPr="00DC30A4">
        <w:t xml:space="preserve">: </w:t>
      </w:r>
      <w:proofErr w:type="spellStart"/>
      <w:r w:rsidRPr="00DC30A4">
        <w:t>Operationalisation</w:t>
      </w:r>
      <w:proofErr w:type="spellEnd"/>
      <w:r w:rsidRPr="00DC30A4">
        <w:t xml:space="preserve"> of the Conceptual Framework for Documentary Analysis</w:t>
      </w:r>
      <w:bookmarkEnd w:id="185"/>
      <w:bookmarkEnd w:id="186"/>
    </w:p>
    <w:p w14:paraId="32551390" w14:textId="4823AF4B" w:rsidR="00AB4680" w:rsidRDefault="00AB4680" w:rsidP="00AB4680">
      <w:pPr>
        <w:pStyle w:val="Caption"/>
        <w:keepNext/>
      </w:pPr>
      <w:bookmarkStart w:id="187" w:name="_Toc239794900"/>
      <w:r>
        <w:t xml:space="preserve">Table </w:t>
      </w:r>
      <w:r>
        <w:fldChar w:fldCharType="begin"/>
      </w:r>
      <w:r>
        <w:instrText xml:space="preserve"> SEQ Table \* ARABIC </w:instrText>
      </w:r>
      <w:r>
        <w:fldChar w:fldCharType="separate"/>
      </w:r>
      <w:r>
        <w:rPr>
          <w:noProof/>
        </w:rPr>
        <w:t>8</w:t>
      </w:r>
      <w:r>
        <w:rPr>
          <w:noProof/>
        </w:rPr>
        <w:fldChar w:fldCharType="end"/>
      </w:r>
      <w:r>
        <w:t xml:space="preserve">: </w:t>
      </w:r>
      <w:proofErr w:type="spellStart"/>
      <w:r w:rsidRPr="00D6573B">
        <w:t>Operationalisation</w:t>
      </w:r>
      <w:proofErr w:type="spellEnd"/>
      <w:r w:rsidRPr="00D6573B">
        <w:t xml:space="preserve"> of the Conceptual Framework for Documentary Analysis</w:t>
      </w:r>
      <w:bookmarkEnd w:id="187"/>
    </w:p>
    <w:tbl>
      <w:tblPr>
        <w:tblStyle w:val="GridTable6ColourfulAccent1"/>
        <w:tblW w:w="20880" w:type="dxa"/>
        <w:tblInd w:w="-5" w:type="dxa"/>
        <w:tblLook w:val="04A0" w:firstRow="1" w:lastRow="0" w:firstColumn="1" w:lastColumn="0" w:noHBand="0" w:noVBand="1"/>
      </w:tblPr>
      <w:tblGrid>
        <w:gridCol w:w="3098"/>
        <w:gridCol w:w="4739"/>
        <w:gridCol w:w="3979"/>
        <w:gridCol w:w="3979"/>
        <w:gridCol w:w="5085"/>
      </w:tblGrid>
      <w:tr w:rsidR="00EF6DA0" w:rsidRPr="002953D8" w14:paraId="2884F835" w14:textId="77777777" w:rsidTr="00DA76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8" w:type="dxa"/>
            <w:hideMark/>
          </w:tcPr>
          <w:p w14:paraId="3A031EC7" w14:textId="77777777" w:rsidR="00EF6DA0" w:rsidRPr="002953D8" w:rsidRDefault="00EF6DA0" w:rsidP="00127600">
            <w:pPr>
              <w:rPr>
                <w:color w:val="auto"/>
                <w:sz w:val="18"/>
                <w:szCs w:val="18"/>
              </w:rPr>
            </w:pPr>
            <w:r w:rsidRPr="002953D8">
              <w:rPr>
                <w:color w:val="auto"/>
                <w:sz w:val="18"/>
                <w:szCs w:val="18"/>
              </w:rPr>
              <w:t>Construct</w:t>
            </w:r>
          </w:p>
        </w:tc>
        <w:tc>
          <w:tcPr>
            <w:tcW w:w="4739" w:type="dxa"/>
            <w:hideMark/>
          </w:tcPr>
          <w:p w14:paraId="24C07F67" w14:textId="77777777" w:rsidR="00EF6DA0" w:rsidRPr="002953D8" w:rsidRDefault="00EF6DA0" w:rsidP="00127600">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Operational Definition</w:t>
            </w:r>
          </w:p>
        </w:tc>
        <w:tc>
          <w:tcPr>
            <w:tcW w:w="3979" w:type="dxa"/>
            <w:hideMark/>
          </w:tcPr>
          <w:p w14:paraId="07E4545C" w14:textId="77777777" w:rsidR="00EF6DA0" w:rsidRPr="002953D8" w:rsidRDefault="00EF6DA0" w:rsidP="00127600">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Documentary Indicators</w:t>
            </w:r>
          </w:p>
        </w:tc>
        <w:tc>
          <w:tcPr>
            <w:tcW w:w="3979" w:type="dxa"/>
            <w:hideMark/>
          </w:tcPr>
          <w:p w14:paraId="5D84FAE7" w14:textId="77777777" w:rsidR="00EF6DA0" w:rsidRPr="002953D8" w:rsidRDefault="00EF6DA0" w:rsidP="00127600">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Evidence to Identify</w:t>
            </w:r>
          </w:p>
        </w:tc>
        <w:tc>
          <w:tcPr>
            <w:tcW w:w="5085" w:type="dxa"/>
            <w:hideMark/>
          </w:tcPr>
          <w:p w14:paraId="519A5392" w14:textId="77777777" w:rsidR="00EF6DA0" w:rsidRPr="002953D8" w:rsidRDefault="00EF6DA0" w:rsidP="00127600">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Analytical Interpretation</w:t>
            </w:r>
          </w:p>
        </w:tc>
      </w:tr>
      <w:tr w:rsidR="00EF6DA0" w:rsidRPr="002953D8" w14:paraId="0460A0C0"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8" w:type="dxa"/>
            <w:hideMark/>
          </w:tcPr>
          <w:p w14:paraId="1032DFE0" w14:textId="77777777" w:rsidR="00EF6DA0" w:rsidRPr="002953D8" w:rsidRDefault="00EF6DA0" w:rsidP="00127600">
            <w:pPr>
              <w:rPr>
                <w:color w:val="auto"/>
                <w:sz w:val="18"/>
                <w:szCs w:val="18"/>
              </w:rPr>
            </w:pPr>
            <w:r w:rsidRPr="002953D8">
              <w:rPr>
                <w:color w:val="auto"/>
                <w:sz w:val="18"/>
                <w:szCs w:val="18"/>
              </w:rPr>
              <w:t>Sustainability marketing communication</w:t>
            </w:r>
          </w:p>
        </w:tc>
        <w:tc>
          <w:tcPr>
            <w:tcW w:w="4739" w:type="dxa"/>
            <w:hideMark/>
          </w:tcPr>
          <w:p w14:paraId="0AC346F5"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The sustainability-related statements, reports, policies and communication to consumers about environmental and social responsibility that retailers make and publish</w:t>
            </w:r>
          </w:p>
        </w:tc>
        <w:tc>
          <w:tcPr>
            <w:tcW w:w="3979" w:type="dxa"/>
            <w:hideMark/>
          </w:tcPr>
          <w:p w14:paraId="0085C96C"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Sustainability strategies; ESG/sustainability reports; annual reports; corporate webpages; campaigns; product or customer-facing sustainability statements</w:t>
            </w:r>
          </w:p>
        </w:tc>
        <w:tc>
          <w:tcPr>
            <w:tcW w:w="3979" w:type="dxa"/>
            <w:hideMark/>
          </w:tcPr>
          <w:p w14:paraId="278CF25A"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Communication around carbon, sourcing, packaging, waste, materials and ethical production and wider environmental commitments.</w:t>
            </w:r>
          </w:p>
        </w:tc>
        <w:tc>
          <w:tcPr>
            <w:tcW w:w="5085" w:type="dxa"/>
            <w:hideMark/>
          </w:tcPr>
          <w:p w14:paraId="653A306D"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Identifies the messages for sustainability, how to communicate them and the differences between the retailer cases</w:t>
            </w:r>
          </w:p>
        </w:tc>
      </w:tr>
      <w:tr w:rsidR="00EF6DA0" w:rsidRPr="002953D8" w14:paraId="3E1BDE7D" w14:textId="77777777" w:rsidTr="00DA766E">
        <w:tc>
          <w:tcPr>
            <w:cnfStyle w:val="001000000000" w:firstRow="0" w:lastRow="0" w:firstColumn="1" w:lastColumn="0" w:oddVBand="0" w:evenVBand="0" w:oddHBand="0" w:evenHBand="0" w:firstRowFirstColumn="0" w:firstRowLastColumn="0" w:lastRowFirstColumn="0" w:lastRowLastColumn="0"/>
            <w:tcW w:w="3098" w:type="dxa"/>
            <w:hideMark/>
          </w:tcPr>
          <w:p w14:paraId="0A03AB23" w14:textId="77777777" w:rsidR="00EF6DA0" w:rsidRPr="002953D8" w:rsidRDefault="00EF6DA0" w:rsidP="00127600">
            <w:pPr>
              <w:rPr>
                <w:color w:val="auto"/>
                <w:sz w:val="18"/>
                <w:szCs w:val="18"/>
              </w:rPr>
            </w:pPr>
            <w:r w:rsidRPr="002953D8">
              <w:rPr>
                <w:color w:val="auto"/>
                <w:sz w:val="18"/>
                <w:szCs w:val="18"/>
              </w:rPr>
              <w:t>Claim clarity</w:t>
            </w:r>
          </w:p>
        </w:tc>
        <w:tc>
          <w:tcPr>
            <w:tcW w:w="4739" w:type="dxa"/>
            <w:hideMark/>
          </w:tcPr>
          <w:p w14:paraId="49C918D5"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Specificity of a sustainability claim, understandability and clearly bounded sustainability claim</w:t>
            </w:r>
          </w:p>
        </w:tc>
        <w:tc>
          <w:tcPr>
            <w:tcW w:w="3979" w:type="dxa"/>
            <w:hideMark/>
          </w:tcPr>
          <w:p w14:paraId="42CA8948"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Specific terminology; clearly defined goals; identified sustainability issue; timeframe; scope; boundaries</w:t>
            </w:r>
          </w:p>
        </w:tc>
        <w:tc>
          <w:tcPr>
            <w:tcW w:w="3979" w:type="dxa"/>
            <w:hideMark/>
          </w:tcPr>
          <w:p w14:paraId="6F016A31"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Claims involving carbon, packaging, sourcing, waste, materials production and ethical production that contain a clear meaning and clearly defined limits.</w:t>
            </w:r>
          </w:p>
        </w:tc>
        <w:tc>
          <w:tcPr>
            <w:tcW w:w="5085" w:type="dxa"/>
            <w:hideMark/>
          </w:tcPr>
          <w:p w14:paraId="2453CE3E"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Clear signals of sustainability are given with specific and bounded claims, vague and overbroad claims diminish the credibility of communication; and</w:t>
            </w:r>
          </w:p>
        </w:tc>
      </w:tr>
      <w:tr w:rsidR="00EF6DA0" w:rsidRPr="002953D8" w14:paraId="4C23D1DF"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8" w:type="dxa"/>
            <w:hideMark/>
          </w:tcPr>
          <w:p w14:paraId="4E334391" w14:textId="77777777" w:rsidR="00EF6DA0" w:rsidRPr="002953D8" w:rsidRDefault="00EF6DA0" w:rsidP="00127600">
            <w:pPr>
              <w:rPr>
                <w:color w:val="auto"/>
                <w:sz w:val="18"/>
                <w:szCs w:val="18"/>
              </w:rPr>
            </w:pPr>
            <w:r w:rsidRPr="002953D8">
              <w:rPr>
                <w:color w:val="auto"/>
                <w:sz w:val="18"/>
                <w:szCs w:val="18"/>
              </w:rPr>
              <w:t>Evidence and substantiation quality</w:t>
            </w:r>
          </w:p>
        </w:tc>
        <w:tc>
          <w:tcPr>
            <w:tcW w:w="4739" w:type="dxa"/>
            <w:hideMark/>
          </w:tcPr>
          <w:p w14:paraId="1FB3E992"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How well the sustainability claims is backed by measurable, verifiable or documented information</w:t>
            </w:r>
          </w:p>
        </w:tc>
        <w:tc>
          <w:tcPr>
            <w:tcW w:w="3979" w:type="dxa"/>
            <w:hideMark/>
          </w:tcPr>
          <w:p w14:paraId="54143BFD"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Quantified targets; baseline data; percentages; dates; certifications; methodologies; KPIs; progress information</w:t>
            </w:r>
          </w:p>
        </w:tc>
        <w:tc>
          <w:tcPr>
            <w:tcW w:w="3979" w:type="dxa"/>
            <w:hideMark/>
          </w:tcPr>
          <w:p w14:paraId="274E2A5C"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ESG metrics, emissions information, waste data, certifications, target updates, and performance measures.</w:t>
            </w:r>
          </w:p>
        </w:tc>
        <w:tc>
          <w:tcPr>
            <w:tcW w:w="5085" w:type="dxa"/>
            <w:hideMark/>
          </w:tcPr>
          <w:p w14:paraId="7CBBCFE7"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More substantiation makes the claim look like it has more information and credibility, and unsupported claims could detract from credibility.</w:t>
            </w:r>
          </w:p>
        </w:tc>
      </w:tr>
      <w:tr w:rsidR="00EF6DA0" w:rsidRPr="002953D8" w14:paraId="13D2D29E" w14:textId="77777777" w:rsidTr="00DA766E">
        <w:tc>
          <w:tcPr>
            <w:cnfStyle w:val="001000000000" w:firstRow="0" w:lastRow="0" w:firstColumn="1" w:lastColumn="0" w:oddVBand="0" w:evenVBand="0" w:oddHBand="0" w:evenHBand="0" w:firstRowFirstColumn="0" w:firstRowLastColumn="0" w:lastRowFirstColumn="0" w:lastRowLastColumn="0"/>
            <w:tcW w:w="3098" w:type="dxa"/>
            <w:hideMark/>
          </w:tcPr>
          <w:p w14:paraId="153722B8" w14:textId="77777777" w:rsidR="00EF6DA0" w:rsidRPr="002953D8" w:rsidRDefault="00EF6DA0" w:rsidP="00127600">
            <w:pPr>
              <w:rPr>
                <w:color w:val="auto"/>
                <w:sz w:val="18"/>
                <w:szCs w:val="18"/>
              </w:rPr>
            </w:pPr>
            <w:r w:rsidRPr="002953D8">
              <w:rPr>
                <w:color w:val="auto"/>
                <w:sz w:val="18"/>
                <w:szCs w:val="18"/>
              </w:rPr>
              <w:t>Transparency</w:t>
            </w:r>
          </w:p>
        </w:tc>
        <w:tc>
          <w:tcPr>
            <w:tcW w:w="4739" w:type="dxa"/>
            <w:hideMark/>
          </w:tcPr>
          <w:p w14:paraId="7F3BA3FD"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Effectiveness of communication to give stakeholders the opportunity to assess sustainability commitments and reported performance</w:t>
            </w:r>
          </w:p>
        </w:tc>
        <w:tc>
          <w:tcPr>
            <w:tcW w:w="3979" w:type="dxa"/>
            <w:hideMark/>
          </w:tcPr>
          <w:p w14:paraId="2E0F1520"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Progress reporting; methodology; boundaries; limitations; missed targets; contextual information; supporting evidence</w:t>
            </w:r>
          </w:p>
        </w:tc>
        <w:tc>
          <w:tcPr>
            <w:tcW w:w="3979" w:type="dxa"/>
            <w:hideMark/>
          </w:tcPr>
          <w:p w14:paraId="13AA3BFA"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Annual reports, sustainability/ESG reports, detailed corporate webpages, explanations of progress and/or shortcomings</w:t>
            </w:r>
          </w:p>
        </w:tc>
        <w:tc>
          <w:tcPr>
            <w:tcW w:w="5085" w:type="dxa"/>
            <w:hideMark/>
          </w:tcPr>
          <w:p w14:paraId="04CBA703"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Disclosure that is balanced and evaluative can enhance credibility, selective or incomplete disclosure can raise credibility issues.</w:t>
            </w:r>
          </w:p>
        </w:tc>
      </w:tr>
      <w:tr w:rsidR="00EF6DA0" w:rsidRPr="002953D8" w14:paraId="0D26D192"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8" w:type="dxa"/>
            <w:hideMark/>
          </w:tcPr>
          <w:p w14:paraId="19E6B78A" w14:textId="77777777" w:rsidR="00EF6DA0" w:rsidRPr="002953D8" w:rsidRDefault="00EF6DA0" w:rsidP="00127600">
            <w:pPr>
              <w:rPr>
                <w:color w:val="auto"/>
                <w:sz w:val="18"/>
                <w:szCs w:val="18"/>
              </w:rPr>
            </w:pPr>
            <w:r w:rsidRPr="002953D8">
              <w:rPr>
                <w:color w:val="auto"/>
                <w:sz w:val="18"/>
                <w:szCs w:val="18"/>
              </w:rPr>
              <w:t>Cross-channel consistency</w:t>
            </w:r>
          </w:p>
        </w:tc>
        <w:tc>
          <w:tcPr>
            <w:tcW w:w="4739" w:type="dxa"/>
            <w:hideMark/>
          </w:tcPr>
          <w:p w14:paraId="431BEF31"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 xml:space="preserve">Alignment of sustainability messages across different means of communication within </w:t>
            </w:r>
            <w:proofErr w:type="spellStart"/>
            <w:r w:rsidRPr="002953D8">
              <w:rPr>
                <w:color w:val="auto"/>
                <w:sz w:val="18"/>
                <w:szCs w:val="18"/>
              </w:rPr>
              <w:t>organisations</w:t>
            </w:r>
            <w:proofErr w:type="spellEnd"/>
          </w:p>
        </w:tc>
        <w:tc>
          <w:tcPr>
            <w:tcW w:w="3979" w:type="dxa"/>
            <w:hideMark/>
          </w:tcPr>
          <w:p w14:paraId="21B3FE46"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Consistency in targets; terminology; dates; commitments; metrics and sustainability narratives across reports, websites and customer-facing messages</w:t>
            </w:r>
          </w:p>
        </w:tc>
        <w:tc>
          <w:tcPr>
            <w:tcW w:w="3979" w:type="dxa"/>
            <w:hideMark/>
          </w:tcPr>
          <w:p w14:paraId="112E843F"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Annual report, Plan A material, sustainability webpages, campaigns and customer-facing claims are compared annually.</w:t>
            </w:r>
          </w:p>
        </w:tc>
        <w:tc>
          <w:tcPr>
            <w:tcW w:w="5085" w:type="dxa"/>
            <w:hideMark/>
          </w:tcPr>
          <w:p w14:paraId="40941CEF"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Signal coherence would be enhanced by consistency of communication; if there are contradictions, either unexplained change or inconsistencies, then the credibility of the message might suffer.</w:t>
            </w:r>
          </w:p>
        </w:tc>
      </w:tr>
      <w:tr w:rsidR="00EF6DA0" w:rsidRPr="002953D8" w14:paraId="7907530C" w14:textId="77777777" w:rsidTr="00DA766E">
        <w:tc>
          <w:tcPr>
            <w:cnfStyle w:val="001000000000" w:firstRow="0" w:lastRow="0" w:firstColumn="1" w:lastColumn="0" w:oddVBand="0" w:evenVBand="0" w:oddHBand="0" w:evenHBand="0" w:firstRowFirstColumn="0" w:firstRowLastColumn="0" w:lastRowFirstColumn="0" w:lastRowLastColumn="0"/>
            <w:tcW w:w="3098" w:type="dxa"/>
          </w:tcPr>
          <w:p w14:paraId="2542923A" w14:textId="77777777" w:rsidR="00EF6DA0" w:rsidRPr="002953D8" w:rsidRDefault="00EF6DA0" w:rsidP="00127600">
            <w:pPr>
              <w:rPr>
                <w:sz w:val="18"/>
                <w:szCs w:val="18"/>
              </w:rPr>
            </w:pPr>
            <w:r w:rsidRPr="002953D8">
              <w:rPr>
                <w:color w:val="auto"/>
                <w:sz w:val="18"/>
                <w:szCs w:val="18"/>
              </w:rPr>
              <w:t>Communication credibility</w:t>
            </w:r>
          </w:p>
        </w:tc>
        <w:tc>
          <w:tcPr>
            <w:tcW w:w="4739" w:type="dxa"/>
          </w:tcPr>
          <w:p w14:paraId="05F079CA"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The overall credibility, reliability and trust in sustainability communication from features in the document.</w:t>
            </w:r>
          </w:p>
          <w:p w14:paraId="757CEF21"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sz w:val="18"/>
                <w:szCs w:val="18"/>
              </w:rPr>
            </w:pPr>
          </w:p>
        </w:tc>
        <w:tc>
          <w:tcPr>
            <w:tcW w:w="3979" w:type="dxa"/>
          </w:tcPr>
          <w:p w14:paraId="54EEC065"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Clarity and definite claims; tangible evidence; even communication; uniformity of communication.</w:t>
            </w:r>
          </w:p>
          <w:p w14:paraId="6657C2D3"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sz w:val="18"/>
                <w:szCs w:val="18"/>
              </w:rPr>
            </w:pPr>
          </w:p>
        </w:tc>
        <w:tc>
          <w:tcPr>
            <w:tcW w:w="3979" w:type="dxa"/>
          </w:tcPr>
          <w:p w14:paraId="4FD9F437"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Overall trends on claims, targets, metrics, methodologies, progress reporting, limits and consistency between various reports, websites and customer facing messaging.</w:t>
            </w:r>
          </w:p>
          <w:p w14:paraId="777ABA78"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sz w:val="18"/>
                <w:szCs w:val="18"/>
              </w:rPr>
            </w:pPr>
          </w:p>
        </w:tc>
        <w:tc>
          <w:tcPr>
            <w:tcW w:w="5085" w:type="dxa"/>
          </w:tcPr>
          <w:p w14:paraId="3A507B4A"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Communication is understood as more credible when it's clear, substantiated, transparent, and consistent. Strengths in these areas help to build trust in the sustainability signal, while weaknesses across these dimensions diminish the confidence in the sustainability signal.</w:t>
            </w:r>
          </w:p>
          <w:p w14:paraId="3C969CBA"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sz w:val="18"/>
                <w:szCs w:val="18"/>
              </w:rPr>
            </w:pPr>
          </w:p>
        </w:tc>
      </w:tr>
      <w:tr w:rsidR="00EF6DA0" w:rsidRPr="002953D8" w14:paraId="17433107"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8" w:type="dxa"/>
            <w:hideMark/>
          </w:tcPr>
          <w:p w14:paraId="2909FE81" w14:textId="77777777" w:rsidR="00EF6DA0" w:rsidRPr="002953D8" w:rsidRDefault="00EF6DA0" w:rsidP="00127600">
            <w:pPr>
              <w:rPr>
                <w:color w:val="auto"/>
                <w:sz w:val="18"/>
                <w:szCs w:val="18"/>
              </w:rPr>
            </w:pPr>
            <w:r w:rsidRPr="002953D8">
              <w:rPr>
                <w:color w:val="auto"/>
                <w:sz w:val="18"/>
                <w:szCs w:val="18"/>
              </w:rPr>
              <w:t>Authenticity signals</w:t>
            </w:r>
          </w:p>
        </w:tc>
        <w:tc>
          <w:tcPr>
            <w:tcW w:w="4739" w:type="dxa"/>
            <w:hideMark/>
          </w:tcPr>
          <w:p w14:paraId="7F755A2D"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 xml:space="preserve">Evidence that appears to support the sustainability claims in relation to other general </w:t>
            </w:r>
            <w:proofErr w:type="spellStart"/>
            <w:r w:rsidRPr="002953D8">
              <w:rPr>
                <w:color w:val="auto"/>
                <w:sz w:val="18"/>
                <w:szCs w:val="18"/>
              </w:rPr>
              <w:t>organisation</w:t>
            </w:r>
            <w:proofErr w:type="spellEnd"/>
            <w:r w:rsidRPr="002953D8">
              <w:rPr>
                <w:color w:val="auto"/>
                <w:sz w:val="18"/>
                <w:szCs w:val="18"/>
              </w:rPr>
              <w:t xml:space="preserve"> claims, evidence and reported activities are visible.</w:t>
            </w:r>
          </w:p>
        </w:tc>
        <w:tc>
          <w:tcPr>
            <w:tcW w:w="3979" w:type="dxa"/>
            <w:hideMark/>
          </w:tcPr>
          <w:p w14:paraId="54115CD8"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Continuity of commitments; long-term targets; evidence of implementation; alignment between claims, evidence and reported activities</w:t>
            </w:r>
          </w:p>
        </w:tc>
        <w:tc>
          <w:tcPr>
            <w:tcW w:w="3979" w:type="dxa"/>
            <w:hideMark/>
          </w:tcPr>
          <w:p w14:paraId="3923A4E8"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 xml:space="preserve">A series of repeated commitments with performance information, </w:t>
            </w:r>
            <w:proofErr w:type="spellStart"/>
            <w:r w:rsidRPr="002953D8">
              <w:rPr>
                <w:color w:val="auto"/>
                <w:sz w:val="18"/>
                <w:szCs w:val="18"/>
              </w:rPr>
              <w:t>programmes</w:t>
            </w:r>
            <w:proofErr w:type="spellEnd"/>
            <w:r w:rsidRPr="002953D8">
              <w:rPr>
                <w:color w:val="auto"/>
                <w:sz w:val="18"/>
                <w:szCs w:val="18"/>
              </w:rPr>
              <w:t xml:space="preserve">, initiatives and </w:t>
            </w:r>
            <w:proofErr w:type="spellStart"/>
            <w:r w:rsidRPr="002953D8">
              <w:rPr>
                <w:color w:val="auto"/>
                <w:sz w:val="18"/>
                <w:szCs w:val="18"/>
              </w:rPr>
              <w:t>organisational</w:t>
            </w:r>
            <w:proofErr w:type="spellEnd"/>
            <w:r w:rsidRPr="002953D8">
              <w:rPr>
                <w:color w:val="auto"/>
                <w:sz w:val="18"/>
                <w:szCs w:val="18"/>
              </w:rPr>
              <w:t xml:space="preserve"> actions.</w:t>
            </w:r>
          </w:p>
        </w:tc>
        <w:tc>
          <w:tcPr>
            <w:tcW w:w="5085" w:type="dxa"/>
            <w:hideMark/>
          </w:tcPr>
          <w:p w14:paraId="277A3B57"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When there is more congruence there are more likely to be higher levels of perceived authenticity and communication credibility; when there is less congruence, there are more likely to be lower levels of perceived authenticity and communication credibility.</w:t>
            </w:r>
          </w:p>
        </w:tc>
      </w:tr>
      <w:tr w:rsidR="00EF6DA0" w:rsidRPr="002953D8" w14:paraId="4005A425" w14:textId="77777777" w:rsidTr="00DA766E">
        <w:tc>
          <w:tcPr>
            <w:cnfStyle w:val="001000000000" w:firstRow="0" w:lastRow="0" w:firstColumn="1" w:lastColumn="0" w:oddVBand="0" w:evenVBand="0" w:oddHBand="0" w:evenHBand="0" w:firstRowFirstColumn="0" w:firstRowLastColumn="0" w:lastRowFirstColumn="0" w:lastRowLastColumn="0"/>
            <w:tcW w:w="3098" w:type="dxa"/>
            <w:hideMark/>
          </w:tcPr>
          <w:p w14:paraId="07BCAAC5" w14:textId="77777777" w:rsidR="00EF6DA0" w:rsidRPr="002953D8" w:rsidRDefault="00EF6DA0" w:rsidP="00127600">
            <w:pPr>
              <w:rPr>
                <w:color w:val="auto"/>
                <w:sz w:val="18"/>
                <w:szCs w:val="18"/>
              </w:rPr>
            </w:pPr>
            <w:r w:rsidRPr="002953D8">
              <w:rPr>
                <w:color w:val="auto"/>
                <w:sz w:val="18"/>
                <w:szCs w:val="18"/>
              </w:rPr>
              <w:t>Greenwashing risk</w:t>
            </w:r>
          </w:p>
        </w:tc>
        <w:tc>
          <w:tcPr>
            <w:tcW w:w="4739" w:type="dxa"/>
            <w:hideMark/>
          </w:tcPr>
          <w:p w14:paraId="6BEFF725"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Communication attributes which may make an environmental impression greater than supporting evidence.</w:t>
            </w:r>
          </w:p>
        </w:tc>
        <w:tc>
          <w:tcPr>
            <w:tcW w:w="3979" w:type="dxa"/>
            <w:hideMark/>
          </w:tcPr>
          <w:p w14:paraId="6FE92D64"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Vague terminology; exaggerated language; unsupported comparisons; selective disclosure; omission; insufficient evidence; inconsistency</w:t>
            </w:r>
          </w:p>
        </w:tc>
        <w:tc>
          <w:tcPr>
            <w:tcW w:w="3979" w:type="dxa"/>
            <w:hideMark/>
          </w:tcPr>
          <w:p w14:paraId="5F7F4558"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Environmental-superiority statements that are not accompanied by details such as metrics, definitions, boundaries or supporting information.</w:t>
            </w:r>
          </w:p>
        </w:tc>
        <w:tc>
          <w:tcPr>
            <w:tcW w:w="5085" w:type="dxa"/>
            <w:hideMark/>
          </w:tcPr>
          <w:p w14:paraId="30943017"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The higher the difference in the strength of the sustainability claim and evidence supporting it, the higher the potential risk of greenwashing.</w:t>
            </w:r>
          </w:p>
        </w:tc>
      </w:tr>
      <w:tr w:rsidR="00EF6DA0" w:rsidRPr="002953D8" w14:paraId="4C868170"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8" w:type="dxa"/>
            <w:hideMark/>
          </w:tcPr>
          <w:p w14:paraId="3376E55A" w14:textId="77777777" w:rsidR="00EF6DA0" w:rsidRPr="002953D8" w:rsidRDefault="00EF6DA0" w:rsidP="00127600">
            <w:pPr>
              <w:rPr>
                <w:color w:val="auto"/>
                <w:sz w:val="18"/>
                <w:szCs w:val="18"/>
              </w:rPr>
            </w:pPr>
            <w:r w:rsidRPr="002953D8">
              <w:rPr>
                <w:color w:val="auto"/>
                <w:sz w:val="18"/>
                <w:szCs w:val="18"/>
              </w:rPr>
              <w:t>Cross-case comparison</w:t>
            </w:r>
          </w:p>
        </w:tc>
        <w:tc>
          <w:tcPr>
            <w:tcW w:w="4739" w:type="dxa"/>
            <w:hideMark/>
          </w:tcPr>
          <w:p w14:paraId="7349733A"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 xml:space="preserve">Comparisons, both within and between the two groups of cases (M&amp;S as the focal case and Tesco, </w:t>
            </w:r>
            <w:proofErr w:type="spellStart"/>
            <w:r w:rsidRPr="002953D8">
              <w:rPr>
                <w:color w:val="auto"/>
                <w:sz w:val="18"/>
                <w:szCs w:val="18"/>
              </w:rPr>
              <w:t>Asda</w:t>
            </w:r>
            <w:proofErr w:type="spellEnd"/>
            <w:r w:rsidRPr="002953D8">
              <w:rPr>
                <w:color w:val="auto"/>
                <w:sz w:val="18"/>
                <w:szCs w:val="18"/>
              </w:rPr>
              <w:t xml:space="preserve">, </w:t>
            </w:r>
            <w:proofErr w:type="spellStart"/>
            <w:r w:rsidRPr="002953D8">
              <w:rPr>
                <w:color w:val="auto"/>
                <w:sz w:val="18"/>
                <w:szCs w:val="18"/>
              </w:rPr>
              <w:t>Morrisons</w:t>
            </w:r>
            <w:proofErr w:type="spellEnd"/>
            <w:r w:rsidRPr="002953D8">
              <w:rPr>
                <w:color w:val="auto"/>
                <w:sz w:val="18"/>
                <w:szCs w:val="18"/>
              </w:rPr>
              <w:t xml:space="preserve"> and Sainsbury's as comparator cases), of sustainability communication and credibility characteristics in terms of systematics.</w:t>
            </w:r>
          </w:p>
        </w:tc>
        <w:tc>
          <w:tcPr>
            <w:tcW w:w="3979" w:type="dxa"/>
            <w:hideMark/>
          </w:tcPr>
          <w:p w14:paraId="63D6677D"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Similarities and differences in claim clarity, substantiation, transparency, cross-channel consistency, authenticity signals and greenwashing risk</w:t>
            </w:r>
          </w:p>
        </w:tc>
        <w:tc>
          <w:tcPr>
            <w:tcW w:w="3979" w:type="dxa"/>
            <w:hideMark/>
          </w:tcPr>
          <w:p w14:paraId="334D0426"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Similar claims, targets, the terms, evidence, reporting and communicating with customers in the five retailers.</w:t>
            </w:r>
          </w:p>
        </w:tc>
        <w:tc>
          <w:tcPr>
            <w:tcW w:w="5085" w:type="dxa"/>
            <w:hideMark/>
          </w:tcPr>
          <w:p w14:paraId="2CA4E233"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proofErr w:type="spellStart"/>
            <w:r w:rsidRPr="002953D8">
              <w:rPr>
                <w:color w:val="auto"/>
                <w:sz w:val="18"/>
                <w:szCs w:val="18"/>
              </w:rPr>
              <w:t>Recognises</w:t>
            </w:r>
            <w:proofErr w:type="spellEnd"/>
            <w:r w:rsidRPr="002953D8">
              <w:rPr>
                <w:color w:val="auto"/>
                <w:sz w:val="18"/>
                <w:szCs w:val="18"/>
              </w:rPr>
              <w:t xml:space="preserve"> where there are similarities and differences in M&amp;S communication with comparator cases. Comparison is about the communication characteristics and does not make an assumption about the similarity of the business models of retailers or environmental performance.</w:t>
            </w:r>
          </w:p>
        </w:tc>
      </w:tr>
      <w:tr w:rsidR="00EF6DA0" w:rsidRPr="002953D8" w14:paraId="4F596DF1" w14:textId="77777777" w:rsidTr="00DA766E">
        <w:tc>
          <w:tcPr>
            <w:cnfStyle w:val="001000000000" w:firstRow="0" w:lastRow="0" w:firstColumn="1" w:lastColumn="0" w:oddVBand="0" w:evenVBand="0" w:oddHBand="0" w:evenHBand="0" w:firstRowFirstColumn="0" w:firstRowLastColumn="0" w:lastRowFirstColumn="0" w:lastRowLastColumn="0"/>
            <w:tcW w:w="3098" w:type="dxa"/>
            <w:hideMark/>
          </w:tcPr>
          <w:p w14:paraId="5F208764" w14:textId="77777777" w:rsidR="00EF6DA0" w:rsidRPr="002953D8" w:rsidRDefault="00EF6DA0" w:rsidP="00127600">
            <w:pPr>
              <w:rPr>
                <w:color w:val="auto"/>
                <w:sz w:val="18"/>
                <w:szCs w:val="18"/>
              </w:rPr>
            </w:pPr>
            <w:r w:rsidRPr="002953D8">
              <w:rPr>
                <w:color w:val="auto"/>
                <w:sz w:val="18"/>
                <w:szCs w:val="18"/>
              </w:rPr>
              <w:t>Potential brand-trust implications</w:t>
            </w:r>
          </w:p>
        </w:tc>
        <w:tc>
          <w:tcPr>
            <w:tcW w:w="4739" w:type="dxa"/>
            <w:hideMark/>
          </w:tcPr>
          <w:p w14:paraId="7DF70222"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The theoretically derived degree of credibility that observed sustainability communication characteristics can include to help or hinder brand trust.</w:t>
            </w:r>
          </w:p>
        </w:tc>
        <w:tc>
          <w:tcPr>
            <w:tcW w:w="3979" w:type="dxa"/>
            <w:hideMark/>
          </w:tcPr>
          <w:p w14:paraId="0819C765"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Clear, specific, substantiated, transparent and consistent communication versus vague, weakly evidenced, selective or inconsistent communication</w:t>
            </w:r>
          </w:p>
        </w:tc>
        <w:tc>
          <w:tcPr>
            <w:tcW w:w="3979" w:type="dxa"/>
            <w:hideMark/>
          </w:tcPr>
          <w:p w14:paraId="600316AD"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The overall pattern is emerging across the breadth of clarity, substantiation, transparency, consistency across channels, authenticity and risk of greenwashing.</w:t>
            </w:r>
          </w:p>
        </w:tc>
        <w:tc>
          <w:tcPr>
            <w:tcW w:w="5085" w:type="dxa"/>
            <w:hideMark/>
          </w:tcPr>
          <w:p w14:paraId="7189D265"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Communication traits are considered as trust-supporting or trust-eroding. They are not seen as direct evidence or the actual amount of consumer brand trust.</w:t>
            </w:r>
          </w:p>
        </w:tc>
      </w:tr>
    </w:tbl>
    <w:p w14:paraId="34DB9D21" w14:textId="77777777" w:rsidR="00EF6DA0" w:rsidRDefault="00EF6DA0" w:rsidP="00EF6DA0"/>
    <w:p w14:paraId="4F11AA66" w14:textId="2416899A" w:rsidR="00EF6DA0" w:rsidRDefault="00EF6DA0" w:rsidP="00EF6DA0">
      <w:pPr>
        <w:pStyle w:val="Heading2"/>
      </w:pPr>
      <w:bookmarkStart w:id="188" w:name="_Toc237232101"/>
      <w:bookmarkStart w:id="189" w:name="_Toc239795106"/>
      <w:r w:rsidRPr="00953B6C">
        <w:lastRenderedPageBreak/>
        <w:t xml:space="preserve">Appendix </w:t>
      </w:r>
      <w:r>
        <w:t>C</w:t>
      </w:r>
      <w:r w:rsidRPr="00953B6C">
        <w:t>: Cross-Case Analytical Findings Matrix</w:t>
      </w:r>
      <w:bookmarkEnd w:id="188"/>
      <w:bookmarkEnd w:id="189"/>
    </w:p>
    <w:p w14:paraId="0E66B61E" w14:textId="0DB35989" w:rsidR="00AB4680" w:rsidRDefault="00AB4680" w:rsidP="00AB4680">
      <w:pPr>
        <w:pStyle w:val="Caption"/>
        <w:keepNext/>
      </w:pPr>
      <w:bookmarkStart w:id="190" w:name="_Toc239794901"/>
      <w:r>
        <w:t xml:space="preserve">Table </w:t>
      </w:r>
      <w:r>
        <w:fldChar w:fldCharType="begin"/>
      </w:r>
      <w:r>
        <w:instrText xml:space="preserve"> SEQ Table \* ARABIC </w:instrText>
      </w:r>
      <w:r>
        <w:fldChar w:fldCharType="separate"/>
      </w:r>
      <w:r>
        <w:rPr>
          <w:noProof/>
        </w:rPr>
        <w:t>9</w:t>
      </w:r>
      <w:r>
        <w:rPr>
          <w:noProof/>
        </w:rPr>
        <w:fldChar w:fldCharType="end"/>
      </w:r>
      <w:r>
        <w:t xml:space="preserve">: </w:t>
      </w:r>
      <w:r w:rsidRPr="00270315">
        <w:t>Cross-Case Analytical Findings Matrix</w:t>
      </w:r>
      <w:bookmarkEnd w:id="190"/>
    </w:p>
    <w:tbl>
      <w:tblPr>
        <w:tblStyle w:val="GridTable6ColourfulAccent1"/>
        <w:tblW w:w="20880" w:type="dxa"/>
        <w:tblInd w:w="-5" w:type="dxa"/>
        <w:tblLook w:val="04A0" w:firstRow="1" w:lastRow="0" w:firstColumn="1" w:lastColumn="0" w:noHBand="0" w:noVBand="1"/>
      </w:tblPr>
      <w:tblGrid>
        <w:gridCol w:w="1430"/>
        <w:gridCol w:w="2923"/>
        <w:gridCol w:w="5100"/>
        <w:gridCol w:w="4938"/>
        <w:gridCol w:w="6489"/>
      </w:tblGrid>
      <w:tr w:rsidR="00EF6DA0" w:rsidRPr="00953B6C" w14:paraId="38EBEEC3" w14:textId="77777777" w:rsidTr="00AB46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0" w:type="dxa"/>
            <w:hideMark/>
          </w:tcPr>
          <w:p w14:paraId="73C2F766" w14:textId="77777777" w:rsidR="00EF6DA0" w:rsidRPr="00953B6C" w:rsidRDefault="00EF6DA0" w:rsidP="00127600">
            <w:pPr>
              <w:rPr>
                <w:color w:val="auto"/>
              </w:rPr>
            </w:pPr>
            <w:r w:rsidRPr="00953B6C">
              <w:rPr>
                <w:color w:val="auto"/>
              </w:rPr>
              <w:t>Retailer</w:t>
            </w:r>
          </w:p>
        </w:tc>
        <w:tc>
          <w:tcPr>
            <w:tcW w:w="2923" w:type="dxa"/>
            <w:hideMark/>
          </w:tcPr>
          <w:p w14:paraId="199A0263" w14:textId="77777777" w:rsidR="00EF6DA0" w:rsidRPr="00953B6C" w:rsidRDefault="00EF6DA0" w:rsidP="00127600">
            <w:pPr>
              <w:cnfStyle w:val="100000000000" w:firstRow="1" w:lastRow="0" w:firstColumn="0" w:lastColumn="0" w:oddVBand="0" w:evenVBand="0" w:oddHBand="0" w:evenHBand="0" w:firstRowFirstColumn="0" w:firstRowLastColumn="0" w:lastRowFirstColumn="0" w:lastRowLastColumn="0"/>
              <w:rPr>
                <w:color w:val="auto"/>
              </w:rPr>
            </w:pPr>
            <w:r w:rsidRPr="00953B6C">
              <w:rPr>
                <w:color w:val="auto"/>
              </w:rPr>
              <w:t>Claim Clarity</w:t>
            </w:r>
          </w:p>
        </w:tc>
        <w:tc>
          <w:tcPr>
            <w:tcW w:w="5100" w:type="dxa"/>
            <w:hideMark/>
          </w:tcPr>
          <w:p w14:paraId="445A4D08" w14:textId="77777777" w:rsidR="00EF6DA0" w:rsidRPr="00953B6C" w:rsidRDefault="00EF6DA0" w:rsidP="00127600">
            <w:pPr>
              <w:cnfStyle w:val="100000000000" w:firstRow="1" w:lastRow="0" w:firstColumn="0" w:lastColumn="0" w:oddVBand="0" w:evenVBand="0" w:oddHBand="0" w:evenHBand="0" w:firstRowFirstColumn="0" w:firstRowLastColumn="0" w:lastRowFirstColumn="0" w:lastRowLastColumn="0"/>
              <w:rPr>
                <w:color w:val="auto"/>
              </w:rPr>
            </w:pPr>
            <w:r w:rsidRPr="00953B6C">
              <w:rPr>
                <w:color w:val="auto"/>
              </w:rPr>
              <w:t>Evidence / Substantiation</w:t>
            </w:r>
          </w:p>
        </w:tc>
        <w:tc>
          <w:tcPr>
            <w:tcW w:w="4938" w:type="dxa"/>
            <w:hideMark/>
          </w:tcPr>
          <w:p w14:paraId="574A072B" w14:textId="77777777" w:rsidR="00EF6DA0" w:rsidRPr="00953B6C" w:rsidRDefault="00EF6DA0" w:rsidP="00127600">
            <w:pPr>
              <w:cnfStyle w:val="100000000000" w:firstRow="1" w:lastRow="0" w:firstColumn="0" w:lastColumn="0" w:oddVBand="0" w:evenVBand="0" w:oddHBand="0" w:evenHBand="0" w:firstRowFirstColumn="0" w:firstRowLastColumn="0" w:lastRowFirstColumn="0" w:lastRowLastColumn="0"/>
              <w:rPr>
                <w:color w:val="auto"/>
              </w:rPr>
            </w:pPr>
            <w:r w:rsidRPr="00953B6C">
              <w:rPr>
                <w:color w:val="auto"/>
              </w:rPr>
              <w:t>Transparency / Consistency</w:t>
            </w:r>
          </w:p>
        </w:tc>
        <w:tc>
          <w:tcPr>
            <w:tcW w:w="6489" w:type="dxa"/>
            <w:hideMark/>
          </w:tcPr>
          <w:p w14:paraId="4E01DF9A" w14:textId="77777777" w:rsidR="00EF6DA0" w:rsidRPr="00953B6C" w:rsidRDefault="00EF6DA0" w:rsidP="00127600">
            <w:pPr>
              <w:cnfStyle w:val="100000000000" w:firstRow="1" w:lastRow="0" w:firstColumn="0" w:lastColumn="0" w:oddVBand="0" w:evenVBand="0" w:oddHBand="0" w:evenHBand="0" w:firstRowFirstColumn="0" w:firstRowLastColumn="0" w:lastRowFirstColumn="0" w:lastRowLastColumn="0"/>
              <w:rPr>
                <w:color w:val="auto"/>
              </w:rPr>
            </w:pPr>
            <w:r w:rsidRPr="00953B6C">
              <w:rPr>
                <w:color w:val="auto"/>
              </w:rPr>
              <w:t>Overall Interpretation</w:t>
            </w:r>
          </w:p>
        </w:tc>
      </w:tr>
      <w:tr w:rsidR="00EF6DA0" w:rsidRPr="00953B6C" w14:paraId="37BD97B4" w14:textId="77777777" w:rsidTr="00AB4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0" w:type="dxa"/>
            <w:hideMark/>
          </w:tcPr>
          <w:p w14:paraId="4E33842F" w14:textId="77777777" w:rsidR="00EF6DA0" w:rsidRPr="00953B6C" w:rsidRDefault="00EF6DA0" w:rsidP="00127600">
            <w:pPr>
              <w:rPr>
                <w:color w:val="auto"/>
              </w:rPr>
            </w:pPr>
            <w:r w:rsidRPr="00953B6C">
              <w:rPr>
                <w:color w:val="auto"/>
              </w:rPr>
              <w:t>M&amp;S</w:t>
            </w:r>
          </w:p>
        </w:tc>
        <w:tc>
          <w:tcPr>
            <w:tcW w:w="2923" w:type="dxa"/>
            <w:hideMark/>
          </w:tcPr>
          <w:p w14:paraId="2962D4A5" w14:textId="77777777" w:rsidR="00EF6DA0" w:rsidRPr="00953B6C"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sidRPr="00953B6C">
              <w:rPr>
                <w:color w:val="auto"/>
              </w:rPr>
              <w:t>Clear Plan A targets, baselines and timeframes</w:t>
            </w:r>
          </w:p>
        </w:tc>
        <w:tc>
          <w:tcPr>
            <w:tcW w:w="5100" w:type="dxa"/>
            <w:hideMark/>
          </w:tcPr>
          <w:p w14:paraId="4F84820D" w14:textId="77777777" w:rsidR="00EF6DA0" w:rsidRPr="00953B6C"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sidRPr="0040006E">
              <w:rPr>
                <w:color w:val="auto"/>
              </w:rPr>
              <w:t>Strong KPI reporting and Basis of Reporting</w:t>
            </w:r>
          </w:p>
        </w:tc>
        <w:tc>
          <w:tcPr>
            <w:tcW w:w="4938" w:type="dxa"/>
            <w:hideMark/>
          </w:tcPr>
          <w:p w14:paraId="297E0AD6" w14:textId="77777777" w:rsidR="00EF6DA0" w:rsidRPr="00953B6C"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sidRPr="0040006E">
              <w:rPr>
                <w:color w:val="auto"/>
              </w:rPr>
              <w:t>Reports achievements and shortfalls across key areas</w:t>
            </w:r>
          </w:p>
        </w:tc>
        <w:tc>
          <w:tcPr>
            <w:tcW w:w="6489" w:type="dxa"/>
            <w:hideMark/>
          </w:tcPr>
          <w:p w14:paraId="63726C9C" w14:textId="77777777" w:rsidR="00EF6DA0" w:rsidRPr="00953B6C"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sidRPr="0040006E">
              <w:rPr>
                <w:color w:val="auto"/>
              </w:rPr>
              <w:t>While food-waste and recyclability targets are still missing, there is strong credibility signals.</w:t>
            </w:r>
          </w:p>
        </w:tc>
      </w:tr>
      <w:tr w:rsidR="00EF6DA0" w:rsidRPr="00953B6C" w14:paraId="009B4F35" w14:textId="77777777" w:rsidTr="00AB4680">
        <w:tc>
          <w:tcPr>
            <w:cnfStyle w:val="001000000000" w:firstRow="0" w:lastRow="0" w:firstColumn="1" w:lastColumn="0" w:oddVBand="0" w:evenVBand="0" w:oddHBand="0" w:evenHBand="0" w:firstRowFirstColumn="0" w:firstRowLastColumn="0" w:lastRowFirstColumn="0" w:lastRowLastColumn="0"/>
            <w:tcW w:w="1430" w:type="dxa"/>
            <w:hideMark/>
          </w:tcPr>
          <w:p w14:paraId="7F71B7F7" w14:textId="77777777" w:rsidR="00EF6DA0" w:rsidRPr="00953B6C" w:rsidRDefault="00EF6DA0" w:rsidP="00127600">
            <w:pPr>
              <w:rPr>
                <w:color w:val="auto"/>
              </w:rPr>
            </w:pPr>
            <w:r w:rsidRPr="00953B6C">
              <w:rPr>
                <w:color w:val="auto"/>
              </w:rPr>
              <w:t>Tesco</w:t>
            </w:r>
          </w:p>
        </w:tc>
        <w:tc>
          <w:tcPr>
            <w:tcW w:w="2923" w:type="dxa"/>
            <w:hideMark/>
          </w:tcPr>
          <w:p w14:paraId="48AB8E4B" w14:textId="77777777" w:rsidR="00EF6DA0" w:rsidRPr="00953B6C" w:rsidRDefault="00EF6DA0" w:rsidP="00127600">
            <w:pPr>
              <w:cnfStyle w:val="000000000000" w:firstRow="0" w:lastRow="0" w:firstColumn="0" w:lastColumn="0" w:oddVBand="0" w:evenVBand="0" w:oddHBand="0" w:evenHBand="0" w:firstRowFirstColumn="0" w:firstRowLastColumn="0" w:lastRowFirstColumn="0" w:lastRowLastColumn="0"/>
              <w:rPr>
                <w:color w:val="auto"/>
              </w:rPr>
            </w:pPr>
            <w:r w:rsidRPr="00953B6C">
              <w:rPr>
                <w:color w:val="auto"/>
              </w:rPr>
              <w:t>Clear environmental pillars and measurable targets</w:t>
            </w:r>
          </w:p>
        </w:tc>
        <w:tc>
          <w:tcPr>
            <w:tcW w:w="5100" w:type="dxa"/>
            <w:hideMark/>
          </w:tcPr>
          <w:p w14:paraId="787EADFB" w14:textId="77777777" w:rsidR="00EF6DA0" w:rsidRPr="00953B6C" w:rsidRDefault="00EF6DA0" w:rsidP="00127600">
            <w:pPr>
              <w:cnfStyle w:val="000000000000" w:firstRow="0" w:lastRow="0" w:firstColumn="0" w:lastColumn="0" w:oddVBand="0" w:evenVBand="0" w:oddHBand="0" w:evenHBand="0" w:firstRowFirstColumn="0" w:firstRowLastColumn="0" w:lastRowFirstColumn="0" w:lastRowLastColumn="0"/>
              <w:rPr>
                <w:color w:val="auto"/>
              </w:rPr>
            </w:pPr>
            <w:r w:rsidRPr="0040006E">
              <w:rPr>
                <w:color w:val="auto"/>
              </w:rPr>
              <w:t>Strong baselines, progress data and performance reporting</w:t>
            </w:r>
          </w:p>
        </w:tc>
        <w:tc>
          <w:tcPr>
            <w:tcW w:w="4938" w:type="dxa"/>
            <w:hideMark/>
          </w:tcPr>
          <w:p w14:paraId="2EE5751D" w14:textId="77777777" w:rsidR="00EF6DA0" w:rsidRPr="00953B6C" w:rsidRDefault="00EF6DA0" w:rsidP="00127600">
            <w:pPr>
              <w:cnfStyle w:val="000000000000" w:firstRow="0" w:lastRow="0" w:firstColumn="0" w:lastColumn="0" w:oddVBand="0" w:evenVBand="0" w:oddHBand="0" w:evenHBand="0" w:firstRowFirstColumn="0" w:firstRowLastColumn="0" w:lastRowFirstColumn="0" w:lastRowLastColumn="0"/>
              <w:rPr>
                <w:color w:val="auto"/>
              </w:rPr>
            </w:pPr>
            <w:r w:rsidRPr="0040006E">
              <w:rPr>
                <w:color w:val="auto"/>
              </w:rPr>
              <w:t>High transparency, including food-waste underperformance and data issues</w:t>
            </w:r>
          </w:p>
        </w:tc>
        <w:tc>
          <w:tcPr>
            <w:tcW w:w="6489" w:type="dxa"/>
            <w:hideMark/>
          </w:tcPr>
          <w:p w14:paraId="33CAA7FC" w14:textId="77777777" w:rsidR="00EF6DA0" w:rsidRPr="00953B6C" w:rsidRDefault="00EF6DA0" w:rsidP="00127600">
            <w:pPr>
              <w:cnfStyle w:val="000000000000" w:firstRow="0" w:lastRow="0" w:firstColumn="0" w:lastColumn="0" w:oddVBand="0" w:evenVBand="0" w:oddHBand="0" w:evenHBand="0" w:firstRowFirstColumn="0" w:firstRowLastColumn="0" w:lastRowFirstColumn="0" w:lastRowLastColumn="0"/>
              <w:rPr>
                <w:color w:val="auto"/>
              </w:rPr>
            </w:pPr>
            <w:r w:rsidRPr="0040006E">
              <w:rPr>
                <w:color w:val="auto"/>
              </w:rPr>
              <w:t>While there is good evidence, there are gaps in performance that are apparent.</w:t>
            </w:r>
          </w:p>
        </w:tc>
      </w:tr>
      <w:tr w:rsidR="00EF6DA0" w:rsidRPr="00953B6C" w14:paraId="1E38C725" w14:textId="77777777" w:rsidTr="00AB4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0" w:type="dxa"/>
            <w:hideMark/>
          </w:tcPr>
          <w:p w14:paraId="613A63DE" w14:textId="77777777" w:rsidR="00EF6DA0" w:rsidRPr="00953B6C" w:rsidRDefault="00EF6DA0" w:rsidP="00127600">
            <w:pPr>
              <w:rPr>
                <w:color w:val="auto"/>
              </w:rPr>
            </w:pPr>
            <w:proofErr w:type="spellStart"/>
            <w:r w:rsidRPr="00953B6C">
              <w:rPr>
                <w:color w:val="auto"/>
              </w:rPr>
              <w:t>Asda</w:t>
            </w:r>
            <w:proofErr w:type="spellEnd"/>
          </w:p>
        </w:tc>
        <w:tc>
          <w:tcPr>
            <w:tcW w:w="2923" w:type="dxa"/>
            <w:hideMark/>
          </w:tcPr>
          <w:p w14:paraId="18161DA9" w14:textId="77777777" w:rsidR="00EF6DA0" w:rsidRPr="00953B6C"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sidRPr="00953B6C">
              <w:rPr>
                <w:color w:val="auto"/>
              </w:rPr>
              <w:t>Clear examples</w:t>
            </w:r>
            <w:r>
              <w:rPr>
                <w:color w:val="auto"/>
              </w:rPr>
              <w:t xml:space="preserve"> at </w:t>
            </w:r>
            <w:r w:rsidRPr="00953B6C">
              <w:rPr>
                <w:color w:val="auto"/>
              </w:rPr>
              <w:t xml:space="preserve">operational and product-level </w:t>
            </w:r>
          </w:p>
        </w:tc>
        <w:tc>
          <w:tcPr>
            <w:tcW w:w="5100" w:type="dxa"/>
            <w:hideMark/>
          </w:tcPr>
          <w:p w14:paraId="237C8B74" w14:textId="77777777" w:rsidR="00EF6DA0" w:rsidRPr="00953B6C"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sidRPr="0040006E">
              <w:rPr>
                <w:color w:val="auto"/>
              </w:rPr>
              <w:t>Quantified carbon, packaging and certification evidence</w:t>
            </w:r>
          </w:p>
        </w:tc>
        <w:tc>
          <w:tcPr>
            <w:tcW w:w="4938" w:type="dxa"/>
            <w:hideMark/>
          </w:tcPr>
          <w:p w14:paraId="7BFE974F" w14:textId="77777777" w:rsidR="00EF6DA0" w:rsidRPr="00953B6C"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Pr>
                <w:color w:val="auto"/>
              </w:rPr>
              <w:t>Poor</w:t>
            </w:r>
            <w:r w:rsidRPr="0040006E">
              <w:rPr>
                <w:color w:val="auto"/>
              </w:rPr>
              <w:t xml:space="preserve"> </w:t>
            </w:r>
            <w:r>
              <w:rPr>
                <w:color w:val="auto"/>
              </w:rPr>
              <w:t>cross-</w:t>
            </w:r>
            <w:r w:rsidRPr="0040006E">
              <w:rPr>
                <w:color w:val="auto"/>
              </w:rPr>
              <w:t>channel comparability and distinguishability of any underperformances</w:t>
            </w:r>
          </w:p>
        </w:tc>
        <w:tc>
          <w:tcPr>
            <w:tcW w:w="6489" w:type="dxa"/>
            <w:hideMark/>
          </w:tcPr>
          <w:p w14:paraId="70FFBE69" w14:textId="77777777" w:rsidR="00EF6DA0" w:rsidRPr="00953B6C"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Pr>
                <w:color w:val="auto"/>
              </w:rPr>
              <w:t>Reliable</w:t>
            </w:r>
            <w:r w:rsidRPr="0040006E">
              <w:rPr>
                <w:color w:val="auto"/>
              </w:rPr>
              <w:t xml:space="preserve"> </w:t>
            </w:r>
            <w:r>
              <w:rPr>
                <w:color w:val="auto"/>
              </w:rPr>
              <w:t>initiatives</w:t>
            </w:r>
            <w:r w:rsidRPr="0040006E">
              <w:rPr>
                <w:color w:val="auto"/>
              </w:rPr>
              <w:t>,</w:t>
            </w:r>
            <w:r>
              <w:rPr>
                <w:color w:val="auto"/>
              </w:rPr>
              <w:t xml:space="preserve"> but</w:t>
            </w:r>
            <w:r w:rsidRPr="0040006E">
              <w:rPr>
                <w:color w:val="auto"/>
              </w:rPr>
              <w:t xml:space="preserve"> </w:t>
            </w:r>
            <w:r>
              <w:rPr>
                <w:color w:val="auto"/>
              </w:rPr>
              <w:t>unb</w:t>
            </w:r>
            <w:r w:rsidRPr="0040006E">
              <w:rPr>
                <w:color w:val="auto"/>
              </w:rPr>
              <w:t xml:space="preserve">alanced </w:t>
            </w:r>
            <w:r>
              <w:rPr>
                <w:color w:val="auto"/>
              </w:rPr>
              <w:t>performance evidence</w:t>
            </w:r>
          </w:p>
        </w:tc>
      </w:tr>
      <w:tr w:rsidR="00EF6DA0" w:rsidRPr="00953B6C" w14:paraId="6D8A9C29" w14:textId="77777777" w:rsidTr="00AB4680">
        <w:tc>
          <w:tcPr>
            <w:cnfStyle w:val="001000000000" w:firstRow="0" w:lastRow="0" w:firstColumn="1" w:lastColumn="0" w:oddVBand="0" w:evenVBand="0" w:oddHBand="0" w:evenHBand="0" w:firstRowFirstColumn="0" w:firstRowLastColumn="0" w:lastRowFirstColumn="0" w:lastRowLastColumn="0"/>
            <w:tcW w:w="1430" w:type="dxa"/>
            <w:hideMark/>
          </w:tcPr>
          <w:p w14:paraId="033C99CE" w14:textId="77777777" w:rsidR="00EF6DA0" w:rsidRPr="00953B6C" w:rsidRDefault="00EF6DA0" w:rsidP="00127600">
            <w:pPr>
              <w:rPr>
                <w:color w:val="auto"/>
              </w:rPr>
            </w:pPr>
            <w:proofErr w:type="spellStart"/>
            <w:r w:rsidRPr="00953B6C">
              <w:rPr>
                <w:color w:val="auto"/>
              </w:rPr>
              <w:t>Morrisons</w:t>
            </w:r>
            <w:proofErr w:type="spellEnd"/>
          </w:p>
        </w:tc>
        <w:tc>
          <w:tcPr>
            <w:tcW w:w="2923" w:type="dxa"/>
            <w:hideMark/>
          </w:tcPr>
          <w:p w14:paraId="46E532A0" w14:textId="77777777" w:rsidR="00EF6DA0" w:rsidRPr="00953B6C" w:rsidRDefault="00EF6DA0" w:rsidP="00127600">
            <w:pPr>
              <w:cnfStyle w:val="000000000000" w:firstRow="0" w:lastRow="0" w:firstColumn="0" w:lastColumn="0" w:oddVBand="0" w:evenVBand="0" w:oddHBand="0" w:evenHBand="0" w:firstRowFirstColumn="0" w:firstRowLastColumn="0" w:lastRowFirstColumn="0" w:lastRowLastColumn="0"/>
              <w:rPr>
                <w:color w:val="auto"/>
              </w:rPr>
            </w:pPr>
            <w:r w:rsidRPr="00953B6C">
              <w:rPr>
                <w:color w:val="auto"/>
              </w:rPr>
              <w:t>Clear Sustain commitments and targets</w:t>
            </w:r>
          </w:p>
        </w:tc>
        <w:tc>
          <w:tcPr>
            <w:tcW w:w="5100" w:type="dxa"/>
            <w:hideMark/>
          </w:tcPr>
          <w:p w14:paraId="61D40635" w14:textId="77777777" w:rsidR="00EF6DA0" w:rsidRPr="00953B6C" w:rsidRDefault="00EF6DA0" w:rsidP="00127600">
            <w:pPr>
              <w:cnfStyle w:val="000000000000" w:firstRow="0" w:lastRow="0" w:firstColumn="0" w:lastColumn="0" w:oddVBand="0" w:evenVBand="0" w:oddHBand="0" w:evenHBand="0" w:firstRowFirstColumn="0" w:firstRowLastColumn="0" w:lastRowFirstColumn="0" w:lastRowLastColumn="0"/>
              <w:rPr>
                <w:color w:val="auto"/>
              </w:rPr>
            </w:pPr>
            <w:r w:rsidRPr="0040006E">
              <w:rPr>
                <w:color w:val="auto"/>
              </w:rPr>
              <w:t>Quantified evidence for emissions, waste and sourcing</w:t>
            </w:r>
          </w:p>
        </w:tc>
        <w:tc>
          <w:tcPr>
            <w:tcW w:w="4938" w:type="dxa"/>
            <w:hideMark/>
          </w:tcPr>
          <w:p w14:paraId="1DFF072F" w14:textId="77777777" w:rsidR="00EF6DA0" w:rsidRPr="00953B6C" w:rsidRDefault="00EF6DA0" w:rsidP="00127600">
            <w:pPr>
              <w:cnfStyle w:val="000000000000" w:firstRow="0" w:lastRow="0" w:firstColumn="0" w:lastColumn="0" w:oddVBand="0" w:evenVBand="0" w:oddHBand="0" w:evenHBand="0" w:firstRowFirstColumn="0" w:firstRowLastColumn="0" w:lastRowFirstColumn="0" w:lastRowLastColumn="0"/>
              <w:rPr>
                <w:color w:val="auto"/>
              </w:rPr>
            </w:pPr>
            <w:r w:rsidRPr="0040006E">
              <w:rPr>
                <w:color w:val="auto"/>
              </w:rPr>
              <w:t>Evidence is scattered around on various Web pages</w:t>
            </w:r>
          </w:p>
        </w:tc>
        <w:tc>
          <w:tcPr>
            <w:tcW w:w="6489" w:type="dxa"/>
            <w:hideMark/>
          </w:tcPr>
          <w:p w14:paraId="5BC34713" w14:textId="77777777" w:rsidR="00EF6DA0" w:rsidRPr="00953B6C" w:rsidRDefault="00EF6DA0" w:rsidP="00127600">
            <w:pPr>
              <w:cnfStyle w:val="000000000000" w:firstRow="0" w:lastRow="0" w:firstColumn="0" w:lastColumn="0" w:oddVBand="0" w:evenVBand="0" w:oddHBand="0" w:evenHBand="0" w:firstRowFirstColumn="0" w:firstRowLastColumn="0" w:lastRowFirstColumn="0" w:lastRowLastColumn="0"/>
              <w:rPr>
                <w:color w:val="auto"/>
              </w:rPr>
            </w:pPr>
            <w:r w:rsidRPr="0040006E">
              <w:rPr>
                <w:color w:val="auto"/>
              </w:rPr>
              <w:t>Credibility is supported by measurable evidence</w:t>
            </w:r>
            <w:r>
              <w:rPr>
                <w:color w:val="auto"/>
              </w:rPr>
              <w:t>;</w:t>
            </w:r>
            <w:r w:rsidRPr="0040006E">
              <w:rPr>
                <w:color w:val="auto"/>
              </w:rPr>
              <w:t xml:space="preserve"> however, there is fragmentation that hinders verification.</w:t>
            </w:r>
          </w:p>
        </w:tc>
      </w:tr>
      <w:tr w:rsidR="00EF6DA0" w:rsidRPr="00953B6C" w14:paraId="58296ACC" w14:textId="77777777" w:rsidTr="00AB4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0" w:type="dxa"/>
            <w:hideMark/>
          </w:tcPr>
          <w:p w14:paraId="7995BF30" w14:textId="77777777" w:rsidR="00EF6DA0" w:rsidRPr="00953B6C" w:rsidRDefault="00EF6DA0" w:rsidP="00127600">
            <w:pPr>
              <w:rPr>
                <w:color w:val="auto"/>
              </w:rPr>
            </w:pPr>
            <w:r w:rsidRPr="00953B6C">
              <w:rPr>
                <w:color w:val="auto"/>
              </w:rPr>
              <w:t>Sainsbury’s</w:t>
            </w:r>
          </w:p>
        </w:tc>
        <w:tc>
          <w:tcPr>
            <w:tcW w:w="2923" w:type="dxa"/>
            <w:hideMark/>
          </w:tcPr>
          <w:p w14:paraId="00D47CAB" w14:textId="77777777" w:rsidR="00EF6DA0" w:rsidRPr="00953B6C"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sidRPr="00953B6C">
              <w:rPr>
                <w:color w:val="auto"/>
              </w:rPr>
              <w:t>Clear Plan for Better targets and indicators</w:t>
            </w:r>
          </w:p>
        </w:tc>
        <w:tc>
          <w:tcPr>
            <w:tcW w:w="5100" w:type="dxa"/>
            <w:hideMark/>
          </w:tcPr>
          <w:p w14:paraId="72BF52B5" w14:textId="77777777" w:rsidR="00EF6DA0" w:rsidRPr="00953B6C"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sidRPr="0040006E">
              <w:rPr>
                <w:color w:val="auto"/>
              </w:rPr>
              <w:t>Strong scorecard and quantified performance evidence</w:t>
            </w:r>
          </w:p>
        </w:tc>
        <w:tc>
          <w:tcPr>
            <w:tcW w:w="4938" w:type="dxa"/>
            <w:hideMark/>
          </w:tcPr>
          <w:p w14:paraId="30D4D880" w14:textId="77777777" w:rsidR="00EF6DA0" w:rsidRPr="00953B6C"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sidRPr="0040006E">
              <w:rPr>
                <w:color w:val="auto"/>
              </w:rPr>
              <w:t>Reports both achievements and packaging shortfalls</w:t>
            </w:r>
          </w:p>
        </w:tc>
        <w:tc>
          <w:tcPr>
            <w:tcW w:w="6489" w:type="dxa"/>
            <w:hideMark/>
          </w:tcPr>
          <w:p w14:paraId="70827758" w14:textId="77777777" w:rsidR="00EF6DA0" w:rsidRPr="00953B6C" w:rsidRDefault="00EF6DA0" w:rsidP="00127600">
            <w:pPr>
              <w:cnfStyle w:val="000000100000" w:firstRow="0" w:lastRow="0" w:firstColumn="0" w:lastColumn="0" w:oddVBand="0" w:evenVBand="0" w:oddHBand="1" w:evenHBand="0" w:firstRowFirstColumn="0" w:firstRowLastColumn="0" w:lastRowFirstColumn="0" w:lastRowLastColumn="0"/>
              <w:rPr>
                <w:color w:val="auto"/>
              </w:rPr>
            </w:pPr>
            <w:r w:rsidRPr="0040006E">
              <w:rPr>
                <w:color w:val="auto"/>
              </w:rPr>
              <w:t>Credible reporting is enhanced by balanced reporting, though it may be challenging to maintain consistency in the event of a change in target.</w:t>
            </w:r>
          </w:p>
        </w:tc>
      </w:tr>
    </w:tbl>
    <w:p w14:paraId="1C09F63B" w14:textId="77777777" w:rsidR="00EF6DA0" w:rsidRPr="00953B6C" w:rsidRDefault="00EF6DA0" w:rsidP="00EF6DA0"/>
    <w:p w14:paraId="324A17D1" w14:textId="77777777" w:rsidR="002953D8" w:rsidRDefault="002953D8">
      <w:pPr>
        <w:widowControl/>
        <w:autoSpaceDE/>
        <w:autoSpaceDN/>
        <w:spacing w:after="160" w:line="259" w:lineRule="auto"/>
        <w:jc w:val="left"/>
        <w:rPr>
          <w:rFonts w:eastAsia="Times New Roman" w:cs="Times New Roman"/>
          <w:b/>
          <w:bCs/>
          <w:i/>
          <w:sz w:val="28"/>
          <w:szCs w:val="36"/>
        </w:rPr>
      </w:pPr>
      <w:bookmarkStart w:id="191" w:name="_Toc237232102"/>
      <w:r>
        <w:br w:type="page"/>
      </w:r>
    </w:p>
    <w:p w14:paraId="4537ED2E" w14:textId="1618037A" w:rsidR="00EF6DA0" w:rsidRDefault="00EF6DA0" w:rsidP="00EF6DA0">
      <w:pPr>
        <w:pStyle w:val="Heading2"/>
      </w:pPr>
      <w:bookmarkStart w:id="192" w:name="_Toc239795107"/>
      <w:r>
        <w:lastRenderedPageBreak/>
        <w:t>Appendix D: Quantitative Sustainability Evidence and Target-Progress Matrix</w:t>
      </w:r>
      <w:bookmarkEnd w:id="191"/>
      <w:bookmarkEnd w:id="192"/>
    </w:p>
    <w:p w14:paraId="107DCBD0" w14:textId="1D1D5521" w:rsidR="00AB4680" w:rsidRDefault="00AB4680" w:rsidP="00AB4680">
      <w:pPr>
        <w:pStyle w:val="Caption"/>
        <w:keepNext/>
      </w:pPr>
      <w:bookmarkStart w:id="193" w:name="_Toc239794902"/>
      <w:r>
        <w:t xml:space="preserve">Table </w:t>
      </w:r>
      <w:r>
        <w:fldChar w:fldCharType="begin"/>
      </w:r>
      <w:r>
        <w:instrText xml:space="preserve"> SEQ Table \* ARABIC </w:instrText>
      </w:r>
      <w:r>
        <w:fldChar w:fldCharType="separate"/>
      </w:r>
      <w:r>
        <w:rPr>
          <w:noProof/>
        </w:rPr>
        <w:t>10</w:t>
      </w:r>
      <w:r>
        <w:rPr>
          <w:noProof/>
        </w:rPr>
        <w:fldChar w:fldCharType="end"/>
      </w:r>
      <w:r>
        <w:t xml:space="preserve">: </w:t>
      </w:r>
      <w:r w:rsidRPr="006D7B14">
        <w:t>Quantitative Sustainability Evidence and Target-Progress Matrix</w:t>
      </w:r>
      <w:bookmarkEnd w:id="193"/>
    </w:p>
    <w:tbl>
      <w:tblPr>
        <w:tblStyle w:val="GridTable6ColourfulAccent1"/>
        <w:tblW w:w="20880" w:type="dxa"/>
        <w:tblInd w:w="-5" w:type="dxa"/>
        <w:tblLook w:val="04A0" w:firstRow="1" w:lastRow="0" w:firstColumn="1" w:lastColumn="0" w:noHBand="0" w:noVBand="1"/>
      </w:tblPr>
      <w:tblGrid>
        <w:gridCol w:w="1440"/>
        <w:gridCol w:w="2970"/>
        <w:gridCol w:w="5040"/>
        <w:gridCol w:w="4950"/>
        <w:gridCol w:w="6480"/>
      </w:tblGrid>
      <w:tr w:rsidR="00EF6DA0" w:rsidRPr="002953D8" w14:paraId="7031DFCD" w14:textId="77777777" w:rsidTr="00DA76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0D92DCF3" w14:textId="77777777" w:rsidR="00EF6DA0" w:rsidRPr="002953D8" w:rsidRDefault="00EF6DA0" w:rsidP="00127600">
            <w:pPr>
              <w:rPr>
                <w:color w:val="auto"/>
                <w:sz w:val="20"/>
                <w:szCs w:val="20"/>
              </w:rPr>
            </w:pPr>
            <w:r w:rsidRPr="002953D8">
              <w:rPr>
                <w:color w:val="auto"/>
                <w:sz w:val="20"/>
                <w:szCs w:val="20"/>
              </w:rPr>
              <w:t>Retailer</w:t>
            </w:r>
          </w:p>
        </w:tc>
        <w:tc>
          <w:tcPr>
            <w:tcW w:w="2970" w:type="dxa"/>
            <w:hideMark/>
          </w:tcPr>
          <w:p w14:paraId="56330495" w14:textId="77777777" w:rsidR="00EF6DA0" w:rsidRPr="002953D8" w:rsidRDefault="00EF6DA0" w:rsidP="00127600">
            <w:pPr>
              <w:cnfStyle w:val="100000000000" w:firstRow="1"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Environmental Area</w:t>
            </w:r>
          </w:p>
        </w:tc>
        <w:tc>
          <w:tcPr>
            <w:tcW w:w="5040" w:type="dxa"/>
            <w:hideMark/>
          </w:tcPr>
          <w:p w14:paraId="7E43ABB5" w14:textId="77777777" w:rsidR="00EF6DA0" w:rsidRPr="002953D8" w:rsidRDefault="00EF6DA0" w:rsidP="00127600">
            <w:pPr>
              <w:cnfStyle w:val="100000000000" w:firstRow="1"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Reported Evidence / Result</w:t>
            </w:r>
          </w:p>
        </w:tc>
        <w:tc>
          <w:tcPr>
            <w:tcW w:w="4950" w:type="dxa"/>
            <w:hideMark/>
          </w:tcPr>
          <w:p w14:paraId="051F27F5" w14:textId="77777777" w:rsidR="00EF6DA0" w:rsidRPr="002953D8" w:rsidRDefault="00EF6DA0" w:rsidP="00127600">
            <w:pPr>
              <w:cnfStyle w:val="100000000000" w:firstRow="1"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Target or Benchmark</w:t>
            </w:r>
          </w:p>
        </w:tc>
        <w:tc>
          <w:tcPr>
            <w:tcW w:w="6480" w:type="dxa"/>
            <w:hideMark/>
          </w:tcPr>
          <w:p w14:paraId="174C9662" w14:textId="77777777" w:rsidR="00EF6DA0" w:rsidRPr="002953D8" w:rsidRDefault="00EF6DA0" w:rsidP="00127600">
            <w:pPr>
              <w:cnfStyle w:val="100000000000" w:firstRow="1"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Analytical Significance</w:t>
            </w:r>
          </w:p>
        </w:tc>
      </w:tr>
      <w:tr w:rsidR="00EF6DA0" w:rsidRPr="002953D8" w14:paraId="613657F1"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4463B023" w14:textId="77777777" w:rsidR="00EF6DA0" w:rsidRPr="002953D8" w:rsidRDefault="00EF6DA0" w:rsidP="00127600">
            <w:pPr>
              <w:rPr>
                <w:color w:val="auto"/>
                <w:sz w:val="20"/>
                <w:szCs w:val="20"/>
              </w:rPr>
            </w:pPr>
            <w:r w:rsidRPr="002953D8">
              <w:rPr>
                <w:color w:val="auto"/>
                <w:sz w:val="20"/>
                <w:szCs w:val="20"/>
              </w:rPr>
              <w:t>M&amp;S</w:t>
            </w:r>
          </w:p>
        </w:tc>
        <w:tc>
          <w:tcPr>
            <w:tcW w:w="2970" w:type="dxa"/>
            <w:hideMark/>
          </w:tcPr>
          <w:p w14:paraId="3F690183"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Scope 1 and 2 emissions</w:t>
            </w:r>
          </w:p>
        </w:tc>
        <w:tc>
          <w:tcPr>
            <w:tcW w:w="5040" w:type="dxa"/>
            <w:hideMark/>
          </w:tcPr>
          <w:p w14:paraId="3A6BCD6A"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38% reduction</w:t>
            </w:r>
          </w:p>
        </w:tc>
        <w:tc>
          <w:tcPr>
            <w:tcW w:w="4950" w:type="dxa"/>
            <w:hideMark/>
          </w:tcPr>
          <w:p w14:paraId="54B438A5"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55% location-based reduction target by 2029/30</w:t>
            </w:r>
          </w:p>
        </w:tc>
        <w:tc>
          <w:tcPr>
            <w:tcW w:w="6480" w:type="dxa"/>
            <w:hideMark/>
          </w:tcPr>
          <w:p w14:paraId="20EDE351"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Demonstrates measurable progress but continuing delivery requirement.</w:t>
            </w:r>
          </w:p>
        </w:tc>
      </w:tr>
      <w:tr w:rsidR="00EF6DA0" w:rsidRPr="002953D8" w14:paraId="469DF872" w14:textId="77777777" w:rsidTr="00DA766E">
        <w:tc>
          <w:tcPr>
            <w:cnfStyle w:val="001000000000" w:firstRow="0" w:lastRow="0" w:firstColumn="1" w:lastColumn="0" w:oddVBand="0" w:evenVBand="0" w:oddHBand="0" w:evenHBand="0" w:firstRowFirstColumn="0" w:firstRowLastColumn="0" w:lastRowFirstColumn="0" w:lastRowLastColumn="0"/>
            <w:tcW w:w="1440" w:type="dxa"/>
            <w:hideMark/>
          </w:tcPr>
          <w:p w14:paraId="7CD89742" w14:textId="77777777" w:rsidR="00EF6DA0" w:rsidRPr="002953D8" w:rsidRDefault="00EF6DA0" w:rsidP="00127600">
            <w:pPr>
              <w:rPr>
                <w:color w:val="auto"/>
                <w:sz w:val="20"/>
                <w:szCs w:val="20"/>
              </w:rPr>
            </w:pPr>
            <w:r w:rsidRPr="002953D8">
              <w:rPr>
                <w:color w:val="auto"/>
                <w:sz w:val="20"/>
                <w:szCs w:val="20"/>
              </w:rPr>
              <w:t>M&amp;S</w:t>
            </w:r>
          </w:p>
        </w:tc>
        <w:tc>
          <w:tcPr>
            <w:tcW w:w="2970" w:type="dxa"/>
            <w:hideMark/>
          </w:tcPr>
          <w:p w14:paraId="1C2FAF99"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Packaging reduction</w:t>
            </w:r>
          </w:p>
        </w:tc>
        <w:tc>
          <w:tcPr>
            <w:tcW w:w="5040" w:type="dxa"/>
            <w:hideMark/>
          </w:tcPr>
          <w:p w14:paraId="6C70345B"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613.4 million packaging units eliminated</w:t>
            </w:r>
          </w:p>
        </w:tc>
        <w:tc>
          <w:tcPr>
            <w:tcW w:w="4950" w:type="dxa"/>
            <w:hideMark/>
          </w:tcPr>
          <w:p w14:paraId="2795749B"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Ongoing Plan A packaging commitments</w:t>
            </w:r>
          </w:p>
        </w:tc>
        <w:tc>
          <w:tcPr>
            <w:tcW w:w="6480" w:type="dxa"/>
            <w:hideMark/>
          </w:tcPr>
          <w:p w14:paraId="2BA7275E"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Provides measurable evidence supporting implementation claims.</w:t>
            </w:r>
          </w:p>
        </w:tc>
      </w:tr>
      <w:tr w:rsidR="00EF6DA0" w:rsidRPr="002953D8" w14:paraId="05FBFFF7"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35510934" w14:textId="77777777" w:rsidR="00EF6DA0" w:rsidRPr="002953D8" w:rsidRDefault="00EF6DA0" w:rsidP="00127600">
            <w:pPr>
              <w:rPr>
                <w:color w:val="auto"/>
                <w:sz w:val="20"/>
                <w:szCs w:val="20"/>
              </w:rPr>
            </w:pPr>
            <w:r w:rsidRPr="002953D8">
              <w:rPr>
                <w:color w:val="auto"/>
                <w:sz w:val="20"/>
                <w:szCs w:val="20"/>
              </w:rPr>
              <w:t>M&amp;S</w:t>
            </w:r>
          </w:p>
        </w:tc>
        <w:tc>
          <w:tcPr>
            <w:tcW w:w="2970" w:type="dxa"/>
            <w:hideMark/>
          </w:tcPr>
          <w:p w14:paraId="00DAD6ED"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Recycled content</w:t>
            </w:r>
          </w:p>
        </w:tc>
        <w:tc>
          <w:tcPr>
            <w:tcW w:w="5040" w:type="dxa"/>
            <w:hideMark/>
          </w:tcPr>
          <w:p w14:paraId="6673FD10"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31% recycled content in food packaging</w:t>
            </w:r>
          </w:p>
        </w:tc>
        <w:tc>
          <w:tcPr>
            <w:tcW w:w="4950" w:type="dxa"/>
            <w:hideMark/>
          </w:tcPr>
          <w:p w14:paraId="0AC04D25"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30% target</w:t>
            </w:r>
          </w:p>
        </w:tc>
        <w:tc>
          <w:tcPr>
            <w:tcW w:w="6480" w:type="dxa"/>
            <w:hideMark/>
          </w:tcPr>
          <w:p w14:paraId="0E5C4CD3"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Target exceeded, strengthening substantiation.</w:t>
            </w:r>
          </w:p>
        </w:tc>
      </w:tr>
      <w:tr w:rsidR="00EF6DA0" w:rsidRPr="002953D8" w14:paraId="6357BE3A" w14:textId="77777777" w:rsidTr="00DA766E">
        <w:tc>
          <w:tcPr>
            <w:cnfStyle w:val="001000000000" w:firstRow="0" w:lastRow="0" w:firstColumn="1" w:lastColumn="0" w:oddVBand="0" w:evenVBand="0" w:oddHBand="0" w:evenHBand="0" w:firstRowFirstColumn="0" w:firstRowLastColumn="0" w:lastRowFirstColumn="0" w:lastRowLastColumn="0"/>
            <w:tcW w:w="1440" w:type="dxa"/>
            <w:hideMark/>
          </w:tcPr>
          <w:p w14:paraId="2F975AE2" w14:textId="77777777" w:rsidR="00EF6DA0" w:rsidRPr="002953D8" w:rsidRDefault="00EF6DA0" w:rsidP="00127600">
            <w:pPr>
              <w:rPr>
                <w:color w:val="auto"/>
                <w:sz w:val="20"/>
                <w:szCs w:val="20"/>
              </w:rPr>
            </w:pPr>
            <w:r w:rsidRPr="002953D8">
              <w:rPr>
                <w:color w:val="auto"/>
                <w:sz w:val="20"/>
                <w:szCs w:val="20"/>
              </w:rPr>
              <w:t>M&amp;S</w:t>
            </w:r>
          </w:p>
        </w:tc>
        <w:tc>
          <w:tcPr>
            <w:tcW w:w="2970" w:type="dxa"/>
            <w:hideMark/>
          </w:tcPr>
          <w:p w14:paraId="5C8653C3"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Recyclable packaging</w:t>
            </w:r>
          </w:p>
        </w:tc>
        <w:tc>
          <w:tcPr>
            <w:tcW w:w="5040" w:type="dxa"/>
            <w:hideMark/>
          </w:tcPr>
          <w:p w14:paraId="28483A81"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91% of own-brand packaging recyclable</w:t>
            </w:r>
          </w:p>
        </w:tc>
        <w:tc>
          <w:tcPr>
            <w:tcW w:w="4950" w:type="dxa"/>
            <w:hideMark/>
          </w:tcPr>
          <w:p w14:paraId="75F93875"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100% target</w:t>
            </w:r>
          </w:p>
        </w:tc>
        <w:tc>
          <w:tcPr>
            <w:tcW w:w="6480" w:type="dxa"/>
            <w:hideMark/>
          </w:tcPr>
          <w:p w14:paraId="74F7D949"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Clear disclosure of underperformance increases transparency.</w:t>
            </w:r>
          </w:p>
        </w:tc>
      </w:tr>
      <w:tr w:rsidR="00EF6DA0" w:rsidRPr="002953D8" w14:paraId="0973DAC7"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3829A8E3" w14:textId="77777777" w:rsidR="00EF6DA0" w:rsidRPr="002953D8" w:rsidRDefault="00EF6DA0" w:rsidP="00127600">
            <w:pPr>
              <w:rPr>
                <w:color w:val="auto"/>
                <w:sz w:val="20"/>
                <w:szCs w:val="20"/>
              </w:rPr>
            </w:pPr>
            <w:r w:rsidRPr="002953D8">
              <w:rPr>
                <w:color w:val="auto"/>
                <w:sz w:val="20"/>
                <w:szCs w:val="20"/>
              </w:rPr>
              <w:t>M&amp;S</w:t>
            </w:r>
          </w:p>
        </w:tc>
        <w:tc>
          <w:tcPr>
            <w:tcW w:w="2970" w:type="dxa"/>
            <w:hideMark/>
          </w:tcPr>
          <w:p w14:paraId="3140E2EF"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Food waste</w:t>
            </w:r>
          </w:p>
        </w:tc>
        <w:tc>
          <w:tcPr>
            <w:tcW w:w="5040" w:type="dxa"/>
            <w:hideMark/>
          </w:tcPr>
          <w:p w14:paraId="214EB5D4"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5% reduction from 2017/18 baseline</w:t>
            </w:r>
          </w:p>
        </w:tc>
        <w:tc>
          <w:tcPr>
            <w:tcW w:w="4950" w:type="dxa"/>
            <w:hideMark/>
          </w:tcPr>
          <w:p w14:paraId="63A25909"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50% reduction by 2029/30</w:t>
            </w:r>
          </w:p>
        </w:tc>
        <w:tc>
          <w:tcPr>
            <w:tcW w:w="6480" w:type="dxa"/>
            <w:hideMark/>
          </w:tcPr>
          <w:p w14:paraId="663E91FF"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Large disparity between desired and actual levels of achievement.</w:t>
            </w:r>
          </w:p>
        </w:tc>
      </w:tr>
      <w:tr w:rsidR="00EF6DA0" w:rsidRPr="002953D8" w14:paraId="4727258D" w14:textId="77777777" w:rsidTr="00DA766E">
        <w:tc>
          <w:tcPr>
            <w:cnfStyle w:val="001000000000" w:firstRow="0" w:lastRow="0" w:firstColumn="1" w:lastColumn="0" w:oddVBand="0" w:evenVBand="0" w:oddHBand="0" w:evenHBand="0" w:firstRowFirstColumn="0" w:firstRowLastColumn="0" w:lastRowFirstColumn="0" w:lastRowLastColumn="0"/>
            <w:tcW w:w="1440" w:type="dxa"/>
            <w:hideMark/>
          </w:tcPr>
          <w:p w14:paraId="3C9CB06D" w14:textId="77777777" w:rsidR="00EF6DA0" w:rsidRPr="002953D8" w:rsidRDefault="00EF6DA0" w:rsidP="00127600">
            <w:pPr>
              <w:rPr>
                <w:color w:val="auto"/>
                <w:sz w:val="20"/>
                <w:szCs w:val="20"/>
              </w:rPr>
            </w:pPr>
            <w:r w:rsidRPr="002953D8">
              <w:rPr>
                <w:color w:val="auto"/>
                <w:sz w:val="20"/>
                <w:szCs w:val="20"/>
              </w:rPr>
              <w:t>Tesco</w:t>
            </w:r>
          </w:p>
        </w:tc>
        <w:tc>
          <w:tcPr>
            <w:tcW w:w="2970" w:type="dxa"/>
            <w:hideMark/>
          </w:tcPr>
          <w:p w14:paraId="62291EE9"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Scope 1 and 2 emissions</w:t>
            </w:r>
          </w:p>
        </w:tc>
        <w:tc>
          <w:tcPr>
            <w:tcW w:w="5040" w:type="dxa"/>
            <w:hideMark/>
          </w:tcPr>
          <w:p w14:paraId="5E93BE43"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68% reduction from 2015/16 baseline</w:t>
            </w:r>
          </w:p>
        </w:tc>
        <w:tc>
          <w:tcPr>
            <w:tcW w:w="4950" w:type="dxa"/>
            <w:hideMark/>
          </w:tcPr>
          <w:p w14:paraId="64F70693"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60% target</w:t>
            </w:r>
          </w:p>
        </w:tc>
        <w:tc>
          <w:tcPr>
            <w:tcW w:w="6480" w:type="dxa"/>
            <w:hideMark/>
          </w:tcPr>
          <w:p w14:paraId="73C4275E"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Target exceeded and strongly substantiated through measurable reporting.</w:t>
            </w:r>
          </w:p>
        </w:tc>
      </w:tr>
      <w:tr w:rsidR="00EF6DA0" w:rsidRPr="002953D8" w14:paraId="507110BB"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43D87B59" w14:textId="77777777" w:rsidR="00EF6DA0" w:rsidRPr="002953D8" w:rsidRDefault="00EF6DA0" w:rsidP="00127600">
            <w:pPr>
              <w:rPr>
                <w:color w:val="auto"/>
                <w:sz w:val="20"/>
                <w:szCs w:val="20"/>
              </w:rPr>
            </w:pPr>
            <w:r w:rsidRPr="002953D8">
              <w:rPr>
                <w:color w:val="auto"/>
                <w:sz w:val="20"/>
                <w:szCs w:val="20"/>
              </w:rPr>
              <w:t>Tesco</w:t>
            </w:r>
          </w:p>
        </w:tc>
        <w:tc>
          <w:tcPr>
            <w:tcW w:w="2970" w:type="dxa"/>
            <w:hideMark/>
          </w:tcPr>
          <w:p w14:paraId="6300D91A"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Packaging</w:t>
            </w:r>
          </w:p>
        </w:tc>
        <w:tc>
          <w:tcPr>
            <w:tcW w:w="5040" w:type="dxa"/>
            <w:hideMark/>
          </w:tcPr>
          <w:p w14:paraId="32959722"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99% of UK own-brand packaging recyclable</w:t>
            </w:r>
          </w:p>
        </w:tc>
        <w:tc>
          <w:tcPr>
            <w:tcW w:w="4950" w:type="dxa"/>
            <w:hideMark/>
          </w:tcPr>
          <w:p w14:paraId="2FD3C147"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Near-complete recyclability ambition</w:t>
            </w:r>
          </w:p>
        </w:tc>
        <w:tc>
          <w:tcPr>
            <w:tcW w:w="6480" w:type="dxa"/>
            <w:hideMark/>
          </w:tcPr>
          <w:p w14:paraId="69AA9709"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Provides strong quantitative support for packaging communication.</w:t>
            </w:r>
          </w:p>
        </w:tc>
      </w:tr>
      <w:tr w:rsidR="00EF6DA0" w:rsidRPr="002953D8" w14:paraId="5AB66E62" w14:textId="77777777" w:rsidTr="00DA766E">
        <w:tc>
          <w:tcPr>
            <w:cnfStyle w:val="001000000000" w:firstRow="0" w:lastRow="0" w:firstColumn="1" w:lastColumn="0" w:oddVBand="0" w:evenVBand="0" w:oddHBand="0" w:evenHBand="0" w:firstRowFirstColumn="0" w:firstRowLastColumn="0" w:lastRowFirstColumn="0" w:lastRowLastColumn="0"/>
            <w:tcW w:w="1440" w:type="dxa"/>
            <w:hideMark/>
          </w:tcPr>
          <w:p w14:paraId="1C9BB552" w14:textId="77777777" w:rsidR="00EF6DA0" w:rsidRPr="002953D8" w:rsidRDefault="00EF6DA0" w:rsidP="00127600">
            <w:pPr>
              <w:rPr>
                <w:color w:val="auto"/>
                <w:sz w:val="20"/>
                <w:szCs w:val="20"/>
              </w:rPr>
            </w:pPr>
            <w:r w:rsidRPr="002953D8">
              <w:rPr>
                <w:color w:val="auto"/>
                <w:sz w:val="20"/>
                <w:szCs w:val="20"/>
              </w:rPr>
              <w:t>Tesco</w:t>
            </w:r>
          </w:p>
        </w:tc>
        <w:tc>
          <w:tcPr>
            <w:tcW w:w="2970" w:type="dxa"/>
            <w:hideMark/>
          </w:tcPr>
          <w:p w14:paraId="1C87C709"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Food waste</w:t>
            </w:r>
          </w:p>
        </w:tc>
        <w:tc>
          <w:tcPr>
            <w:tcW w:w="5040" w:type="dxa"/>
            <w:hideMark/>
          </w:tcPr>
          <w:p w14:paraId="1FEB593F"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24% reduction</w:t>
            </w:r>
          </w:p>
        </w:tc>
        <w:tc>
          <w:tcPr>
            <w:tcW w:w="4950" w:type="dxa"/>
            <w:hideMark/>
          </w:tcPr>
          <w:p w14:paraId="22CB8979"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b/>
                <w:bCs/>
                <w:color w:val="auto"/>
                <w:sz w:val="20"/>
                <w:szCs w:val="20"/>
              </w:rPr>
              <w:t>50% target</w:t>
            </w:r>
          </w:p>
        </w:tc>
        <w:tc>
          <w:tcPr>
            <w:tcW w:w="6480" w:type="dxa"/>
            <w:hideMark/>
          </w:tcPr>
          <w:p w14:paraId="7565BAA6"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Major target shortfall is openly acknowledged.</w:t>
            </w:r>
          </w:p>
        </w:tc>
      </w:tr>
      <w:tr w:rsidR="00EF6DA0" w:rsidRPr="002953D8" w14:paraId="68C28E85"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23B59E03" w14:textId="77777777" w:rsidR="00EF6DA0" w:rsidRPr="002953D8" w:rsidRDefault="00EF6DA0" w:rsidP="00127600">
            <w:pPr>
              <w:rPr>
                <w:color w:val="auto"/>
                <w:sz w:val="20"/>
                <w:szCs w:val="20"/>
              </w:rPr>
            </w:pPr>
            <w:r w:rsidRPr="002953D8">
              <w:rPr>
                <w:color w:val="auto"/>
                <w:sz w:val="20"/>
                <w:szCs w:val="20"/>
              </w:rPr>
              <w:t>Tesco</w:t>
            </w:r>
          </w:p>
        </w:tc>
        <w:tc>
          <w:tcPr>
            <w:tcW w:w="2970" w:type="dxa"/>
            <w:hideMark/>
          </w:tcPr>
          <w:p w14:paraId="097BAEF6"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Data quality</w:t>
            </w:r>
          </w:p>
        </w:tc>
        <w:tc>
          <w:tcPr>
            <w:tcW w:w="5040" w:type="dxa"/>
            <w:hideMark/>
          </w:tcPr>
          <w:p w14:paraId="68F3CCFC"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Food-waste misclassification identified through internal review</w:t>
            </w:r>
          </w:p>
        </w:tc>
        <w:tc>
          <w:tcPr>
            <w:tcW w:w="4950" w:type="dxa"/>
            <w:hideMark/>
          </w:tcPr>
          <w:p w14:paraId="6C0BD389"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Accurate and consistent measurement expected</w:t>
            </w:r>
          </w:p>
        </w:tc>
        <w:tc>
          <w:tcPr>
            <w:tcW w:w="6480" w:type="dxa"/>
            <w:hideMark/>
          </w:tcPr>
          <w:p w14:paraId="1CBF0F81"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Disclosure increases transparency, but reveals the shortcomings in measurement.</w:t>
            </w:r>
          </w:p>
        </w:tc>
      </w:tr>
      <w:tr w:rsidR="00EF6DA0" w:rsidRPr="002953D8" w14:paraId="67FAEB48" w14:textId="77777777" w:rsidTr="00DA766E">
        <w:tc>
          <w:tcPr>
            <w:cnfStyle w:val="001000000000" w:firstRow="0" w:lastRow="0" w:firstColumn="1" w:lastColumn="0" w:oddVBand="0" w:evenVBand="0" w:oddHBand="0" w:evenHBand="0" w:firstRowFirstColumn="0" w:firstRowLastColumn="0" w:lastRowFirstColumn="0" w:lastRowLastColumn="0"/>
            <w:tcW w:w="1440" w:type="dxa"/>
            <w:hideMark/>
          </w:tcPr>
          <w:p w14:paraId="0AE2692C" w14:textId="77777777" w:rsidR="00EF6DA0" w:rsidRPr="002953D8" w:rsidRDefault="00EF6DA0" w:rsidP="00127600">
            <w:pPr>
              <w:rPr>
                <w:color w:val="auto"/>
                <w:sz w:val="20"/>
                <w:szCs w:val="20"/>
              </w:rPr>
            </w:pPr>
            <w:proofErr w:type="spellStart"/>
            <w:r w:rsidRPr="002953D8">
              <w:rPr>
                <w:color w:val="auto"/>
                <w:sz w:val="20"/>
                <w:szCs w:val="20"/>
              </w:rPr>
              <w:t>Asda</w:t>
            </w:r>
            <w:proofErr w:type="spellEnd"/>
          </w:p>
        </w:tc>
        <w:tc>
          <w:tcPr>
            <w:tcW w:w="2970" w:type="dxa"/>
            <w:hideMark/>
          </w:tcPr>
          <w:p w14:paraId="2AE98332"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Scope 1 and 2 emissions</w:t>
            </w:r>
          </w:p>
        </w:tc>
        <w:tc>
          <w:tcPr>
            <w:tcW w:w="5040" w:type="dxa"/>
            <w:hideMark/>
          </w:tcPr>
          <w:p w14:paraId="5B5AD035"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12% year-on-year reduction; 48% reduction since 2021</w:t>
            </w:r>
          </w:p>
        </w:tc>
        <w:tc>
          <w:tcPr>
            <w:tcW w:w="4950" w:type="dxa"/>
            <w:hideMark/>
          </w:tcPr>
          <w:p w14:paraId="45F26030"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Carbon-reduction commitments</w:t>
            </w:r>
          </w:p>
        </w:tc>
        <w:tc>
          <w:tcPr>
            <w:tcW w:w="6480" w:type="dxa"/>
            <w:hideMark/>
          </w:tcPr>
          <w:p w14:paraId="7E60F098"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Gives measurable evidence of progress toward operations.</w:t>
            </w:r>
          </w:p>
        </w:tc>
      </w:tr>
      <w:tr w:rsidR="00EF6DA0" w:rsidRPr="002953D8" w14:paraId="3CBD9BAD"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202110EF" w14:textId="77777777" w:rsidR="00EF6DA0" w:rsidRPr="002953D8" w:rsidRDefault="00EF6DA0" w:rsidP="00127600">
            <w:pPr>
              <w:rPr>
                <w:color w:val="auto"/>
                <w:sz w:val="20"/>
                <w:szCs w:val="20"/>
              </w:rPr>
            </w:pPr>
            <w:proofErr w:type="spellStart"/>
            <w:r w:rsidRPr="002953D8">
              <w:rPr>
                <w:color w:val="auto"/>
                <w:sz w:val="20"/>
                <w:szCs w:val="20"/>
              </w:rPr>
              <w:t>Asda</w:t>
            </w:r>
            <w:proofErr w:type="spellEnd"/>
          </w:p>
        </w:tc>
        <w:tc>
          <w:tcPr>
            <w:tcW w:w="2970" w:type="dxa"/>
            <w:hideMark/>
          </w:tcPr>
          <w:p w14:paraId="2F936A41"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Packaging</w:t>
            </w:r>
          </w:p>
        </w:tc>
        <w:tc>
          <w:tcPr>
            <w:tcW w:w="5040" w:type="dxa"/>
            <w:hideMark/>
          </w:tcPr>
          <w:p w14:paraId="456019C1"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97.5% of own-brand packaging recyclable</w:t>
            </w:r>
          </w:p>
        </w:tc>
        <w:tc>
          <w:tcPr>
            <w:tcW w:w="4950" w:type="dxa"/>
            <w:hideMark/>
          </w:tcPr>
          <w:p w14:paraId="12C8C84C"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Packaging sustainability ambition</w:t>
            </w:r>
          </w:p>
        </w:tc>
        <w:tc>
          <w:tcPr>
            <w:tcW w:w="6480" w:type="dxa"/>
            <w:hideMark/>
          </w:tcPr>
          <w:p w14:paraId="3BB8D484"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Good quantitative results, but less apparent are comparisons with target-results.</w:t>
            </w:r>
          </w:p>
        </w:tc>
      </w:tr>
      <w:tr w:rsidR="00EF6DA0" w:rsidRPr="002953D8" w14:paraId="2F92D438" w14:textId="77777777" w:rsidTr="00DA766E">
        <w:tc>
          <w:tcPr>
            <w:cnfStyle w:val="001000000000" w:firstRow="0" w:lastRow="0" w:firstColumn="1" w:lastColumn="0" w:oddVBand="0" w:evenVBand="0" w:oddHBand="0" w:evenHBand="0" w:firstRowFirstColumn="0" w:firstRowLastColumn="0" w:lastRowFirstColumn="0" w:lastRowLastColumn="0"/>
            <w:tcW w:w="1440" w:type="dxa"/>
            <w:hideMark/>
          </w:tcPr>
          <w:p w14:paraId="510A1FE0" w14:textId="77777777" w:rsidR="00EF6DA0" w:rsidRPr="002953D8" w:rsidRDefault="00EF6DA0" w:rsidP="00127600">
            <w:pPr>
              <w:rPr>
                <w:color w:val="auto"/>
                <w:sz w:val="20"/>
                <w:szCs w:val="20"/>
              </w:rPr>
            </w:pPr>
            <w:proofErr w:type="spellStart"/>
            <w:r w:rsidRPr="002953D8">
              <w:rPr>
                <w:color w:val="auto"/>
                <w:sz w:val="20"/>
                <w:szCs w:val="20"/>
              </w:rPr>
              <w:t>Asda</w:t>
            </w:r>
            <w:proofErr w:type="spellEnd"/>
          </w:p>
        </w:tc>
        <w:tc>
          <w:tcPr>
            <w:tcW w:w="2970" w:type="dxa"/>
            <w:hideMark/>
          </w:tcPr>
          <w:p w14:paraId="0C75C106"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Product packaging</w:t>
            </w:r>
          </w:p>
        </w:tc>
        <w:tc>
          <w:tcPr>
            <w:tcW w:w="5040" w:type="dxa"/>
            <w:hideMark/>
          </w:tcPr>
          <w:p w14:paraId="1C7AC532"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 xml:space="preserve">Beef-mince packaging reduced by 60%, removing 43 </w:t>
            </w:r>
            <w:proofErr w:type="spellStart"/>
            <w:r w:rsidRPr="002953D8">
              <w:rPr>
                <w:color w:val="auto"/>
                <w:sz w:val="20"/>
                <w:szCs w:val="20"/>
              </w:rPr>
              <w:t>tonnes</w:t>
            </w:r>
            <w:proofErr w:type="spellEnd"/>
            <w:r w:rsidRPr="002953D8">
              <w:rPr>
                <w:color w:val="auto"/>
                <w:sz w:val="20"/>
                <w:szCs w:val="20"/>
              </w:rPr>
              <w:t xml:space="preserve"> of plastic</w:t>
            </w:r>
          </w:p>
        </w:tc>
        <w:tc>
          <w:tcPr>
            <w:tcW w:w="4950" w:type="dxa"/>
            <w:hideMark/>
          </w:tcPr>
          <w:p w14:paraId="2CEBC39E"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Product-level packaging reduction</w:t>
            </w:r>
          </w:p>
        </w:tc>
        <w:tc>
          <w:tcPr>
            <w:tcW w:w="6480" w:type="dxa"/>
            <w:hideMark/>
          </w:tcPr>
          <w:p w14:paraId="6BBC3D91"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Can give a real-world example on the consumer side but cannot stand for whole-business performance.</w:t>
            </w:r>
          </w:p>
        </w:tc>
      </w:tr>
      <w:tr w:rsidR="00EF6DA0" w:rsidRPr="002953D8" w14:paraId="6F12BEBF"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2EE43B97" w14:textId="77777777" w:rsidR="00EF6DA0" w:rsidRPr="002953D8" w:rsidRDefault="00EF6DA0" w:rsidP="00127600">
            <w:pPr>
              <w:rPr>
                <w:color w:val="auto"/>
                <w:sz w:val="20"/>
                <w:szCs w:val="20"/>
              </w:rPr>
            </w:pPr>
            <w:proofErr w:type="spellStart"/>
            <w:r w:rsidRPr="002953D8">
              <w:rPr>
                <w:color w:val="auto"/>
                <w:sz w:val="20"/>
                <w:szCs w:val="20"/>
              </w:rPr>
              <w:t>Morrisons</w:t>
            </w:r>
            <w:proofErr w:type="spellEnd"/>
          </w:p>
        </w:tc>
        <w:tc>
          <w:tcPr>
            <w:tcW w:w="2970" w:type="dxa"/>
            <w:hideMark/>
          </w:tcPr>
          <w:p w14:paraId="04CEE221"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Scope 1 and 2 emissions</w:t>
            </w:r>
          </w:p>
        </w:tc>
        <w:tc>
          <w:tcPr>
            <w:tcW w:w="5040" w:type="dxa"/>
            <w:hideMark/>
          </w:tcPr>
          <w:p w14:paraId="0FC5D067"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26.75% reduction from 2019 baseline</w:t>
            </w:r>
          </w:p>
        </w:tc>
        <w:tc>
          <w:tcPr>
            <w:tcW w:w="4950" w:type="dxa"/>
            <w:hideMark/>
          </w:tcPr>
          <w:p w14:paraId="32D8ACAD"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80.6% reduction by 2035</w:t>
            </w:r>
          </w:p>
        </w:tc>
        <w:tc>
          <w:tcPr>
            <w:tcW w:w="6480" w:type="dxa"/>
            <w:hideMark/>
          </w:tcPr>
          <w:p w14:paraId="3D653799"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Offers direct comparison to targets and measurable long-term plan.</w:t>
            </w:r>
          </w:p>
        </w:tc>
      </w:tr>
      <w:tr w:rsidR="00EF6DA0" w:rsidRPr="002953D8" w14:paraId="4C63D498" w14:textId="77777777" w:rsidTr="00DA766E">
        <w:tc>
          <w:tcPr>
            <w:cnfStyle w:val="001000000000" w:firstRow="0" w:lastRow="0" w:firstColumn="1" w:lastColumn="0" w:oddVBand="0" w:evenVBand="0" w:oddHBand="0" w:evenHBand="0" w:firstRowFirstColumn="0" w:firstRowLastColumn="0" w:lastRowFirstColumn="0" w:lastRowLastColumn="0"/>
            <w:tcW w:w="1440" w:type="dxa"/>
            <w:hideMark/>
          </w:tcPr>
          <w:p w14:paraId="3D2CA13E" w14:textId="77777777" w:rsidR="00EF6DA0" w:rsidRPr="002953D8" w:rsidRDefault="00EF6DA0" w:rsidP="00127600">
            <w:pPr>
              <w:rPr>
                <w:color w:val="auto"/>
                <w:sz w:val="20"/>
                <w:szCs w:val="20"/>
              </w:rPr>
            </w:pPr>
            <w:proofErr w:type="spellStart"/>
            <w:r w:rsidRPr="002953D8">
              <w:rPr>
                <w:color w:val="auto"/>
                <w:sz w:val="20"/>
                <w:szCs w:val="20"/>
              </w:rPr>
              <w:t>Morrisons</w:t>
            </w:r>
            <w:proofErr w:type="spellEnd"/>
          </w:p>
        </w:tc>
        <w:tc>
          <w:tcPr>
            <w:tcW w:w="2970" w:type="dxa"/>
            <w:hideMark/>
          </w:tcPr>
          <w:p w14:paraId="7432AB1A"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Food waste</w:t>
            </w:r>
          </w:p>
        </w:tc>
        <w:tc>
          <w:tcPr>
            <w:tcW w:w="5040" w:type="dxa"/>
            <w:hideMark/>
          </w:tcPr>
          <w:p w14:paraId="56DAEDA5"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 xml:space="preserve">Approximately 5,000 </w:t>
            </w:r>
            <w:proofErr w:type="spellStart"/>
            <w:r w:rsidRPr="002953D8">
              <w:rPr>
                <w:color w:val="auto"/>
                <w:sz w:val="20"/>
                <w:szCs w:val="20"/>
              </w:rPr>
              <w:t>tonnes</w:t>
            </w:r>
            <w:proofErr w:type="spellEnd"/>
            <w:r w:rsidRPr="002953D8">
              <w:rPr>
                <w:color w:val="auto"/>
                <w:sz w:val="20"/>
                <w:szCs w:val="20"/>
              </w:rPr>
              <w:t xml:space="preserve"> reduced</w:t>
            </w:r>
          </w:p>
        </w:tc>
        <w:tc>
          <w:tcPr>
            <w:tcW w:w="4950" w:type="dxa"/>
            <w:hideMark/>
          </w:tcPr>
          <w:p w14:paraId="27DBADAE"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50% reduction by 2030</w:t>
            </w:r>
          </w:p>
        </w:tc>
        <w:tc>
          <w:tcPr>
            <w:tcW w:w="6480" w:type="dxa"/>
            <w:hideMark/>
          </w:tcPr>
          <w:p w14:paraId="31A2C4C7"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Shows action, but the various measurement bases make it difficult to compare actions with target results.</w:t>
            </w:r>
          </w:p>
        </w:tc>
      </w:tr>
      <w:tr w:rsidR="00EF6DA0" w:rsidRPr="002953D8" w14:paraId="46DDF3C8"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2CDF9DF1" w14:textId="77777777" w:rsidR="00EF6DA0" w:rsidRPr="002953D8" w:rsidRDefault="00EF6DA0" w:rsidP="00127600">
            <w:pPr>
              <w:rPr>
                <w:color w:val="auto"/>
                <w:sz w:val="20"/>
                <w:szCs w:val="20"/>
              </w:rPr>
            </w:pPr>
            <w:r w:rsidRPr="002953D8">
              <w:rPr>
                <w:color w:val="auto"/>
                <w:sz w:val="20"/>
                <w:szCs w:val="20"/>
              </w:rPr>
              <w:t>Sainsbury’s</w:t>
            </w:r>
          </w:p>
        </w:tc>
        <w:tc>
          <w:tcPr>
            <w:tcW w:w="2970" w:type="dxa"/>
            <w:hideMark/>
          </w:tcPr>
          <w:p w14:paraId="19BAEE69"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Operational GHG emissions</w:t>
            </w:r>
          </w:p>
        </w:tc>
        <w:tc>
          <w:tcPr>
            <w:tcW w:w="5040" w:type="dxa"/>
            <w:hideMark/>
          </w:tcPr>
          <w:p w14:paraId="3358ED0A"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53.6% reduction from 2018/19 baseline</w:t>
            </w:r>
          </w:p>
        </w:tc>
        <w:tc>
          <w:tcPr>
            <w:tcW w:w="4950" w:type="dxa"/>
            <w:hideMark/>
          </w:tcPr>
          <w:p w14:paraId="758A69A1"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68% Scope 1 and 2 reduction by 2030</w:t>
            </w:r>
          </w:p>
        </w:tc>
        <w:tc>
          <w:tcPr>
            <w:tcW w:w="6480" w:type="dxa"/>
            <w:hideMark/>
          </w:tcPr>
          <w:p w14:paraId="5A032CE3"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Indicates substantial measurable progress towards the target.</w:t>
            </w:r>
          </w:p>
        </w:tc>
      </w:tr>
      <w:tr w:rsidR="00EF6DA0" w:rsidRPr="002953D8" w14:paraId="62F20561" w14:textId="77777777" w:rsidTr="00DA766E">
        <w:tc>
          <w:tcPr>
            <w:cnfStyle w:val="001000000000" w:firstRow="0" w:lastRow="0" w:firstColumn="1" w:lastColumn="0" w:oddVBand="0" w:evenVBand="0" w:oddHBand="0" w:evenHBand="0" w:firstRowFirstColumn="0" w:firstRowLastColumn="0" w:lastRowFirstColumn="0" w:lastRowLastColumn="0"/>
            <w:tcW w:w="1440" w:type="dxa"/>
            <w:hideMark/>
          </w:tcPr>
          <w:p w14:paraId="4BDE0809" w14:textId="77777777" w:rsidR="00EF6DA0" w:rsidRPr="002953D8" w:rsidRDefault="00EF6DA0" w:rsidP="00127600">
            <w:pPr>
              <w:rPr>
                <w:color w:val="auto"/>
                <w:sz w:val="20"/>
                <w:szCs w:val="20"/>
              </w:rPr>
            </w:pPr>
            <w:r w:rsidRPr="002953D8">
              <w:rPr>
                <w:color w:val="auto"/>
                <w:sz w:val="20"/>
                <w:szCs w:val="20"/>
              </w:rPr>
              <w:t>Sainsbury’s</w:t>
            </w:r>
          </w:p>
        </w:tc>
        <w:tc>
          <w:tcPr>
            <w:tcW w:w="2970" w:type="dxa"/>
            <w:hideMark/>
          </w:tcPr>
          <w:p w14:paraId="1FE72CF2"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Scope 3 supplier engagement</w:t>
            </w:r>
          </w:p>
        </w:tc>
        <w:tc>
          <w:tcPr>
            <w:tcW w:w="5040" w:type="dxa"/>
            <w:hideMark/>
          </w:tcPr>
          <w:p w14:paraId="02B3F411"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 xml:space="preserve">51.6% of Scope 3 emissions linked to suppliers with </w:t>
            </w:r>
            <w:proofErr w:type="spellStart"/>
            <w:r w:rsidRPr="002953D8">
              <w:rPr>
                <w:color w:val="auto"/>
                <w:sz w:val="20"/>
                <w:szCs w:val="20"/>
              </w:rPr>
              <w:t>SBTi</w:t>
            </w:r>
            <w:proofErr w:type="spellEnd"/>
            <w:r w:rsidRPr="002953D8">
              <w:rPr>
                <w:color w:val="auto"/>
                <w:sz w:val="20"/>
                <w:szCs w:val="20"/>
              </w:rPr>
              <w:t>-approved 1.5°C-aligned targets</w:t>
            </w:r>
          </w:p>
        </w:tc>
        <w:tc>
          <w:tcPr>
            <w:tcW w:w="4950" w:type="dxa"/>
            <w:hideMark/>
          </w:tcPr>
          <w:p w14:paraId="4CA6F3D6"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 xml:space="preserve">Supply-chain </w:t>
            </w:r>
            <w:proofErr w:type="spellStart"/>
            <w:r w:rsidRPr="002953D8">
              <w:rPr>
                <w:color w:val="auto"/>
                <w:sz w:val="20"/>
                <w:szCs w:val="20"/>
              </w:rPr>
              <w:t>decarbonisation</w:t>
            </w:r>
            <w:proofErr w:type="spellEnd"/>
            <w:r w:rsidRPr="002953D8">
              <w:rPr>
                <w:color w:val="auto"/>
                <w:sz w:val="20"/>
                <w:szCs w:val="20"/>
              </w:rPr>
              <w:t xml:space="preserve"> </w:t>
            </w:r>
            <w:proofErr w:type="spellStart"/>
            <w:r w:rsidRPr="002953D8">
              <w:rPr>
                <w:color w:val="auto"/>
                <w:sz w:val="20"/>
                <w:szCs w:val="20"/>
              </w:rPr>
              <w:t>programme</w:t>
            </w:r>
            <w:proofErr w:type="spellEnd"/>
          </w:p>
        </w:tc>
        <w:tc>
          <w:tcPr>
            <w:tcW w:w="6480" w:type="dxa"/>
            <w:hideMark/>
          </w:tcPr>
          <w:p w14:paraId="3BE53369"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Demonstrates implementation beyond direct operations.</w:t>
            </w:r>
          </w:p>
        </w:tc>
      </w:tr>
      <w:tr w:rsidR="00EF6DA0" w:rsidRPr="002953D8" w14:paraId="0000CC9C"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79C549F4" w14:textId="77777777" w:rsidR="00EF6DA0" w:rsidRPr="002953D8" w:rsidRDefault="00EF6DA0" w:rsidP="00127600">
            <w:pPr>
              <w:rPr>
                <w:color w:val="auto"/>
                <w:sz w:val="20"/>
                <w:szCs w:val="20"/>
              </w:rPr>
            </w:pPr>
            <w:r w:rsidRPr="002953D8">
              <w:rPr>
                <w:color w:val="auto"/>
                <w:sz w:val="20"/>
                <w:szCs w:val="20"/>
              </w:rPr>
              <w:t>Sainsbury’s</w:t>
            </w:r>
          </w:p>
        </w:tc>
        <w:tc>
          <w:tcPr>
            <w:tcW w:w="2970" w:type="dxa"/>
            <w:hideMark/>
          </w:tcPr>
          <w:p w14:paraId="20B30F2D"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Food redistribution</w:t>
            </w:r>
          </w:p>
        </w:tc>
        <w:tc>
          <w:tcPr>
            <w:tcW w:w="5040" w:type="dxa"/>
            <w:hideMark/>
          </w:tcPr>
          <w:p w14:paraId="1059FCCE"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26.8 million meals donated</w:t>
            </w:r>
          </w:p>
        </w:tc>
        <w:tc>
          <w:tcPr>
            <w:tcW w:w="4950" w:type="dxa"/>
            <w:hideMark/>
          </w:tcPr>
          <w:p w14:paraId="67441AF0"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Food-waste and redistribution commitments</w:t>
            </w:r>
          </w:p>
        </w:tc>
        <w:tc>
          <w:tcPr>
            <w:tcW w:w="6480" w:type="dxa"/>
            <w:hideMark/>
          </w:tcPr>
          <w:p w14:paraId="3ACA5A8E"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Provides measurable evidence of practical implementation.</w:t>
            </w:r>
          </w:p>
        </w:tc>
      </w:tr>
      <w:tr w:rsidR="00EF6DA0" w:rsidRPr="002953D8" w14:paraId="29CA9538" w14:textId="77777777" w:rsidTr="00DA766E">
        <w:tc>
          <w:tcPr>
            <w:cnfStyle w:val="001000000000" w:firstRow="0" w:lastRow="0" w:firstColumn="1" w:lastColumn="0" w:oddVBand="0" w:evenVBand="0" w:oddHBand="0" w:evenHBand="0" w:firstRowFirstColumn="0" w:firstRowLastColumn="0" w:lastRowFirstColumn="0" w:lastRowLastColumn="0"/>
            <w:tcW w:w="1440" w:type="dxa"/>
            <w:hideMark/>
          </w:tcPr>
          <w:p w14:paraId="39B63A0A" w14:textId="77777777" w:rsidR="00EF6DA0" w:rsidRPr="002953D8" w:rsidRDefault="00EF6DA0" w:rsidP="00127600">
            <w:pPr>
              <w:rPr>
                <w:color w:val="auto"/>
                <w:sz w:val="20"/>
                <w:szCs w:val="20"/>
              </w:rPr>
            </w:pPr>
            <w:r w:rsidRPr="002953D8">
              <w:rPr>
                <w:color w:val="auto"/>
                <w:sz w:val="20"/>
                <w:szCs w:val="20"/>
              </w:rPr>
              <w:t>Sainsbury’s</w:t>
            </w:r>
          </w:p>
        </w:tc>
        <w:tc>
          <w:tcPr>
            <w:tcW w:w="2970" w:type="dxa"/>
            <w:hideMark/>
          </w:tcPr>
          <w:p w14:paraId="1EDD6269"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Food waste</w:t>
            </w:r>
          </w:p>
        </w:tc>
        <w:tc>
          <w:tcPr>
            <w:tcW w:w="5040" w:type="dxa"/>
            <w:hideMark/>
          </w:tcPr>
          <w:p w14:paraId="2E151011"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 xml:space="preserve">11,030 </w:t>
            </w:r>
            <w:proofErr w:type="spellStart"/>
            <w:r w:rsidRPr="002953D8">
              <w:rPr>
                <w:color w:val="auto"/>
                <w:sz w:val="20"/>
                <w:szCs w:val="20"/>
              </w:rPr>
              <w:t>tonnes</w:t>
            </w:r>
            <w:proofErr w:type="spellEnd"/>
            <w:r w:rsidRPr="002953D8">
              <w:rPr>
                <w:color w:val="auto"/>
                <w:sz w:val="20"/>
                <w:szCs w:val="20"/>
              </w:rPr>
              <w:t xml:space="preserve"> of food waste avoided</w:t>
            </w:r>
          </w:p>
        </w:tc>
        <w:tc>
          <w:tcPr>
            <w:tcW w:w="4950" w:type="dxa"/>
            <w:hideMark/>
          </w:tcPr>
          <w:p w14:paraId="79161F4F"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Food-waste reduction commitment</w:t>
            </w:r>
          </w:p>
        </w:tc>
        <w:tc>
          <w:tcPr>
            <w:tcW w:w="6480" w:type="dxa"/>
            <w:hideMark/>
          </w:tcPr>
          <w:p w14:paraId="60BC104F"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Supports evidence of operational action.</w:t>
            </w:r>
          </w:p>
        </w:tc>
      </w:tr>
      <w:tr w:rsidR="00EF6DA0" w:rsidRPr="002953D8" w14:paraId="3B1AE05A" w14:textId="77777777" w:rsidTr="00DA76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5BCB5C1C" w14:textId="77777777" w:rsidR="00EF6DA0" w:rsidRPr="002953D8" w:rsidRDefault="00EF6DA0" w:rsidP="00127600">
            <w:pPr>
              <w:rPr>
                <w:color w:val="auto"/>
                <w:sz w:val="20"/>
                <w:szCs w:val="20"/>
              </w:rPr>
            </w:pPr>
            <w:r w:rsidRPr="002953D8">
              <w:rPr>
                <w:color w:val="auto"/>
                <w:sz w:val="20"/>
                <w:szCs w:val="20"/>
              </w:rPr>
              <w:t>Sainsbury’s</w:t>
            </w:r>
          </w:p>
        </w:tc>
        <w:tc>
          <w:tcPr>
            <w:tcW w:w="2970" w:type="dxa"/>
            <w:hideMark/>
          </w:tcPr>
          <w:p w14:paraId="2399850D"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Plastic packaging</w:t>
            </w:r>
          </w:p>
        </w:tc>
        <w:tc>
          <w:tcPr>
            <w:tcW w:w="5040" w:type="dxa"/>
            <w:hideMark/>
          </w:tcPr>
          <w:p w14:paraId="53920642"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17.9% reduction</w:t>
            </w:r>
          </w:p>
        </w:tc>
        <w:tc>
          <w:tcPr>
            <w:tcW w:w="4950" w:type="dxa"/>
            <w:hideMark/>
          </w:tcPr>
          <w:p w14:paraId="2406F735"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Packaging-reduction commitments</w:t>
            </w:r>
          </w:p>
        </w:tc>
        <w:tc>
          <w:tcPr>
            <w:tcW w:w="6480" w:type="dxa"/>
            <w:hideMark/>
          </w:tcPr>
          <w:p w14:paraId="3A466EF1" w14:textId="77777777" w:rsidR="00EF6DA0" w:rsidRPr="002953D8" w:rsidRDefault="00EF6DA0" w:rsidP="00127600">
            <w:pPr>
              <w:cnfStyle w:val="000000100000" w:firstRow="0" w:lastRow="0" w:firstColumn="0" w:lastColumn="0" w:oddVBand="0" w:evenVBand="0" w:oddHBand="1" w:evenHBand="0" w:firstRowFirstColumn="0" w:firstRowLastColumn="0" w:lastRowFirstColumn="0" w:lastRowLastColumn="0"/>
              <w:rPr>
                <w:color w:val="auto"/>
                <w:sz w:val="20"/>
                <w:szCs w:val="20"/>
              </w:rPr>
            </w:pPr>
            <w:r w:rsidRPr="002953D8">
              <w:rPr>
                <w:color w:val="auto"/>
                <w:sz w:val="20"/>
                <w:szCs w:val="20"/>
              </w:rPr>
              <w:t>Shows progress while Chapter 4 also identifies packaging underperformance.</w:t>
            </w:r>
          </w:p>
        </w:tc>
      </w:tr>
      <w:tr w:rsidR="00EF6DA0" w:rsidRPr="002953D8" w14:paraId="2F2EDC23" w14:textId="77777777" w:rsidTr="00DA766E">
        <w:tc>
          <w:tcPr>
            <w:cnfStyle w:val="001000000000" w:firstRow="0" w:lastRow="0" w:firstColumn="1" w:lastColumn="0" w:oddVBand="0" w:evenVBand="0" w:oddHBand="0" w:evenHBand="0" w:firstRowFirstColumn="0" w:firstRowLastColumn="0" w:lastRowFirstColumn="0" w:lastRowLastColumn="0"/>
            <w:tcW w:w="1440" w:type="dxa"/>
            <w:hideMark/>
          </w:tcPr>
          <w:p w14:paraId="111DBD81" w14:textId="77777777" w:rsidR="00EF6DA0" w:rsidRPr="002953D8" w:rsidRDefault="00EF6DA0" w:rsidP="00127600">
            <w:pPr>
              <w:rPr>
                <w:color w:val="auto"/>
                <w:sz w:val="20"/>
                <w:szCs w:val="20"/>
              </w:rPr>
            </w:pPr>
            <w:r w:rsidRPr="002953D8">
              <w:rPr>
                <w:color w:val="auto"/>
                <w:sz w:val="20"/>
                <w:szCs w:val="20"/>
              </w:rPr>
              <w:t>Sainsbury’s</w:t>
            </w:r>
          </w:p>
        </w:tc>
        <w:tc>
          <w:tcPr>
            <w:tcW w:w="2970" w:type="dxa"/>
            <w:hideMark/>
          </w:tcPr>
          <w:p w14:paraId="3CFBCB6A"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Recycled content</w:t>
            </w:r>
          </w:p>
        </w:tc>
        <w:tc>
          <w:tcPr>
            <w:tcW w:w="5040" w:type="dxa"/>
            <w:hideMark/>
          </w:tcPr>
          <w:p w14:paraId="22B77B46"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23% recycled content</w:t>
            </w:r>
          </w:p>
        </w:tc>
        <w:tc>
          <w:tcPr>
            <w:tcW w:w="4950" w:type="dxa"/>
            <w:hideMark/>
          </w:tcPr>
          <w:p w14:paraId="7400F721"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Packaging sustainability commitments</w:t>
            </w:r>
          </w:p>
        </w:tc>
        <w:tc>
          <w:tcPr>
            <w:tcW w:w="6480" w:type="dxa"/>
            <w:hideMark/>
          </w:tcPr>
          <w:p w14:paraId="6415B0DC" w14:textId="77777777" w:rsidR="00EF6DA0" w:rsidRPr="002953D8" w:rsidRDefault="00EF6DA0" w:rsidP="00127600">
            <w:pPr>
              <w:cnfStyle w:val="000000000000" w:firstRow="0" w:lastRow="0" w:firstColumn="0" w:lastColumn="0" w:oddVBand="0" w:evenVBand="0" w:oddHBand="0" w:evenHBand="0" w:firstRowFirstColumn="0" w:firstRowLastColumn="0" w:lastRowFirstColumn="0" w:lastRowLastColumn="0"/>
              <w:rPr>
                <w:color w:val="auto"/>
                <w:sz w:val="20"/>
                <w:szCs w:val="20"/>
              </w:rPr>
            </w:pPr>
            <w:r w:rsidRPr="002953D8">
              <w:rPr>
                <w:color w:val="auto"/>
                <w:sz w:val="20"/>
                <w:szCs w:val="20"/>
              </w:rPr>
              <w:t>Provides measurable progress, but shows uneven performance throughout environmental groups.</w:t>
            </w:r>
          </w:p>
        </w:tc>
      </w:tr>
    </w:tbl>
    <w:p w14:paraId="6DE14D90" w14:textId="77777777" w:rsidR="00653248" w:rsidRPr="008202AE" w:rsidRDefault="00653248" w:rsidP="008202AE"/>
    <w:p w14:paraId="0C6CEFEC" w14:textId="77777777" w:rsidR="002953D8" w:rsidRDefault="002953D8">
      <w:pPr>
        <w:widowControl/>
        <w:autoSpaceDE/>
        <w:autoSpaceDN/>
        <w:spacing w:after="160" w:line="259" w:lineRule="auto"/>
        <w:jc w:val="left"/>
        <w:rPr>
          <w:rFonts w:eastAsia="Times New Roman" w:cs="Times New Roman"/>
          <w:b/>
          <w:bCs/>
          <w:i/>
          <w:sz w:val="28"/>
          <w:szCs w:val="36"/>
        </w:rPr>
      </w:pPr>
      <w:bookmarkStart w:id="194" w:name="_Toc238719994"/>
      <w:r>
        <w:br w:type="page"/>
      </w:r>
    </w:p>
    <w:p w14:paraId="7146BE58" w14:textId="6DBD2623" w:rsidR="00DA766E" w:rsidRPr="00DD221C" w:rsidRDefault="00DA766E" w:rsidP="00DA766E">
      <w:pPr>
        <w:pStyle w:val="Heading2"/>
      </w:pPr>
      <w:bookmarkStart w:id="195" w:name="_Toc239795108"/>
      <w:r w:rsidRPr="00DD221C">
        <w:lastRenderedPageBreak/>
        <w:t xml:space="preserve">Appendix </w:t>
      </w:r>
      <w:r>
        <w:t>E</w:t>
      </w:r>
      <w:r w:rsidRPr="00DD221C">
        <w:t>: Cross-Case Discussion Synthesis Matrix</w:t>
      </w:r>
      <w:bookmarkEnd w:id="194"/>
      <w:bookmarkEnd w:id="195"/>
    </w:p>
    <w:p w14:paraId="4F1E41BE" w14:textId="68DC54CA" w:rsidR="00AB4680" w:rsidRDefault="00AB4680" w:rsidP="00AB4680">
      <w:pPr>
        <w:pStyle w:val="Caption"/>
        <w:keepNext/>
      </w:pPr>
      <w:bookmarkStart w:id="196" w:name="_Toc239794903"/>
      <w:r>
        <w:t xml:space="preserve">Table </w:t>
      </w:r>
      <w:r>
        <w:fldChar w:fldCharType="begin"/>
      </w:r>
      <w:r>
        <w:instrText xml:space="preserve"> SEQ Table \* ARABIC </w:instrText>
      </w:r>
      <w:r>
        <w:fldChar w:fldCharType="separate"/>
      </w:r>
      <w:r>
        <w:rPr>
          <w:noProof/>
        </w:rPr>
        <w:t>11</w:t>
      </w:r>
      <w:r>
        <w:rPr>
          <w:noProof/>
        </w:rPr>
        <w:fldChar w:fldCharType="end"/>
      </w:r>
      <w:r>
        <w:t xml:space="preserve">: </w:t>
      </w:r>
      <w:r w:rsidRPr="00F84154">
        <w:t>Cross-Case Discussion Synthesis Matrix</w:t>
      </w:r>
      <w:bookmarkEnd w:id="196"/>
    </w:p>
    <w:tbl>
      <w:tblPr>
        <w:tblStyle w:val="GridTable6ColourfulAccent1"/>
        <w:tblW w:w="0" w:type="auto"/>
        <w:tblLook w:val="04A0" w:firstRow="1" w:lastRow="0" w:firstColumn="1" w:lastColumn="0" w:noHBand="0" w:noVBand="1"/>
      </w:tblPr>
      <w:tblGrid>
        <w:gridCol w:w="2150"/>
        <w:gridCol w:w="3065"/>
        <w:gridCol w:w="3060"/>
        <w:gridCol w:w="3060"/>
        <w:gridCol w:w="2700"/>
        <w:gridCol w:w="2430"/>
        <w:gridCol w:w="4456"/>
      </w:tblGrid>
      <w:tr w:rsidR="00DA766E" w:rsidRPr="002953D8" w14:paraId="68588BC8" w14:textId="77777777" w:rsidTr="001276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0" w:type="dxa"/>
            <w:hideMark/>
          </w:tcPr>
          <w:p w14:paraId="42013592" w14:textId="77777777" w:rsidR="00DA766E" w:rsidRPr="002953D8" w:rsidRDefault="00DA766E" w:rsidP="00127600">
            <w:pPr>
              <w:rPr>
                <w:color w:val="auto"/>
                <w:sz w:val="18"/>
                <w:szCs w:val="18"/>
              </w:rPr>
            </w:pPr>
            <w:r w:rsidRPr="002953D8">
              <w:rPr>
                <w:color w:val="auto"/>
                <w:sz w:val="18"/>
                <w:szCs w:val="18"/>
              </w:rPr>
              <w:t>Analytical Theme</w:t>
            </w:r>
          </w:p>
        </w:tc>
        <w:tc>
          <w:tcPr>
            <w:tcW w:w="3065" w:type="dxa"/>
            <w:hideMark/>
          </w:tcPr>
          <w:p w14:paraId="437108C4" w14:textId="77777777" w:rsidR="00DA766E" w:rsidRPr="002953D8" w:rsidRDefault="00DA766E" w:rsidP="00127600">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M&amp;S</w:t>
            </w:r>
          </w:p>
        </w:tc>
        <w:tc>
          <w:tcPr>
            <w:tcW w:w="3060" w:type="dxa"/>
            <w:hideMark/>
          </w:tcPr>
          <w:p w14:paraId="626A222A" w14:textId="77777777" w:rsidR="00DA766E" w:rsidRPr="002953D8" w:rsidRDefault="00DA766E" w:rsidP="00127600">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Tesco</w:t>
            </w:r>
          </w:p>
        </w:tc>
        <w:tc>
          <w:tcPr>
            <w:tcW w:w="3060" w:type="dxa"/>
            <w:hideMark/>
          </w:tcPr>
          <w:p w14:paraId="1CAD92BB" w14:textId="77777777" w:rsidR="00DA766E" w:rsidRPr="002953D8" w:rsidRDefault="00DA766E" w:rsidP="00127600">
            <w:pPr>
              <w:cnfStyle w:val="100000000000" w:firstRow="1" w:lastRow="0" w:firstColumn="0" w:lastColumn="0" w:oddVBand="0" w:evenVBand="0" w:oddHBand="0" w:evenHBand="0" w:firstRowFirstColumn="0" w:firstRowLastColumn="0" w:lastRowFirstColumn="0" w:lastRowLastColumn="0"/>
              <w:rPr>
                <w:color w:val="auto"/>
                <w:sz w:val="18"/>
                <w:szCs w:val="18"/>
              </w:rPr>
            </w:pPr>
            <w:proofErr w:type="spellStart"/>
            <w:r w:rsidRPr="002953D8">
              <w:rPr>
                <w:color w:val="auto"/>
                <w:sz w:val="18"/>
                <w:szCs w:val="18"/>
              </w:rPr>
              <w:t>Asda</w:t>
            </w:r>
            <w:proofErr w:type="spellEnd"/>
          </w:p>
        </w:tc>
        <w:tc>
          <w:tcPr>
            <w:tcW w:w="2700" w:type="dxa"/>
            <w:hideMark/>
          </w:tcPr>
          <w:p w14:paraId="49E2D1DF" w14:textId="77777777" w:rsidR="00DA766E" w:rsidRPr="002953D8" w:rsidRDefault="00DA766E" w:rsidP="00127600">
            <w:pPr>
              <w:cnfStyle w:val="100000000000" w:firstRow="1" w:lastRow="0" w:firstColumn="0" w:lastColumn="0" w:oddVBand="0" w:evenVBand="0" w:oddHBand="0" w:evenHBand="0" w:firstRowFirstColumn="0" w:firstRowLastColumn="0" w:lastRowFirstColumn="0" w:lastRowLastColumn="0"/>
              <w:rPr>
                <w:color w:val="auto"/>
                <w:sz w:val="18"/>
                <w:szCs w:val="18"/>
              </w:rPr>
            </w:pPr>
            <w:proofErr w:type="spellStart"/>
            <w:r w:rsidRPr="002953D8">
              <w:rPr>
                <w:color w:val="auto"/>
                <w:sz w:val="18"/>
                <w:szCs w:val="18"/>
              </w:rPr>
              <w:t>Morrisons</w:t>
            </w:r>
            <w:proofErr w:type="spellEnd"/>
          </w:p>
        </w:tc>
        <w:tc>
          <w:tcPr>
            <w:tcW w:w="2430" w:type="dxa"/>
            <w:hideMark/>
          </w:tcPr>
          <w:p w14:paraId="1D9A2BDC" w14:textId="77777777" w:rsidR="00DA766E" w:rsidRPr="002953D8" w:rsidRDefault="00DA766E" w:rsidP="00127600">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Sainsbury’s</w:t>
            </w:r>
          </w:p>
        </w:tc>
        <w:tc>
          <w:tcPr>
            <w:tcW w:w="4456" w:type="dxa"/>
            <w:hideMark/>
          </w:tcPr>
          <w:p w14:paraId="3E915437" w14:textId="77777777" w:rsidR="00DA766E" w:rsidRPr="002953D8" w:rsidRDefault="00DA766E" w:rsidP="00127600">
            <w:pPr>
              <w:cnfStyle w:val="100000000000" w:firstRow="1"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Critical Cross-Case Interpretation</w:t>
            </w:r>
          </w:p>
        </w:tc>
      </w:tr>
      <w:tr w:rsidR="00DA766E" w:rsidRPr="002953D8" w14:paraId="0FBFC1EF" w14:textId="77777777" w:rsidTr="00127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0" w:type="dxa"/>
            <w:hideMark/>
          </w:tcPr>
          <w:p w14:paraId="27F774A3" w14:textId="77777777" w:rsidR="00DA766E" w:rsidRPr="002953D8" w:rsidRDefault="00DA766E" w:rsidP="00127600">
            <w:pPr>
              <w:rPr>
                <w:color w:val="auto"/>
                <w:sz w:val="18"/>
                <w:szCs w:val="18"/>
              </w:rPr>
            </w:pPr>
            <w:r w:rsidRPr="002953D8">
              <w:rPr>
                <w:color w:val="auto"/>
                <w:sz w:val="18"/>
                <w:szCs w:val="18"/>
              </w:rPr>
              <w:t>Claim clarity</w:t>
            </w:r>
          </w:p>
        </w:tc>
        <w:tc>
          <w:tcPr>
            <w:tcW w:w="3065" w:type="dxa"/>
            <w:hideMark/>
          </w:tcPr>
          <w:p w14:paraId="5B426A27"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Plan A displays an easily identifiable sustainability strategy, with clear sustainability goals and reporting.</w:t>
            </w:r>
          </w:p>
        </w:tc>
        <w:tc>
          <w:tcPr>
            <w:tcW w:w="3060" w:type="dxa"/>
            <w:hideMark/>
          </w:tcPr>
          <w:p w14:paraId="1DEF4B50"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Environmental pillars and quantified commitments are fairly well communicated.</w:t>
            </w:r>
          </w:p>
        </w:tc>
        <w:tc>
          <w:tcPr>
            <w:tcW w:w="3060" w:type="dxa"/>
            <w:hideMark/>
          </w:tcPr>
          <w:p w14:paraId="0028FA2F"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Product and/or operational claims can be specific and easily understood.</w:t>
            </w:r>
          </w:p>
        </w:tc>
        <w:tc>
          <w:tcPr>
            <w:tcW w:w="2700" w:type="dxa"/>
            <w:hideMark/>
          </w:tcPr>
          <w:p w14:paraId="3F128071"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Quantified sustainability targets are available, although information is dispersed.</w:t>
            </w:r>
          </w:p>
        </w:tc>
        <w:tc>
          <w:tcPr>
            <w:tcW w:w="2430" w:type="dxa"/>
            <w:hideMark/>
          </w:tcPr>
          <w:p w14:paraId="43D63EB3"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Plan for Better offers a clear plan and specific commitments.</w:t>
            </w:r>
          </w:p>
        </w:tc>
        <w:tc>
          <w:tcPr>
            <w:tcW w:w="4456" w:type="dxa"/>
            <w:hideMark/>
          </w:tcPr>
          <w:p w14:paraId="0D30447A"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Ambitions for sustainability on a broad level are more likely to be accompanied by clarity of scope, targets and timeframe when clearly defined. However, individual claims should not be extrapolated to be evidence of sustainable performance of the whole business.</w:t>
            </w:r>
          </w:p>
        </w:tc>
      </w:tr>
      <w:tr w:rsidR="00DA766E" w:rsidRPr="002953D8" w14:paraId="6EF5FEFF" w14:textId="77777777" w:rsidTr="00127600">
        <w:tc>
          <w:tcPr>
            <w:cnfStyle w:val="001000000000" w:firstRow="0" w:lastRow="0" w:firstColumn="1" w:lastColumn="0" w:oddVBand="0" w:evenVBand="0" w:oddHBand="0" w:evenHBand="0" w:firstRowFirstColumn="0" w:firstRowLastColumn="0" w:lastRowFirstColumn="0" w:lastRowLastColumn="0"/>
            <w:tcW w:w="2150" w:type="dxa"/>
            <w:hideMark/>
          </w:tcPr>
          <w:p w14:paraId="4A7F977C" w14:textId="77777777" w:rsidR="00DA766E" w:rsidRPr="002953D8" w:rsidRDefault="00DA766E" w:rsidP="00127600">
            <w:pPr>
              <w:rPr>
                <w:color w:val="auto"/>
                <w:sz w:val="18"/>
                <w:szCs w:val="18"/>
              </w:rPr>
            </w:pPr>
            <w:r w:rsidRPr="002953D8">
              <w:rPr>
                <w:color w:val="auto"/>
                <w:sz w:val="18"/>
                <w:szCs w:val="18"/>
              </w:rPr>
              <w:t>Evidence and substantiation quality</w:t>
            </w:r>
          </w:p>
        </w:tc>
        <w:tc>
          <w:tcPr>
            <w:tcW w:w="3065" w:type="dxa"/>
            <w:hideMark/>
          </w:tcPr>
          <w:p w14:paraId="1BE34997"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 xml:space="preserve">Performance varies and there is a good amount of evidence including KPIs, </w:t>
            </w:r>
            <w:proofErr w:type="spellStart"/>
            <w:r w:rsidRPr="002953D8">
              <w:rPr>
                <w:color w:val="auto"/>
                <w:sz w:val="18"/>
                <w:szCs w:val="18"/>
              </w:rPr>
              <w:t>SBTi</w:t>
            </w:r>
            <w:proofErr w:type="spellEnd"/>
            <w:r w:rsidRPr="002953D8">
              <w:rPr>
                <w:color w:val="auto"/>
                <w:sz w:val="18"/>
                <w:szCs w:val="18"/>
              </w:rPr>
              <w:t>-related targets, implementation mechanisms and measurable outcomes.</w:t>
            </w:r>
          </w:p>
        </w:tc>
        <w:tc>
          <w:tcPr>
            <w:tcW w:w="3060" w:type="dxa"/>
            <w:hideMark/>
          </w:tcPr>
          <w:p w14:paraId="798ADBA7"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There are good measurement systems, reporting and disclosure of progress that give a considerable degree of verification and measurement issues are also apparent.</w:t>
            </w:r>
          </w:p>
        </w:tc>
        <w:tc>
          <w:tcPr>
            <w:tcW w:w="3060" w:type="dxa"/>
            <w:hideMark/>
          </w:tcPr>
          <w:p w14:paraId="5F197F8A"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 xml:space="preserve">Specific examples such as packaging reduction demonstrate evidence for specific initiatives but less for </w:t>
            </w:r>
            <w:proofErr w:type="spellStart"/>
            <w:r w:rsidRPr="002953D8">
              <w:rPr>
                <w:color w:val="auto"/>
                <w:sz w:val="18"/>
                <w:szCs w:val="18"/>
              </w:rPr>
              <w:t>organisation</w:t>
            </w:r>
            <w:proofErr w:type="spellEnd"/>
            <w:r w:rsidRPr="002953D8">
              <w:rPr>
                <w:color w:val="auto"/>
                <w:sz w:val="18"/>
                <w:szCs w:val="18"/>
              </w:rPr>
              <w:t xml:space="preserve"> performance.</w:t>
            </w:r>
          </w:p>
        </w:tc>
        <w:tc>
          <w:tcPr>
            <w:tcW w:w="2700" w:type="dxa"/>
            <w:hideMark/>
          </w:tcPr>
          <w:p w14:paraId="703EC44C"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While there are measurable emissions and food waste projects, there is some lack of comparability due to different measurement bases.</w:t>
            </w:r>
          </w:p>
        </w:tc>
        <w:tc>
          <w:tcPr>
            <w:tcW w:w="2430" w:type="dxa"/>
            <w:hideMark/>
          </w:tcPr>
          <w:p w14:paraId="32FD786B"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The use of performance indicators and supplier-engagement evidence to support several sustainability claims.</w:t>
            </w:r>
          </w:p>
        </w:tc>
        <w:tc>
          <w:tcPr>
            <w:tcW w:w="4456" w:type="dxa"/>
            <w:hideMark/>
          </w:tcPr>
          <w:p w14:paraId="41016E6C"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Strong substantiation is not ensured by the level of quantification. Evidence is more credible when it matches the scope of the sustainability claim.</w:t>
            </w:r>
          </w:p>
        </w:tc>
      </w:tr>
      <w:tr w:rsidR="00DA766E" w:rsidRPr="002953D8" w14:paraId="6BB154A2" w14:textId="77777777" w:rsidTr="00127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0" w:type="dxa"/>
            <w:hideMark/>
          </w:tcPr>
          <w:p w14:paraId="6E446DB3" w14:textId="77777777" w:rsidR="00DA766E" w:rsidRPr="002953D8" w:rsidRDefault="00DA766E" w:rsidP="00127600">
            <w:pPr>
              <w:rPr>
                <w:color w:val="auto"/>
                <w:sz w:val="18"/>
                <w:szCs w:val="18"/>
              </w:rPr>
            </w:pPr>
            <w:r w:rsidRPr="002953D8">
              <w:rPr>
                <w:color w:val="auto"/>
                <w:sz w:val="18"/>
                <w:szCs w:val="18"/>
              </w:rPr>
              <w:t>Transparency and disclosure of underperformance</w:t>
            </w:r>
          </w:p>
        </w:tc>
        <w:tc>
          <w:tcPr>
            <w:tcW w:w="3065" w:type="dxa"/>
            <w:hideMark/>
          </w:tcPr>
          <w:p w14:paraId="52316FFA"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There are signs of improvement in areas where progress has not been as strong as desired, such as food-waste progress, as well as areas of success.</w:t>
            </w:r>
          </w:p>
        </w:tc>
        <w:tc>
          <w:tcPr>
            <w:tcW w:w="3060" w:type="dxa"/>
            <w:hideMark/>
          </w:tcPr>
          <w:p w14:paraId="4DA19EB7"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Missed food-waste performance and measurement issues are acknowledged.</w:t>
            </w:r>
          </w:p>
        </w:tc>
        <w:tc>
          <w:tcPr>
            <w:tcW w:w="3060" w:type="dxa"/>
            <w:hideMark/>
          </w:tcPr>
          <w:p w14:paraId="4C52A49A"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Positive outcomes are more evident than desired outcomes that are not achieved or gaps in the target.</w:t>
            </w:r>
          </w:p>
        </w:tc>
        <w:tc>
          <w:tcPr>
            <w:tcW w:w="2700" w:type="dxa"/>
            <w:hideMark/>
          </w:tcPr>
          <w:p w14:paraId="198184C9"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There is measurable progress, but the limitations are not as well woven throughout the sources.</w:t>
            </w:r>
          </w:p>
        </w:tc>
        <w:tc>
          <w:tcPr>
            <w:tcW w:w="2430" w:type="dxa"/>
            <w:hideMark/>
          </w:tcPr>
          <w:p w14:paraId="18CFC885"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Reporting of packaging shortfalls and inequities is apparent.</w:t>
            </w:r>
          </w:p>
        </w:tc>
        <w:tc>
          <w:tcPr>
            <w:tcW w:w="4456" w:type="dxa"/>
            <w:hideMark/>
          </w:tcPr>
          <w:p w14:paraId="764C6450"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M&amp;S, Tesco and Sainsbury's show that when they disclosed under-performance, it improves the credibility of the communicator. Transparency should thus mean a balanced disclosure, but not necessarily a positive disclosure.</w:t>
            </w:r>
          </w:p>
        </w:tc>
      </w:tr>
      <w:tr w:rsidR="00DA766E" w:rsidRPr="002953D8" w14:paraId="052D6540" w14:textId="77777777" w:rsidTr="00127600">
        <w:tc>
          <w:tcPr>
            <w:cnfStyle w:val="001000000000" w:firstRow="0" w:lastRow="0" w:firstColumn="1" w:lastColumn="0" w:oddVBand="0" w:evenVBand="0" w:oddHBand="0" w:evenHBand="0" w:firstRowFirstColumn="0" w:firstRowLastColumn="0" w:lastRowFirstColumn="0" w:lastRowLastColumn="0"/>
            <w:tcW w:w="2150" w:type="dxa"/>
            <w:hideMark/>
          </w:tcPr>
          <w:p w14:paraId="0D08C98F" w14:textId="77777777" w:rsidR="00DA766E" w:rsidRPr="002953D8" w:rsidRDefault="00DA766E" w:rsidP="00127600">
            <w:pPr>
              <w:rPr>
                <w:color w:val="auto"/>
                <w:sz w:val="18"/>
                <w:szCs w:val="18"/>
              </w:rPr>
            </w:pPr>
            <w:r w:rsidRPr="002953D8">
              <w:rPr>
                <w:color w:val="auto"/>
                <w:sz w:val="18"/>
                <w:szCs w:val="18"/>
              </w:rPr>
              <w:t>Cross-channel consistency and accessibility</w:t>
            </w:r>
          </w:p>
        </w:tc>
        <w:tc>
          <w:tcPr>
            <w:tcW w:w="3065" w:type="dxa"/>
            <w:hideMark/>
          </w:tcPr>
          <w:p w14:paraId="25292C6C"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There is comparatively integrated evidence with Plan A and company reports.</w:t>
            </w:r>
          </w:p>
        </w:tc>
        <w:tc>
          <w:tcPr>
            <w:tcW w:w="3060" w:type="dxa"/>
            <w:hideMark/>
          </w:tcPr>
          <w:p w14:paraId="3799EAED"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Reporting is detailed and relatively well integrated; may be difficult for some to access due to technical complexity.</w:t>
            </w:r>
          </w:p>
        </w:tc>
        <w:tc>
          <w:tcPr>
            <w:tcW w:w="3060" w:type="dxa"/>
            <w:hideMark/>
          </w:tcPr>
          <w:p w14:paraId="26D648B6"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While there are good examples of tangible customer-facing examples, the target-to-result comparability is not as far developed across communication sources.</w:t>
            </w:r>
          </w:p>
        </w:tc>
        <w:tc>
          <w:tcPr>
            <w:tcW w:w="2700" w:type="dxa"/>
            <w:hideMark/>
          </w:tcPr>
          <w:p w14:paraId="05B033F4"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Relevant evidence is fragmented across different webpages and sources.</w:t>
            </w:r>
          </w:p>
        </w:tc>
        <w:tc>
          <w:tcPr>
            <w:tcW w:w="2430" w:type="dxa"/>
            <w:hideMark/>
          </w:tcPr>
          <w:p w14:paraId="53C5D634"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Structured reporting makes reporting easier, but changing targets can impact consistency.</w:t>
            </w:r>
          </w:p>
        </w:tc>
        <w:tc>
          <w:tcPr>
            <w:tcW w:w="4456" w:type="dxa"/>
            <w:hideMark/>
          </w:tcPr>
          <w:p w14:paraId="67B77C6E"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Information that is available to the public may not necessarily be available to individuals or be easily verified by individuals. A stronger claim is more credible when there are detailed supporting pieces of evidence for the claim which can be traced to the customer.</w:t>
            </w:r>
          </w:p>
        </w:tc>
      </w:tr>
      <w:tr w:rsidR="00DA766E" w:rsidRPr="002953D8" w14:paraId="2E10890D" w14:textId="77777777" w:rsidTr="00127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0" w:type="dxa"/>
            <w:hideMark/>
          </w:tcPr>
          <w:p w14:paraId="39920132" w14:textId="77777777" w:rsidR="00DA766E" w:rsidRPr="002953D8" w:rsidRDefault="00DA766E" w:rsidP="00127600">
            <w:pPr>
              <w:rPr>
                <w:color w:val="auto"/>
                <w:sz w:val="18"/>
                <w:szCs w:val="18"/>
              </w:rPr>
            </w:pPr>
            <w:r w:rsidRPr="002953D8">
              <w:rPr>
                <w:color w:val="auto"/>
                <w:sz w:val="18"/>
                <w:szCs w:val="18"/>
              </w:rPr>
              <w:t>Authenticity signals</w:t>
            </w:r>
          </w:p>
        </w:tc>
        <w:tc>
          <w:tcPr>
            <w:tcW w:w="3065" w:type="dxa"/>
            <w:hideMark/>
          </w:tcPr>
          <w:p w14:paraId="3144B6CD"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The long-term Plan A approach to positioning and disclosure of mixed performance supports strategic integration of sustainability rather than sustainable promotion in isolation.</w:t>
            </w:r>
          </w:p>
        </w:tc>
        <w:tc>
          <w:tcPr>
            <w:tcW w:w="3060" w:type="dxa"/>
            <w:hideMark/>
          </w:tcPr>
          <w:p w14:paraId="3425B5EF"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Signals of authenticity are provided by detailed measurement and acknowledgement of weaknesses.</w:t>
            </w:r>
          </w:p>
        </w:tc>
        <w:tc>
          <w:tcPr>
            <w:tcW w:w="3060" w:type="dxa"/>
            <w:hideMark/>
          </w:tcPr>
          <w:p w14:paraId="25C15509"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Authenticity will be achieved in the claim level with concrete initiatives, while the level of corporate inference will be restricted.</w:t>
            </w:r>
          </w:p>
        </w:tc>
        <w:tc>
          <w:tcPr>
            <w:tcW w:w="2700" w:type="dxa"/>
            <w:hideMark/>
          </w:tcPr>
          <w:p w14:paraId="04E8117D"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Substantive action is shown in how the operations and supply chains are carried out, but with disjointed communications the message is less powerful.</w:t>
            </w:r>
          </w:p>
        </w:tc>
        <w:tc>
          <w:tcPr>
            <w:tcW w:w="2430" w:type="dxa"/>
            <w:hideMark/>
          </w:tcPr>
          <w:p w14:paraId="55F3AC5E"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Progress and weaknesses are balanced to give authenticity signals.</w:t>
            </w:r>
          </w:p>
        </w:tc>
        <w:tc>
          <w:tcPr>
            <w:tcW w:w="4456" w:type="dxa"/>
            <w:hideMark/>
          </w:tcPr>
          <w:p w14:paraId="002888B0"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 xml:space="preserve">The perceived authenticity seems to be greater when sustainability assertions are matched by action and when </w:t>
            </w:r>
            <w:proofErr w:type="spellStart"/>
            <w:r w:rsidRPr="002953D8">
              <w:rPr>
                <w:color w:val="auto"/>
                <w:sz w:val="18"/>
                <w:szCs w:val="18"/>
              </w:rPr>
              <w:t>organisations</w:t>
            </w:r>
            <w:proofErr w:type="spellEnd"/>
            <w:r w:rsidRPr="002953D8">
              <w:rPr>
                <w:color w:val="auto"/>
                <w:sz w:val="18"/>
                <w:szCs w:val="18"/>
              </w:rPr>
              <w:t xml:space="preserve"> report both positive and negative results.</w:t>
            </w:r>
          </w:p>
        </w:tc>
      </w:tr>
      <w:tr w:rsidR="00DA766E" w:rsidRPr="002953D8" w14:paraId="2DFF4EF3" w14:textId="77777777" w:rsidTr="00127600">
        <w:tc>
          <w:tcPr>
            <w:cnfStyle w:val="001000000000" w:firstRow="0" w:lastRow="0" w:firstColumn="1" w:lastColumn="0" w:oddVBand="0" w:evenVBand="0" w:oddHBand="0" w:evenHBand="0" w:firstRowFirstColumn="0" w:firstRowLastColumn="0" w:lastRowFirstColumn="0" w:lastRowLastColumn="0"/>
            <w:tcW w:w="2150" w:type="dxa"/>
            <w:hideMark/>
          </w:tcPr>
          <w:p w14:paraId="4B668BA5" w14:textId="77777777" w:rsidR="00DA766E" w:rsidRPr="002953D8" w:rsidRDefault="00DA766E" w:rsidP="00127600">
            <w:pPr>
              <w:rPr>
                <w:color w:val="auto"/>
                <w:sz w:val="18"/>
                <w:szCs w:val="18"/>
              </w:rPr>
            </w:pPr>
            <w:r w:rsidRPr="002953D8">
              <w:rPr>
                <w:color w:val="auto"/>
                <w:sz w:val="18"/>
                <w:szCs w:val="18"/>
              </w:rPr>
              <w:t>Potential greenwashing risk</w:t>
            </w:r>
          </w:p>
        </w:tc>
        <w:tc>
          <w:tcPr>
            <w:tcW w:w="3065" w:type="dxa"/>
            <w:hideMark/>
          </w:tcPr>
          <w:p w14:paraId="38080B97"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Risk is reduced by detailed evidence and disclosure, although ambitious claims require continued delivery.</w:t>
            </w:r>
          </w:p>
        </w:tc>
        <w:tc>
          <w:tcPr>
            <w:tcW w:w="3060" w:type="dxa"/>
            <w:hideMark/>
          </w:tcPr>
          <w:p w14:paraId="27B160BF"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While there are concerns that certain targets might not have been met, strong disclosure alleviates concerns of selective-reporting issues.</w:t>
            </w:r>
          </w:p>
        </w:tc>
        <w:tc>
          <w:tcPr>
            <w:tcW w:w="3060" w:type="dxa"/>
            <w:hideMark/>
          </w:tcPr>
          <w:p w14:paraId="5AD93E66"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 xml:space="preserve">There may be an increased risk if successful initiatives at the product level are seen as a reflection on the overall </w:t>
            </w:r>
            <w:proofErr w:type="spellStart"/>
            <w:r w:rsidRPr="002953D8">
              <w:rPr>
                <w:color w:val="auto"/>
                <w:sz w:val="18"/>
                <w:szCs w:val="18"/>
              </w:rPr>
              <w:t>organisation</w:t>
            </w:r>
            <w:proofErr w:type="spellEnd"/>
            <w:r w:rsidRPr="002953D8">
              <w:rPr>
                <w:color w:val="auto"/>
                <w:sz w:val="18"/>
                <w:szCs w:val="18"/>
              </w:rPr>
              <w:t>.</w:t>
            </w:r>
          </w:p>
        </w:tc>
        <w:tc>
          <w:tcPr>
            <w:tcW w:w="2700" w:type="dxa"/>
            <w:hideMark/>
          </w:tcPr>
          <w:p w14:paraId="5B3BC60A"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Although actions can be taken, comprehensive verification can be more difficult due to fragmentation.</w:t>
            </w:r>
          </w:p>
        </w:tc>
        <w:tc>
          <w:tcPr>
            <w:tcW w:w="2430" w:type="dxa"/>
            <w:hideMark/>
          </w:tcPr>
          <w:p w14:paraId="1F29588F"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 xml:space="preserve">While transparency </w:t>
            </w:r>
            <w:proofErr w:type="spellStart"/>
            <w:r w:rsidRPr="002953D8">
              <w:rPr>
                <w:color w:val="auto"/>
                <w:sz w:val="18"/>
                <w:szCs w:val="18"/>
              </w:rPr>
              <w:t>minimises</w:t>
            </w:r>
            <w:proofErr w:type="spellEnd"/>
            <w:r w:rsidRPr="002953D8">
              <w:rPr>
                <w:color w:val="auto"/>
                <w:sz w:val="18"/>
                <w:szCs w:val="18"/>
              </w:rPr>
              <w:t xml:space="preserve"> risk, shifting targets needs to be sufficiently explained and </w:t>
            </w:r>
            <w:proofErr w:type="spellStart"/>
            <w:r w:rsidRPr="002953D8">
              <w:rPr>
                <w:color w:val="auto"/>
                <w:sz w:val="18"/>
                <w:szCs w:val="18"/>
              </w:rPr>
              <w:t>contextualised</w:t>
            </w:r>
            <w:proofErr w:type="spellEnd"/>
            <w:r w:rsidRPr="002953D8">
              <w:rPr>
                <w:color w:val="auto"/>
                <w:sz w:val="18"/>
                <w:szCs w:val="18"/>
              </w:rPr>
              <w:t>.</w:t>
            </w:r>
          </w:p>
        </w:tc>
        <w:tc>
          <w:tcPr>
            <w:tcW w:w="4456" w:type="dxa"/>
            <w:hideMark/>
          </w:tcPr>
          <w:p w14:paraId="10372125" w14:textId="77777777" w:rsidR="00DA766E" w:rsidRPr="002953D8" w:rsidRDefault="00DA766E" w:rsidP="00127600">
            <w:pPr>
              <w:cnfStyle w:val="000000000000" w:firstRow="0" w:lastRow="0" w:firstColumn="0" w:lastColumn="0" w:oddVBand="0" w:evenVBand="0" w:oddHBand="0" w:evenHBand="0" w:firstRowFirstColumn="0" w:firstRowLastColumn="0" w:lastRowFirstColumn="0" w:lastRowLastColumn="0"/>
              <w:rPr>
                <w:color w:val="auto"/>
                <w:sz w:val="18"/>
                <w:szCs w:val="18"/>
              </w:rPr>
            </w:pPr>
            <w:r w:rsidRPr="002953D8">
              <w:rPr>
                <w:color w:val="auto"/>
                <w:sz w:val="18"/>
                <w:szCs w:val="18"/>
              </w:rPr>
              <w:t xml:space="preserve">Greenwashing risk does not apply just to explicitly false statements. Misleading impressions can also be formed by selecting a focus, lack of boundaries, lack of access to evidence and disproportionate </w:t>
            </w:r>
            <w:proofErr w:type="spellStart"/>
            <w:r w:rsidRPr="002953D8">
              <w:rPr>
                <w:color w:val="auto"/>
                <w:sz w:val="18"/>
                <w:szCs w:val="18"/>
              </w:rPr>
              <w:t>generalisation</w:t>
            </w:r>
            <w:proofErr w:type="spellEnd"/>
            <w:r w:rsidRPr="002953D8">
              <w:rPr>
                <w:color w:val="auto"/>
                <w:sz w:val="18"/>
                <w:szCs w:val="18"/>
              </w:rPr>
              <w:t>.</w:t>
            </w:r>
          </w:p>
        </w:tc>
      </w:tr>
      <w:tr w:rsidR="00DA766E" w:rsidRPr="002953D8" w14:paraId="2BFCBBDE" w14:textId="77777777" w:rsidTr="00127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0" w:type="dxa"/>
            <w:hideMark/>
          </w:tcPr>
          <w:p w14:paraId="36849732" w14:textId="77777777" w:rsidR="00DA766E" w:rsidRPr="002953D8" w:rsidRDefault="00DA766E" w:rsidP="00127600">
            <w:pPr>
              <w:rPr>
                <w:color w:val="auto"/>
                <w:sz w:val="18"/>
                <w:szCs w:val="18"/>
              </w:rPr>
            </w:pPr>
            <w:r w:rsidRPr="002953D8">
              <w:rPr>
                <w:color w:val="auto"/>
                <w:sz w:val="18"/>
                <w:szCs w:val="18"/>
              </w:rPr>
              <w:t>Potential brand-trust implication</w:t>
            </w:r>
          </w:p>
        </w:tc>
        <w:tc>
          <w:tcPr>
            <w:tcW w:w="3065" w:type="dxa"/>
            <w:hideMark/>
          </w:tcPr>
          <w:p w14:paraId="17A9279E"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Comparatively good conditions to support trust, provided for further progress in relation to commitments.</w:t>
            </w:r>
          </w:p>
        </w:tc>
        <w:tc>
          <w:tcPr>
            <w:tcW w:w="3060" w:type="dxa"/>
            <w:hideMark/>
          </w:tcPr>
          <w:p w14:paraId="4F6192B1"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The conditions of credibility of transparency and measurement are relatively strong, even in such imperfect situations.</w:t>
            </w:r>
          </w:p>
        </w:tc>
        <w:tc>
          <w:tcPr>
            <w:tcW w:w="3060" w:type="dxa"/>
            <w:hideMark/>
          </w:tcPr>
          <w:p w14:paraId="6D457647"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Specific substantiated initiatives have a greater level of trust supporting credibility than do general corporate conclusions.</w:t>
            </w:r>
          </w:p>
        </w:tc>
        <w:tc>
          <w:tcPr>
            <w:tcW w:w="2700" w:type="dxa"/>
            <w:hideMark/>
          </w:tcPr>
          <w:p w14:paraId="1CD763CD"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Weaker trust signals can occur if there is less information available to locate or to compare when substantive sustainability activity is created.</w:t>
            </w:r>
          </w:p>
        </w:tc>
        <w:tc>
          <w:tcPr>
            <w:tcW w:w="2430" w:type="dxa"/>
            <w:hideMark/>
          </w:tcPr>
          <w:p w14:paraId="0E1C796E"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 xml:space="preserve">Balanced reporting establishes relatively good conditions of trust for target changes which </w:t>
            </w:r>
            <w:proofErr w:type="spellStart"/>
            <w:r w:rsidRPr="002953D8">
              <w:rPr>
                <w:color w:val="auto"/>
                <w:sz w:val="18"/>
                <w:szCs w:val="18"/>
              </w:rPr>
              <w:t>contextualise</w:t>
            </w:r>
            <w:proofErr w:type="spellEnd"/>
            <w:r w:rsidRPr="002953D8">
              <w:rPr>
                <w:color w:val="auto"/>
                <w:sz w:val="18"/>
                <w:szCs w:val="18"/>
              </w:rPr>
              <w:t xml:space="preserve"> the changes properly</w:t>
            </w:r>
          </w:p>
        </w:tc>
        <w:tc>
          <w:tcPr>
            <w:tcW w:w="4456" w:type="dxa"/>
            <w:hideMark/>
          </w:tcPr>
          <w:p w14:paraId="756B2F26" w14:textId="77777777" w:rsidR="00DA766E" w:rsidRPr="002953D8" w:rsidRDefault="00DA766E" w:rsidP="00127600">
            <w:pPr>
              <w:cnfStyle w:val="000000100000" w:firstRow="0" w:lastRow="0" w:firstColumn="0" w:lastColumn="0" w:oddVBand="0" w:evenVBand="0" w:oddHBand="1" w:evenHBand="0" w:firstRowFirstColumn="0" w:firstRowLastColumn="0" w:lastRowFirstColumn="0" w:lastRowLastColumn="0"/>
              <w:rPr>
                <w:color w:val="auto"/>
                <w:sz w:val="18"/>
                <w:szCs w:val="18"/>
              </w:rPr>
            </w:pPr>
            <w:r w:rsidRPr="002953D8">
              <w:rPr>
                <w:color w:val="auto"/>
                <w:sz w:val="18"/>
                <w:szCs w:val="18"/>
              </w:rPr>
              <w:t>Sustainability communication is most likely to contribute to brand trust and build credibility and authenticity indirectly. Documentary evidence shows conditions that may support trust, but does not prove actual consumer trust.</w:t>
            </w:r>
          </w:p>
        </w:tc>
      </w:tr>
    </w:tbl>
    <w:p w14:paraId="14294E3D" w14:textId="37138017" w:rsidR="00DA766E" w:rsidRPr="00DA766E" w:rsidRDefault="00DA766E" w:rsidP="002953D8">
      <w:pPr>
        <w:pStyle w:val="Heading2"/>
      </w:pPr>
    </w:p>
    <w:sectPr w:rsidR="00DA766E" w:rsidRPr="00DA766E" w:rsidSect="00DA766E">
      <w:pgSz w:w="23811" w:h="16838" w:orient="landscape" w:code="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0FC93" w14:textId="77777777" w:rsidR="003846C8" w:rsidRDefault="003846C8" w:rsidP="00FC1713">
      <w:pPr>
        <w:spacing w:line="240" w:lineRule="auto"/>
      </w:pPr>
      <w:r>
        <w:separator/>
      </w:r>
    </w:p>
  </w:endnote>
  <w:endnote w:type="continuationSeparator" w:id="0">
    <w:p w14:paraId="2B1EADD7" w14:textId="77777777" w:rsidR="003846C8" w:rsidRDefault="003846C8" w:rsidP="00FC17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373664"/>
      <w:docPartObj>
        <w:docPartGallery w:val="Page Numbers (Bottom of Page)"/>
        <w:docPartUnique/>
      </w:docPartObj>
    </w:sdtPr>
    <w:sdtEndPr>
      <w:rPr>
        <w:noProof/>
      </w:rPr>
    </w:sdtEndPr>
    <w:sdtContent>
      <w:p w14:paraId="36DAF331" w14:textId="77777777" w:rsidR="00EF6DA0" w:rsidRDefault="00EF6DA0">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08B07DAA" w14:textId="77777777" w:rsidR="00EF6DA0" w:rsidRDefault="00EF6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1375532"/>
      <w:docPartObj>
        <w:docPartGallery w:val="Page Numbers (Bottom of Page)"/>
        <w:docPartUnique/>
      </w:docPartObj>
    </w:sdtPr>
    <w:sdtEndPr>
      <w:rPr>
        <w:noProof/>
      </w:rPr>
    </w:sdtEndPr>
    <w:sdtContent>
      <w:p w14:paraId="3A928F93" w14:textId="22305DC5" w:rsidR="00FC1713" w:rsidRDefault="00FC1713">
        <w:pPr>
          <w:pStyle w:val="Footer"/>
          <w:jc w:val="center"/>
        </w:pPr>
        <w:r>
          <w:fldChar w:fldCharType="begin"/>
        </w:r>
        <w:r>
          <w:instrText xml:space="preserve"> PAGE   \* MERGEFORMAT </w:instrText>
        </w:r>
        <w:r>
          <w:fldChar w:fldCharType="separate"/>
        </w:r>
        <w:r w:rsidR="00837693">
          <w:rPr>
            <w:noProof/>
          </w:rPr>
          <w:t>4</w:t>
        </w:r>
        <w:r>
          <w:rPr>
            <w:noProof/>
          </w:rPr>
          <w:fldChar w:fldCharType="end"/>
        </w:r>
      </w:p>
    </w:sdtContent>
  </w:sdt>
  <w:p w14:paraId="63A4FF7A" w14:textId="77777777" w:rsidR="00FC1713" w:rsidRDefault="00FC1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10441" w14:textId="77777777" w:rsidR="003846C8" w:rsidRDefault="003846C8" w:rsidP="00FC1713">
      <w:pPr>
        <w:spacing w:line="240" w:lineRule="auto"/>
      </w:pPr>
      <w:r>
        <w:separator/>
      </w:r>
    </w:p>
  </w:footnote>
  <w:footnote w:type="continuationSeparator" w:id="0">
    <w:p w14:paraId="3D2A6DE6" w14:textId="77777777" w:rsidR="003846C8" w:rsidRDefault="003846C8" w:rsidP="00FC171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22029"/>
    <w:multiLevelType w:val="multilevel"/>
    <w:tmpl w:val="016AA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027175"/>
    <w:multiLevelType w:val="hybridMultilevel"/>
    <w:tmpl w:val="B9D6C540"/>
    <w:lvl w:ilvl="0" w:tplc="04090001">
      <w:start w:val="1"/>
      <w:numFmt w:val="bullet"/>
      <w:lvlText w:val=""/>
      <w:lvlJc w:val="left"/>
      <w:pPr>
        <w:ind w:left="495" w:hanging="495"/>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5DD6E43"/>
    <w:multiLevelType w:val="hybridMultilevel"/>
    <w:tmpl w:val="7D407D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B43720"/>
    <w:multiLevelType w:val="hybridMultilevel"/>
    <w:tmpl w:val="F9248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BA3047"/>
    <w:multiLevelType w:val="hybridMultilevel"/>
    <w:tmpl w:val="7B803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7A74CF"/>
    <w:multiLevelType w:val="hybridMultilevel"/>
    <w:tmpl w:val="ECA0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4001DF"/>
    <w:multiLevelType w:val="hybridMultilevel"/>
    <w:tmpl w:val="E946A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2D5D91"/>
    <w:multiLevelType w:val="hybridMultilevel"/>
    <w:tmpl w:val="76F2B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6B63DF"/>
    <w:multiLevelType w:val="multilevel"/>
    <w:tmpl w:val="41F82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D23126"/>
    <w:multiLevelType w:val="hybridMultilevel"/>
    <w:tmpl w:val="986271EC"/>
    <w:lvl w:ilvl="0" w:tplc="04090001">
      <w:start w:val="1"/>
      <w:numFmt w:val="bullet"/>
      <w:lvlText w:val=""/>
      <w:lvlJc w:val="left"/>
      <w:pPr>
        <w:ind w:left="480" w:hanging="48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DB4258B"/>
    <w:multiLevelType w:val="hybridMultilevel"/>
    <w:tmpl w:val="17FC9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3642889">
    <w:abstractNumId w:val="6"/>
  </w:num>
  <w:num w:numId="2" w16cid:durableId="883756148">
    <w:abstractNumId w:val="4"/>
  </w:num>
  <w:num w:numId="3" w16cid:durableId="720178669">
    <w:abstractNumId w:val="2"/>
  </w:num>
  <w:num w:numId="4" w16cid:durableId="2040470845">
    <w:abstractNumId w:val="8"/>
  </w:num>
  <w:num w:numId="5" w16cid:durableId="679429025">
    <w:abstractNumId w:val="0"/>
  </w:num>
  <w:num w:numId="6" w16cid:durableId="1087769946">
    <w:abstractNumId w:val="7"/>
  </w:num>
  <w:num w:numId="7" w16cid:durableId="1478917116">
    <w:abstractNumId w:val="3"/>
  </w:num>
  <w:num w:numId="8" w16cid:durableId="943536521">
    <w:abstractNumId w:val="1"/>
  </w:num>
  <w:num w:numId="9" w16cid:durableId="93601824">
    <w:abstractNumId w:val="10"/>
  </w:num>
  <w:num w:numId="10" w16cid:durableId="1983074974">
    <w:abstractNumId w:val="5"/>
  </w:num>
  <w:num w:numId="11" w16cid:durableId="12203658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2AE"/>
    <w:rsid w:val="000503DB"/>
    <w:rsid w:val="00053AFD"/>
    <w:rsid w:val="00056B82"/>
    <w:rsid w:val="00057C18"/>
    <w:rsid w:val="00070E98"/>
    <w:rsid w:val="00076DEC"/>
    <w:rsid w:val="000A0708"/>
    <w:rsid w:val="000B199F"/>
    <w:rsid w:val="000B6E0E"/>
    <w:rsid w:val="000C5B08"/>
    <w:rsid w:val="00113B4E"/>
    <w:rsid w:val="00141754"/>
    <w:rsid w:val="001418C8"/>
    <w:rsid w:val="00165DA8"/>
    <w:rsid w:val="0017678D"/>
    <w:rsid w:val="0018743B"/>
    <w:rsid w:val="0019002C"/>
    <w:rsid w:val="001925EE"/>
    <w:rsid w:val="001A5144"/>
    <w:rsid w:val="001B5936"/>
    <w:rsid w:val="001C129E"/>
    <w:rsid w:val="001C439A"/>
    <w:rsid w:val="001C534D"/>
    <w:rsid w:val="001E5043"/>
    <w:rsid w:val="00213FE0"/>
    <w:rsid w:val="0021681F"/>
    <w:rsid w:val="00221088"/>
    <w:rsid w:val="00241757"/>
    <w:rsid w:val="0024581D"/>
    <w:rsid w:val="002552FF"/>
    <w:rsid w:val="00257ADA"/>
    <w:rsid w:val="00265295"/>
    <w:rsid w:val="00274D55"/>
    <w:rsid w:val="0028244E"/>
    <w:rsid w:val="002953D8"/>
    <w:rsid w:val="002B70E1"/>
    <w:rsid w:val="002C7E1D"/>
    <w:rsid w:val="002D09F1"/>
    <w:rsid w:val="002D0A84"/>
    <w:rsid w:val="00300959"/>
    <w:rsid w:val="003054A0"/>
    <w:rsid w:val="003176C1"/>
    <w:rsid w:val="00327646"/>
    <w:rsid w:val="003517BD"/>
    <w:rsid w:val="00357FB7"/>
    <w:rsid w:val="003665C3"/>
    <w:rsid w:val="003846C8"/>
    <w:rsid w:val="003A7C11"/>
    <w:rsid w:val="003D0558"/>
    <w:rsid w:val="003E6CD9"/>
    <w:rsid w:val="004022FA"/>
    <w:rsid w:val="00403243"/>
    <w:rsid w:val="004241C1"/>
    <w:rsid w:val="004416D9"/>
    <w:rsid w:val="00456A7A"/>
    <w:rsid w:val="00470DA8"/>
    <w:rsid w:val="004D048A"/>
    <w:rsid w:val="004E3851"/>
    <w:rsid w:val="004E6FAB"/>
    <w:rsid w:val="004F071C"/>
    <w:rsid w:val="004F4B7D"/>
    <w:rsid w:val="004F4CD4"/>
    <w:rsid w:val="004F5B4C"/>
    <w:rsid w:val="004F6F81"/>
    <w:rsid w:val="005056D2"/>
    <w:rsid w:val="005308A9"/>
    <w:rsid w:val="00534E65"/>
    <w:rsid w:val="00536857"/>
    <w:rsid w:val="00536D87"/>
    <w:rsid w:val="005431F8"/>
    <w:rsid w:val="00546EBA"/>
    <w:rsid w:val="005659F7"/>
    <w:rsid w:val="005669B4"/>
    <w:rsid w:val="005779C1"/>
    <w:rsid w:val="005A0B6B"/>
    <w:rsid w:val="005A71A4"/>
    <w:rsid w:val="005C07F3"/>
    <w:rsid w:val="005C0AFE"/>
    <w:rsid w:val="005D4E83"/>
    <w:rsid w:val="005F1E33"/>
    <w:rsid w:val="006007F8"/>
    <w:rsid w:val="00621A76"/>
    <w:rsid w:val="006228D2"/>
    <w:rsid w:val="00624691"/>
    <w:rsid w:val="0062489E"/>
    <w:rsid w:val="00653248"/>
    <w:rsid w:val="006752EC"/>
    <w:rsid w:val="006924BC"/>
    <w:rsid w:val="006A5025"/>
    <w:rsid w:val="006B0E48"/>
    <w:rsid w:val="006B3300"/>
    <w:rsid w:val="006B6D6A"/>
    <w:rsid w:val="006C4868"/>
    <w:rsid w:val="006E2BFC"/>
    <w:rsid w:val="006F7213"/>
    <w:rsid w:val="00705547"/>
    <w:rsid w:val="00725E0B"/>
    <w:rsid w:val="00741A73"/>
    <w:rsid w:val="00762D18"/>
    <w:rsid w:val="00790E90"/>
    <w:rsid w:val="007950CB"/>
    <w:rsid w:val="007B4B51"/>
    <w:rsid w:val="007B4B63"/>
    <w:rsid w:val="007D117E"/>
    <w:rsid w:val="007F0820"/>
    <w:rsid w:val="00801E77"/>
    <w:rsid w:val="00806ABE"/>
    <w:rsid w:val="00820112"/>
    <w:rsid w:val="008202AE"/>
    <w:rsid w:val="00824178"/>
    <w:rsid w:val="00837693"/>
    <w:rsid w:val="0088768F"/>
    <w:rsid w:val="008955C9"/>
    <w:rsid w:val="008C6938"/>
    <w:rsid w:val="008E1917"/>
    <w:rsid w:val="008E20CB"/>
    <w:rsid w:val="008E21A2"/>
    <w:rsid w:val="008F776F"/>
    <w:rsid w:val="00916AB6"/>
    <w:rsid w:val="009423A0"/>
    <w:rsid w:val="00951AD6"/>
    <w:rsid w:val="00965974"/>
    <w:rsid w:val="00965AAC"/>
    <w:rsid w:val="00972D19"/>
    <w:rsid w:val="0097644A"/>
    <w:rsid w:val="009F0C6F"/>
    <w:rsid w:val="009F5B2D"/>
    <w:rsid w:val="00A2163A"/>
    <w:rsid w:val="00A228B7"/>
    <w:rsid w:val="00A23775"/>
    <w:rsid w:val="00A44CC4"/>
    <w:rsid w:val="00A57E9B"/>
    <w:rsid w:val="00A70016"/>
    <w:rsid w:val="00A84607"/>
    <w:rsid w:val="00A86578"/>
    <w:rsid w:val="00A86B51"/>
    <w:rsid w:val="00A903E6"/>
    <w:rsid w:val="00A95F4E"/>
    <w:rsid w:val="00AB4680"/>
    <w:rsid w:val="00AC14C3"/>
    <w:rsid w:val="00B052EC"/>
    <w:rsid w:val="00B66F46"/>
    <w:rsid w:val="00B90618"/>
    <w:rsid w:val="00B909E7"/>
    <w:rsid w:val="00BA0915"/>
    <w:rsid w:val="00BD3C10"/>
    <w:rsid w:val="00BF1ADE"/>
    <w:rsid w:val="00C31AF6"/>
    <w:rsid w:val="00C4265F"/>
    <w:rsid w:val="00C5622F"/>
    <w:rsid w:val="00C82E94"/>
    <w:rsid w:val="00C83A62"/>
    <w:rsid w:val="00CA3606"/>
    <w:rsid w:val="00CD1606"/>
    <w:rsid w:val="00CE37BB"/>
    <w:rsid w:val="00CF2B3D"/>
    <w:rsid w:val="00D03D7C"/>
    <w:rsid w:val="00D14297"/>
    <w:rsid w:val="00D20EFE"/>
    <w:rsid w:val="00D330D4"/>
    <w:rsid w:val="00D377DE"/>
    <w:rsid w:val="00D95761"/>
    <w:rsid w:val="00DA766E"/>
    <w:rsid w:val="00DB451C"/>
    <w:rsid w:val="00DD7188"/>
    <w:rsid w:val="00DE4290"/>
    <w:rsid w:val="00E07273"/>
    <w:rsid w:val="00E36780"/>
    <w:rsid w:val="00E46E77"/>
    <w:rsid w:val="00E56378"/>
    <w:rsid w:val="00E634FD"/>
    <w:rsid w:val="00E76E3D"/>
    <w:rsid w:val="00E8461D"/>
    <w:rsid w:val="00E9108F"/>
    <w:rsid w:val="00E914E6"/>
    <w:rsid w:val="00EB4887"/>
    <w:rsid w:val="00EB69BA"/>
    <w:rsid w:val="00EE3D5B"/>
    <w:rsid w:val="00EE4092"/>
    <w:rsid w:val="00EE4729"/>
    <w:rsid w:val="00EF19D9"/>
    <w:rsid w:val="00EF6DA0"/>
    <w:rsid w:val="00EF7095"/>
    <w:rsid w:val="00F175CF"/>
    <w:rsid w:val="00F27323"/>
    <w:rsid w:val="00F53A57"/>
    <w:rsid w:val="00F864BC"/>
    <w:rsid w:val="00FA705D"/>
    <w:rsid w:val="00FC1713"/>
    <w:rsid w:val="00FC306C"/>
    <w:rsid w:val="00FD6182"/>
    <w:rsid w:val="00FE5D3B"/>
    <w:rsid w:val="00FF5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55C85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E77"/>
    <w:pPr>
      <w:widowControl w:val="0"/>
      <w:autoSpaceDE w:val="0"/>
      <w:autoSpaceDN w:val="0"/>
      <w:spacing w:after="0" w:line="360" w:lineRule="auto"/>
      <w:jc w:val="both"/>
    </w:pPr>
    <w:rPr>
      <w:rFonts w:ascii="Times New Roman" w:hAnsi="Times New Roman" w:cs="Calibri"/>
      <w:sz w:val="24"/>
    </w:rPr>
  </w:style>
  <w:style w:type="paragraph" w:styleId="Heading1">
    <w:name w:val="heading 1"/>
    <w:basedOn w:val="Normal"/>
    <w:next w:val="Normal"/>
    <w:link w:val="Heading1Char"/>
    <w:uiPriority w:val="9"/>
    <w:qFormat/>
    <w:rsid w:val="008202AE"/>
    <w:pPr>
      <w:keepNext/>
      <w:keepLines/>
      <w:spacing w:before="360" w:after="80" w:line="278" w:lineRule="auto"/>
      <w:outlineLvl w:val="0"/>
    </w:pPr>
    <w:rPr>
      <w:rFonts w:eastAsiaTheme="majorEastAsia" w:cstheme="majorBidi"/>
      <w:b/>
      <w:i/>
      <w:color w:val="657C9C" w:themeColor="text2" w:themeTint="BF"/>
      <w:sz w:val="32"/>
      <w:szCs w:val="40"/>
    </w:rPr>
  </w:style>
  <w:style w:type="paragraph" w:styleId="Heading2">
    <w:name w:val="heading 2"/>
    <w:basedOn w:val="Normal"/>
    <w:link w:val="Heading2Char"/>
    <w:uiPriority w:val="9"/>
    <w:qFormat/>
    <w:rsid w:val="008202AE"/>
    <w:pPr>
      <w:spacing w:before="100" w:beforeAutospacing="1" w:after="100" w:afterAutospacing="1"/>
      <w:outlineLvl w:val="1"/>
    </w:pPr>
    <w:rPr>
      <w:rFonts w:eastAsia="Times New Roman" w:cs="Times New Roman"/>
      <w:b/>
      <w:bCs/>
      <w:i/>
      <w:sz w:val="28"/>
      <w:szCs w:val="36"/>
    </w:rPr>
  </w:style>
  <w:style w:type="paragraph" w:styleId="Heading3">
    <w:name w:val="heading 3"/>
    <w:basedOn w:val="Normal"/>
    <w:link w:val="Heading3Char"/>
    <w:uiPriority w:val="9"/>
    <w:qFormat/>
    <w:rsid w:val="008202AE"/>
    <w:pPr>
      <w:spacing w:before="100" w:beforeAutospacing="1" w:after="100" w:afterAutospacing="1"/>
      <w:outlineLvl w:val="2"/>
    </w:pPr>
    <w:rPr>
      <w:rFonts w:eastAsia="Times New Roman" w:cs="Times New Roman"/>
      <w:b/>
      <w:bCs/>
      <w:i/>
      <w:szCs w:val="27"/>
    </w:rPr>
  </w:style>
  <w:style w:type="paragraph" w:styleId="Heading4">
    <w:name w:val="heading 4"/>
    <w:basedOn w:val="Normal"/>
    <w:next w:val="Normal"/>
    <w:link w:val="Heading4Char"/>
    <w:uiPriority w:val="9"/>
    <w:semiHidden/>
    <w:unhideWhenUsed/>
    <w:qFormat/>
    <w:rsid w:val="00F175C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2AE"/>
    <w:rPr>
      <w:rFonts w:ascii="Times New Roman" w:eastAsiaTheme="majorEastAsia" w:hAnsi="Times New Roman" w:cstheme="majorBidi"/>
      <w:b/>
      <w:i/>
      <w:color w:val="657C9C" w:themeColor="text2" w:themeTint="BF"/>
      <w:sz w:val="32"/>
      <w:szCs w:val="40"/>
    </w:rPr>
  </w:style>
  <w:style w:type="character" w:customStyle="1" w:styleId="Heading2Char">
    <w:name w:val="Heading 2 Char"/>
    <w:basedOn w:val="DefaultParagraphFont"/>
    <w:link w:val="Heading2"/>
    <w:uiPriority w:val="9"/>
    <w:rsid w:val="008202AE"/>
    <w:rPr>
      <w:rFonts w:ascii="Times New Roman" w:eastAsia="Times New Roman" w:hAnsi="Times New Roman" w:cs="Times New Roman"/>
      <w:b/>
      <w:bCs/>
      <w:i/>
      <w:sz w:val="28"/>
      <w:szCs w:val="36"/>
    </w:rPr>
  </w:style>
  <w:style w:type="character" w:customStyle="1" w:styleId="Heading3Char">
    <w:name w:val="Heading 3 Char"/>
    <w:basedOn w:val="DefaultParagraphFont"/>
    <w:link w:val="Heading3"/>
    <w:uiPriority w:val="9"/>
    <w:rsid w:val="008202AE"/>
    <w:rPr>
      <w:rFonts w:ascii="Times New Roman" w:eastAsia="Times New Roman" w:hAnsi="Times New Roman" w:cs="Times New Roman"/>
      <w:b/>
      <w:bCs/>
      <w:i/>
      <w:sz w:val="24"/>
      <w:szCs w:val="27"/>
    </w:rPr>
  </w:style>
  <w:style w:type="table" w:styleId="ListTable5Dark-Accent6">
    <w:name w:val="List Table 5 Dark Accent 6"/>
    <w:basedOn w:val="TableNormal"/>
    <w:uiPriority w:val="50"/>
    <w:rsid w:val="008202AE"/>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urfulAccent1">
    <w:name w:val="List Table 7 Colorful Accent 1"/>
    <w:basedOn w:val="TableNormal"/>
    <w:uiPriority w:val="52"/>
    <w:rsid w:val="008202AE"/>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8202AE"/>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IntenseQuote">
    <w:name w:val="Intense Quote"/>
    <w:basedOn w:val="Normal"/>
    <w:next w:val="Normal"/>
    <w:link w:val="IntenseQuoteChar"/>
    <w:uiPriority w:val="30"/>
    <w:qFormat/>
    <w:rsid w:val="008202A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202AE"/>
    <w:rPr>
      <w:rFonts w:ascii="Times New Roman" w:hAnsi="Times New Roman" w:cs="Calibri"/>
      <w:i/>
      <w:iCs/>
      <w:color w:val="4472C4" w:themeColor="accent1"/>
      <w:sz w:val="24"/>
    </w:rPr>
  </w:style>
  <w:style w:type="paragraph" w:styleId="Caption">
    <w:name w:val="caption"/>
    <w:basedOn w:val="Normal"/>
    <w:next w:val="Normal"/>
    <w:uiPriority w:val="35"/>
    <w:unhideWhenUsed/>
    <w:qFormat/>
    <w:rsid w:val="00653248"/>
    <w:pPr>
      <w:spacing w:after="200" w:line="240" w:lineRule="auto"/>
    </w:pPr>
    <w:rPr>
      <w:i/>
      <w:iCs/>
      <w:color w:val="44546A" w:themeColor="text2"/>
      <w:sz w:val="18"/>
      <w:szCs w:val="18"/>
    </w:rPr>
  </w:style>
  <w:style w:type="character" w:styleId="Hyperlink">
    <w:name w:val="Hyperlink"/>
    <w:basedOn w:val="DefaultParagraphFont"/>
    <w:uiPriority w:val="99"/>
    <w:unhideWhenUsed/>
    <w:rsid w:val="00653248"/>
    <w:rPr>
      <w:color w:val="0563C1" w:themeColor="hyperlink"/>
      <w:u w:val="single"/>
    </w:rPr>
  </w:style>
  <w:style w:type="character" w:customStyle="1" w:styleId="UnresolvedMention1">
    <w:name w:val="Unresolved Mention1"/>
    <w:basedOn w:val="DefaultParagraphFont"/>
    <w:uiPriority w:val="99"/>
    <w:semiHidden/>
    <w:unhideWhenUsed/>
    <w:rsid w:val="00C31AF6"/>
    <w:rPr>
      <w:color w:val="605E5C"/>
      <w:shd w:val="clear" w:color="auto" w:fill="E1DFDD"/>
    </w:rPr>
  </w:style>
  <w:style w:type="paragraph" w:styleId="ListParagraph">
    <w:name w:val="List Paragraph"/>
    <w:basedOn w:val="Normal"/>
    <w:uiPriority w:val="34"/>
    <w:qFormat/>
    <w:rsid w:val="00FC1713"/>
    <w:pPr>
      <w:ind w:left="720"/>
      <w:contextualSpacing/>
    </w:pPr>
  </w:style>
  <w:style w:type="table" w:styleId="ListTable6ColourfulAccent5">
    <w:name w:val="List Table 6 Colorful Accent 5"/>
    <w:basedOn w:val="TableNormal"/>
    <w:uiPriority w:val="51"/>
    <w:rsid w:val="00FC1713"/>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FC1713"/>
    <w:pPr>
      <w:tabs>
        <w:tab w:val="center" w:pos="4680"/>
        <w:tab w:val="right" w:pos="9360"/>
      </w:tabs>
      <w:spacing w:line="240" w:lineRule="auto"/>
    </w:pPr>
  </w:style>
  <w:style w:type="character" w:customStyle="1" w:styleId="HeaderChar">
    <w:name w:val="Header Char"/>
    <w:basedOn w:val="DefaultParagraphFont"/>
    <w:link w:val="Header"/>
    <w:uiPriority w:val="99"/>
    <w:rsid w:val="00FC1713"/>
    <w:rPr>
      <w:rFonts w:ascii="Times New Roman" w:hAnsi="Times New Roman" w:cs="Calibri"/>
      <w:sz w:val="24"/>
    </w:rPr>
  </w:style>
  <w:style w:type="paragraph" w:styleId="Footer">
    <w:name w:val="footer"/>
    <w:basedOn w:val="Normal"/>
    <w:link w:val="FooterChar"/>
    <w:uiPriority w:val="99"/>
    <w:unhideWhenUsed/>
    <w:rsid w:val="00FC1713"/>
    <w:pPr>
      <w:tabs>
        <w:tab w:val="center" w:pos="4680"/>
        <w:tab w:val="right" w:pos="9360"/>
      </w:tabs>
      <w:spacing w:line="240" w:lineRule="auto"/>
    </w:pPr>
  </w:style>
  <w:style w:type="character" w:customStyle="1" w:styleId="FooterChar">
    <w:name w:val="Footer Char"/>
    <w:basedOn w:val="DefaultParagraphFont"/>
    <w:link w:val="Footer"/>
    <w:uiPriority w:val="99"/>
    <w:rsid w:val="00FC1713"/>
    <w:rPr>
      <w:rFonts w:ascii="Times New Roman" w:hAnsi="Times New Roman" w:cs="Calibri"/>
      <w:sz w:val="24"/>
    </w:rPr>
  </w:style>
  <w:style w:type="paragraph" w:styleId="TOCHeading">
    <w:name w:val="TOC Heading"/>
    <w:basedOn w:val="Heading1"/>
    <w:next w:val="Normal"/>
    <w:uiPriority w:val="39"/>
    <w:unhideWhenUsed/>
    <w:qFormat/>
    <w:rsid w:val="00FC1713"/>
    <w:pPr>
      <w:widowControl/>
      <w:autoSpaceDE/>
      <w:autoSpaceDN/>
      <w:spacing w:before="240" w:after="0" w:line="259" w:lineRule="auto"/>
      <w:jc w:val="left"/>
      <w:outlineLvl w:val="9"/>
    </w:pPr>
    <w:rPr>
      <w:rFonts w:asciiTheme="majorHAnsi" w:hAnsiTheme="majorHAnsi"/>
      <w:b w:val="0"/>
      <w:i w:val="0"/>
      <w:color w:val="2F5496" w:themeColor="accent1" w:themeShade="BF"/>
      <w:szCs w:val="32"/>
    </w:rPr>
  </w:style>
  <w:style w:type="paragraph" w:styleId="TOC1">
    <w:name w:val="toc 1"/>
    <w:basedOn w:val="Normal"/>
    <w:next w:val="Normal"/>
    <w:autoRedefine/>
    <w:uiPriority w:val="39"/>
    <w:unhideWhenUsed/>
    <w:rsid w:val="00FC1713"/>
    <w:pPr>
      <w:spacing w:after="100"/>
    </w:pPr>
  </w:style>
  <w:style w:type="paragraph" w:styleId="TOC2">
    <w:name w:val="toc 2"/>
    <w:basedOn w:val="Normal"/>
    <w:next w:val="Normal"/>
    <w:autoRedefine/>
    <w:uiPriority w:val="39"/>
    <w:unhideWhenUsed/>
    <w:rsid w:val="00FC1713"/>
    <w:pPr>
      <w:spacing w:after="100"/>
      <w:ind w:left="240"/>
    </w:pPr>
  </w:style>
  <w:style w:type="paragraph" w:styleId="TOC3">
    <w:name w:val="toc 3"/>
    <w:basedOn w:val="Normal"/>
    <w:next w:val="Normal"/>
    <w:autoRedefine/>
    <w:uiPriority w:val="39"/>
    <w:unhideWhenUsed/>
    <w:rsid w:val="00FC1713"/>
    <w:pPr>
      <w:spacing w:after="100"/>
      <w:ind w:left="480"/>
    </w:pPr>
  </w:style>
  <w:style w:type="paragraph" w:styleId="TableofFigures">
    <w:name w:val="table of figures"/>
    <w:basedOn w:val="Normal"/>
    <w:next w:val="Normal"/>
    <w:uiPriority w:val="99"/>
    <w:unhideWhenUsed/>
    <w:rsid w:val="00FC1713"/>
  </w:style>
  <w:style w:type="table" w:styleId="GridTable7ColourfulAccent5">
    <w:name w:val="Grid Table 7 Colorful Accent 5"/>
    <w:basedOn w:val="TableNormal"/>
    <w:uiPriority w:val="52"/>
    <w:rsid w:val="00A95F4E"/>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7ColourfulAccent6">
    <w:name w:val="Grid Table 7 Colorful Accent 6"/>
    <w:basedOn w:val="TableNormal"/>
    <w:uiPriority w:val="52"/>
    <w:rsid w:val="00A95F4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3-Accent5">
    <w:name w:val="Grid Table 3 Accent 5"/>
    <w:basedOn w:val="TableNormal"/>
    <w:uiPriority w:val="48"/>
    <w:rsid w:val="00A95F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2-Accent6">
    <w:name w:val="List Table 2 Accent 6"/>
    <w:basedOn w:val="TableNormal"/>
    <w:uiPriority w:val="47"/>
    <w:rsid w:val="008E21A2"/>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urfulAccent6">
    <w:name w:val="List Table 7 Colorful Accent 6"/>
    <w:basedOn w:val="TableNormal"/>
    <w:uiPriority w:val="52"/>
    <w:rsid w:val="008E21A2"/>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urfulAccent5">
    <w:name w:val="Grid Table 6 Colorful Accent 5"/>
    <w:basedOn w:val="TableNormal"/>
    <w:uiPriority w:val="51"/>
    <w:rsid w:val="003A7C11"/>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urfulAccent1">
    <w:name w:val="Grid Table 6 Colorful Accent 1"/>
    <w:basedOn w:val="TableNormal"/>
    <w:uiPriority w:val="51"/>
    <w:rsid w:val="00EE4092"/>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UnresolvedMention">
    <w:name w:val="Unresolved Mention"/>
    <w:basedOn w:val="DefaultParagraphFont"/>
    <w:uiPriority w:val="99"/>
    <w:semiHidden/>
    <w:unhideWhenUsed/>
    <w:rsid w:val="00EF6DA0"/>
    <w:rPr>
      <w:color w:val="605E5C"/>
      <w:shd w:val="clear" w:color="auto" w:fill="E1DFDD"/>
    </w:rPr>
  </w:style>
  <w:style w:type="character" w:styleId="Emphasis">
    <w:name w:val="Emphasis"/>
    <w:basedOn w:val="DefaultParagraphFont"/>
    <w:uiPriority w:val="20"/>
    <w:qFormat/>
    <w:rsid w:val="004022FA"/>
    <w:rPr>
      <w:i/>
      <w:iCs/>
    </w:rPr>
  </w:style>
  <w:style w:type="paragraph" w:styleId="TOC4">
    <w:name w:val="toc 4"/>
    <w:basedOn w:val="Normal"/>
    <w:next w:val="Normal"/>
    <w:autoRedefine/>
    <w:uiPriority w:val="39"/>
    <w:unhideWhenUsed/>
    <w:rsid w:val="00EF7095"/>
    <w:pPr>
      <w:widowControl/>
      <w:autoSpaceDE/>
      <w:autoSpaceDN/>
      <w:spacing w:after="100" w:line="259" w:lineRule="auto"/>
      <w:ind w:left="660"/>
      <w:jc w:val="left"/>
    </w:pPr>
    <w:rPr>
      <w:rFonts w:asciiTheme="minorHAnsi" w:eastAsiaTheme="minorEastAsia" w:hAnsiTheme="minorHAnsi" w:cstheme="minorBidi"/>
      <w:sz w:val="22"/>
    </w:rPr>
  </w:style>
  <w:style w:type="paragraph" w:styleId="TOC5">
    <w:name w:val="toc 5"/>
    <w:basedOn w:val="Normal"/>
    <w:next w:val="Normal"/>
    <w:autoRedefine/>
    <w:uiPriority w:val="39"/>
    <w:unhideWhenUsed/>
    <w:rsid w:val="00EF7095"/>
    <w:pPr>
      <w:widowControl/>
      <w:autoSpaceDE/>
      <w:autoSpaceDN/>
      <w:spacing w:after="100" w:line="259" w:lineRule="auto"/>
      <w:ind w:left="880"/>
      <w:jc w:val="left"/>
    </w:pPr>
    <w:rPr>
      <w:rFonts w:asciiTheme="minorHAnsi" w:eastAsiaTheme="minorEastAsia" w:hAnsiTheme="minorHAnsi" w:cstheme="minorBidi"/>
      <w:sz w:val="22"/>
    </w:rPr>
  </w:style>
  <w:style w:type="paragraph" w:styleId="TOC6">
    <w:name w:val="toc 6"/>
    <w:basedOn w:val="Normal"/>
    <w:next w:val="Normal"/>
    <w:autoRedefine/>
    <w:uiPriority w:val="39"/>
    <w:unhideWhenUsed/>
    <w:rsid w:val="00EF7095"/>
    <w:pPr>
      <w:widowControl/>
      <w:autoSpaceDE/>
      <w:autoSpaceDN/>
      <w:spacing w:after="100" w:line="259" w:lineRule="auto"/>
      <w:ind w:left="1100"/>
      <w:jc w:val="left"/>
    </w:pPr>
    <w:rPr>
      <w:rFonts w:asciiTheme="minorHAnsi" w:eastAsiaTheme="minorEastAsia" w:hAnsiTheme="minorHAnsi" w:cstheme="minorBidi"/>
      <w:sz w:val="22"/>
    </w:rPr>
  </w:style>
  <w:style w:type="paragraph" w:styleId="TOC7">
    <w:name w:val="toc 7"/>
    <w:basedOn w:val="Normal"/>
    <w:next w:val="Normal"/>
    <w:autoRedefine/>
    <w:uiPriority w:val="39"/>
    <w:unhideWhenUsed/>
    <w:rsid w:val="00EF7095"/>
    <w:pPr>
      <w:widowControl/>
      <w:autoSpaceDE/>
      <w:autoSpaceDN/>
      <w:spacing w:after="100" w:line="259" w:lineRule="auto"/>
      <w:ind w:left="1320"/>
      <w:jc w:val="left"/>
    </w:pPr>
    <w:rPr>
      <w:rFonts w:asciiTheme="minorHAnsi" w:eastAsiaTheme="minorEastAsia" w:hAnsiTheme="minorHAnsi" w:cstheme="minorBidi"/>
      <w:sz w:val="22"/>
    </w:rPr>
  </w:style>
  <w:style w:type="paragraph" w:styleId="TOC8">
    <w:name w:val="toc 8"/>
    <w:basedOn w:val="Normal"/>
    <w:next w:val="Normal"/>
    <w:autoRedefine/>
    <w:uiPriority w:val="39"/>
    <w:unhideWhenUsed/>
    <w:rsid w:val="00EF7095"/>
    <w:pPr>
      <w:widowControl/>
      <w:autoSpaceDE/>
      <w:autoSpaceDN/>
      <w:spacing w:after="100" w:line="259" w:lineRule="auto"/>
      <w:ind w:left="1540"/>
      <w:jc w:val="left"/>
    </w:pPr>
    <w:rPr>
      <w:rFonts w:asciiTheme="minorHAnsi" w:eastAsiaTheme="minorEastAsia" w:hAnsiTheme="minorHAnsi" w:cstheme="minorBidi"/>
      <w:sz w:val="22"/>
    </w:rPr>
  </w:style>
  <w:style w:type="paragraph" w:styleId="TOC9">
    <w:name w:val="toc 9"/>
    <w:basedOn w:val="Normal"/>
    <w:next w:val="Normal"/>
    <w:autoRedefine/>
    <w:uiPriority w:val="39"/>
    <w:unhideWhenUsed/>
    <w:rsid w:val="00EF7095"/>
    <w:pPr>
      <w:widowControl/>
      <w:autoSpaceDE/>
      <w:autoSpaceDN/>
      <w:spacing w:after="100" w:line="259" w:lineRule="auto"/>
      <w:ind w:left="1760"/>
      <w:jc w:val="left"/>
    </w:pPr>
    <w:rPr>
      <w:rFonts w:asciiTheme="minorHAnsi" w:eastAsiaTheme="minorEastAsia" w:hAnsiTheme="minorHAnsi" w:cstheme="minorBidi"/>
      <w:sz w:val="22"/>
    </w:rPr>
  </w:style>
  <w:style w:type="character" w:customStyle="1" w:styleId="Heading4Char">
    <w:name w:val="Heading 4 Char"/>
    <w:basedOn w:val="DefaultParagraphFont"/>
    <w:link w:val="Heading4"/>
    <w:uiPriority w:val="9"/>
    <w:semiHidden/>
    <w:rsid w:val="00F175CF"/>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39"/>
    <w:rsid w:val="00F17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66F46"/>
    <w:rPr>
      <w:b/>
      <w:bCs/>
    </w:rPr>
  </w:style>
  <w:style w:type="character" w:styleId="FollowedHyperlink">
    <w:name w:val="FollowedHyperlink"/>
    <w:basedOn w:val="DefaultParagraphFont"/>
    <w:uiPriority w:val="99"/>
    <w:semiHidden/>
    <w:unhideWhenUsed/>
    <w:rsid w:val="00FE5D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8485">
      <w:bodyDiv w:val="1"/>
      <w:marLeft w:val="0"/>
      <w:marRight w:val="0"/>
      <w:marTop w:val="0"/>
      <w:marBottom w:val="0"/>
      <w:divBdr>
        <w:top w:val="none" w:sz="0" w:space="0" w:color="auto"/>
        <w:left w:val="none" w:sz="0" w:space="0" w:color="auto"/>
        <w:bottom w:val="none" w:sz="0" w:space="0" w:color="auto"/>
        <w:right w:val="none" w:sz="0" w:space="0" w:color="auto"/>
      </w:divBdr>
      <w:divsChild>
        <w:div w:id="1284773392">
          <w:marLeft w:val="0"/>
          <w:marRight w:val="0"/>
          <w:marTop w:val="0"/>
          <w:marBottom w:val="0"/>
          <w:divBdr>
            <w:top w:val="none" w:sz="0" w:space="0" w:color="auto"/>
            <w:left w:val="none" w:sz="0" w:space="0" w:color="auto"/>
            <w:bottom w:val="none" w:sz="0" w:space="0" w:color="auto"/>
            <w:right w:val="none" w:sz="0" w:space="0" w:color="auto"/>
          </w:divBdr>
          <w:divsChild>
            <w:div w:id="880901868">
              <w:marLeft w:val="0"/>
              <w:marRight w:val="0"/>
              <w:marTop w:val="0"/>
              <w:marBottom w:val="0"/>
              <w:divBdr>
                <w:top w:val="none" w:sz="0" w:space="0" w:color="auto"/>
                <w:left w:val="none" w:sz="0" w:space="0" w:color="auto"/>
                <w:bottom w:val="none" w:sz="0" w:space="0" w:color="auto"/>
                <w:right w:val="none" w:sz="0" w:space="0" w:color="auto"/>
              </w:divBdr>
              <w:divsChild>
                <w:div w:id="236483056">
                  <w:marLeft w:val="0"/>
                  <w:marRight w:val="0"/>
                  <w:marTop w:val="0"/>
                  <w:marBottom w:val="0"/>
                  <w:divBdr>
                    <w:top w:val="none" w:sz="0" w:space="0" w:color="auto"/>
                    <w:left w:val="none" w:sz="0" w:space="0" w:color="auto"/>
                    <w:bottom w:val="none" w:sz="0" w:space="0" w:color="auto"/>
                    <w:right w:val="none" w:sz="0" w:space="0" w:color="auto"/>
                  </w:divBdr>
                  <w:divsChild>
                    <w:div w:id="1302075137">
                      <w:marLeft w:val="0"/>
                      <w:marRight w:val="0"/>
                      <w:marTop w:val="0"/>
                      <w:marBottom w:val="0"/>
                      <w:divBdr>
                        <w:top w:val="none" w:sz="0" w:space="0" w:color="auto"/>
                        <w:left w:val="none" w:sz="0" w:space="0" w:color="auto"/>
                        <w:bottom w:val="none" w:sz="0" w:space="0" w:color="auto"/>
                        <w:right w:val="none" w:sz="0" w:space="0" w:color="auto"/>
                      </w:divBdr>
                      <w:divsChild>
                        <w:div w:id="816455437">
                          <w:marLeft w:val="0"/>
                          <w:marRight w:val="0"/>
                          <w:marTop w:val="0"/>
                          <w:marBottom w:val="0"/>
                          <w:divBdr>
                            <w:top w:val="none" w:sz="0" w:space="0" w:color="auto"/>
                            <w:left w:val="none" w:sz="0" w:space="0" w:color="auto"/>
                            <w:bottom w:val="none" w:sz="0" w:space="0" w:color="auto"/>
                            <w:right w:val="none" w:sz="0" w:space="0" w:color="auto"/>
                          </w:divBdr>
                          <w:divsChild>
                            <w:div w:id="991059872">
                              <w:marLeft w:val="0"/>
                              <w:marRight w:val="0"/>
                              <w:marTop w:val="0"/>
                              <w:marBottom w:val="0"/>
                              <w:divBdr>
                                <w:top w:val="none" w:sz="0" w:space="0" w:color="auto"/>
                                <w:left w:val="none" w:sz="0" w:space="0" w:color="auto"/>
                                <w:bottom w:val="none" w:sz="0" w:space="0" w:color="auto"/>
                                <w:right w:val="none" w:sz="0" w:space="0" w:color="auto"/>
                              </w:divBdr>
                              <w:divsChild>
                                <w:div w:id="1084381455">
                                  <w:marLeft w:val="0"/>
                                  <w:marRight w:val="0"/>
                                  <w:marTop w:val="0"/>
                                  <w:marBottom w:val="0"/>
                                  <w:divBdr>
                                    <w:top w:val="none" w:sz="0" w:space="0" w:color="auto"/>
                                    <w:left w:val="none" w:sz="0" w:space="0" w:color="auto"/>
                                    <w:bottom w:val="none" w:sz="0" w:space="0" w:color="auto"/>
                                    <w:right w:val="none" w:sz="0" w:space="0" w:color="auto"/>
                                  </w:divBdr>
                                  <w:divsChild>
                                    <w:div w:id="151126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042934">
      <w:bodyDiv w:val="1"/>
      <w:marLeft w:val="0"/>
      <w:marRight w:val="0"/>
      <w:marTop w:val="0"/>
      <w:marBottom w:val="0"/>
      <w:divBdr>
        <w:top w:val="none" w:sz="0" w:space="0" w:color="auto"/>
        <w:left w:val="none" w:sz="0" w:space="0" w:color="auto"/>
        <w:bottom w:val="none" w:sz="0" w:space="0" w:color="auto"/>
        <w:right w:val="none" w:sz="0" w:space="0" w:color="auto"/>
      </w:divBdr>
    </w:div>
    <w:div w:id="62417659">
      <w:bodyDiv w:val="1"/>
      <w:marLeft w:val="0"/>
      <w:marRight w:val="0"/>
      <w:marTop w:val="0"/>
      <w:marBottom w:val="0"/>
      <w:divBdr>
        <w:top w:val="none" w:sz="0" w:space="0" w:color="auto"/>
        <w:left w:val="none" w:sz="0" w:space="0" w:color="auto"/>
        <w:bottom w:val="none" w:sz="0" w:space="0" w:color="auto"/>
        <w:right w:val="none" w:sz="0" w:space="0" w:color="auto"/>
      </w:divBdr>
    </w:div>
    <w:div w:id="198708730">
      <w:bodyDiv w:val="1"/>
      <w:marLeft w:val="0"/>
      <w:marRight w:val="0"/>
      <w:marTop w:val="0"/>
      <w:marBottom w:val="0"/>
      <w:divBdr>
        <w:top w:val="none" w:sz="0" w:space="0" w:color="auto"/>
        <w:left w:val="none" w:sz="0" w:space="0" w:color="auto"/>
        <w:bottom w:val="none" w:sz="0" w:space="0" w:color="auto"/>
        <w:right w:val="none" w:sz="0" w:space="0" w:color="auto"/>
      </w:divBdr>
      <w:divsChild>
        <w:div w:id="206838372">
          <w:marLeft w:val="0"/>
          <w:marRight w:val="0"/>
          <w:marTop w:val="0"/>
          <w:marBottom w:val="0"/>
          <w:divBdr>
            <w:top w:val="none" w:sz="0" w:space="0" w:color="auto"/>
            <w:left w:val="none" w:sz="0" w:space="0" w:color="auto"/>
            <w:bottom w:val="none" w:sz="0" w:space="0" w:color="auto"/>
            <w:right w:val="none" w:sz="0" w:space="0" w:color="auto"/>
          </w:divBdr>
          <w:divsChild>
            <w:div w:id="538275081">
              <w:marLeft w:val="0"/>
              <w:marRight w:val="0"/>
              <w:marTop w:val="0"/>
              <w:marBottom w:val="0"/>
              <w:divBdr>
                <w:top w:val="none" w:sz="0" w:space="0" w:color="auto"/>
                <w:left w:val="none" w:sz="0" w:space="0" w:color="auto"/>
                <w:bottom w:val="none" w:sz="0" w:space="0" w:color="auto"/>
                <w:right w:val="none" w:sz="0" w:space="0" w:color="auto"/>
              </w:divBdr>
              <w:divsChild>
                <w:div w:id="784035725">
                  <w:marLeft w:val="0"/>
                  <w:marRight w:val="0"/>
                  <w:marTop w:val="0"/>
                  <w:marBottom w:val="0"/>
                  <w:divBdr>
                    <w:top w:val="none" w:sz="0" w:space="0" w:color="auto"/>
                    <w:left w:val="none" w:sz="0" w:space="0" w:color="auto"/>
                    <w:bottom w:val="none" w:sz="0" w:space="0" w:color="auto"/>
                    <w:right w:val="none" w:sz="0" w:space="0" w:color="auto"/>
                  </w:divBdr>
                  <w:divsChild>
                    <w:div w:id="116218958">
                      <w:marLeft w:val="0"/>
                      <w:marRight w:val="0"/>
                      <w:marTop w:val="0"/>
                      <w:marBottom w:val="0"/>
                      <w:divBdr>
                        <w:top w:val="none" w:sz="0" w:space="0" w:color="auto"/>
                        <w:left w:val="none" w:sz="0" w:space="0" w:color="auto"/>
                        <w:bottom w:val="none" w:sz="0" w:space="0" w:color="auto"/>
                        <w:right w:val="none" w:sz="0" w:space="0" w:color="auto"/>
                      </w:divBdr>
                      <w:divsChild>
                        <w:div w:id="581988974">
                          <w:marLeft w:val="0"/>
                          <w:marRight w:val="0"/>
                          <w:marTop w:val="0"/>
                          <w:marBottom w:val="0"/>
                          <w:divBdr>
                            <w:top w:val="none" w:sz="0" w:space="0" w:color="auto"/>
                            <w:left w:val="none" w:sz="0" w:space="0" w:color="auto"/>
                            <w:bottom w:val="none" w:sz="0" w:space="0" w:color="auto"/>
                            <w:right w:val="none" w:sz="0" w:space="0" w:color="auto"/>
                          </w:divBdr>
                          <w:divsChild>
                            <w:div w:id="2043824507">
                              <w:marLeft w:val="0"/>
                              <w:marRight w:val="0"/>
                              <w:marTop w:val="0"/>
                              <w:marBottom w:val="0"/>
                              <w:divBdr>
                                <w:top w:val="none" w:sz="0" w:space="0" w:color="auto"/>
                                <w:left w:val="none" w:sz="0" w:space="0" w:color="auto"/>
                                <w:bottom w:val="none" w:sz="0" w:space="0" w:color="auto"/>
                                <w:right w:val="none" w:sz="0" w:space="0" w:color="auto"/>
                              </w:divBdr>
                              <w:divsChild>
                                <w:div w:id="998188795">
                                  <w:marLeft w:val="0"/>
                                  <w:marRight w:val="0"/>
                                  <w:marTop w:val="0"/>
                                  <w:marBottom w:val="0"/>
                                  <w:divBdr>
                                    <w:top w:val="none" w:sz="0" w:space="0" w:color="auto"/>
                                    <w:left w:val="none" w:sz="0" w:space="0" w:color="auto"/>
                                    <w:bottom w:val="none" w:sz="0" w:space="0" w:color="auto"/>
                                    <w:right w:val="none" w:sz="0" w:space="0" w:color="auto"/>
                                  </w:divBdr>
                                  <w:divsChild>
                                    <w:div w:id="111289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05397">
      <w:bodyDiv w:val="1"/>
      <w:marLeft w:val="0"/>
      <w:marRight w:val="0"/>
      <w:marTop w:val="0"/>
      <w:marBottom w:val="0"/>
      <w:divBdr>
        <w:top w:val="none" w:sz="0" w:space="0" w:color="auto"/>
        <w:left w:val="none" w:sz="0" w:space="0" w:color="auto"/>
        <w:bottom w:val="none" w:sz="0" w:space="0" w:color="auto"/>
        <w:right w:val="none" w:sz="0" w:space="0" w:color="auto"/>
      </w:divBdr>
    </w:div>
    <w:div w:id="266737708">
      <w:bodyDiv w:val="1"/>
      <w:marLeft w:val="0"/>
      <w:marRight w:val="0"/>
      <w:marTop w:val="0"/>
      <w:marBottom w:val="0"/>
      <w:divBdr>
        <w:top w:val="none" w:sz="0" w:space="0" w:color="auto"/>
        <w:left w:val="none" w:sz="0" w:space="0" w:color="auto"/>
        <w:bottom w:val="none" w:sz="0" w:space="0" w:color="auto"/>
        <w:right w:val="none" w:sz="0" w:space="0" w:color="auto"/>
      </w:divBdr>
    </w:div>
    <w:div w:id="356809115">
      <w:bodyDiv w:val="1"/>
      <w:marLeft w:val="0"/>
      <w:marRight w:val="0"/>
      <w:marTop w:val="0"/>
      <w:marBottom w:val="0"/>
      <w:divBdr>
        <w:top w:val="none" w:sz="0" w:space="0" w:color="auto"/>
        <w:left w:val="none" w:sz="0" w:space="0" w:color="auto"/>
        <w:bottom w:val="none" w:sz="0" w:space="0" w:color="auto"/>
        <w:right w:val="none" w:sz="0" w:space="0" w:color="auto"/>
      </w:divBdr>
    </w:div>
    <w:div w:id="392042595">
      <w:bodyDiv w:val="1"/>
      <w:marLeft w:val="0"/>
      <w:marRight w:val="0"/>
      <w:marTop w:val="0"/>
      <w:marBottom w:val="0"/>
      <w:divBdr>
        <w:top w:val="none" w:sz="0" w:space="0" w:color="auto"/>
        <w:left w:val="none" w:sz="0" w:space="0" w:color="auto"/>
        <w:bottom w:val="none" w:sz="0" w:space="0" w:color="auto"/>
        <w:right w:val="none" w:sz="0" w:space="0" w:color="auto"/>
      </w:divBdr>
      <w:divsChild>
        <w:div w:id="2143230465">
          <w:marLeft w:val="0"/>
          <w:marRight w:val="0"/>
          <w:marTop w:val="0"/>
          <w:marBottom w:val="0"/>
          <w:divBdr>
            <w:top w:val="none" w:sz="0" w:space="0" w:color="auto"/>
            <w:left w:val="none" w:sz="0" w:space="0" w:color="auto"/>
            <w:bottom w:val="none" w:sz="0" w:space="0" w:color="auto"/>
            <w:right w:val="none" w:sz="0" w:space="0" w:color="auto"/>
          </w:divBdr>
          <w:divsChild>
            <w:div w:id="44709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747734">
      <w:bodyDiv w:val="1"/>
      <w:marLeft w:val="0"/>
      <w:marRight w:val="0"/>
      <w:marTop w:val="0"/>
      <w:marBottom w:val="0"/>
      <w:divBdr>
        <w:top w:val="none" w:sz="0" w:space="0" w:color="auto"/>
        <w:left w:val="none" w:sz="0" w:space="0" w:color="auto"/>
        <w:bottom w:val="none" w:sz="0" w:space="0" w:color="auto"/>
        <w:right w:val="none" w:sz="0" w:space="0" w:color="auto"/>
      </w:divBdr>
    </w:div>
    <w:div w:id="436677450">
      <w:bodyDiv w:val="1"/>
      <w:marLeft w:val="0"/>
      <w:marRight w:val="0"/>
      <w:marTop w:val="0"/>
      <w:marBottom w:val="0"/>
      <w:divBdr>
        <w:top w:val="none" w:sz="0" w:space="0" w:color="auto"/>
        <w:left w:val="none" w:sz="0" w:space="0" w:color="auto"/>
        <w:bottom w:val="none" w:sz="0" w:space="0" w:color="auto"/>
        <w:right w:val="none" w:sz="0" w:space="0" w:color="auto"/>
      </w:divBdr>
    </w:div>
    <w:div w:id="520164130">
      <w:bodyDiv w:val="1"/>
      <w:marLeft w:val="0"/>
      <w:marRight w:val="0"/>
      <w:marTop w:val="0"/>
      <w:marBottom w:val="0"/>
      <w:divBdr>
        <w:top w:val="none" w:sz="0" w:space="0" w:color="auto"/>
        <w:left w:val="none" w:sz="0" w:space="0" w:color="auto"/>
        <w:bottom w:val="none" w:sz="0" w:space="0" w:color="auto"/>
        <w:right w:val="none" w:sz="0" w:space="0" w:color="auto"/>
      </w:divBdr>
      <w:divsChild>
        <w:div w:id="19010122">
          <w:marLeft w:val="0"/>
          <w:marRight w:val="0"/>
          <w:marTop w:val="0"/>
          <w:marBottom w:val="0"/>
          <w:divBdr>
            <w:top w:val="none" w:sz="0" w:space="0" w:color="auto"/>
            <w:left w:val="none" w:sz="0" w:space="0" w:color="auto"/>
            <w:bottom w:val="none" w:sz="0" w:space="0" w:color="auto"/>
            <w:right w:val="none" w:sz="0" w:space="0" w:color="auto"/>
          </w:divBdr>
          <w:divsChild>
            <w:div w:id="2076126194">
              <w:marLeft w:val="0"/>
              <w:marRight w:val="0"/>
              <w:marTop w:val="0"/>
              <w:marBottom w:val="0"/>
              <w:divBdr>
                <w:top w:val="none" w:sz="0" w:space="0" w:color="auto"/>
                <w:left w:val="none" w:sz="0" w:space="0" w:color="auto"/>
                <w:bottom w:val="none" w:sz="0" w:space="0" w:color="auto"/>
                <w:right w:val="none" w:sz="0" w:space="0" w:color="auto"/>
              </w:divBdr>
              <w:divsChild>
                <w:div w:id="1652370568">
                  <w:marLeft w:val="0"/>
                  <w:marRight w:val="0"/>
                  <w:marTop w:val="0"/>
                  <w:marBottom w:val="0"/>
                  <w:divBdr>
                    <w:top w:val="none" w:sz="0" w:space="0" w:color="auto"/>
                    <w:left w:val="none" w:sz="0" w:space="0" w:color="auto"/>
                    <w:bottom w:val="none" w:sz="0" w:space="0" w:color="auto"/>
                    <w:right w:val="none" w:sz="0" w:space="0" w:color="auto"/>
                  </w:divBdr>
                  <w:divsChild>
                    <w:div w:id="111631302">
                      <w:marLeft w:val="0"/>
                      <w:marRight w:val="0"/>
                      <w:marTop w:val="0"/>
                      <w:marBottom w:val="0"/>
                      <w:divBdr>
                        <w:top w:val="none" w:sz="0" w:space="0" w:color="auto"/>
                        <w:left w:val="none" w:sz="0" w:space="0" w:color="auto"/>
                        <w:bottom w:val="none" w:sz="0" w:space="0" w:color="auto"/>
                        <w:right w:val="none" w:sz="0" w:space="0" w:color="auto"/>
                      </w:divBdr>
                      <w:divsChild>
                        <w:div w:id="10300259">
                          <w:marLeft w:val="0"/>
                          <w:marRight w:val="0"/>
                          <w:marTop w:val="0"/>
                          <w:marBottom w:val="0"/>
                          <w:divBdr>
                            <w:top w:val="none" w:sz="0" w:space="0" w:color="auto"/>
                            <w:left w:val="none" w:sz="0" w:space="0" w:color="auto"/>
                            <w:bottom w:val="none" w:sz="0" w:space="0" w:color="auto"/>
                            <w:right w:val="none" w:sz="0" w:space="0" w:color="auto"/>
                          </w:divBdr>
                          <w:divsChild>
                            <w:div w:id="1858885031">
                              <w:marLeft w:val="0"/>
                              <w:marRight w:val="0"/>
                              <w:marTop w:val="0"/>
                              <w:marBottom w:val="0"/>
                              <w:divBdr>
                                <w:top w:val="none" w:sz="0" w:space="0" w:color="auto"/>
                                <w:left w:val="none" w:sz="0" w:space="0" w:color="auto"/>
                                <w:bottom w:val="none" w:sz="0" w:space="0" w:color="auto"/>
                                <w:right w:val="none" w:sz="0" w:space="0" w:color="auto"/>
                              </w:divBdr>
                              <w:divsChild>
                                <w:div w:id="1209801182">
                                  <w:marLeft w:val="0"/>
                                  <w:marRight w:val="0"/>
                                  <w:marTop w:val="0"/>
                                  <w:marBottom w:val="0"/>
                                  <w:divBdr>
                                    <w:top w:val="none" w:sz="0" w:space="0" w:color="auto"/>
                                    <w:left w:val="none" w:sz="0" w:space="0" w:color="auto"/>
                                    <w:bottom w:val="none" w:sz="0" w:space="0" w:color="auto"/>
                                    <w:right w:val="none" w:sz="0" w:space="0" w:color="auto"/>
                                  </w:divBdr>
                                  <w:divsChild>
                                    <w:div w:id="104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7056676">
      <w:bodyDiv w:val="1"/>
      <w:marLeft w:val="0"/>
      <w:marRight w:val="0"/>
      <w:marTop w:val="0"/>
      <w:marBottom w:val="0"/>
      <w:divBdr>
        <w:top w:val="none" w:sz="0" w:space="0" w:color="auto"/>
        <w:left w:val="none" w:sz="0" w:space="0" w:color="auto"/>
        <w:bottom w:val="none" w:sz="0" w:space="0" w:color="auto"/>
        <w:right w:val="none" w:sz="0" w:space="0" w:color="auto"/>
      </w:divBdr>
    </w:div>
    <w:div w:id="625741565">
      <w:bodyDiv w:val="1"/>
      <w:marLeft w:val="0"/>
      <w:marRight w:val="0"/>
      <w:marTop w:val="0"/>
      <w:marBottom w:val="0"/>
      <w:divBdr>
        <w:top w:val="none" w:sz="0" w:space="0" w:color="auto"/>
        <w:left w:val="none" w:sz="0" w:space="0" w:color="auto"/>
        <w:bottom w:val="none" w:sz="0" w:space="0" w:color="auto"/>
        <w:right w:val="none" w:sz="0" w:space="0" w:color="auto"/>
      </w:divBdr>
    </w:div>
    <w:div w:id="687949488">
      <w:bodyDiv w:val="1"/>
      <w:marLeft w:val="0"/>
      <w:marRight w:val="0"/>
      <w:marTop w:val="0"/>
      <w:marBottom w:val="0"/>
      <w:divBdr>
        <w:top w:val="none" w:sz="0" w:space="0" w:color="auto"/>
        <w:left w:val="none" w:sz="0" w:space="0" w:color="auto"/>
        <w:bottom w:val="none" w:sz="0" w:space="0" w:color="auto"/>
        <w:right w:val="none" w:sz="0" w:space="0" w:color="auto"/>
      </w:divBdr>
    </w:div>
    <w:div w:id="693724855">
      <w:bodyDiv w:val="1"/>
      <w:marLeft w:val="0"/>
      <w:marRight w:val="0"/>
      <w:marTop w:val="0"/>
      <w:marBottom w:val="0"/>
      <w:divBdr>
        <w:top w:val="none" w:sz="0" w:space="0" w:color="auto"/>
        <w:left w:val="none" w:sz="0" w:space="0" w:color="auto"/>
        <w:bottom w:val="none" w:sz="0" w:space="0" w:color="auto"/>
        <w:right w:val="none" w:sz="0" w:space="0" w:color="auto"/>
      </w:divBdr>
    </w:div>
    <w:div w:id="761995755">
      <w:bodyDiv w:val="1"/>
      <w:marLeft w:val="0"/>
      <w:marRight w:val="0"/>
      <w:marTop w:val="0"/>
      <w:marBottom w:val="0"/>
      <w:divBdr>
        <w:top w:val="none" w:sz="0" w:space="0" w:color="auto"/>
        <w:left w:val="none" w:sz="0" w:space="0" w:color="auto"/>
        <w:bottom w:val="none" w:sz="0" w:space="0" w:color="auto"/>
        <w:right w:val="none" w:sz="0" w:space="0" w:color="auto"/>
      </w:divBdr>
    </w:div>
    <w:div w:id="973562851">
      <w:bodyDiv w:val="1"/>
      <w:marLeft w:val="0"/>
      <w:marRight w:val="0"/>
      <w:marTop w:val="0"/>
      <w:marBottom w:val="0"/>
      <w:divBdr>
        <w:top w:val="none" w:sz="0" w:space="0" w:color="auto"/>
        <w:left w:val="none" w:sz="0" w:space="0" w:color="auto"/>
        <w:bottom w:val="none" w:sz="0" w:space="0" w:color="auto"/>
        <w:right w:val="none" w:sz="0" w:space="0" w:color="auto"/>
      </w:divBdr>
    </w:div>
    <w:div w:id="981542655">
      <w:bodyDiv w:val="1"/>
      <w:marLeft w:val="0"/>
      <w:marRight w:val="0"/>
      <w:marTop w:val="0"/>
      <w:marBottom w:val="0"/>
      <w:divBdr>
        <w:top w:val="none" w:sz="0" w:space="0" w:color="auto"/>
        <w:left w:val="none" w:sz="0" w:space="0" w:color="auto"/>
        <w:bottom w:val="none" w:sz="0" w:space="0" w:color="auto"/>
        <w:right w:val="none" w:sz="0" w:space="0" w:color="auto"/>
      </w:divBdr>
    </w:div>
    <w:div w:id="1008142989">
      <w:bodyDiv w:val="1"/>
      <w:marLeft w:val="0"/>
      <w:marRight w:val="0"/>
      <w:marTop w:val="0"/>
      <w:marBottom w:val="0"/>
      <w:divBdr>
        <w:top w:val="none" w:sz="0" w:space="0" w:color="auto"/>
        <w:left w:val="none" w:sz="0" w:space="0" w:color="auto"/>
        <w:bottom w:val="none" w:sz="0" w:space="0" w:color="auto"/>
        <w:right w:val="none" w:sz="0" w:space="0" w:color="auto"/>
      </w:divBdr>
      <w:divsChild>
        <w:div w:id="1306467622">
          <w:marLeft w:val="0"/>
          <w:marRight w:val="0"/>
          <w:marTop w:val="0"/>
          <w:marBottom w:val="0"/>
          <w:divBdr>
            <w:top w:val="none" w:sz="0" w:space="0" w:color="auto"/>
            <w:left w:val="none" w:sz="0" w:space="0" w:color="auto"/>
            <w:bottom w:val="none" w:sz="0" w:space="0" w:color="auto"/>
            <w:right w:val="none" w:sz="0" w:space="0" w:color="auto"/>
          </w:divBdr>
          <w:divsChild>
            <w:div w:id="205469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731444">
      <w:bodyDiv w:val="1"/>
      <w:marLeft w:val="0"/>
      <w:marRight w:val="0"/>
      <w:marTop w:val="0"/>
      <w:marBottom w:val="0"/>
      <w:divBdr>
        <w:top w:val="none" w:sz="0" w:space="0" w:color="auto"/>
        <w:left w:val="none" w:sz="0" w:space="0" w:color="auto"/>
        <w:bottom w:val="none" w:sz="0" w:space="0" w:color="auto"/>
        <w:right w:val="none" w:sz="0" w:space="0" w:color="auto"/>
      </w:divBdr>
    </w:div>
    <w:div w:id="1241870508">
      <w:bodyDiv w:val="1"/>
      <w:marLeft w:val="0"/>
      <w:marRight w:val="0"/>
      <w:marTop w:val="0"/>
      <w:marBottom w:val="0"/>
      <w:divBdr>
        <w:top w:val="none" w:sz="0" w:space="0" w:color="auto"/>
        <w:left w:val="none" w:sz="0" w:space="0" w:color="auto"/>
        <w:bottom w:val="none" w:sz="0" w:space="0" w:color="auto"/>
        <w:right w:val="none" w:sz="0" w:space="0" w:color="auto"/>
      </w:divBdr>
    </w:div>
    <w:div w:id="1294410055">
      <w:bodyDiv w:val="1"/>
      <w:marLeft w:val="0"/>
      <w:marRight w:val="0"/>
      <w:marTop w:val="0"/>
      <w:marBottom w:val="0"/>
      <w:divBdr>
        <w:top w:val="none" w:sz="0" w:space="0" w:color="auto"/>
        <w:left w:val="none" w:sz="0" w:space="0" w:color="auto"/>
        <w:bottom w:val="none" w:sz="0" w:space="0" w:color="auto"/>
        <w:right w:val="none" w:sz="0" w:space="0" w:color="auto"/>
      </w:divBdr>
    </w:div>
    <w:div w:id="1297877965">
      <w:bodyDiv w:val="1"/>
      <w:marLeft w:val="0"/>
      <w:marRight w:val="0"/>
      <w:marTop w:val="0"/>
      <w:marBottom w:val="0"/>
      <w:divBdr>
        <w:top w:val="none" w:sz="0" w:space="0" w:color="auto"/>
        <w:left w:val="none" w:sz="0" w:space="0" w:color="auto"/>
        <w:bottom w:val="none" w:sz="0" w:space="0" w:color="auto"/>
        <w:right w:val="none" w:sz="0" w:space="0" w:color="auto"/>
      </w:divBdr>
    </w:div>
    <w:div w:id="1400439590">
      <w:bodyDiv w:val="1"/>
      <w:marLeft w:val="0"/>
      <w:marRight w:val="0"/>
      <w:marTop w:val="0"/>
      <w:marBottom w:val="0"/>
      <w:divBdr>
        <w:top w:val="none" w:sz="0" w:space="0" w:color="auto"/>
        <w:left w:val="none" w:sz="0" w:space="0" w:color="auto"/>
        <w:bottom w:val="none" w:sz="0" w:space="0" w:color="auto"/>
        <w:right w:val="none" w:sz="0" w:space="0" w:color="auto"/>
      </w:divBdr>
    </w:div>
    <w:div w:id="1425374567">
      <w:bodyDiv w:val="1"/>
      <w:marLeft w:val="0"/>
      <w:marRight w:val="0"/>
      <w:marTop w:val="0"/>
      <w:marBottom w:val="0"/>
      <w:divBdr>
        <w:top w:val="none" w:sz="0" w:space="0" w:color="auto"/>
        <w:left w:val="none" w:sz="0" w:space="0" w:color="auto"/>
        <w:bottom w:val="none" w:sz="0" w:space="0" w:color="auto"/>
        <w:right w:val="none" w:sz="0" w:space="0" w:color="auto"/>
      </w:divBdr>
    </w:div>
    <w:div w:id="1450466754">
      <w:bodyDiv w:val="1"/>
      <w:marLeft w:val="0"/>
      <w:marRight w:val="0"/>
      <w:marTop w:val="0"/>
      <w:marBottom w:val="0"/>
      <w:divBdr>
        <w:top w:val="none" w:sz="0" w:space="0" w:color="auto"/>
        <w:left w:val="none" w:sz="0" w:space="0" w:color="auto"/>
        <w:bottom w:val="none" w:sz="0" w:space="0" w:color="auto"/>
        <w:right w:val="none" w:sz="0" w:space="0" w:color="auto"/>
      </w:divBdr>
    </w:div>
    <w:div w:id="1476602950">
      <w:bodyDiv w:val="1"/>
      <w:marLeft w:val="0"/>
      <w:marRight w:val="0"/>
      <w:marTop w:val="0"/>
      <w:marBottom w:val="0"/>
      <w:divBdr>
        <w:top w:val="none" w:sz="0" w:space="0" w:color="auto"/>
        <w:left w:val="none" w:sz="0" w:space="0" w:color="auto"/>
        <w:bottom w:val="none" w:sz="0" w:space="0" w:color="auto"/>
        <w:right w:val="none" w:sz="0" w:space="0" w:color="auto"/>
      </w:divBdr>
      <w:divsChild>
        <w:div w:id="928808257">
          <w:marLeft w:val="0"/>
          <w:marRight w:val="0"/>
          <w:marTop w:val="0"/>
          <w:marBottom w:val="0"/>
          <w:divBdr>
            <w:top w:val="none" w:sz="0" w:space="0" w:color="auto"/>
            <w:left w:val="none" w:sz="0" w:space="0" w:color="auto"/>
            <w:bottom w:val="none" w:sz="0" w:space="0" w:color="auto"/>
            <w:right w:val="none" w:sz="0" w:space="0" w:color="auto"/>
          </w:divBdr>
          <w:divsChild>
            <w:div w:id="31950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499492">
      <w:bodyDiv w:val="1"/>
      <w:marLeft w:val="0"/>
      <w:marRight w:val="0"/>
      <w:marTop w:val="0"/>
      <w:marBottom w:val="0"/>
      <w:divBdr>
        <w:top w:val="none" w:sz="0" w:space="0" w:color="auto"/>
        <w:left w:val="none" w:sz="0" w:space="0" w:color="auto"/>
        <w:bottom w:val="none" w:sz="0" w:space="0" w:color="auto"/>
        <w:right w:val="none" w:sz="0" w:space="0" w:color="auto"/>
      </w:divBdr>
    </w:div>
    <w:div w:id="1503885929">
      <w:bodyDiv w:val="1"/>
      <w:marLeft w:val="0"/>
      <w:marRight w:val="0"/>
      <w:marTop w:val="0"/>
      <w:marBottom w:val="0"/>
      <w:divBdr>
        <w:top w:val="none" w:sz="0" w:space="0" w:color="auto"/>
        <w:left w:val="none" w:sz="0" w:space="0" w:color="auto"/>
        <w:bottom w:val="none" w:sz="0" w:space="0" w:color="auto"/>
        <w:right w:val="none" w:sz="0" w:space="0" w:color="auto"/>
      </w:divBdr>
    </w:div>
    <w:div w:id="1528328313">
      <w:bodyDiv w:val="1"/>
      <w:marLeft w:val="0"/>
      <w:marRight w:val="0"/>
      <w:marTop w:val="0"/>
      <w:marBottom w:val="0"/>
      <w:divBdr>
        <w:top w:val="none" w:sz="0" w:space="0" w:color="auto"/>
        <w:left w:val="none" w:sz="0" w:space="0" w:color="auto"/>
        <w:bottom w:val="none" w:sz="0" w:space="0" w:color="auto"/>
        <w:right w:val="none" w:sz="0" w:space="0" w:color="auto"/>
      </w:divBdr>
    </w:div>
    <w:div w:id="1603294198">
      <w:bodyDiv w:val="1"/>
      <w:marLeft w:val="0"/>
      <w:marRight w:val="0"/>
      <w:marTop w:val="0"/>
      <w:marBottom w:val="0"/>
      <w:divBdr>
        <w:top w:val="none" w:sz="0" w:space="0" w:color="auto"/>
        <w:left w:val="none" w:sz="0" w:space="0" w:color="auto"/>
        <w:bottom w:val="none" w:sz="0" w:space="0" w:color="auto"/>
        <w:right w:val="none" w:sz="0" w:space="0" w:color="auto"/>
      </w:divBdr>
    </w:div>
    <w:div w:id="1760176371">
      <w:bodyDiv w:val="1"/>
      <w:marLeft w:val="0"/>
      <w:marRight w:val="0"/>
      <w:marTop w:val="0"/>
      <w:marBottom w:val="0"/>
      <w:divBdr>
        <w:top w:val="none" w:sz="0" w:space="0" w:color="auto"/>
        <w:left w:val="none" w:sz="0" w:space="0" w:color="auto"/>
        <w:bottom w:val="none" w:sz="0" w:space="0" w:color="auto"/>
        <w:right w:val="none" w:sz="0" w:space="0" w:color="auto"/>
      </w:divBdr>
      <w:divsChild>
        <w:div w:id="917595172">
          <w:marLeft w:val="0"/>
          <w:marRight w:val="0"/>
          <w:marTop w:val="0"/>
          <w:marBottom w:val="0"/>
          <w:divBdr>
            <w:top w:val="none" w:sz="0" w:space="0" w:color="auto"/>
            <w:left w:val="none" w:sz="0" w:space="0" w:color="auto"/>
            <w:bottom w:val="none" w:sz="0" w:space="0" w:color="auto"/>
            <w:right w:val="none" w:sz="0" w:space="0" w:color="auto"/>
          </w:divBdr>
          <w:divsChild>
            <w:div w:id="179328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21369">
      <w:bodyDiv w:val="1"/>
      <w:marLeft w:val="0"/>
      <w:marRight w:val="0"/>
      <w:marTop w:val="0"/>
      <w:marBottom w:val="0"/>
      <w:divBdr>
        <w:top w:val="none" w:sz="0" w:space="0" w:color="auto"/>
        <w:left w:val="none" w:sz="0" w:space="0" w:color="auto"/>
        <w:bottom w:val="none" w:sz="0" w:space="0" w:color="auto"/>
        <w:right w:val="none" w:sz="0" w:space="0" w:color="auto"/>
      </w:divBdr>
    </w:div>
    <w:div w:id="1888177351">
      <w:bodyDiv w:val="1"/>
      <w:marLeft w:val="0"/>
      <w:marRight w:val="0"/>
      <w:marTop w:val="0"/>
      <w:marBottom w:val="0"/>
      <w:divBdr>
        <w:top w:val="none" w:sz="0" w:space="0" w:color="auto"/>
        <w:left w:val="none" w:sz="0" w:space="0" w:color="auto"/>
        <w:bottom w:val="none" w:sz="0" w:space="0" w:color="auto"/>
        <w:right w:val="none" w:sz="0" w:space="0" w:color="auto"/>
      </w:divBdr>
    </w:div>
    <w:div w:id="1916893554">
      <w:bodyDiv w:val="1"/>
      <w:marLeft w:val="0"/>
      <w:marRight w:val="0"/>
      <w:marTop w:val="0"/>
      <w:marBottom w:val="0"/>
      <w:divBdr>
        <w:top w:val="none" w:sz="0" w:space="0" w:color="auto"/>
        <w:left w:val="none" w:sz="0" w:space="0" w:color="auto"/>
        <w:bottom w:val="none" w:sz="0" w:space="0" w:color="auto"/>
        <w:right w:val="none" w:sz="0" w:space="0" w:color="auto"/>
      </w:divBdr>
      <w:divsChild>
        <w:div w:id="1513033719">
          <w:marLeft w:val="0"/>
          <w:marRight w:val="0"/>
          <w:marTop w:val="0"/>
          <w:marBottom w:val="0"/>
          <w:divBdr>
            <w:top w:val="none" w:sz="0" w:space="0" w:color="auto"/>
            <w:left w:val="none" w:sz="0" w:space="0" w:color="auto"/>
            <w:bottom w:val="none" w:sz="0" w:space="0" w:color="auto"/>
            <w:right w:val="none" w:sz="0" w:space="0" w:color="auto"/>
          </w:divBdr>
          <w:divsChild>
            <w:div w:id="484669918">
              <w:marLeft w:val="0"/>
              <w:marRight w:val="0"/>
              <w:marTop w:val="0"/>
              <w:marBottom w:val="0"/>
              <w:divBdr>
                <w:top w:val="none" w:sz="0" w:space="0" w:color="auto"/>
                <w:left w:val="none" w:sz="0" w:space="0" w:color="auto"/>
                <w:bottom w:val="none" w:sz="0" w:space="0" w:color="auto"/>
                <w:right w:val="none" w:sz="0" w:space="0" w:color="auto"/>
              </w:divBdr>
              <w:divsChild>
                <w:div w:id="661659681">
                  <w:marLeft w:val="0"/>
                  <w:marRight w:val="0"/>
                  <w:marTop w:val="0"/>
                  <w:marBottom w:val="0"/>
                  <w:divBdr>
                    <w:top w:val="none" w:sz="0" w:space="0" w:color="auto"/>
                    <w:left w:val="none" w:sz="0" w:space="0" w:color="auto"/>
                    <w:bottom w:val="none" w:sz="0" w:space="0" w:color="auto"/>
                    <w:right w:val="none" w:sz="0" w:space="0" w:color="auto"/>
                  </w:divBdr>
                  <w:divsChild>
                    <w:div w:id="1795129027">
                      <w:marLeft w:val="0"/>
                      <w:marRight w:val="0"/>
                      <w:marTop w:val="0"/>
                      <w:marBottom w:val="0"/>
                      <w:divBdr>
                        <w:top w:val="none" w:sz="0" w:space="0" w:color="auto"/>
                        <w:left w:val="none" w:sz="0" w:space="0" w:color="auto"/>
                        <w:bottom w:val="none" w:sz="0" w:space="0" w:color="auto"/>
                        <w:right w:val="none" w:sz="0" w:space="0" w:color="auto"/>
                      </w:divBdr>
                      <w:divsChild>
                        <w:div w:id="922029520">
                          <w:marLeft w:val="0"/>
                          <w:marRight w:val="0"/>
                          <w:marTop w:val="0"/>
                          <w:marBottom w:val="0"/>
                          <w:divBdr>
                            <w:top w:val="none" w:sz="0" w:space="0" w:color="auto"/>
                            <w:left w:val="none" w:sz="0" w:space="0" w:color="auto"/>
                            <w:bottom w:val="none" w:sz="0" w:space="0" w:color="auto"/>
                            <w:right w:val="none" w:sz="0" w:space="0" w:color="auto"/>
                          </w:divBdr>
                          <w:divsChild>
                            <w:div w:id="1787233085">
                              <w:marLeft w:val="0"/>
                              <w:marRight w:val="0"/>
                              <w:marTop w:val="0"/>
                              <w:marBottom w:val="0"/>
                              <w:divBdr>
                                <w:top w:val="none" w:sz="0" w:space="0" w:color="auto"/>
                                <w:left w:val="none" w:sz="0" w:space="0" w:color="auto"/>
                                <w:bottom w:val="none" w:sz="0" w:space="0" w:color="auto"/>
                                <w:right w:val="none" w:sz="0" w:space="0" w:color="auto"/>
                              </w:divBdr>
                              <w:divsChild>
                                <w:div w:id="1568301009">
                                  <w:marLeft w:val="0"/>
                                  <w:marRight w:val="0"/>
                                  <w:marTop w:val="0"/>
                                  <w:marBottom w:val="0"/>
                                  <w:divBdr>
                                    <w:top w:val="none" w:sz="0" w:space="0" w:color="auto"/>
                                    <w:left w:val="none" w:sz="0" w:space="0" w:color="auto"/>
                                    <w:bottom w:val="none" w:sz="0" w:space="0" w:color="auto"/>
                                    <w:right w:val="none" w:sz="0" w:space="0" w:color="auto"/>
                                  </w:divBdr>
                                  <w:divsChild>
                                    <w:div w:id="108056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7665478">
      <w:bodyDiv w:val="1"/>
      <w:marLeft w:val="0"/>
      <w:marRight w:val="0"/>
      <w:marTop w:val="0"/>
      <w:marBottom w:val="0"/>
      <w:divBdr>
        <w:top w:val="none" w:sz="0" w:space="0" w:color="auto"/>
        <w:left w:val="none" w:sz="0" w:space="0" w:color="auto"/>
        <w:bottom w:val="none" w:sz="0" w:space="0" w:color="auto"/>
        <w:right w:val="none" w:sz="0" w:space="0" w:color="auto"/>
      </w:divBdr>
    </w:div>
    <w:div w:id="1944680665">
      <w:bodyDiv w:val="1"/>
      <w:marLeft w:val="0"/>
      <w:marRight w:val="0"/>
      <w:marTop w:val="0"/>
      <w:marBottom w:val="0"/>
      <w:divBdr>
        <w:top w:val="none" w:sz="0" w:space="0" w:color="auto"/>
        <w:left w:val="none" w:sz="0" w:space="0" w:color="auto"/>
        <w:bottom w:val="none" w:sz="0" w:space="0" w:color="auto"/>
        <w:right w:val="none" w:sz="0" w:space="0" w:color="auto"/>
      </w:divBdr>
    </w:div>
    <w:div w:id="1963880215">
      <w:bodyDiv w:val="1"/>
      <w:marLeft w:val="0"/>
      <w:marRight w:val="0"/>
      <w:marTop w:val="0"/>
      <w:marBottom w:val="0"/>
      <w:divBdr>
        <w:top w:val="none" w:sz="0" w:space="0" w:color="auto"/>
        <w:left w:val="none" w:sz="0" w:space="0" w:color="auto"/>
        <w:bottom w:val="none" w:sz="0" w:space="0" w:color="auto"/>
        <w:right w:val="none" w:sz="0" w:space="0" w:color="auto"/>
      </w:divBdr>
    </w:div>
    <w:div w:id="2016688255">
      <w:bodyDiv w:val="1"/>
      <w:marLeft w:val="0"/>
      <w:marRight w:val="0"/>
      <w:marTop w:val="0"/>
      <w:marBottom w:val="0"/>
      <w:divBdr>
        <w:top w:val="none" w:sz="0" w:space="0" w:color="auto"/>
        <w:left w:val="none" w:sz="0" w:space="0" w:color="auto"/>
        <w:bottom w:val="none" w:sz="0" w:space="0" w:color="auto"/>
        <w:right w:val="none" w:sz="0" w:space="0" w:color="auto"/>
      </w:divBdr>
      <w:divsChild>
        <w:div w:id="636956501">
          <w:marLeft w:val="0"/>
          <w:marRight w:val="0"/>
          <w:marTop w:val="0"/>
          <w:marBottom w:val="0"/>
          <w:divBdr>
            <w:top w:val="none" w:sz="0" w:space="0" w:color="auto"/>
            <w:left w:val="none" w:sz="0" w:space="0" w:color="auto"/>
            <w:bottom w:val="none" w:sz="0" w:space="0" w:color="auto"/>
            <w:right w:val="none" w:sz="0" w:space="0" w:color="auto"/>
          </w:divBdr>
          <w:divsChild>
            <w:div w:id="356464681">
              <w:marLeft w:val="0"/>
              <w:marRight w:val="0"/>
              <w:marTop w:val="0"/>
              <w:marBottom w:val="0"/>
              <w:divBdr>
                <w:top w:val="none" w:sz="0" w:space="0" w:color="auto"/>
                <w:left w:val="none" w:sz="0" w:space="0" w:color="auto"/>
                <w:bottom w:val="none" w:sz="0" w:space="0" w:color="auto"/>
                <w:right w:val="none" w:sz="0" w:space="0" w:color="auto"/>
              </w:divBdr>
              <w:divsChild>
                <w:div w:id="2015299368">
                  <w:marLeft w:val="0"/>
                  <w:marRight w:val="0"/>
                  <w:marTop w:val="0"/>
                  <w:marBottom w:val="0"/>
                  <w:divBdr>
                    <w:top w:val="none" w:sz="0" w:space="0" w:color="auto"/>
                    <w:left w:val="none" w:sz="0" w:space="0" w:color="auto"/>
                    <w:bottom w:val="none" w:sz="0" w:space="0" w:color="auto"/>
                    <w:right w:val="none" w:sz="0" w:space="0" w:color="auto"/>
                  </w:divBdr>
                  <w:divsChild>
                    <w:div w:id="1845314628">
                      <w:marLeft w:val="0"/>
                      <w:marRight w:val="0"/>
                      <w:marTop w:val="0"/>
                      <w:marBottom w:val="0"/>
                      <w:divBdr>
                        <w:top w:val="none" w:sz="0" w:space="0" w:color="auto"/>
                        <w:left w:val="none" w:sz="0" w:space="0" w:color="auto"/>
                        <w:bottom w:val="none" w:sz="0" w:space="0" w:color="auto"/>
                        <w:right w:val="none" w:sz="0" w:space="0" w:color="auto"/>
                      </w:divBdr>
                      <w:divsChild>
                        <w:div w:id="1401947012">
                          <w:marLeft w:val="0"/>
                          <w:marRight w:val="0"/>
                          <w:marTop w:val="0"/>
                          <w:marBottom w:val="0"/>
                          <w:divBdr>
                            <w:top w:val="none" w:sz="0" w:space="0" w:color="auto"/>
                            <w:left w:val="none" w:sz="0" w:space="0" w:color="auto"/>
                            <w:bottom w:val="none" w:sz="0" w:space="0" w:color="auto"/>
                            <w:right w:val="none" w:sz="0" w:space="0" w:color="auto"/>
                          </w:divBdr>
                          <w:divsChild>
                            <w:div w:id="2113086699">
                              <w:marLeft w:val="0"/>
                              <w:marRight w:val="0"/>
                              <w:marTop w:val="0"/>
                              <w:marBottom w:val="0"/>
                              <w:divBdr>
                                <w:top w:val="none" w:sz="0" w:space="0" w:color="auto"/>
                                <w:left w:val="none" w:sz="0" w:space="0" w:color="auto"/>
                                <w:bottom w:val="none" w:sz="0" w:space="0" w:color="auto"/>
                                <w:right w:val="none" w:sz="0" w:space="0" w:color="auto"/>
                              </w:divBdr>
                              <w:divsChild>
                                <w:div w:id="1593469209">
                                  <w:marLeft w:val="0"/>
                                  <w:marRight w:val="0"/>
                                  <w:marTop w:val="0"/>
                                  <w:marBottom w:val="0"/>
                                  <w:divBdr>
                                    <w:top w:val="none" w:sz="0" w:space="0" w:color="auto"/>
                                    <w:left w:val="none" w:sz="0" w:space="0" w:color="auto"/>
                                    <w:bottom w:val="none" w:sz="0" w:space="0" w:color="auto"/>
                                    <w:right w:val="none" w:sz="0" w:space="0" w:color="auto"/>
                                  </w:divBdr>
                                  <w:divsChild>
                                    <w:div w:id="119349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4063585">
      <w:bodyDiv w:val="1"/>
      <w:marLeft w:val="0"/>
      <w:marRight w:val="0"/>
      <w:marTop w:val="0"/>
      <w:marBottom w:val="0"/>
      <w:divBdr>
        <w:top w:val="none" w:sz="0" w:space="0" w:color="auto"/>
        <w:left w:val="none" w:sz="0" w:space="0" w:color="auto"/>
        <w:bottom w:val="none" w:sz="0" w:space="0" w:color="auto"/>
        <w:right w:val="none" w:sz="0" w:space="0" w:color="auto"/>
      </w:divBdr>
    </w:div>
    <w:div w:id="2046103598">
      <w:bodyDiv w:val="1"/>
      <w:marLeft w:val="0"/>
      <w:marRight w:val="0"/>
      <w:marTop w:val="0"/>
      <w:marBottom w:val="0"/>
      <w:divBdr>
        <w:top w:val="none" w:sz="0" w:space="0" w:color="auto"/>
        <w:left w:val="none" w:sz="0" w:space="0" w:color="auto"/>
        <w:bottom w:val="none" w:sz="0" w:space="0" w:color="auto"/>
        <w:right w:val="none" w:sz="0" w:space="0" w:color="auto"/>
      </w:divBdr>
    </w:div>
    <w:div w:id="2117869320">
      <w:bodyDiv w:val="1"/>
      <w:marLeft w:val="0"/>
      <w:marRight w:val="0"/>
      <w:marTop w:val="0"/>
      <w:marBottom w:val="0"/>
      <w:divBdr>
        <w:top w:val="none" w:sz="0" w:space="0" w:color="auto"/>
        <w:left w:val="none" w:sz="0" w:space="0" w:color="auto"/>
        <w:bottom w:val="none" w:sz="0" w:space="0" w:color="auto"/>
        <w:right w:val="none" w:sz="0" w:space="0" w:color="auto"/>
      </w:divBdr>
    </w:div>
    <w:div w:id="2132627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 /><Relationship Id="rId18" Type="http://schemas.microsoft.com/office/2007/relationships/diagramDrawing" Target="diagrams/drawing1.xml" /><Relationship Id="rId26" Type="http://schemas.openxmlformats.org/officeDocument/2006/relationships/hyperlink" Target="https://corporate.asda.com/newsroom/2025/12/02/asda-updates-on-esg-performance?utm_source=chatgpt.com" TargetMode="External" /><Relationship Id="rId39" Type="http://schemas.openxmlformats.org/officeDocument/2006/relationships/hyperlink" Target="https://doi.org/10.3390/su16124932" TargetMode="External" /><Relationship Id="rId21" Type="http://schemas.openxmlformats.org/officeDocument/2006/relationships/hyperlink" Target="https://www.asa.org.uk/resource/misleading-environmental-claims-and-social-responsibility-in-advertising.html" TargetMode="External" /><Relationship Id="rId34" Type="http://schemas.openxmlformats.org/officeDocument/2006/relationships/hyperlink" Target="https://www.gov.uk/government/news/green-claims-cma-secures-landmark-changes-from-asos-boohoo-and-asda" TargetMode="External" /><Relationship Id="rId42" Type="http://schemas.openxmlformats.org/officeDocument/2006/relationships/hyperlink" Target="https://www.ft.com/content/14f4af4b-083a-4a8f-926f-dd97b6a30ec0?utm_source=chatgpt.com" TargetMode="External" /><Relationship Id="rId47" Type="http://schemas.openxmlformats.org/officeDocument/2006/relationships/hyperlink" Target="https://doi.org/10.1111/beer.12462" TargetMode="External" /><Relationship Id="rId50" Type="http://schemas.openxmlformats.org/officeDocument/2006/relationships/hyperlink" Target="https://corporate.sainsburys.co.uk/media/pldfss3l/sainsburys-plan-for-better-report-2025-26.pdf?utm_source=chatgpt.com" TargetMode="External" /><Relationship Id="rId55" Type="http://schemas.openxmlformats.org/officeDocument/2006/relationships/hyperlink" Target="https://doi.org/10.3389/fpsyg.2022.895823" TargetMode="External" /><Relationship Id="rId63" Type="http://schemas.openxmlformats.org/officeDocument/2006/relationships/hyperlink" Target="https://corporate.marksandspencer.com/sites/marksandspencer/files/2025-05/Basis_of_Reporting_2025.pdf?utm_source=chatgpt.com" TargetMode="External" /><Relationship Id="rId68" Type="http://schemas.openxmlformats.org/officeDocument/2006/relationships/hyperlink" Target="https://www.mckinsey.com/industries/packaging-and-paper/our-insights/sustainability-in-packaging-2025-inside-the-minds-of-global-consumers?utm_source=chatgpt.com" TargetMode="External" /><Relationship Id="rId76" Type="http://schemas.openxmlformats.org/officeDocument/2006/relationships/hyperlink" Target="https://www.tescoplc.com/media/ky0bfwpo/tesco_ar25_interactive.pdf" TargetMode="External" /><Relationship Id="rId7" Type="http://schemas.openxmlformats.org/officeDocument/2006/relationships/endnotes" Target="endnotes.xml" /><Relationship Id="rId71" Type="http://schemas.openxmlformats.org/officeDocument/2006/relationships/hyperlink" Target="https://doi.org/10.3390/su142013586" TargetMode="External" /><Relationship Id="rId2" Type="http://schemas.openxmlformats.org/officeDocument/2006/relationships/numbering" Target="numbering.xml" /><Relationship Id="rId16" Type="http://schemas.openxmlformats.org/officeDocument/2006/relationships/diagramQuickStyle" Target="diagrams/quickStyle1.xml" /><Relationship Id="rId29" Type="http://schemas.openxmlformats.org/officeDocument/2006/relationships/hyperlink" Target="https://doi.org/10.1007/s10997-023-09686-5" TargetMode="External" /><Relationship Id="rId11" Type="http://schemas.openxmlformats.org/officeDocument/2006/relationships/footer" Target="footer1.xml" /><Relationship Id="rId24" Type="http://schemas.openxmlformats.org/officeDocument/2006/relationships/hyperlink" Target="https://doi.org/10.1016/j.mex.2021.101538" TargetMode="External" /><Relationship Id="rId32" Type="http://schemas.openxmlformats.org/officeDocument/2006/relationships/hyperlink" Target="https://doi.org/10.3390/su13073981" TargetMode="External" /><Relationship Id="rId37" Type="http://schemas.openxmlformats.org/officeDocument/2006/relationships/hyperlink" Target="https://doi.org/10.3390/ijerph192416757" TargetMode="External" /><Relationship Id="rId40" Type="http://schemas.openxmlformats.org/officeDocument/2006/relationships/hyperlink" Target="https://www.jstor.org/stable/258557" TargetMode="External" /><Relationship Id="rId45" Type="http://schemas.openxmlformats.org/officeDocument/2006/relationships/hyperlink" Target="https://www.gs1uk.org/insights/press-releases/majority-of-consumers-don%E2%80%99t-trust-companies-to-come-clean-about-their-environmental-impact" TargetMode="External" /><Relationship Id="rId53" Type="http://schemas.openxmlformats.org/officeDocument/2006/relationships/hyperlink" Target="https://doi.org/10.1007/s40974-021-00237-y" TargetMode="External" /><Relationship Id="rId58" Type="http://schemas.openxmlformats.org/officeDocument/2006/relationships/hyperlink" Target="https://doi.org/10.3390/su142316191" TargetMode="External" /><Relationship Id="rId66" Type="http://schemas.openxmlformats.org/officeDocument/2006/relationships/hyperlink" Target="https://doi.org/10.1016/j.stae.2023.100050" TargetMode="External" /><Relationship Id="rId74" Type="http://schemas.openxmlformats.org/officeDocument/2006/relationships/hyperlink" Target="https://doi.org/10.2307/1882010" TargetMode="External" /><Relationship Id="rId79" Type="http://schemas.openxmlformats.org/officeDocument/2006/relationships/hyperlink" Target="https://doi.org/10.1155/2022/6392172" TargetMode="External" /><Relationship Id="rId5" Type="http://schemas.openxmlformats.org/officeDocument/2006/relationships/webSettings" Target="webSettings.xml" /><Relationship Id="rId61" Type="http://schemas.openxmlformats.org/officeDocument/2006/relationships/hyperlink" Target="https://corporate.marksandspencer.com/esg/plan-a-our-planet" TargetMode="External" /><Relationship Id="rId10" Type="http://schemas.openxmlformats.org/officeDocument/2006/relationships/image" Target="media/image3.png" /><Relationship Id="rId19" Type="http://schemas.openxmlformats.org/officeDocument/2006/relationships/hyperlink" Target="https://www.asa.org.uk/static/d819e399-3cf9-44ea-942b82d5ecd6dff3/0cb6bf59-8b70-44bd-98c7b048994b9096/Misleading-environmental-claims-and-social-responsibility-in-advertising.pdf" TargetMode="External" /><Relationship Id="rId31" Type="http://schemas.openxmlformats.org/officeDocument/2006/relationships/hyperlink" Target="https://eli.johogo.com/Class/jm-2001.pdf" TargetMode="External" /><Relationship Id="rId44" Type="http://schemas.openxmlformats.org/officeDocument/2006/relationships/hyperlink" Target="https://doi.org/10.1007/s10997-023-09683-8" TargetMode="External" /><Relationship Id="rId52" Type="http://schemas.openxmlformats.org/officeDocument/2006/relationships/hyperlink" Target="https://doi.org/10.1007/s10796-023-10376-8" TargetMode="External" /><Relationship Id="rId60" Type="http://schemas.openxmlformats.org/officeDocument/2006/relationships/hyperlink" Target="https://corporate.marksandspencer.com/sites/marksandspencer/files/2025-05/Marks-and-Spencer-Group-plc-ESG-Report-2025.pdf" TargetMode="External" /><Relationship Id="rId65" Type="http://schemas.openxmlformats.org/officeDocument/2006/relationships/hyperlink" Target="https://www.morrisons-corporate.com/morrisons-sustainability/sustainability/?utm_source=chatgpt.com" TargetMode="External" /><Relationship Id="rId73" Type="http://schemas.openxmlformats.org/officeDocument/2006/relationships/hyperlink" Target="https://doi.org/10.1007/s11301-023-00337-5" TargetMode="External" /><Relationship Id="rId78" Type="http://schemas.openxmlformats.org/officeDocument/2006/relationships/hyperlink" Target="https://doi.org/10.3390/su16209009" TargetMode="External" /><Relationship Id="rId81"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diagramData" Target="diagrams/data1.xml" /><Relationship Id="rId22" Type="http://schemas.openxmlformats.org/officeDocument/2006/relationships/hyperlink" Target="https://doi.org/10.1007/s13278-023-01028-5" TargetMode="External" /><Relationship Id="rId27" Type="http://schemas.openxmlformats.org/officeDocument/2006/relationships/hyperlink" Target="https://doi.org/10.3390/su16072738" TargetMode="External" /><Relationship Id="rId30" Type="http://schemas.openxmlformats.org/officeDocument/2006/relationships/hyperlink" Target="https://doi.org/10.1111/beer.12631" TargetMode="External" /><Relationship Id="rId35" Type="http://schemas.openxmlformats.org/officeDocument/2006/relationships/hyperlink" Target="https://www.gov.uk/government/publications/making-green-claims-getting-it-right-across-the-supply-chain/making-green-claims-getting-it-right-across-the-supply-chain" TargetMode="External" /><Relationship Id="rId43" Type="http://schemas.openxmlformats.org/officeDocument/2006/relationships/hyperlink" Target="https://www.mckinsey.com/industries/consumer-packaged-goods/our-insights/consumers-care-about-sustainability-and-back-it-up-with-their-wallets?utm_source=chatgpt.com" TargetMode="External" /><Relationship Id="rId48" Type="http://schemas.openxmlformats.org/officeDocument/2006/relationships/hyperlink" Target="https://corporate.sainsburys.co.uk/media/e1lfnybd/sainsbury-annual-report-and-financial-statements-2025.pdf" TargetMode="External" /><Relationship Id="rId56" Type="http://schemas.openxmlformats.org/officeDocument/2006/relationships/hyperlink" Target="https://doi.org/10.3390/su14020611" TargetMode="External" /><Relationship Id="rId64" Type="http://schemas.openxmlformats.org/officeDocument/2006/relationships/hyperlink" Target="https://corporate.marksandspencer.com/sites/marksandspencer/files/marksandspencer/annual-report/marks-and-spencer-group-plc-esg-report-2026.pdf" TargetMode="External" /><Relationship Id="rId69" Type="http://schemas.openxmlformats.org/officeDocument/2006/relationships/hyperlink" Target="https://doi.org/10.3390/su15086683" TargetMode="External" /><Relationship Id="rId77" Type="http://schemas.openxmlformats.org/officeDocument/2006/relationships/hyperlink" Target="https://www.tescoplc.com/media/yjmlhji0/tesco-sustainability-report-2026.pdf" TargetMode="External" /><Relationship Id="rId8" Type="http://schemas.openxmlformats.org/officeDocument/2006/relationships/image" Target="media/image1.jpeg" /><Relationship Id="rId51" Type="http://schemas.openxmlformats.org/officeDocument/2006/relationships/hyperlink" Target="https://www.researchgate.net/profile/Raden-Achmad-Chairdino-Leuveano/publication/371939440_Integrated_Model_of_Brand_Trust_for_Green_Marketing/links/649ee5178de7ed28ba68dc74/Integrated-Model-of-Brand-Trust-for-Green-Marketing.pdf" TargetMode="External" /><Relationship Id="rId72" Type="http://schemas.openxmlformats.org/officeDocument/2006/relationships/hyperlink" Target="https://doi.org/10.1108/SJME-03-2022-0032" TargetMode="External" /><Relationship Id="rId80" Type="http://schemas.openxmlformats.org/officeDocument/2006/relationships/fontTable" Target="fontTable.xml" /><Relationship Id="rId3" Type="http://schemas.openxmlformats.org/officeDocument/2006/relationships/styles" Target="styles.xml" /><Relationship Id="rId12" Type="http://schemas.openxmlformats.org/officeDocument/2006/relationships/image" Target="media/image4.png" /><Relationship Id="rId17" Type="http://schemas.openxmlformats.org/officeDocument/2006/relationships/diagramColors" Target="diagrams/colors1.xml" /><Relationship Id="rId25" Type="http://schemas.openxmlformats.org/officeDocument/2006/relationships/hyperlink" Target="https://asdagroceries.scene7.com/is/content/asdagroceries/Z%20FUTURE/Microsites/Corporate/Documents/ESG_Report_2024.pdf" TargetMode="External" /><Relationship Id="rId33" Type="http://schemas.openxmlformats.org/officeDocument/2006/relationships/hyperlink" Target="https://www.gov.uk/government/publications/green-claims-code-making-environmental-claims" TargetMode="External" /><Relationship Id="rId38" Type="http://schemas.openxmlformats.org/officeDocument/2006/relationships/hyperlink" Target="https://www.deloitte.com/global/en/industries/consumer/research/consumer-sustainability-report.html" TargetMode="External" /><Relationship Id="rId46" Type="http://schemas.openxmlformats.org/officeDocument/2006/relationships/hyperlink" Target="https://doi.org/10.3390/su13147877" TargetMode="External" /><Relationship Id="rId59" Type="http://schemas.openxmlformats.org/officeDocument/2006/relationships/hyperlink" Target="https://corporate.marksandspencer.com/sites/marksandspencer/files/2025-05/Marks-and-Spencer-Group-plc-Annual-Report-and-Financial-Statements-2025_INTERACTIVE_FINAL.pdf" TargetMode="External" /><Relationship Id="rId67" Type="http://schemas.openxmlformats.org/officeDocument/2006/relationships/hyperlink" Target="https://doi.org/10.3390/su14084431" TargetMode="External" /><Relationship Id="rId20" Type="http://schemas.openxmlformats.org/officeDocument/2006/relationships/hyperlink" Target="https://www.asa.org.uk/resource/misleading-environmental-claims-and-social-responsibility-in-advertising.html?utm_source=chatgpt.com" TargetMode="External" /><Relationship Id="rId41" Type="http://schemas.openxmlformats.org/officeDocument/2006/relationships/hyperlink" Target="https://www.deloitte.com/uk/en/Industries/consumer/perspectives/the-sustainable-consumer.html?utm_source=chatgpt.com" TargetMode="External" /><Relationship Id="rId54" Type="http://schemas.openxmlformats.org/officeDocument/2006/relationships/hyperlink" Target="https://doi.org/10.3389/fpsyg.2022.790272" TargetMode="External" /><Relationship Id="rId62" Type="http://schemas.openxmlformats.org/officeDocument/2006/relationships/hyperlink" Target="https://corporate.marksandspencer.com/sites/marksandspencer/files/2025-05/Marks-and-Spencer-Group-plc-Annual-Report-and-Financial-Statements-2025_INTERACTIVE_FINAL.pdf?utm_source=chatgpt.com" TargetMode="External" /><Relationship Id="rId70" Type="http://schemas.openxmlformats.org/officeDocument/2006/relationships/hyperlink" Target="https://doi.org/10.3390/su18010451?utm_source=chatgpt.com" TargetMode="External" /><Relationship Id="rId75" Type="http://schemas.openxmlformats.org/officeDocument/2006/relationships/hyperlink" Target="https://doi.org/10.2307/258788" TargetMode="Externa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diagramLayout" Target="diagrams/layout1.xml" /><Relationship Id="rId23" Type="http://schemas.openxmlformats.org/officeDocument/2006/relationships/hyperlink" Target="https://doi.org/10.3390/su16031050" TargetMode="External" /><Relationship Id="rId28" Type="http://schemas.openxmlformats.org/officeDocument/2006/relationships/hyperlink" Target="https://doi.org/10.1016/j.jclepro.2023.139969" TargetMode="External" /><Relationship Id="rId36" Type="http://schemas.openxmlformats.org/officeDocument/2006/relationships/hyperlink" Target="https://doi.org/10.3390/su17229979" TargetMode="External" /><Relationship Id="rId49" Type="http://schemas.openxmlformats.org/officeDocument/2006/relationships/hyperlink" Target="https://corporate.sainsburys.co.uk/sustainability/?utm_source=chatgpt.com" TargetMode="External" /><Relationship Id="rId57" Type="http://schemas.openxmlformats.org/officeDocument/2006/relationships/hyperlink" Target="https://doi.org/10.3390/su16031133" TargetMode="External" /></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01DFFB4-410C-45AC-A790-080ED4AC0038}" type="doc">
      <dgm:prSet loTypeId="urn:microsoft.com/office/officeart/2005/8/layout/bProcess3" loCatId="process" qsTypeId="urn:microsoft.com/office/officeart/2005/8/quickstyle/simple2" qsCatId="simple" csTypeId="urn:microsoft.com/office/officeart/2005/8/colors/accent0_2" csCatId="mainScheme" phldr="1"/>
      <dgm:spPr/>
      <dgm:t>
        <a:bodyPr/>
        <a:lstStyle/>
        <a:p>
          <a:endParaRPr lang="en-US"/>
        </a:p>
      </dgm:t>
    </dgm:pt>
    <dgm:pt modelId="{6B3C279C-5DAD-4247-9CC1-01FDD7E51BBC}">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Sustainability Communication</a:t>
          </a:r>
        </a:p>
      </dgm:t>
    </dgm:pt>
    <dgm:pt modelId="{027AB7DC-F39D-4967-BCDD-467A86ADD309}" type="parTrans" cxnId="{B914AE9F-8961-4BFF-B17C-919994492830}">
      <dgm:prSet/>
      <dgm:spPr/>
      <dgm:t>
        <a:bodyPr/>
        <a:lstStyle/>
        <a:p>
          <a:endParaRPr lang="en-US"/>
        </a:p>
      </dgm:t>
    </dgm:pt>
    <dgm:pt modelId="{31507B71-4B42-4CBA-804A-CE34A8C22459}" type="sibTrans" cxnId="{B914AE9F-8961-4BFF-B17C-919994492830}">
      <dgm:prSet/>
      <dgm:spPr/>
      <dgm:t>
        <a:bodyPr/>
        <a:lstStyle/>
        <a:p>
          <a:endParaRPr lang="en-US"/>
        </a:p>
      </dgm:t>
    </dgm:pt>
    <dgm:pt modelId="{71438BF1-E96F-4EFB-A70E-500C4999B617}">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Clarity, Substantiation, Transparency and Consistency </a:t>
          </a:r>
        </a:p>
      </dgm:t>
    </dgm:pt>
    <dgm:pt modelId="{21734AB8-7105-41C4-81BA-1F985DC9AD3D}" type="parTrans" cxnId="{BA208E3B-C20C-4892-8D55-8358A168B6B2}">
      <dgm:prSet/>
      <dgm:spPr/>
      <dgm:t>
        <a:bodyPr/>
        <a:lstStyle/>
        <a:p>
          <a:endParaRPr lang="en-US"/>
        </a:p>
      </dgm:t>
    </dgm:pt>
    <dgm:pt modelId="{59CD6E3C-2662-4B47-BA53-74529910FF95}" type="sibTrans" cxnId="{BA208E3B-C20C-4892-8D55-8358A168B6B2}">
      <dgm:prSet/>
      <dgm:spPr/>
      <dgm:t>
        <a:bodyPr/>
        <a:lstStyle/>
        <a:p>
          <a:endParaRPr lang="en-US"/>
        </a:p>
      </dgm:t>
    </dgm:pt>
    <dgm:pt modelId="{0BF010D5-6B25-41F7-9E92-56C06581D9CE}">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Credibility and Authenticity </a:t>
          </a:r>
        </a:p>
      </dgm:t>
    </dgm:pt>
    <dgm:pt modelId="{9C44B241-CF1B-4E18-95C6-69D3541DFCBA}" type="parTrans" cxnId="{B337CCB2-6167-4502-B050-2659564D2035}">
      <dgm:prSet/>
      <dgm:spPr/>
      <dgm:t>
        <a:bodyPr/>
        <a:lstStyle/>
        <a:p>
          <a:endParaRPr lang="en-US"/>
        </a:p>
      </dgm:t>
    </dgm:pt>
    <dgm:pt modelId="{19462DC3-28CB-43FD-80AD-79DD9ADF67A5}" type="sibTrans" cxnId="{B337CCB2-6167-4502-B050-2659564D2035}">
      <dgm:prSet/>
      <dgm:spPr/>
      <dgm:t>
        <a:bodyPr/>
        <a:lstStyle/>
        <a:p>
          <a:endParaRPr lang="en-US"/>
        </a:p>
      </dgm:t>
    </dgm:pt>
    <dgm:pt modelId="{198FB546-71B1-4931-8CD1-C33292531D29}">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Reduced Potential Greenwashing Risk </a:t>
          </a:r>
        </a:p>
      </dgm:t>
    </dgm:pt>
    <dgm:pt modelId="{8DABAC41-AD21-4755-A203-928BABA70DAF}" type="parTrans" cxnId="{D22982BD-5E21-427D-9CCD-C71665153DCA}">
      <dgm:prSet/>
      <dgm:spPr/>
      <dgm:t>
        <a:bodyPr/>
        <a:lstStyle/>
        <a:p>
          <a:endParaRPr lang="en-US"/>
        </a:p>
      </dgm:t>
    </dgm:pt>
    <dgm:pt modelId="{422D613F-8B9C-4374-9022-8D801E8248F9}" type="sibTrans" cxnId="{D22982BD-5E21-427D-9CCD-C71665153DCA}">
      <dgm:prSet/>
      <dgm:spPr/>
      <dgm:t>
        <a:bodyPr/>
        <a:lstStyle/>
        <a:p>
          <a:endParaRPr lang="en-US"/>
        </a:p>
      </dgm:t>
    </dgm:pt>
    <dgm:pt modelId="{16EA6B1E-35A7-47CB-8686-B523103B5C8A}">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Stronger Trust-supporting Conditions</a:t>
          </a:r>
        </a:p>
      </dgm:t>
    </dgm:pt>
    <dgm:pt modelId="{E356AB00-C488-4AFB-ACE9-062939512531}" type="parTrans" cxnId="{08AD6D75-B279-4FBE-931A-01FC7F07328D}">
      <dgm:prSet/>
      <dgm:spPr/>
      <dgm:t>
        <a:bodyPr/>
        <a:lstStyle/>
        <a:p>
          <a:endParaRPr lang="en-US"/>
        </a:p>
      </dgm:t>
    </dgm:pt>
    <dgm:pt modelId="{1FDE825C-0B5E-4110-9C49-0207B5A8BFD1}" type="sibTrans" cxnId="{08AD6D75-B279-4FBE-931A-01FC7F07328D}">
      <dgm:prSet/>
      <dgm:spPr/>
      <dgm:t>
        <a:bodyPr/>
        <a:lstStyle/>
        <a:p>
          <a:endParaRPr lang="en-US"/>
        </a:p>
      </dgm:t>
    </dgm:pt>
    <dgm:pt modelId="{EB4303BC-4552-43DA-A569-78B788E5805B}" type="pres">
      <dgm:prSet presAssocID="{801DFFB4-410C-45AC-A790-080ED4AC0038}" presName="Name0" presStyleCnt="0">
        <dgm:presLayoutVars>
          <dgm:dir/>
          <dgm:resizeHandles val="exact"/>
        </dgm:presLayoutVars>
      </dgm:prSet>
      <dgm:spPr/>
    </dgm:pt>
    <dgm:pt modelId="{B578F7C9-3C46-4CAC-81C5-3C98AC72FDB5}" type="pres">
      <dgm:prSet presAssocID="{6B3C279C-5DAD-4247-9CC1-01FDD7E51BBC}" presName="node" presStyleLbl="node1" presStyleIdx="0" presStyleCnt="5">
        <dgm:presLayoutVars>
          <dgm:bulletEnabled val="1"/>
        </dgm:presLayoutVars>
      </dgm:prSet>
      <dgm:spPr/>
    </dgm:pt>
    <dgm:pt modelId="{DA99F4D9-1FA6-4CC1-8AD2-74FBEE977220}" type="pres">
      <dgm:prSet presAssocID="{31507B71-4B42-4CBA-804A-CE34A8C22459}" presName="sibTrans" presStyleLbl="sibTrans1D1" presStyleIdx="0" presStyleCnt="4"/>
      <dgm:spPr/>
    </dgm:pt>
    <dgm:pt modelId="{0D5EE2E2-72FF-4610-8E63-F832EEF8E5D0}" type="pres">
      <dgm:prSet presAssocID="{31507B71-4B42-4CBA-804A-CE34A8C22459}" presName="connectorText" presStyleLbl="sibTrans1D1" presStyleIdx="0" presStyleCnt="4"/>
      <dgm:spPr/>
    </dgm:pt>
    <dgm:pt modelId="{05C04504-0475-470E-9825-D4272D2508E9}" type="pres">
      <dgm:prSet presAssocID="{71438BF1-E96F-4EFB-A70E-500C4999B617}" presName="node" presStyleLbl="node1" presStyleIdx="1" presStyleCnt="5">
        <dgm:presLayoutVars>
          <dgm:bulletEnabled val="1"/>
        </dgm:presLayoutVars>
      </dgm:prSet>
      <dgm:spPr/>
    </dgm:pt>
    <dgm:pt modelId="{9E4A681D-CB8E-4717-91AD-D60493B1D4D2}" type="pres">
      <dgm:prSet presAssocID="{59CD6E3C-2662-4B47-BA53-74529910FF95}" presName="sibTrans" presStyleLbl="sibTrans1D1" presStyleIdx="1" presStyleCnt="4"/>
      <dgm:spPr/>
    </dgm:pt>
    <dgm:pt modelId="{C75A4314-BC0C-4159-9A79-CBA091BE9DD8}" type="pres">
      <dgm:prSet presAssocID="{59CD6E3C-2662-4B47-BA53-74529910FF95}" presName="connectorText" presStyleLbl="sibTrans1D1" presStyleIdx="1" presStyleCnt="4"/>
      <dgm:spPr/>
    </dgm:pt>
    <dgm:pt modelId="{2FB4C2CB-9162-4FD5-82F0-B8356683A3A1}" type="pres">
      <dgm:prSet presAssocID="{0BF010D5-6B25-41F7-9E92-56C06581D9CE}" presName="node" presStyleLbl="node1" presStyleIdx="2" presStyleCnt="5">
        <dgm:presLayoutVars>
          <dgm:bulletEnabled val="1"/>
        </dgm:presLayoutVars>
      </dgm:prSet>
      <dgm:spPr/>
    </dgm:pt>
    <dgm:pt modelId="{96CF9E04-1870-48F9-91BC-087B192705BA}" type="pres">
      <dgm:prSet presAssocID="{19462DC3-28CB-43FD-80AD-79DD9ADF67A5}" presName="sibTrans" presStyleLbl="sibTrans1D1" presStyleIdx="2" presStyleCnt="4"/>
      <dgm:spPr/>
    </dgm:pt>
    <dgm:pt modelId="{84AA994B-7CF3-40C9-87B1-4498EAB220AE}" type="pres">
      <dgm:prSet presAssocID="{19462DC3-28CB-43FD-80AD-79DD9ADF67A5}" presName="connectorText" presStyleLbl="sibTrans1D1" presStyleIdx="2" presStyleCnt="4"/>
      <dgm:spPr/>
    </dgm:pt>
    <dgm:pt modelId="{6F854FCB-DA53-45BD-B7EA-5AD1B67292DE}" type="pres">
      <dgm:prSet presAssocID="{198FB546-71B1-4931-8CD1-C33292531D29}" presName="node" presStyleLbl="node1" presStyleIdx="3" presStyleCnt="5">
        <dgm:presLayoutVars>
          <dgm:bulletEnabled val="1"/>
        </dgm:presLayoutVars>
      </dgm:prSet>
      <dgm:spPr/>
    </dgm:pt>
    <dgm:pt modelId="{F7F3DC93-F0E1-435D-A1C0-4D8B7D0E8DC4}" type="pres">
      <dgm:prSet presAssocID="{422D613F-8B9C-4374-9022-8D801E8248F9}" presName="sibTrans" presStyleLbl="sibTrans1D1" presStyleIdx="3" presStyleCnt="4"/>
      <dgm:spPr/>
    </dgm:pt>
    <dgm:pt modelId="{B3498691-18F4-4B41-9C1C-74BD1F568F64}" type="pres">
      <dgm:prSet presAssocID="{422D613F-8B9C-4374-9022-8D801E8248F9}" presName="connectorText" presStyleLbl="sibTrans1D1" presStyleIdx="3" presStyleCnt="4"/>
      <dgm:spPr/>
    </dgm:pt>
    <dgm:pt modelId="{959CACED-22C6-4969-B0FD-B57A9B24EA65}" type="pres">
      <dgm:prSet presAssocID="{16EA6B1E-35A7-47CB-8686-B523103B5C8A}" presName="node" presStyleLbl="node1" presStyleIdx="4" presStyleCnt="5">
        <dgm:presLayoutVars>
          <dgm:bulletEnabled val="1"/>
        </dgm:presLayoutVars>
      </dgm:prSet>
      <dgm:spPr/>
    </dgm:pt>
  </dgm:ptLst>
  <dgm:cxnLst>
    <dgm:cxn modelId="{4A9D7816-3C9E-4AC3-827E-30DC4736D66A}" type="presOf" srcId="{198FB546-71B1-4931-8CD1-C33292531D29}" destId="{6F854FCB-DA53-45BD-B7EA-5AD1B67292DE}" srcOrd="0" destOrd="0" presId="urn:microsoft.com/office/officeart/2005/8/layout/bProcess3"/>
    <dgm:cxn modelId="{BA208E3B-C20C-4892-8D55-8358A168B6B2}" srcId="{801DFFB4-410C-45AC-A790-080ED4AC0038}" destId="{71438BF1-E96F-4EFB-A70E-500C4999B617}" srcOrd="1" destOrd="0" parTransId="{21734AB8-7105-41C4-81BA-1F985DC9AD3D}" sibTransId="{59CD6E3C-2662-4B47-BA53-74529910FF95}"/>
    <dgm:cxn modelId="{D4F43A46-2AC5-4DA5-A3BC-4BCFDEEEFD90}" type="presOf" srcId="{31507B71-4B42-4CBA-804A-CE34A8C22459}" destId="{DA99F4D9-1FA6-4CC1-8AD2-74FBEE977220}" srcOrd="0" destOrd="0" presId="urn:microsoft.com/office/officeart/2005/8/layout/bProcess3"/>
    <dgm:cxn modelId="{1578C768-B322-4053-BBE6-8C33F6289EC5}" type="presOf" srcId="{16EA6B1E-35A7-47CB-8686-B523103B5C8A}" destId="{959CACED-22C6-4969-B0FD-B57A9B24EA65}" srcOrd="0" destOrd="0" presId="urn:microsoft.com/office/officeart/2005/8/layout/bProcess3"/>
    <dgm:cxn modelId="{86EB1849-11C7-4709-AA26-F15C4003FBA6}" type="presOf" srcId="{6B3C279C-5DAD-4247-9CC1-01FDD7E51BBC}" destId="{B578F7C9-3C46-4CAC-81C5-3C98AC72FDB5}" srcOrd="0" destOrd="0" presId="urn:microsoft.com/office/officeart/2005/8/layout/bProcess3"/>
    <dgm:cxn modelId="{5E015050-63EB-4AF4-AC50-1B6DD2A22773}" type="presOf" srcId="{19462DC3-28CB-43FD-80AD-79DD9ADF67A5}" destId="{84AA994B-7CF3-40C9-87B1-4498EAB220AE}" srcOrd="1" destOrd="0" presId="urn:microsoft.com/office/officeart/2005/8/layout/bProcess3"/>
    <dgm:cxn modelId="{9D956B53-AE9A-425B-9E95-9635AC70B695}" type="presOf" srcId="{71438BF1-E96F-4EFB-A70E-500C4999B617}" destId="{05C04504-0475-470E-9825-D4272D2508E9}" srcOrd="0" destOrd="0" presId="urn:microsoft.com/office/officeart/2005/8/layout/bProcess3"/>
    <dgm:cxn modelId="{CDE4D453-538A-405A-95CE-50DBF20BCEC6}" type="presOf" srcId="{801DFFB4-410C-45AC-A790-080ED4AC0038}" destId="{EB4303BC-4552-43DA-A569-78B788E5805B}" srcOrd="0" destOrd="0" presId="urn:microsoft.com/office/officeart/2005/8/layout/bProcess3"/>
    <dgm:cxn modelId="{08AD6D75-B279-4FBE-931A-01FC7F07328D}" srcId="{801DFFB4-410C-45AC-A790-080ED4AC0038}" destId="{16EA6B1E-35A7-47CB-8686-B523103B5C8A}" srcOrd="4" destOrd="0" parTransId="{E356AB00-C488-4AFB-ACE9-062939512531}" sibTransId="{1FDE825C-0B5E-4110-9C49-0207B5A8BFD1}"/>
    <dgm:cxn modelId="{90131394-D0D5-4E87-8F1F-CA6A3A6EB2A4}" type="presOf" srcId="{59CD6E3C-2662-4B47-BA53-74529910FF95}" destId="{9E4A681D-CB8E-4717-91AD-D60493B1D4D2}" srcOrd="0" destOrd="0" presId="urn:microsoft.com/office/officeart/2005/8/layout/bProcess3"/>
    <dgm:cxn modelId="{58C5BD99-FD82-4629-894C-24D6A02309D4}" type="presOf" srcId="{0BF010D5-6B25-41F7-9E92-56C06581D9CE}" destId="{2FB4C2CB-9162-4FD5-82F0-B8356683A3A1}" srcOrd="0" destOrd="0" presId="urn:microsoft.com/office/officeart/2005/8/layout/bProcess3"/>
    <dgm:cxn modelId="{B914AE9F-8961-4BFF-B17C-919994492830}" srcId="{801DFFB4-410C-45AC-A790-080ED4AC0038}" destId="{6B3C279C-5DAD-4247-9CC1-01FDD7E51BBC}" srcOrd="0" destOrd="0" parTransId="{027AB7DC-F39D-4967-BCDD-467A86ADD309}" sibTransId="{31507B71-4B42-4CBA-804A-CE34A8C22459}"/>
    <dgm:cxn modelId="{77AF08A0-EE92-4DED-AE08-CB6F0137DDD8}" type="presOf" srcId="{19462DC3-28CB-43FD-80AD-79DD9ADF67A5}" destId="{96CF9E04-1870-48F9-91BC-087B192705BA}" srcOrd="0" destOrd="0" presId="urn:microsoft.com/office/officeart/2005/8/layout/bProcess3"/>
    <dgm:cxn modelId="{B337CCB2-6167-4502-B050-2659564D2035}" srcId="{801DFFB4-410C-45AC-A790-080ED4AC0038}" destId="{0BF010D5-6B25-41F7-9E92-56C06581D9CE}" srcOrd="2" destOrd="0" parTransId="{9C44B241-CF1B-4E18-95C6-69D3541DFCBA}" sibTransId="{19462DC3-28CB-43FD-80AD-79DD9ADF67A5}"/>
    <dgm:cxn modelId="{D22982BD-5E21-427D-9CCD-C71665153DCA}" srcId="{801DFFB4-410C-45AC-A790-080ED4AC0038}" destId="{198FB546-71B1-4931-8CD1-C33292531D29}" srcOrd="3" destOrd="0" parTransId="{8DABAC41-AD21-4755-A203-928BABA70DAF}" sibTransId="{422D613F-8B9C-4374-9022-8D801E8248F9}"/>
    <dgm:cxn modelId="{EDBB8CD5-63FD-4A46-A262-239181009D86}" type="presOf" srcId="{422D613F-8B9C-4374-9022-8D801E8248F9}" destId="{F7F3DC93-F0E1-435D-A1C0-4D8B7D0E8DC4}" srcOrd="0" destOrd="0" presId="urn:microsoft.com/office/officeart/2005/8/layout/bProcess3"/>
    <dgm:cxn modelId="{3D2E67DE-08B8-4F94-AA95-FE17A6C09E24}" type="presOf" srcId="{422D613F-8B9C-4374-9022-8D801E8248F9}" destId="{B3498691-18F4-4B41-9C1C-74BD1F568F64}" srcOrd="1" destOrd="0" presId="urn:microsoft.com/office/officeart/2005/8/layout/bProcess3"/>
    <dgm:cxn modelId="{5CB8AFF2-9D66-443C-9193-D89CBAC4BEF4}" type="presOf" srcId="{31507B71-4B42-4CBA-804A-CE34A8C22459}" destId="{0D5EE2E2-72FF-4610-8E63-F832EEF8E5D0}" srcOrd="1" destOrd="0" presId="urn:microsoft.com/office/officeart/2005/8/layout/bProcess3"/>
    <dgm:cxn modelId="{6D30EEF5-5CBF-4789-8989-BF58B2F196CA}" type="presOf" srcId="{59CD6E3C-2662-4B47-BA53-74529910FF95}" destId="{C75A4314-BC0C-4159-9A79-CBA091BE9DD8}" srcOrd="1" destOrd="0" presId="urn:microsoft.com/office/officeart/2005/8/layout/bProcess3"/>
    <dgm:cxn modelId="{F10B03A7-8145-4FF6-AF7C-EB27BCC1D7C8}" type="presParOf" srcId="{EB4303BC-4552-43DA-A569-78B788E5805B}" destId="{B578F7C9-3C46-4CAC-81C5-3C98AC72FDB5}" srcOrd="0" destOrd="0" presId="urn:microsoft.com/office/officeart/2005/8/layout/bProcess3"/>
    <dgm:cxn modelId="{1B3D0523-2291-47FF-9416-A35F465169D8}" type="presParOf" srcId="{EB4303BC-4552-43DA-A569-78B788E5805B}" destId="{DA99F4D9-1FA6-4CC1-8AD2-74FBEE977220}" srcOrd="1" destOrd="0" presId="urn:microsoft.com/office/officeart/2005/8/layout/bProcess3"/>
    <dgm:cxn modelId="{93C90516-2932-485A-A2FF-9B156F845785}" type="presParOf" srcId="{DA99F4D9-1FA6-4CC1-8AD2-74FBEE977220}" destId="{0D5EE2E2-72FF-4610-8E63-F832EEF8E5D0}" srcOrd="0" destOrd="0" presId="urn:microsoft.com/office/officeart/2005/8/layout/bProcess3"/>
    <dgm:cxn modelId="{F16121A7-2F22-42CE-878B-8463A5320C55}" type="presParOf" srcId="{EB4303BC-4552-43DA-A569-78B788E5805B}" destId="{05C04504-0475-470E-9825-D4272D2508E9}" srcOrd="2" destOrd="0" presId="urn:microsoft.com/office/officeart/2005/8/layout/bProcess3"/>
    <dgm:cxn modelId="{7FD8E4EC-8D4A-4D00-A554-8D25A427349D}" type="presParOf" srcId="{EB4303BC-4552-43DA-A569-78B788E5805B}" destId="{9E4A681D-CB8E-4717-91AD-D60493B1D4D2}" srcOrd="3" destOrd="0" presId="urn:microsoft.com/office/officeart/2005/8/layout/bProcess3"/>
    <dgm:cxn modelId="{5D773770-2518-4AFE-9A43-6BF44BBB705A}" type="presParOf" srcId="{9E4A681D-CB8E-4717-91AD-D60493B1D4D2}" destId="{C75A4314-BC0C-4159-9A79-CBA091BE9DD8}" srcOrd="0" destOrd="0" presId="urn:microsoft.com/office/officeart/2005/8/layout/bProcess3"/>
    <dgm:cxn modelId="{A2AD2831-337C-4E08-9597-39DA8DDB89E6}" type="presParOf" srcId="{EB4303BC-4552-43DA-A569-78B788E5805B}" destId="{2FB4C2CB-9162-4FD5-82F0-B8356683A3A1}" srcOrd="4" destOrd="0" presId="urn:microsoft.com/office/officeart/2005/8/layout/bProcess3"/>
    <dgm:cxn modelId="{FEEA660D-B803-4C2A-A4F2-2D7DBADE8604}" type="presParOf" srcId="{EB4303BC-4552-43DA-A569-78B788E5805B}" destId="{96CF9E04-1870-48F9-91BC-087B192705BA}" srcOrd="5" destOrd="0" presId="urn:microsoft.com/office/officeart/2005/8/layout/bProcess3"/>
    <dgm:cxn modelId="{FBE5949D-7C83-454A-8FA3-DF88A0AD9594}" type="presParOf" srcId="{96CF9E04-1870-48F9-91BC-087B192705BA}" destId="{84AA994B-7CF3-40C9-87B1-4498EAB220AE}" srcOrd="0" destOrd="0" presId="urn:microsoft.com/office/officeart/2005/8/layout/bProcess3"/>
    <dgm:cxn modelId="{1FCFF099-45F0-476A-8027-9098C9C8308E}" type="presParOf" srcId="{EB4303BC-4552-43DA-A569-78B788E5805B}" destId="{6F854FCB-DA53-45BD-B7EA-5AD1B67292DE}" srcOrd="6" destOrd="0" presId="urn:microsoft.com/office/officeart/2005/8/layout/bProcess3"/>
    <dgm:cxn modelId="{808FC3B8-19D3-4E58-9071-C468C0963B79}" type="presParOf" srcId="{EB4303BC-4552-43DA-A569-78B788E5805B}" destId="{F7F3DC93-F0E1-435D-A1C0-4D8B7D0E8DC4}" srcOrd="7" destOrd="0" presId="urn:microsoft.com/office/officeart/2005/8/layout/bProcess3"/>
    <dgm:cxn modelId="{0A4BEB86-085E-4F72-86C0-CB58EEAF3D19}" type="presParOf" srcId="{F7F3DC93-F0E1-435D-A1C0-4D8B7D0E8DC4}" destId="{B3498691-18F4-4B41-9C1C-74BD1F568F64}" srcOrd="0" destOrd="0" presId="urn:microsoft.com/office/officeart/2005/8/layout/bProcess3"/>
    <dgm:cxn modelId="{94DB01D6-6325-4158-A0D8-51BE7EA29495}" type="presParOf" srcId="{EB4303BC-4552-43DA-A569-78B788E5805B}" destId="{959CACED-22C6-4969-B0FD-B57A9B24EA65}" srcOrd="8" destOrd="0" presId="urn:microsoft.com/office/officeart/2005/8/layout/bProcess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A99F4D9-1FA6-4CC1-8AD2-74FBEE977220}">
      <dsp:nvSpPr>
        <dsp:cNvPr id="0" name=""/>
        <dsp:cNvSpPr/>
      </dsp:nvSpPr>
      <dsp:spPr>
        <a:xfrm>
          <a:off x="1968907" y="363207"/>
          <a:ext cx="282270" cy="91440"/>
        </a:xfrm>
        <a:custGeom>
          <a:avLst/>
          <a:gdLst/>
          <a:ahLst/>
          <a:cxnLst/>
          <a:rect l="0" t="0" r="0" b="0"/>
          <a:pathLst>
            <a:path>
              <a:moveTo>
                <a:pt x="0" y="45720"/>
              </a:moveTo>
              <a:lnTo>
                <a:pt x="282270" y="45720"/>
              </a:lnTo>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102221" y="407363"/>
        <a:ext cx="15643" cy="3128"/>
      </dsp:txXfrm>
    </dsp:sp>
    <dsp:sp modelId="{B578F7C9-3C46-4CAC-81C5-3C98AC72FDB5}">
      <dsp:nvSpPr>
        <dsp:cNvPr id="0" name=""/>
        <dsp:cNvSpPr/>
      </dsp:nvSpPr>
      <dsp:spPr>
        <a:xfrm>
          <a:off x="610401" y="835"/>
          <a:ext cx="1360306" cy="816183"/>
        </a:xfrm>
        <a:prstGeom prst="rect">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Sustainability Communication</a:t>
          </a:r>
        </a:p>
      </dsp:txBody>
      <dsp:txXfrm>
        <a:off x="610401" y="835"/>
        <a:ext cx="1360306" cy="816183"/>
      </dsp:txXfrm>
    </dsp:sp>
    <dsp:sp modelId="{9E4A681D-CB8E-4717-91AD-D60493B1D4D2}">
      <dsp:nvSpPr>
        <dsp:cNvPr id="0" name=""/>
        <dsp:cNvSpPr/>
      </dsp:nvSpPr>
      <dsp:spPr>
        <a:xfrm>
          <a:off x="3642084" y="363207"/>
          <a:ext cx="282270" cy="91440"/>
        </a:xfrm>
        <a:custGeom>
          <a:avLst/>
          <a:gdLst/>
          <a:ahLst/>
          <a:cxnLst/>
          <a:rect l="0" t="0" r="0" b="0"/>
          <a:pathLst>
            <a:path>
              <a:moveTo>
                <a:pt x="0" y="45720"/>
              </a:moveTo>
              <a:lnTo>
                <a:pt x="282270" y="45720"/>
              </a:lnTo>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75398" y="407363"/>
        <a:ext cx="15643" cy="3128"/>
      </dsp:txXfrm>
    </dsp:sp>
    <dsp:sp modelId="{05C04504-0475-470E-9825-D4272D2508E9}">
      <dsp:nvSpPr>
        <dsp:cNvPr id="0" name=""/>
        <dsp:cNvSpPr/>
      </dsp:nvSpPr>
      <dsp:spPr>
        <a:xfrm>
          <a:off x="2283578" y="835"/>
          <a:ext cx="1360306" cy="816183"/>
        </a:xfrm>
        <a:prstGeom prst="rect">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Clarity, Substantiation, Transparency and Consistency </a:t>
          </a:r>
        </a:p>
      </dsp:txBody>
      <dsp:txXfrm>
        <a:off x="2283578" y="835"/>
        <a:ext cx="1360306" cy="816183"/>
      </dsp:txXfrm>
    </dsp:sp>
    <dsp:sp modelId="{96CF9E04-1870-48F9-91BC-087B192705BA}">
      <dsp:nvSpPr>
        <dsp:cNvPr id="0" name=""/>
        <dsp:cNvSpPr/>
      </dsp:nvSpPr>
      <dsp:spPr>
        <a:xfrm>
          <a:off x="1290554" y="815219"/>
          <a:ext cx="3346353" cy="282270"/>
        </a:xfrm>
        <a:custGeom>
          <a:avLst/>
          <a:gdLst/>
          <a:ahLst/>
          <a:cxnLst/>
          <a:rect l="0" t="0" r="0" b="0"/>
          <a:pathLst>
            <a:path>
              <a:moveTo>
                <a:pt x="3346353" y="0"/>
              </a:moveTo>
              <a:lnTo>
                <a:pt x="3346353" y="158235"/>
              </a:lnTo>
              <a:lnTo>
                <a:pt x="0" y="158235"/>
              </a:lnTo>
              <a:lnTo>
                <a:pt x="0" y="282270"/>
              </a:lnTo>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79707" y="954790"/>
        <a:ext cx="168047" cy="3128"/>
      </dsp:txXfrm>
    </dsp:sp>
    <dsp:sp modelId="{2FB4C2CB-9162-4FD5-82F0-B8356683A3A1}">
      <dsp:nvSpPr>
        <dsp:cNvPr id="0" name=""/>
        <dsp:cNvSpPr/>
      </dsp:nvSpPr>
      <dsp:spPr>
        <a:xfrm>
          <a:off x="3956755" y="835"/>
          <a:ext cx="1360306" cy="816183"/>
        </a:xfrm>
        <a:prstGeom prst="rect">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Credibility and Authenticity </a:t>
          </a:r>
        </a:p>
      </dsp:txBody>
      <dsp:txXfrm>
        <a:off x="3956755" y="835"/>
        <a:ext cx="1360306" cy="816183"/>
      </dsp:txXfrm>
    </dsp:sp>
    <dsp:sp modelId="{F7F3DC93-F0E1-435D-A1C0-4D8B7D0E8DC4}">
      <dsp:nvSpPr>
        <dsp:cNvPr id="0" name=""/>
        <dsp:cNvSpPr/>
      </dsp:nvSpPr>
      <dsp:spPr>
        <a:xfrm>
          <a:off x="1968907" y="1492262"/>
          <a:ext cx="282270" cy="91440"/>
        </a:xfrm>
        <a:custGeom>
          <a:avLst/>
          <a:gdLst/>
          <a:ahLst/>
          <a:cxnLst/>
          <a:rect l="0" t="0" r="0" b="0"/>
          <a:pathLst>
            <a:path>
              <a:moveTo>
                <a:pt x="0" y="45720"/>
              </a:moveTo>
              <a:lnTo>
                <a:pt x="282270" y="45720"/>
              </a:lnTo>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102221" y="1536417"/>
        <a:ext cx="15643" cy="3128"/>
      </dsp:txXfrm>
    </dsp:sp>
    <dsp:sp modelId="{6F854FCB-DA53-45BD-B7EA-5AD1B67292DE}">
      <dsp:nvSpPr>
        <dsp:cNvPr id="0" name=""/>
        <dsp:cNvSpPr/>
      </dsp:nvSpPr>
      <dsp:spPr>
        <a:xfrm>
          <a:off x="610401" y="1129890"/>
          <a:ext cx="1360306" cy="816183"/>
        </a:xfrm>
        <a:prstGeom prst="rect">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Reduced Potential Greenwashing Risk </a:t>
          </a:r>
        </a:p>
      </dsp:txBody>
      <dsp:txXfrm>
        <a:off x="610401" y="1129890"/>
        <a:ext cx="1360306" cy="816183"/>
      </dsp:txXfrm>
    </dsp:sp>
    <dsp:sp modelId="{959CACED-22C6-4969-B0FD-B57A9B24EA65}">
      <dsp:nvSpPr>
        <dsp:cNvPr id="0" name=""/>
        <dsp:cNvSpPr/>
      </dsp:nvSpPr>
      <dsp:spPr>
        <a:xfrm>
          <a:off x="2283578" y="1129890"/>
          <a:ext cx="1360306" cy="816183"/>
        </a:xfrm>
        <a:prstGeom prst="rect">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Stronger Trust-supporting Conditions</a:t>
          </a:r>
        </a:p>
      </dsp:txBody>
      <dsp:txXfrm>
        <a:off x="2283578" y="1129890"/>
        <a:ext cx="1360306" cy="816183"/>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B2DBB-018C-4E80-ACE9-FB35E905A27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26676</Words>
  <Characters>152055</Characters>
  <Application>Microsoft Office Word</Application>
  <DocSecurity>0</DocSecurity>
  <Lines>1267</Lines>
  <Paragraphs>356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2026-09-23T17:39:00Z</dcterms:created>
  <dcterms:modified xsi:type="dcterms:W3CDTF">2026-09-23T19:01:00Z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dad71366-0321-4173-9a84-0c1c80f9ec2b</vt:lpwstr>
  </property>
</Properties>
</file>