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b w:val="1"/>
        </w:rPr>
      </w:pPr>
      <w:r w:rsidDel="00000000" w:rsidR="00000000" w:rsidRPr="00000000">
        <w:rPr>
          <w:rtl w:val="0"/>
        </w:rPr>
      </w:r>
    </w:p>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b w:val="1"/>
          <w:rtl w:val="0"/>
        </w:rPr>
        <w:t xml:space="preserve">Sion Edmonds</w:t>
      </w:r>
    </w:p>
    <w:p w:rsidR="00000000" w:rsidDel="00000000" w:rsidP="00000000" w:rsidRDefault="00000000" w:rsidRPr="00000000" w14:paraId="00000004">
      <w:pPr>
        <w:jc w:val="center"/>
        <w:rPr>
          <w:b w:val="1"/>
        </w:rPr>
      </w:pPr>
      <w:r w:rsidDel="00000000" w:rsidR="00000000" w:rsidRPr="00000000">
        <w:rPr>
          <w:b w:val="1"/>
          <w:rtl w:val="0"/>
        </w:rPr>
        <w:t xml:space="preserve">1803328</w:t>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b w:val="1"/>
          <w:rtl w:val="0"/>
        </w:rPr>
        <w:t xml:space="preserve">‘</w:t>
      </w:r>
      <w:r w:rsidDel="00000000" w:rsidR="00000000" w:rsidRPr="00000000">
        <w:rPr>
          <w:b w:val="1"/>
          <w:rtl w:val="0"/>
        </w:rPr>
        <w:t xml:space="preserve">A critical analysis of the relationship between teacher subject knowledge and effective learning and teaching in the primary school’</w:t>
      </w:r>
    </w:p>
    <w:p w:rsidR="00000000" w:rsidDel="00000000" w:rsidP="00000000" w:rsidRDefault="00000000" w:rsidRPr="00000000" w14:paraId="00000007">
      <w:pPr>
        <w:jc w:val="center"/>
        <w:rPr>
          <w:b w:val="1"/>
        </w:rPr>
      </w:pPr>
      <w:r w:rsidDel="00000000" w:rsidR="00000000" w:rsidRPr="00000000">
        <w:rPr>
          <w:b w:val="1"/>
          <w:rtl w:val="0"/>
        </w:rPr>
        <w:t xml:space="preserve"> </w:t>
      </w:r>
    </w:p>
    <w:p w:rsidR="00000000" w:rsidDel="00000000" w:rsidP="00000000" w:rsidRDefault="00000000" w:rsidRPr="00000000" w14:paraId="00000008">
      <w:pPr>
        <w:rPr>
          <w:b w:val="1"/>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b w:val="1"/>
          <w:rtl w:val="0"/>
        </w:rPr>
        <w:t xml:space="preserve">Introduction</w:t>
      </w:r>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rtl w:val="0"/>
        </w:rPr>
        <w:t xml:space="preserve">In the introduction to Donaldson’s </w:t>
      </w:r>
      <w:r w:rsidDel="00000000" w:rsidR="00000000" w:rsidRPr="00000000">
        <w:rPr>
          <w:i w:val="1"/>
          <w:rtl w:val="0"/>
        </w:rPr>
        <w:t xml:space="preserve">Successful Futures </w:t>
      </w:r>
      <w:r w:rsidDel="00000000" w:rsidR="00000000" w:rsidRPr="00000000">
        <w:rPr>
          <w:rtl w:val="0"/>
        </w:rPr>
        <w:t xml:space="preserve">(2015), Donaldson himself declares that subject knowledge “remains the best path to a sound and relevant education” (p. 5). To help me to understand this importance of subject knowledge, I will first analyse and discuss the current literature that surrounds subject knowledge and its effects on effective teaching and learning. I will use three elements of Shulman’s (1987) seminal ‘knowledge base’ framework to help me explore subsequent literature and dissect exactly how integral subject knowledge is seen to be for effective teaching and learning. I will also explore the impact that the new curriculum will have on subject knowledge. I will then use my literature review, the ‘knowledge base’, and the Knowledge Quartet (Rowland et al., 2003) to help me to reflect on my own experiences on professional placement.</w:t>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t xml:space="preserve">The professional placement in question was the first placement of my Professional Teaching Experience (PTE1). I was placed in a Year 5 class with 26 pupils aged between 9-10. In my reflection, I will refer to particular lessons taught but will do so in accordance with the schools’ own privacy policies and the British Educational Research Association (BERA, 2011) guidelines. The school in question is a Large urban primary school with around 440 pupils on roll, aged between 3-11. Around 10% of pupils are eligible for free school meals and 12% of the pupils have additional learning needs, both well below the national average. Nearly all pupils have English as their home language (Estyn, 2017).</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b w:val="1"/>
        </w:rPr>
      </w:pPr>
      <w:r w:rsidDel="00000000" w:rsidR="00000000" w:rsidRPr="00000000">
        <w:rPr>
          <w:rtl w:val="0"/>
        </w:rPr>
      </w:r>
    </w:p>
    <w:p w:rsidR="00000000" w:rsidDel="00000000" w:rsidP="00000000" w:rsidRDefault="00000000" w:rsidRPr="00000000" w14:paraId="00000031">
      <w:pPr>
        <w:spacing w:line="360" w:lineRule="auto"/>
        <w:rPr>
          <w:b w:val="1"/>
        </w:rPr>
      </w:pPr>
      <w:r w:rsidDel="00000000" w:rsidR="00000000" w:rsidRPr="00000000">
        <w:rPr>
          <w:rtl w:val="0"/>
        </w:rPr>
      </w:r>
    </w:p>
    <w:p w:rsidR="00000000" w:rsidDel="00000000" w:rsidP="00000000" w:rsidRDefault="00000000" w:rsidRPr="00000000" w14:paraId="00000032">
      <w:pPr>
        <w:spacing w:line="360" w:lineRule="auto"/>
        <w:rPr>
          <w:b w:val="1"/>
        </w:rPr>
      </w:pPr>
      <w:r w:rsidDel="00000000" w:rsidR="00000000" w:rsidRPr="00000000">
        <w:rPr>
          <w:b w:val="1"/>
          <w:rtl w:val="0"/>
        </w:rPr>
        <w:t xml:space="preserve">Literature Review</w:t>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t xml:space="preserve">With the Donaldson quote that began this assignment, alongside Shulman (1987) stating “to teach is first to understand” (p. 14), it cannot be ignored that subject knowledge plays a massive part in effective learning and teaching. This opinion on the importance of subject knowledge is echoed throughout literature and research (Coe et al., 2014, Alexander, 2003, Hill et al., 2008). However, there are a large number of other factors to consider which make for good teaching practice. If being an effective teacher was simply as easy as knowing information on a subject, then anyone could be a teacher. Shulman (1987) outlines other areas of knowledge that are needed to become a successful teacher in his ‘knowledge base’ framework. The framework is made up of seven different areas:</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numPr>
          <w:ilvl w:val="0"/>
          <w:numId w:val="1"/>
        </w:numPr>
        <w:spacing w:line="360" w:lineRule="auto"/>
        <w:ind w:left="720" w:hanging="360"/>
        <w:rPr/>
      </w:pPr>
      <w:r w:rsidDel="00000000" w:rsidR="00000000" w:rsidRPr="00000000">
        <w:rPr>
          <w:rtl w:val="0"/>
        </w:rPr>
        <w:t xml:space="preserve">Content knowledge (or subject knowledge).</w:t>
      </w:r>
    </w:p>
    <w:p w:rsidR="00000000" w:rsidDel="00000000" w:rsidP="00000000" w:rsidRDefault="00000000" w:rsidRPr="00000000" w14:paraId="00000037">
      <w:pPr>
        <w:numPr>
          <w:ilvl w:val="0"/>
          <w:numId w:val="1"/>
        </w:numPr>
        <w:spacing w:line="360" w:lineRule="auto"/>
        <w:ind w:left="720" w:hanging="360"/>
        <w:rPr/>
      </w:pPr>
      <w:r w:rsidDel="00000000" w:rsidR="00000000" w:rsidRPr="00000000">
        <w:rPr>
          <w:rtl w:val="0"/>
        </w:rPr>
        <w:t xml:space="preserve">General pedagogical knowledge.</w:t>
      </w:r>
    </w:p>
    <w:p w:rsidR="00000000" w:rsidDel="00000000" w:rsidP="00000000" w:rsidRDefault="00000000" w:rsidRPr="00000000" w14:paraId="00000038">
      <w:pPr>
        <w:numPr>
          <w:ilvl w:val="0"/>
          <w:numId w:val="1"/>
        </w:numPr>
        <w:spacing w:line="360" w:lineRule="auto"/>
        <w:ind w:left="720" w:hanging="360"/>
        <w:rPr/>
      </w:pPr>
      <w:r w:rsidDel="00000000" w:rsidR="00000000" w:rsidRPr="00000000">
        <w:rPr>
          <w:rtl w:val="0"/>
        </w:rPr>
        <w:t xml:space="preserve">Curriculum knowledge.</w:t>
      </w:r>
    </w:p>
    <w:p w:rsidR="00000000" w:rsidDel="00000000" w:rsidP="00000000" w:rsidRDefault="00000000" w:rsidRPr="00000000" w14:paraId="00000039">
      <w:pPr>
        <w:numPr>
          <w:ilvl w:val="0"/>
          <w:numId w:val="1"/>
        </w:numPr>
        <w:spacing w:line="360" w:lineRule="auto"/>
        <w:ind w:left="720" w:hanging="360"/>
        <w:rPr/>
      </w:pPr>
      <w:r w:rsidDel="00000000" w:rsidR="00000000" w:rsidRPr="00000000">
        <w:rPr>
          <w:rtl w:val="0"/>
        </w:rPr>
        <w:t xml:space="preserve">Pedagogical content knowledge.</w:t>
      </w:r>
    </w:p>
    <w:p w:rsidR="00000000" w:rsidDel="00000000" w:rsidP="00000000" w:rsidRDefault="00000000" w:rsidRPr="00000000" w14:paraId="0000003A">
      <w:pPr>
        <w:numPr>
          <w:ilvl w:val="0"/>
          <w:numId w:val="1"/>
        </w:numPr>
        <w:spacing w:line="360" w:lineRule="auto"/>
        <w:ind w:left="720" w:hanging="360"/>
        <w:rPr/>
      </w:pPr>
      <w:r w:rsidDel="00000000" w:rsidR="00000000" w:rsidRPr="00000000">
        <w:rPr>
          <w:rtl w:val="0"/>
        </w:rPr>
        <w:t xml:space="preserve">Knowledge of learners and their characteristics.</w:t>
      </w:r>
    </w:p>
    <w:p w:rsidR="00000000" w:rsidDel="00000000" w:rsidP="00000000" w:rsidRDefault="00000000" w:rsidRPr="00000000" w14:paraId="0000003B">
      <w:pPr>
        <w:numPr>
          <w:ilvl w:val="0"/>
          <w:numId w:val="1"/>
        </w:numPr>
        <w:spacing w:line="360" w:lineRule="auto"/>
        <w:ind w:left="720" w:hanging="360"/>
        <w:rPr/>
      </w:pPr>
      <w:r w:rsidDel="00000000" w:rsidR="00000000" w:rsidRPr="00000000">
        <w:rPr>
          <w:rtl w:val="0"/>
        </w:rPr>
        <w:t xml:space="preserve">Knowledge of educational contexts.</w:t>
      </w:r>
    </w:p>
    <w:p w:rsidR="00000000" w:rsidDel="00000000" w:rsidP="00000000" w:rsidRDefault="00000000" w:rsidRPr="00000000" w14:paraId="0000003C">
      <w:pPr>
        <w:numPr>
          <w:ilvl w:val="0"/>
          <w:numId w:val="1"/>
        </w:numPr>
        <w:spacing w:line="360" w:lineRule="auto"/>
        <w:ind w:left="720" w:hanging="360"/>
        <w:rPr/>
      </w:pPr>
      <w:r w:rsidDel="00000000" w:rsidR="00000000" w:rsidRPr="00000000">
        <w:rPr>
          <w:rtl w:val="0"/>
        </w:rPr>
        <w:t xml:space="preserve">Knowledge of educational ends, purposes and values, and their philosophical and historic grounds.</w:t>
      </w:r>
    </w:p>
    <w:p w:rsidR="00000000" w:rsidDel="00000000" w:rsidP="00000000" w:rsidRDefault="00000000" w:rsidRPr="00000000" w14:paraId="0000003D">
      <w:pPr>
        <w:spacing w:line="360" w:lineRule="auto"/>
        <w:rPr/>
      </w:pPr>
      <w:r w:rsidDel="00000000" w:rsidR="00000000" w:rsidRPr="00000000">
        <w:rPr>
          <w:rtl w:val="0"/>
        </w:rPr>
        <w:t xml:space="preserve">(Shulman, 1987. p. 8)</w:t>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t xml:space="preserve">The areas of the knowledge base that I will be exploring in this essay are the content knowledge (CK), pedagogical content knowledge (PCK) and knowledge of learners and their characteristics. With subject knowledge at the heart of this assignment, it is hard not to put content knowledge (CK) at the forefront of this literature review. CK is, in its simplest form, an understanding of the subject matter being taught. As Ball (1991) puts it: “Teachers cannot help children learn things they themselves do not understand” (p. 5). Without a genuine understanding of the subject matter that teachers are presenting (including subject-specific vocabulary), research has shown that children can easily misunderstand or misinterpret what is being taught. Hill et al. (2008) explore the importance of subject knowledge in their case study of teacher ‘Lucy’. The subject in question was predominantly an English teacher, who for purposes of the case study was teaching Mathematics. In the case study their findings were that although Lucy had perfectly sound pedagogical knowledge (such as lesson structure, clear lesson goals), her lack of genuine content knowledge caused mathematical mistakes and lack of precision in the mathematical language. Hill et al. argue that these mistakes can easily lead to misunderstandings within the class. This case study in itself highlights the significance of subject knowledge in effective teaching.</w:t>
      </w:r>
    </w:p>
    <w:p w:rsidR="00000000" w:rsidDel="00000000" w:rsidP="00000000" w:rsidRDefault="00000000" w:rsidRPr="00000000" w14:paraId="00000040">
      <w:pPr>
        <w:spacing w:line="360" w:lineRule="auto"/>
        <w:rPr/>
      </w:pPr>
      <w:r w:rsidDel="00000000" w:rsidR="00000000" w:rsidRPr="00000000">
        <w:rPr>
          <w:rtl w:val="0"/>
        </w:rPr>
        <w:t xml:space="preserve">Despite numerous case studies spotlighting the undoubted importance of subject knowledge, there are opposing views to this. Hattie (2012) suggests that findings in</w:t>
      </w:r>
      <w:r w:rsidDel="00000000" w:rsidR="00000000" w:rsidRPr="00000000">
        <w:rPr>
          <w:i w:val="1"/>
          <w:rtl w:val="0"/>
        </w:rPr>
        <w:t xml:space="preserve"> Visible Learning</w:t>
      </w:r>
      <w:r w:rsidDel="00000000" w:rsidR="00000000" w:rsidRPr="00000000">
        <w:rPr>
          <w:rtl w:val="0"/>
        </w:rPr>
        <w:t xml:space="preserve"> show that teachers’ subject knowledge actually bears little relevance to the “quality of student outcomes” (p. 28). Research carried out by Sadler et al. (2013) backs up Hattie’s findings.  Coe et al. (2014) described these findings as a “modest” (p. 19) relationship between teacher subject knowledge and the gains of the student.</w:t>
      </w:r>
    </w:p>
    <w:p w:rsidR="00000000" w:rsidDel="00000000" w:rsidP="00000000" w:rsidRDefault="00000000" w:rsidRPr="00000000" w14:paraId="00000041">
      <w:pPr>
        <w:spacing w:line="360" w:lineRule="auto"/>
        <w:rPr/>
      </w:pPr>
      <w:r w:rsidDel="00000000" w:rsidR="00000000" w:rsidRPr="00000000">
        <w:rPr>
          <w:rtl w:val="0"/>
        </w:rPr>
        <w:t xml:space="preserve">If subject knowledge does indeed have a “modest” effect on the outcomes of a student, then what else is needed? This is where the other areas of the knowledge base come into play, namely pedagogical content knowledge (PCK). PCK is not just the knowledge of the content you are teaching, but the knowledge of how to make the content you are teaching accessible to pupils. To make a lesson effective, a teacher need not only a deep knowledge of the subject matter but also a knowledge of how to teach within that subject (Shulman, 1987). A strong PCK is integral to becoming what Hattie (2013) would call the ‘expert’ teacher, and what Grigg (2010) would call an ‘outstanding’ one. Grigg (2010) emphasises his views on a need to represent and communicate knowledge properly to pupils to give the subject matter genuine value. Coe et al. (2014) signify strong evidence that PCK has a positive effect on student outcomes. To support this, Mahler, Großschedl and Harms’ (2017) researcher-devised tests have shown a significant relationship between PCK and student performance. The same research struggled to find a similar relationship between CK and student performance. There are some criticisms of the authenticity of PCK. Kind (2009) believes that it lacks any genuine theoretical background, despite research that would suggest it is theoretically sound. These criticisms are, however, few and far between. It appears to be of a strong belief that pedagogical knowledge and subject knowledge are at their most effective when used concurrently.</w:t>
      </w:r>
    </w:p>
    <w:p w:rsidR="00000000" w:rsidDel="00000000" w:rsidP="00000000" w:rsidRDefault="00000000" w:rsidRPr="00000000" w14:paraId="00000042">
      <w:pPr>
        <w:spacing w:line="360" w:lineRule="auto"/>
        <w:rPr/>
      </w:pPr>
      <w:r w:rsidDel="00000000" w:rsidR="00000000" w:rsidRPr="00000000">
        <w:rPr>
          <w:rtl w:val="0"/>
        </w:rPr>
        <w:t xml:space="preserve"> </w:t>
      </w:r>
    </w:p>
    <w:p w:rsidR="00000000" w:rsidDel="00000000" w:rsidP="00000000" w:rsidRDefault="00000000" w:rsidRPr="00000000" w14:paraId="00000043">
      <w:pPr>
        <w:spacing w:line="360" w:lineRule="auto"/>
        <w:rPr/>
      </w:pPr>
      <w:r w:rsidDel="00000000" w:rsidR="00000000" w:rsidRPr="00000000">
        <w:rPr>
          <w:rtl w:val="0"/>
        </w:rPr>
        <w:t xml:space="preserve">In her chapter on pedagogical knowledge, Guerriero (2017) suggests that strong PCK cannot exist without a teachers’ knowledge of their learners and their characteristics. If a teacher has strong knowledge of their learners, then they will know how to make their teaching accessible. Wilson et al. (2018) emphasise the relationship between a knowledge of learners and PCK by referring to the knowledge of learners as the “personal PCK”. Their definition of this “personal PCK” parallels that of Shulman's knowledge of learners:</w:t>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ind w:left="720" w:firstLine="0"/>
        <w:rPr/>
      </w:pPr>
      <w:r w:rsidDel="00000000" w:rsidR="00000000" w:rsidRPr="00000000">
        <w:rPr>
          <w:rtl w:val="0"/>
        </w:rPr>
        <w:t xml:space="preserve">“[T]he knowledge of, reasoning behind, and planning for a particular topic in a particular way for a particular purpose to particular students for enhanced student outcomes” (Wilson et al. 2018, p. 7)</w:t>
      </w:r>
    </w:p>
    <w:p w:rsidR="00000000" w:rsidDel="00000000" w:rsidP="00000000" w:rsidRDefault="00000000" w:rsidRPr="00000000" w14:paraId="00000046">
      <w:pPr>
        <w:spacing w:line="360" w:lineRule="auto"/>
        <w:ind w:left="720" w:firstLine="0"/>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t xml:space="preserve">Prior to Shulman and the PCK, Shavelson and Stern (1981) suggested that teachers’ decisions should, first and foremost, be influenced by the students themselves. Grossman and McDonald (2008) second this opinion, discussing how teaching and learning are, and should be, centred around “relationships”.  In a “decision-making framework” developed by Clough, Berg and Olson (2009), it was suggested that teachers should continually assess their learners to inform decisions on how to structure tasks/lessons to move their students forward in their learning. This is echoed in the new curriculum, where Donaldson (2015) emphasises a need for teachers to match their pedagogical approaches with the specific learning needs of their pupils. Research undertaken by Cornelius-White (2007) and the subsequent findings support these beliefs that students become more engaged in learner-centred classrooms. In his research, he found that a learner-centred education correlated with large increases in participation, satisfaction, and motivation to learn. The importance of the continuous assessment of pupils and using these assessments to inform future teaching suggests that aspects of the knowledge base and PCK are centred around a ‘Constructivist’ school of learning and teaching, a school of thought that Donaldson appears to be a willing advocate of. It is clear that a knowledge of learners is fundamental to effective teaching and learning.</w:t>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t xml:space="preserve">In this digital age, and with Donaldson’s curriculum just around the corner, digital competence has become a massive factor in the effectiveness of teaching and learning. Effective teaching and learning have become so much more than just subject or pedagogical knowledge. There is vast literature to support this notion. Mishra and Koehler (2006) were integral in taking Shulman’s seminal framework and bringing it into the 21st Century, doing so by incorporating technology into the to PCK. They named this combination of technological, pedagogical and content knowledge the </w:t>
      </w:r>
      <w:r w:rsidDel="00000000" w:rsidR="00000000" w:rsidRPr="00000000">
        <w:rPr>
          <w:i w:val="1"/>
          <w:rtl w:val="0"/>
        </w:rPr>
        <w:t xml:space="preserve">TCPK</w:t>
      </w:r>
      <w:r w:rsidDel="00000000" w:rsidR="00000000" w:rsidRPr="00000000">
        <w:rPr>
          <w:rtl w:val="0"/>
        </w:rPr>
        <w:t xml:space="preserve"> (now known as the catchier, TP</w:t>
      </w:r>
      <w:r w:rsidDel="00000000" w:rsidR="00000000" w:rsidRPr="00000000">
        <w:rPr>
          <w:i w:val="1"/>
          <w:rtl w:val="0"/>
        </w:rPr>
        <w:t xml:space="preserve">A</w:t>
      </w:r>
      <w:r w:rsidDel="00000000" w:rsidR="00000000" w:rsidRPr="00000000">
        <w:rPr>
          <w:rtl w:val="0"/>
        </w:rPr>
        <w:t xml:space="preserve">CK, see Appendix A). Agostinho et al. (2013) describe TPACK as “the thinking required of a teacher to determine how technology should be integrated with effective pedagogy to teach a particular concept” (p. 122). This integration of technology with “effective pedagogy” will become even more relevant in the coming years, with digital competence playing a massive part in the upcoming curriculum. Indeed, Herring et al. (2016) concluded that in this digital age, pedagogy, content and technology have become “intricately linked” (p. 1). Prior to TPACK, Webb and Cox (2004) provided their own framework that integrated technology into pedagogical practice (pp. 238-9). Somekh (2007) questioned the validity of the of their framework as it saw technology as an additional resource, as opposed to a tool with “transformative possibilities” (p. 46). It must, however, be noted that this framework was published in 2004. In the near future, the cross-curricular importance of the Digital Competence Framework (DCF) in the new curriculum would certainly suggest that technology is more than just an “additional resource”. Donaldson himself stresses this in </w:t>
      </w:r>
      <w:r w:rsidDel="00000000" w:rsidR="00000000" w:rsidRPr="00000000">
        <w:rPr>
          <w:i w:val="1"/>
          <w:rtl w:val="0"/>
        </w:rPr>
        <w:t xml:space="preserve">Successful Futures</w:t>
      </w:r>
      <w:r w:rsidDel="00000000" w:rsidR="00000000" w:rsidRPr="00000000">
        <w:rPr>
          <w:rtl w:val="0"/>
        </w:rPr>
        <w:t xml:space="preserve">, going so far as to call digital competence as important as literacy and numeracy. Trgalova and Tabach (2018) also stress a need to enhance these competency standards. In their analysis of their own framework, Webb and Cox (2004) concluded that technology would continue to enable alternative ways of learning would be benefit and motivate students, but did warn that “developments in ICT are making the role of the teacher much more complex.” (p. 278)</w:t>
      </w:r>
    </w:p>
    <w:p w:rsidR="00000000" w:rsidDel="00000000" w:rsidP="00000000" w:rsidRDefault="00000000" w:rsidRPr="00000000" w14:paraId="0000004A">
      <w:pPr>
        <w:spacing w:line="360" w:lineRule="auto"/>
        <w:rPr/>
      </w:pP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t xml:space="preserve">It must be addressed that a large number of writings, research and findings on knowledge in this literature review have been subject-specific to one particular subject. If Shulman’s (1986) belief that a teacher “need not only understand that something is so, the teacher must further understand why it is so” (p. 9), then this is even harder to facilitate as a primary teacher. If there is a view to becoming an ‘expert’ teacher, the teacher will need a deep understanding of the subject matter they teach (Hattie, 2012). With English, Maths, and three cross-curricular responsibilities to bear in mind, it could be argued that having the effective PCK and becoming an expert teacher is even harder in primary education.</w:t>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b w:val="1"/>
        </w:rPr>
      </w:pPr>
      <w:r w:rsidDel="00000000" w:rsidR="00000000" w:rsidRPr="00000000">
        <w:rPr>
          <w:b w:val="1"/>
          <w:rtl w:val="0"/>
        </w:rPr>
        <w:t xml:space="preserve">Reflection</w:t>
      </w:r>
    </w:p>
    <w:p w:rsidR="00000000" w:rsidDel="00000000" w:rsidP="00000000" w:rsidRDefault="00000000" w:rsidRPr="00000000" w14:paraId="0000004E">
      <w:pPr>
        <w:spacing w:line="360" w:lineRule="auto"/>
        <w:rPr>
          <w:b w:val="1"/>
        </w:rPr>
      </w:pPr>
      <w:r w:rsidDel="00000000" w:rsidR="00000000" w:rsidRPr="00000000">
        <w:rPr>
          <w:rtl w:val="0"/>
        </w:rPr>
      </w:r>
    </w:p>
    <w:p w:rsidR="00000000" w:rsidDel="00000000" w:rsidP="00000000" w:rsidRDefault="00000000" w:rsidRPr="00000000" w14:paraId="0000004F">
      <w:pPr>
        <w:spacing w:line="360" w:lineRule="auto"/>
        <w:rPr/>
      </w:pPr>
      <w:r w:rsidDel="00000000" w:rsidR="00000000" w:rsidRPr="00000000">
        <w:rPr>
          <w:rtl w:val="0"/>
        </w:rPr>
      </w:r>
    </w:p>
    <w:p w:rsidR="00000000" w:rsidDel="00000000" w:rsidP="00000000" w:rsidRDefault="00000000" w:rsidRPr="00000000" w14:paraId="00000050">
      <w:pPr>
        <w:spacing w:line="360" w:lineRule="auto"/>
        <w:rPr/>
      </w:pPr>
      <w:r w:rsidDel="00000000" w:rsidR="00000000" w:rsidRPr="00000000">
        <w:rPr>
          <w:rtl w:val="0"/>
        </w:rPr>
        <w:t xml:space="preserve">Now that I have reviewed some relevant literature and have a better grasp on the importance of subject knowledge and pedagogical knowledge, I can begin to reflect on my own teaching practice. I will use the Knowledge Quartet (Rowland et al., 2003) to structure my reflection, using the four areas of the quartet (Foundation, Transformation, Connection, and Contingency) as sub-headings. The Knowledge Quartet was a framework built around teaching mathematics, and as such a number of the lessons I reflect on will be maths lessons. However, the framework is undoubtedly transferable to other subjects in the curriculum. These observations will explore both the good and bad elements of my current pedagogical practice and how I can look to improve this practice in the future. I will also use aspects of the new curriculum (cross-curricular responsibilities, six areas of learning and experience) to help reflect on my practice. The reflections in this section will refer back to my Professional Teaching Experience (PTE) that took place over six weeks between October and December 2018. As I was placed in a Year 5 class, subject knowledge played a large part in the effectiveness of my teaching.</w:t>
      </w:r>
    </w:p>
    <w:p w:rsidR="00000000" w:rsidDel="00000000" w:rsidP="00000000" w:rsidRDefault="00000000" w:rsidRPr="00000000" w14:paraId="00000051">
      <w:pPr>
        <w:spacing w:line="360" w:lineRule="auto"/>
        <w:rPr>
          <w:b w:val="1"/>
        </w:rPr>
      </w:pPr>
      <w:r w:rsidDel="00000000" w:rsidR="00000000" w:rsidRPr="00000000">
        <w:rPr>
          <w:rtl w:val="0"/>
        </w:rPr>
      </w:r>
    </w:p>
    <w:p w:rsidR="00000000" w:rsidDel="00000000" w:rsidP="00000000" w:rsidRDefault="00000000" w:rsidRPr="00000000" w14:paraId="00000052">
      <w:pPr>
        <w:spacing w:line="360" w:lineRule="auto"/>
        <w:rPr>
          <w:b w:val="1"/>
        </w:rPr>
      </w:pPr>
      <w:r w:rsidDel="00000000" w:rsidR="00000000" w:rsidRPr="00000000">
        <w:rPr>
          <w:b w:val="1"/>
          <w:rtl w:val="0"/>
        </w:rPr>
        <w:t xml:space="preserve">Foundation</w:t>
      </w:r>
    </w:p>
    <w:p w:rsidR="00000000" w:rsidDel="00000000" w:rsidP="00000000" w:rsidRDefault="00000000" w:rsidRPr="00000000" w14:paraId="00000053">
      <w:pPr>
        <w:spacing w:line="360" w:lineRule="auto"/>
        <w:rPr>
          <w:b w:val="1"/>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t xml:space="preserve">The ‘foundation’ of Rowland et al.’s Knowledge Quartet can be compared to that of Shulman’s (1987) Pedagogical Content Knowledge. There are elements of both that do not tie together, but both are built on a simultaneous understanding of the content of what is being taught, and how that content can be taught. Rowland (2013) himself compares his ‘foundation’ to that of Shulman’s ‘comprehension’, holding a deep understanding of what is being taught, and how your beliefs reflect this understanding. During PTE1, the theme for my mid-term plan was ‘Stargazers’, which centred around broadening the children’s understandings of our solar system. An area of the theme I was keen to teach was ‘moon phases’ (see Appendix B). Prior to my teaching of the lesson, I made sure that I understood all aspects of moon phases (specific names of the 8 main moon phases, the appearance of the moon phases, length of a moon phase etc.). Although not a whole subject, I wanted to have a good knowledge of this narrow (and simple) area of science. Coe et al. (2013) and Hill et al. (2005) stress that if knowledge falls below a certain level it can impede the effectiveness of pupil learning. This impeding of pupil learning was seen in the case study of ‘Lucy’ during my literature review (Hill et al., 2008). The chance of misconceptions in a fairly straightforward task would be unexpected. However, some children did struggle with the notion of ‘waning’ and ‘waxing’ moons. To combat this, I went through both descriptions </w:t>
      </w:r>
      <w:r w:rsidDel="00000000" w:rsidR="00000000" w:rsidRPr="00000000">
        <w:rPr>
          <w:i w:val="1"/>
          <w:rtl w:val="0"/>
        </w:rPr>
        <w:t xml:space="preserve">and</w:t>
      </w:r>
      <w:r w:rsidDel="00000000" w:rsidR="00000000" w:rsidRPr="00000000">
        <w:rPr>
          <w:rtl w:val="0"/>
        </w:rPr>
        <w:t xml:space="preserve"> images of the moon, explaining the notion of the sunlight being reflected moving from the right (waxing) to left (waning). As I had researched moon phases heavily in the weeks leading up to the lesson, my foundation knowledge of the subject matter was strong and this helped me to feel confident throughout the lesson. With an upcoming curriculum that requires deep subject knowledge and pedagogical knowledge, I will have to improve my pedagogical practice, knowledge of core subjects, and knowledge of the three cross-curricular responsibilities.</w:t>
      </w:r>
    </w:p>
    <w:p w:rsidR="00000000" w:rsidDel="00000000" w:rsidP="00000000" w:rsidRDefault="00000000" w:rsidRPr="00000000" w14:paraId="00000055">
      <w:pPr>
        <w:spacing w:line="360" w:lineRule="auto"/>
        <w:rPr>
          <w:b w:val="1"/>
        </w:rPr>
      </w:pPr>
      <w:r w:rsidDel="00000000" w:rsidR="00000000" w:rsidRPr="00000000">
        <w:rPr>
          <w:rtl w:val="0"/>
        </w:rPr>
      </w:r>
    </w:p>
    <w:p w:rsidR="00000000" w:rsidDel="00000000" w:rsidP="00000000" w:rsidRDefault="00000000" w:rsidRPr="00000000" w14:paraId="00000056">
      <w:pPr>
        <w:spacing w:line="360" w:lineRule="auto"/>
        <w:rPr>
          <w:b w:val="1"/>
        </w:rPr>
      </w:pPr>
      <w:r w:rsidDel="00000000" w:rsidR="00000000" w:rsidRPr="00000000">
        <w:rPr>
          <w:rtl w:val="0"/>
        </w:rPr>
      </w:r>
    </w:p>
    <w:p w:rsidR="00000000" w:rsidDel="00000000" w:rsidP="00000000" w:rsidRDefault="00000000" w:rsidRPr="00000000" w14:paraId="00000057">
      <w:pPr>
        <w:spacing w:line="360" w:lineRule="auto"/>
        <w:rPr>
          <w:b w:val="1"/>
        </w:rPr>
      </w:pPr>
      <w:r w:rsidDel="00000000" w:rsidR="00000000" w:rsidRPr="00000000">
        <w:rPr>
          <w:b w:val="1"/>
          <w:rtl w:val="0"/>
        </w:rPr>
        <w:t xml:space="preserve">Transformation</w:t>
      </w:r>
    </w:p>
    <w:p w:rsidR="00000000" w:rsidDel="00000000" w:rsidP="00000000" w:rsidRDefault="00000000" w:rsidRPr="00000000" w14:paraId="00000058">
      <w:pPr>
        <w:spacing w:line="360" w:lineRule="auto"/>
        <w:rPr/>
      </w:pP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Rowland et al. (2009) describe transformation as a teacher’s particular choices and uses of examples as a means to make lessons further accessible to children. They refer to Shulman’s (1987) pedagogical content knowledge, and his notion of a teacher transforming the content knowledge they possess into “forms that are pedagogically powerful” for children (p. 15). For one of my maths lessons, I taught subtracting to two decimal places (see Appendix C). I had discussed with my class mentor how I could make this lesson accessible to the children. I decided that subtracting money would be the most accessible way to demonstrate subtraction to two decimal places and created my own resources to facilitate that. I decided to centre my own resources around the idea of Christmas shopping. Children that had struggled with, or did not engage with, the previous task (subtracting to one decimal place) fully embraced the new task as it bared relevance to a real-life situation. This application of maths in real-life situations is alluded to by Donaldson (2015) in one of his ‘Six Areas of Learning and Experience’, in which he stresses a need to broaden the numeracy and financial skills of future generations. To further enhance the lesson I could have possibly used fake coins/notes (Rowland et al., 2009). This could have helped children to visualise the subject matter and possibly enhanced their knowledge and understanding.</w:t>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rPr>
          <w:b w:val="1"/>
        </w:rPr>
      </w:pPr>
      <w:r w:rsidDel="00000000" w:rsidR="00000000" w:rsidRPr="00000000">
        <w:rPr>
          <w:b w:val="1"/>
          <w:rtl w:val="0"/>
        </w:rPr>
        <w:t xml:space="preserve">Connection</w:t>
      </w:r>
    </w:p>
    <w:p w:rsidR="00000000" w:rsidDel="00000000" w:rsidP="00000000" w:rsidRDefault="00000000" w:rsidRPr="00000000" w14:paraId="0000005C">
      <w:pPr>
        <w:spacing w:line="360" w:lineRule="auto"/>
        <w:rPr>
          <w:b w:val="1"/>
        </w:rPr>
      </w:pPr>
      <w:r w:rsidDel="00000000" w:rsidR="00000000" w:rsidRPr="00000000">
        <w:rPr>
          <w:rtl w:val="0"/>
        </w:rPr>
      </w:r>
    </w:p>
    <w:p w:rsidR="00000000" w:rsidDel="00000000" w:rsidP="00000000" w:rsidRDefault="00000000" w:rsidRPr="00000000" w14:paraId="0000005D">
      <w:pPr>
        <w:spacing w:line="360" w:lineRule="auto"/>
        <w:rPr>
          <w:b w:val="1"/>
        </w:rPr>
      </w:pPr>
      <w:r w:rsidDel="00000000" w:rsidR="00000000" w:rsidRPr="00000000">
        <w:rPr>
          <w:rtl w:val="0"/>
        </w:rPr>
        <w:t xml:space="preserve">Despite my notion that the Knowledge Quartet is easily transferable to other subjects, ‘connection’ is probably the area that is most suited to mathematics. Rowland (2013) implies that “coherence” in planning and teaching is essential to connection, and that Mathematics in itself is notable for being a coherent “body of knowledge” (p. 24). With this in mind, I shall refer to another maths lesson when discussing connection. The lesson in question was a lesson on ‘calculating the volume of cuboids’ (see Appendix D). At the start of the lesson I made careful consideration to connect the formula of calculating volume (volume = height x width x depth) to a previous lesson on calculating area (area = height x width). I explained that the addition of depth to our formula gives us a 3D shape. Ball (1990) strongly argued about the significance of ‘connected knowledge’ in teaching. This building on previous knowledge and experience is one of Donaldson’s twelve ‘pedagogical principles’ that make for good teaching practice. Rowland stresses that connection does not only signify the coherence between lessons but also </w:t>
      </w:r>
      <w:r w:rsidDel="00000000" w:rsidR="00000000" w:rsidRPr="00000000">
        <w:rPr>
          <w:i w:val="1"/>
          <w:rtl w:val="0"/>
        </w:rPr>
        <w:t xml:space="preserve">within</w:t>
      </w:r>
      <w:r w:rsidDel="00000000" w:rsidR="00000000" w:rsidRPr="00000000">
        <w:rPr>
          <w:rtl w:val="0"/>
        </w:rPr>
        <w:t xml:space="preserve"> lessons, namely the particular sequencing of tasks and exercises. When writing lesson plans or creating my own resources, I gave particular attention to sequencing questions, tasks and exercises in of difficulty (see Appendix F).</w:t>
      </w:r>
      <w:r w:rsidDel="00000000" w:rsidR="00000000" w:rsidRPr="00000000">
        <w:rPr>
          <w:rtl w:val="0"/>
        </w:rPr>
      </w:r>
    </w:p>
    <w:p w:rsidR="00000000" w:rsidDel="00000000" w:rsidP="00000000" w:rsidRDefault="00000000" w:rsidRPr="00000000" w14:paraId="0000005E">
      <w:pPr>
        <w:spacing w:line="360" w:lineRule="auto"/>
        <w:rPr>
          <w:b w:val="1"/>
        </w:rPr>
      </w:pPr>
      <w:r w:rsidDel="00000000" w:rsidR="00000000" w:rsidRPr="00000000">
        <w:rPr>
          <w:rtl w:val="0"/>
        </w:rPr>
      </w:r>
    </w:p>
    <w:p w:rsidR="00000000" w:rsidDel="00000000" w:rsidP="00000000" w:rsidRDefault="00000000" w:rsidRPr="00000000" w14:paraId="0000005F">
      <w:pPr>
        <w:spacing w:line="360" w:lineRule="auto"/>
        <w:rPr>
          <w:b w:val="1"/>
        </w:rPr>
      </w:pPr>
      <w:r w:rsidDel="00000000" w:rsidR="00000000" w:rsidRPr="00000000">
        <w:rPr>
          <w:b w:val="1"/>
          <w:rtl w:val="0"/>
        </w:rPr>
        <w:t xml:space="preserve">Contingency</w:t>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b w:val="1"/>
        </w:rPr>
      </w:pPr>
      <w:r w:rsidDel="00000000" w:rsidR="00000000" w:rsidRPr="00000000">
        <w:rPr>
          <w:rtl w:val="0"/>
        </w:rPr>
        <w:t xml:space="preserve">A lesson that I had great difficulty in teaching was ‘calculating the area of compound shapes’. Although my own knowledge of ‘calculating area’ was sound, it was a domain of maths that I struggled to express in a way that way accessible to my class. Despite believing I had fairly good PCK, I just could not find a clear explanation to ease my pupils learning, an element of PCK that Cogill (2008) states is integral. Not only were my class struggling, but I could also see that they were not fully engaged with the way the work was being presented. Shulman (1987) would say that I had to adapt my lesson to the “diverse interests and abilities of learners” (p. 4). At around halfway through the lesson, I asked the children to hold their hands up corresponding with their understanding of the lesson (5 fingers = completely understand, 3 = slightly understand, 1 = don’t understand). Nearly all of the children, including those in the top set table, only put up one finger. I realised that examples on the whiteboard/PowerPoint presentation were not making the subject matter accessible, and thought of a way that I could physically ‘show’ how to measure the area of compound shapes. I gathered the class around the centremost table, grabbed a piece of A2 card and cut it into a compound shape. I then cut the compound shape into two simple rectangular shapes, helping children to visualise what was needed from them, and how the area of these new shapes would differ from the compound shape. As a class, we worked out the area of both simple rectangles, then added them together to work out the area of our compound shape. Immediately, a large portion of the class said that they better understood how to calculate area. We then worked as a class to work out the area of one compound shape on the whiteboard, and most correctly talked me through the steps, and maths, needed. I felt like I had finally found a way to present area in a way that my class understood. Rowland (2013) would call this change in my lesson the ability to ‘think on my feet’ which is, in essence, what contingency is all about. Brown and Wragg (1993) go so far as to suggest that these responses are the lynchpins of a good lesson and integral to good learning. Following from my lesson, I also decided to centre the rest of my ‘area’ maths lessons around Elves trying to work out the area of sheets of wrapping paper (including homework). Although trivial and dubious, the slight adjustment to my lessons made the majority of my class more engaged.</w:t>
      </w: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b w:val="1"/>
        </w:rPr>
      </w:pPr>
      <w:r w:rsidDel="00000000" w:rsidR="00000000" w:rsidRPr="00000000">
        <w:rPr>
          <w:b w:val="1"/>
          <w:rtl w:val="0"/>
        </w:rPr>
        <w:t xml:space="preserve">Welsh and Digital Competence</w:t>
      </w:r>
    </w:p>
    <w:p w:rsidR="00000000" w:rsidDel="00000000" w:rsidP="00000000" w:rsidRDefault="00000000" w:rsidRPr="00000000" w14:paraId="00000065">
      <w:pPr>
        <w:spacing w:line="360" w:lineRule="auto"/>
        <w:rPr>
          <w:b w:val="1"/>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t xml:space="preserve">Throughout PTE1 I was aware of my shortcomings in integrating Welsh into my classroom. Donaldson stresses the importance of the Welsh language in the upcoming curriculum and, whilst studying and teaching in Wales, should be considered as integral as any component of PCK. He argues that even in English-medium schools, teachers should be able to use Welsh confidentally for a range of purposes. Prior to my placement, my knowledge of the Welsh language was of such a low standard that I used minimal Welsh in both lesson plans and incidentally (asking children to ‘sit down’ or ‘come in’). In lacking decent knowledge of Welsh language I was unable to be enthusiastic about its use or utilise it correctly. A teacher’s enthusiasm and utilisation of knowledge in practice is likely to be imitiated by the children (Cohen et al., 2003) so by extension, a strong use of incidental Welsh by the teacher will have an positive impact on the students. They will be improving their own knowledge of Welsh habitually by hearing it from their teacher. From this aspect of my reflection, I have realised the importance of subject knowledge (welsh language) combined with pedagogical knowledge (using it in context) which is precisely what PCK is all about.</w:t>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t xml:space="preserve">As I found in my literature review, digital competence will also play a large part in the new curriculum. You will notice in the lesson plans in my appendices, technology has been used sparingly and, essentially, as an afterthought. I will have to address this in future placements. Donaldson (2015) highlights a responsibility of teachers to use technology creatively and I feel I failed to do so in my first six weeks of placement. Agostinho et al. (2013) stress that technology needs to be used effectively with pedagogy to make it a truly transformative experience. In my future teacher practices I must strive to use technology more thoughtfully and effectively.</w:t>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rPr>
          <w:b w:val="1"/>
        </w:rPr>
      </w:pPr>
      <w:r w:rsidDel="00000000" w:rsidR="00000000" w:rsidRPr="00000000">
        <w:rPr>
          <w:rtl w:val="0"/>
        </w:rPr>
      </w:r>
    </w:p>
    <w:p w:rsidR="00000000" w:rsidDel="00000000" w:rsidP="00000000" w:rsidRDefault="00000000" w:rsidRPr="00000000" w14:paraId="0000006D">
      <w:pPr>
        <w:spacing w:line="360" w:lineRule="auto"/>
        <w:rPr>
          <w:b w:val="1"/>
        </w:rPr>
      </w:pPr>
      <w:r w:rsidDel="00000000" w:rsidR="00000000" w:rsidRPr="00000000">
        <w:rPr>
          <w:rtl w:val="0"/>
        </w:rPr>
      </w:r>
    </w:p>
    <w:p w:rsidR="00000000" w:rsidDel="00000000" w:rsidP="00000000" w:rsidRDefault="00000000" w:rsidRPr="00000000" w14:paraId="0000006E">
      <w:pPr>
        <w:spacing w:line="360" w:lineRule="auto"/>
        <w:rPr>
          <w:b w:val="1"/>
        </w:rPr>
      </w:pPr>
      <w:r w:rsidDel="00000000" w:rsidR="00000000" w:rsidRPr="00000000">
        <w:rPr>
          <w:rtl w:val="0"/>
        </w:rPr>
      </w:r>
    </w:p>
    <w:p w:rsidR="00000000" w:rsidDel="00000000" w:rsidP="00000000" w:rsidRDefault="00000000" w:rsidRPr="00000000" w14:paraId="0000006F">
      <w:pPr>
        <w:spacing w:line="360" w:lineRule="auto"/>
        <w:rPr>
          <w:b w:val="1"/>
        </w:rPr>
      </w:pPr>
      <w:r w:rsidDel="00000000" w:rsidR="00000000" w:rsidRPr="00000000">
        <w:rPr>
          <w:rtl w:val="0"/>
        </w:rPr>
      </w:r>
    </w:p>
    <w:p w:rsidR="00000000" w:rsidDel="00000000" w:rsidP="00000000" w:rsidRDefault="00000000" w:rsidRPr="00000000" w14:paraId="00000070">
      <w:pPr>
        <w:spacing w:line="360" w:lineRule="auto"/>
        <w:rPr>
          <w:b w:val="1"/>
        </w:rPr>
      </w:pPr>
      <w:r w:rsidDel="00000000" w:rsidR="00000000" w:rsidRPr="00000000">
        <w:rPr>
          <w:rtl w:val="0"/>
        </w:rPr>
      </w:r>
    </w:p>
    <w:p w:rsidR="00000000" w:rsidDel="00000000" w:rsidP="00000000" w:rsidRDefault="00000000" w:rsidRPr="00000000" w14:paraId="00000071">
      <w:pPr>
        <w:spacing w:line="360" w:lineRule="auto"/>
        <w:rPr>
          <w:b w:val="1"/>
        </w:rPr>
      </w:pPr>
      <w:r w:rsidDel="00000000" w:rsidR="00000000" w:rsidRPr="00000000">
        <w:rPr>
          <w:rtl w:val="0"/>
        </w:rPr>
      </w:r>
    </w:p>
    <w:p w:rsidR="00000000" w:rsidDel="00000000" w:rsidP="00000000" w:rsidRDefault="00000000" w:rsidRPr="00000000" w14:paraId="00000072">
      <w:pPr>
        <w:spacing w:line="360" w:lineRule="auto"/>
        <w:rPr>
          <w:b w:val="1"/>
        </w:rPr>
      </w:pPr>
      <w:r w:rsidDel="00000000" w:rsidR="00000000" w:rsidRPr="00000000">
        <w:rPr>
          <w:rtl w:val="0"/>
        </w:rPr>
      </w:r>
    </w:p>
    <w:p w:rsidR="00000000" w:rsidDel="00000000" w:rsidP="00000000" w:rsidRDefault="00000000" w:rsidRPr="00000000" w14:paraId="00000073">
      <w:pPr>
        <w:spacing w:line="360" w:lineRule="auto"/>
        <w:rPr>
          <w:b w:val="1"/>
        </w:rPr>
      </w:pPr>
      <w:r w:rsidDel="00000000" w:rsidR="00000000" w:rsidRPr="00000000">
        <w:rPr>
          <w:rtl w:val="0"/>
        </w:rPr>
      </w:r>
    </w:p>
    <w:p w:rsidR="00000000" w:rsidDel="00000000" w:rsidP="00000000" w:rsidRDefault="00000000" w:rsidRPr="00000000" w14:paraId="00000074">
      <w:pPr>
        <w:spacing w:line="360" w:lineRule="auto"/>
        <w:rPr>
          <w:b w:val="1"/>
        </w:rPr>
      </w:pPr>
      <w:r w:rsidDel="00000000" w:rsidR="00000000" w:rsidRPr="00000000">
        <w:rPr>
          <w:b w:val="1"/>
          <w:rtl w:val="0"/>
        </w:rPr>
        <w:t xml:space="preserve">Conclusion</w:t>
      </w:r>
    </w:p>
    <w:p w:rsidR="00000000" w:rsidDel="00000000" w:rsidP="00000000" w:rsidRDefault="00000000" w:rsidRPr="00000000" w14:paraId="00000075">
      <w:pPr>
        <w:spacing w:line="360" w:lineRule="auto"/>
        <w:rPr>
          <w:b w:val="1"/>
        </w:rPr>
      </w:pPr>
      <w:r w:rsidDel="00000000" w:rsidR="00000000" w:rsidRPr="00000000">
        <w:rPr>
          <w:rtl w:val="0"/>
        </w:rPr>
      </w:r>
    </w:p>
    <w:p w:rsidR="00000000" w:rsidDel="00000000" w:rsidP="00000000" w:rsidRDefault="00000000" w:rsidRPr="00000000" w14:paraId="00000076">
      <w:pPr>
        <w:spacing w:line="360" w:lineRule="auto"/>
        <w:rPr/>
      </w:pPr>
      <w:r w:rsidDel="00000000" w:rsidR="00000000" w:rsidRPr="00000000">
        <w:rPr>
          <w:rtl w:val="0"/>
        </w:rPr>
        <w:t xml:space="preserve">Throughout my literature review and subsequent reflection, it has become evident that a teacher’s subject knowledge is vital in teaching practice, and a teacher should continuously strive to maintain this. However, it has also become apparent through my analysis that there are other categories of knowledge in Shulman’s knowledge base that a teacher needs to consider and possess in order for effective teaching and learning in the primary school to take place. These realisations have helped me to critically reflect on my own experiences during my Professional Teaching Experience, and how I can improve my teaching practice.</w:t>
      </w:r>
    </w:p>
    <w:p w:rsidR="00000000" w:rsidDel="00000000" w:rsidP="00000000" w:rsidRDefault="00000000" w:rsidRPr="00000000" w14:paraId="00000077">
      <w:pPr>
        <w:spacing w:line="360" w:lineRule="auto"/>
        <w:rPr>
          <w:b w:val="1"/>
        </w:rPr>
      </w:pPr>
      <w:r w:rsidDel="00000000" w:rsidR="00000000" w:rsidRPr="00000000">
        <w:rPr>
          <w:rtl w:val="0"/>
        </w:rPr>
      </w:r>
    </w:p>
    <w:p w:rsidR="00000000" w:rsidDel="00000000" w:rsidP="00000000" w:rsidRDefault="00000000" w:rsidRPr="00000000" w14:paraId="00000078">
      <w:pPr>
        <w:spacing w:line="360" w:lineRule="auto"/>
        <w:rPr/>
      </w:pPr>
      <w:r w:rsidDel="00000000" w:rsidR="00000000" w:rsidRPr="00000000">
        <w:rPr>
          <w:rtl w:val="0"/>
        </w:rPr>
        <w:t xml:space="preserve">I</w:t>
      </w:r>
      <w:r w:rsidDel="00000000" w:rsidR="00000000" w:rsidRPr="00000000">
        <w:rPr>
          <w:rtl w:val="0"/>
        </w:rPr>
        <w:t xml:space="preserve">t is clear from my readings on TPACK (Mishra and Koehler, 2006) and digital competence (Donaldson, 2015) that I will need to start integrating technology more effectively into my classroom. If used correctly it can have “transformative possibilities” (Somekh, 2007, p. 46). Case studies I have explored (Shulman, 1987, Hill et al., 2008) also demonstrate that pedagogical knowledge and subject knowledge are undoubtedly at their most effective when used simultaneously, and as such I will work tirelessly to improve my pedagogical content knowledge throughout not only my PGCE but future teaching practice.</w:t>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rtl w:val="0"/>
        </w:rPr>
        <w:t xml:space="preserve">It is worth noting that all reflections of subject knowledge throughout this body of work have concerned themselves with the relationships between subject knowledge and effective learning in Key Stage 2. I will continue to examine these relationships, but will also begin to explore the relationship between subject knowledge and effective learning in the foundation phase to inform my future practice.</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rPr>
          <w:b w:val="1"/>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rPr>
          <w:b w:val="1"/>
        </w:rPr>
      </w:pPr>
      <w:r w:rsidDel="00000000" w:rsidR="00000000" w:rsidRPr="00000000">
        <w:rPr>
          <w:rtl w:val="0"/>
        </w:rPr>
      </w:r>
    </w:p>
    <w:p w:rsidR="00000000" w:rsidDel="00000000" w:rsidP="00000000" w:rsidRDefault="00000000" w:rsidRPr="00000000" w14:paraId="00000086">
      <w:pPr>
        <w:rPr>
          <w:b w:val="1"/>
        </w:rPr>
      </w:pPr>
      <w:r w:rsidDel="00000000" w:rsidR="00000000" w:rsidRPr="00000000">
        <w:rPr>
          <w:rtl w:val="0"/>
        </w:rPr>
      </w:r>
    </w:p>
    <w:p w:rsidR="00000000" w:rsidDel="00000000" w:rsidP="00000000" w:rsidRDefault="00000000" w:rsidRPr="00000000" w14:paraId="00000087">
      <w:pPr>
        <w:rPr>
          <w:b w:val="1"/>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rtl w:val="0"/>
        </w:rPr>
      </w:r>
    </w:p>
    <w:p w:rsidR="00000000" w:rsidDel="00000000" w:rsidP="00000000" w:rsidRDefault="00000000" w:rsidRPr="00000000" w14:paraId="00000089">
      <w:pPr>
        <w:rPr>
          <w:b w:val="1"/>
        </w:rPr>
      </w:pPr>
      <w:r w:rsidDel="00000000" w:rsidR="00000000" w:rsidRPr="00000000">
        <w:rPr>
          <w:rtl w:val="0"/>
        </w:rPr>
      </w:r>
    </w:p>
    <w:p w:rsidR="00000000" w:rsidDel="00000000" w:rsidP="00000000" w:rsidRDefault="00000000" w:rsidRPr="00000000" w14:paraId="0000008A">
      <w:pPr>
        <w:rPr>
          <w:b w:val="1"/>
        </w:rPr>
      </w:pPr>
      <w:r w:rsidDel="00000000" w:rsidR="00000000" w:rsidRPr="00000000">
        <w:rPr>
          <w:rtl w:val="0"/>
        </w:rPr>
      </w:r>
    </w:p>
    <w:p w:rsidR="00000000" w:rsidDel="00000000" w:rsidP="00000000" w:rsidRDefault="00000000" w:rsidRPr="00000000" w14:paraId="0000008B">
      <w:pPr>
        <w:rPr>
          <w:b w:val="1"/>
        </w:rPr>
      </w:pPr>
      <w:r w:rsidDel="00000000" w:rsidR="00000000" w:rsidRPr="00000000">
        <w:rPr>
          <w:rtl w:val="0"/>
        </w:rPr>
      </w:r>
    </w:p>
    <w:p w:rsidR="00000000" w:rsidDel="00000000" w:rsidP="00000000" w:rsidRDefault="00000000" w:rsidRPr="00000000" w14:paraId="0000008C">
      <w:pPr>
        <w:rPr>
          <w:b w:val="1"/>
        </w:rPr>
      </w:pPr>
      <w:r w:rsidDel="00000000" w:rsidR="00000000" w:rsidRPr="00000000">
        <w:rPr>
          <w:rtl w:val="0"/>
        </w:rPr>
      </w:r>
    </w:p>
    <w:p w:rsidR="00000000" w:rsidDel="00000000" w:rsidP="00000000" w:rsidRDefault="00000000" w:rsidRPr="00000000" w14:paraId="0000008D">
      <w:pPr>
        <w:rPr>
          <w:b w:val="1"/>
        </w:rPr>
      </w:pPr>
      <w:r w:rsidDel="00000000" w:rsidR="00000000" w:rsidRPr="00000000">
        <w:rPr>
          <w:rtl w:val="0"/>
        </w:rPr>
      </w:r>
    </w:p>
    <w:p w:rsidR="00000000" w:rsidDel="00000000" w:rsidP="00000000" w:rsidRDefault="00000000" w:rsidRPr="00000000" w14:paraId="0000008E">
      <w:pPr>
        <w:rPr>
          <w:b w:val="1"/>
        </w:rPr>
      </w:pPr>
      <w:r w:rsidDel="00000000" w:rsidR="00000000" w:rsidRPr="00000000">
        <w:rPr>
          <w:rtl w:val="0"/>
        </w:rPr>
      </w:r>
    </w:p>
    <w:p w:rsidR="00000000" w:rsidDel="00000000" w:rsidP="00000000" w:rsidRDefault="00000000" w:rsidRPr="00000000" w14:paraId="0000008F">
      <w:pPr>
        <w:rPr/>
      </w:pPr>
      <w:r w:rsidDel="00000000" w:rsidR="00000000" w:rsidRPr="00000000">
        <w:rPr>
          <w:b w:val="1"/>
          <w:rtl w:val="0"/>
        </w:rPr>
        <w:t xml:space="preserve">References</w:t>
      </w: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Agostinho, S., Bennett, S., Lockyer, L., Jones, J., Harper, B. (2013) ‘Learning Designs as a Stimulus and Support for Teachers’ Design Practices’ from </w:t>
      </w:r>
      <w:r w:rsidDel="00000000" w:rsidR="00000000" w:rsidRPr="00000000">
        <w:rPr>
          <w:i w:val="1"/>
          <w:rtl w:val="0"/>
        </w:rPr>
        <w:t xml:space="preserve">Rethinking Pedagogy for a Digital Age.</w:t>
      </w:r>
      <w:r w:rsidDel="00000000" w:rsidR="00000000" w:rsidRPr="00000000">
        <w:rPr>
          <w:rtl w:val="0"/>
        </w:rPr>
        <w:t xml:space="preserve"> </w:t>
      </w:r>
      <w:r w:rsidDel="00000000" w:rsidR="00000000" w:rsidRPr="00000000">
        <w:rPr>
          <w:highlight w:val="white"/>
          <w:rtl w:val="0"/>
        </w:rPr>
        <w:t xml:space="preserve">London: Routledge, </w:t>
      </w:r>
      <w:r w:rsidDel="00000000" w:rsidR="00000000" w:rsidRPr="00000000">
        <w:rPr>
          <w:rtl w:val="0"/>
        </w:rPr>
        <w:t xml:space="preserve">pp. 122-123.</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Alexander, R.J. (2003) ‘Oracy, literacy and pedagogy: international perspectives’, in Bearne, E., Dombey, H., Grainger, T. (eds) </w:t>
      </w:r>
      <w:r w:rsidDel="00000000" w:rsidR="00000000" w:rsidRPr="00000000">
        <w:rPr>
          <w:i w:val="1"/>
          <w:rtl w:val="0"/>
        </w:rPr>
        <w:t xml:space="preserve">Interactions in Language and Literacy in the Classroom</w:t>
      </w:r>
      <w:r w:rsidDel="00000000" w:rsidR="00000000" w:rsidRPr="00000000">
        <w:rPr>
          <w:rtl w:val="0"/>
        </w:rPr>
        <w:t xml:space="preserve">. Open University Press, pp. 23-35.</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Ball, D. L. (1990). The mathematical understandings that prospective teachers bring to teacher education. Elementary School Journal, 90, 449–466.</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Ball, D. L. (1991). ‘Research on teaching mathematics: Making subject matter knowledge part of the equation.’ from J. Brophy (Ed.), </w:t>
      </w:r>
      <w:r w:rsidDel="00000000" w:rsidR="00000000" w:rsidRPr="00000000">
        <w:rPr>
          <w:i w:val="1"/>
          <w:rtl w:val="0"/>
        </w:rPr>
        <w:t xml:space="preserve">Advances in research on teaching</w:t>
      </w:r>
      <w:r w:rsidDel="00000000" w:rsidR="00000000" w:rsidRPr="00000000">
        <w:rPr>
          <w:rtl w:val="0"/>
        </w:rPr>
        <w:t xml:space="preserve"> (Vol. 2, pp. 1–47). Greenwich, CT: JAI.</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spacing w:line="360" w:lineRule="auto"/>
        <w:jc w:val="both"/>
        <w:rPr>
          <w:color w:val="222222"/>
        </w:rPr>
      </w:pPr>
      <w:r w:rsidDel="00000000" w:rsidR="00000000" w:rsidRPr="00000000">
        <w:rPr>
          <w:color w:val="222222"/>
          <w:rtl w:val="0"/>
        </w:rPr>
        <w:t xml:space="preserve">British Educational Research Association (BERA). (2011) </w:t>
      </w:r>
      <w:r w:rsidDel="00000000" w:rsidR="00000000" w:rsidRPr="00000000">
        <w:rPr>
          <w:i w:val="1"/>
          <w:color w:val="222222"/>
          <w:rtl w:val="0"/>
        </w:rPr>
        <w:t xml:space="preserve">Ethical Guidelines for Educational Research</w:t>
      </w:r>
      <w:r w:rsidDel="00000000" w:rsidR="00000000" w:rsidRPr="00000000">
        <w:rPr>
          <w:color w:val="222222"/>
          <w:rtl w:val="0"/>
        </w:rPr>
        <w:t xml:space="preserve">. London; British Education Research Association.</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Brown, G., &amp; Wragg, E. C. (1993). </w:t>
      </w:r>
      <w:r w:rsidDel="00000000" w:rsidR="00000000" w:rsidRPr="00000000">
        <w:rPr>
          <w:i w:val="1"/>
          <w:rtl w:val="0"/>
        </w:rPr>
        <w:t xml:space="preserve">Questioning</w:t>
      </w:r>
      <w:r w:rsidDel="00000000" w:rsidR="00000000" w:rsidRPr="00000000">
        <w:rPr>
          <w:rtl w:val="0"/>
        </w:rPr>
        <w:t xml:space="preserve">. London: Routledge. </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Clough, M., Berg, C. and Olson, J. (2009). Promoting Effective Science Teaching Education and Science Teaching: A Framework for Teacher Decision Making. </w:t>
      </w:r>
      <w:r w:rsidDel="00000000" w:rsidR="00000000" w:rsidRPr="00000000">
        <w:rPr>
          <w:i w:val="1"/>
          <w:rtl w:val="0"/>
        </w:rPr>
        <w:t xml:space="preserve">International Journal of Science and Mathematics Education</w:t>
      </w:r>
      <w:r w:rsidDel="00000000" w:rsidR="00000000" w:rsidRPr="00000000">
        <w:rPr>
          <w:rtl w:val="0"/>
        </w:rPr>
        <w:t xml:space="preserve">, 7(4), pp.821-847.</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color w:val="222222"/>
          <w:sz w:val="24"/>
          <w:szCs w:val="24"/>
          <w:highlight w:val="white"/>
        </w:rPr>
      </w:pPr>
      <w:r w:rsidDel="00000000" w:rsidR="00000000" w:rsidRPr="00000000">
        <w:rPr>
          <w:color w:val="222222"/>
          <w:sz w:val="24"/>
          <w:szCs w:val="24"/>
          <w:highlight w:val="white"/>
          <w:rtl w:val="0"/>
        </w:rPr>
        <w:t xml:space="preserve">Coe, R., Aloisi, C., Higgins, S., &amp; Major, L. E. (2014). </w:t>
      </w:r>
      <w:r w:rsidDel="00000000" w:rsidR="00000000" w:rsidRPr="00000000">
        <w:rPr>
          <w:i w:val="1"/>
          <w:color w:val="222222"/>
          <w:sz w:val="24"/>
          <w:szCs w:val="24"/>
          <w:highlight w:val="white"/>
          <w:rtl w:val="0"/>
        </w:rPr>
        <w:t xml:space="preserve">What Makes Great Teaching? </w:t>
      </w:r>
      <w:r w:rsidDel="00000000" w:rsidR="00000000" w:rsidRPr="00000000">
        <w:rPr>
          <w:color w:val="222222"/>
          <w:sz w:val="24"/>
          <w:szCs w:val="24"/>
          <w:highlight w:val="white"/>
          <w:rtl w:val="0"/>
        </w:rPr>
        <w:t xml:space="preserve">Durham University: Durham; The Sutton Trust.</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Cogill, J. (2008). ‘Primary teachers’ interactive whiteboard practice across one year: changes in pedagogy 4 and influencing factors.’ EdD thesis King’s College University of London.</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sz w:val="20"/>
          <w:szCs w:val="20"/>
          <w:highlight w:val="white"/>
          <w:rtl w:val="0"/>
        </w:rPr>
        <w:t xml:space="preserve">Cohen, L., Manion, L. and Morrison, K. (2012). </w:t>
      </w:r>
      <w:r w:rsidDel="00000000" w:rsidR="00000000" w:rsidRPr="00000000">
        <w:rPr>
          <w:i w:val="1"/>
          <w:sz w:val="20"/>
          <w:szCs w:val="20"/>
          <w:highlight w:val="white"/>
          <w:rtl w:val="0"/>
        </w:rPr>
        <w:t xml:space="preserve">A Guide to Teaching Practice</w:t>
      </w:r>
      <w:r w:rsidDel="00000000" w:rsidR="00000000" w:rsidRPr="00000000">
        <w:rPr>
          <w:sz w:val="20"/>
          <w:szCs w:val="20"/>
          <w:highlight w:val="white"/>
          <w:rtl w:val="0"/>
        </w:rPr>
        <w:t xml:space="preserve">. 1st ed. Hoboken: RoutledgeFalmer.</w:t>
      </w: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Cornelius-White, J. (2007). ‘Learner-Centered Teacher-Student Relationships Are Effective: A Meta-Analysis’ pp. 130-134 [journal]</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Donaldson, G. (2015). </w:t>
      </w:r>
      <w:r w:rsidDel="00000000" w:rsidR="00000000" w:rsidRPr="00000000">
        <w:rPr>
          <w:i w:val="1"/>
          <w:rtl w:val="0"/>
        </w:rPr>
        <w:t xml:space="preserve">Successful Futures</w:t>
      </w:r>
      <w:r w:rsidDel="00000000" w:rsidR="00000000" w:rsidRPr="00000000">
        <w:rPr>
          <w:rtl w:val="0"/>
        </w:rPr>
        <w:t xml:space="preserve">. OGL. Welsh Government.</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Grigg, R. (2010). </w:t>
      </w:r>
      <w:r w:rsidDel="00000000" w:rsidR="00000000" w:rsidRPr="00000000">
        <w:rPr>
          <w:i w:val="1"/>
          <w:rtl w:val="0"/>
        </w:rPr>
        <w:t xml:space="preserve">Becoming an Outstanding Primary School Teacher</w:t>
      </w:r>
      <w:r w:rsidDel="00000000" w:rsidR="00000000" w:rsidRPr="00000000">
        <w:rPr>
          <w:rtl w:val="0"/>
        </w:rPr>
        <w:t xml:space="preserve">. Essex: Routledge,</w:t>
      </w:r>
      <w:r w:rsidDel="00000000" w:rsidR="00000000" w:rsidRPr="00000000">
        <w:rPr>
          <w:rtl w:val="0"/>
        </w:rPr>
        <w:t xml:space="preserve"> pp. 130 - 139.</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Grossman, P., Hammerness, K. and McDonald, M. (2009). Redefining teaching, re‐imagining teacher education. </w:t>
      </w:r>
      <w:r w:rsidDel="00000000" w:rsidR="00000000" w:rsidRPr="00000000">
        <w:rPr>
          <w:i w:val="1"/>
          <w:rtl w:val="0"/>
        </w:rPr>
        <w:t xml:space="preserve">Teachers and Teaching</w:t>
      </w:r>
      <w:r w:rsidDel="00000000" w:rsidR="00000000" w:rsidRPr="00000000">
        <w:rPr>
          <w:rtl w:val="0"/>
        </w:rPr>
        <w:t xml:space="preserve">, 15(2), pp.273-289.</w:t>
      </w:r>
    </w:p>
    <w:p w:rsidR="00000000" w:rsidDel="00000000" w:rsidP="00000000" w:rsidRDefault="00000000" w:rsidRPr="00000000" w14:paraId="000000AC">
      <w:pPr>
        <w:rPr>
          <w:highlight w:val="white"/>
        </w:rPr>
      </w:pPr>
      <w:r w:rsidDel="00000000" w:rsidR="00000000" w:rsidRPr="00000000">
        <w:rPr>
          <w:color w:val="222222"/>
          <w:highlight w:val="white"/>
          <w:rtl w:val="0"/>
        </w:rPr>
        <w:t xml:space="preserve">Hattie, J. (2012). </w:t>
      </w:r>
      <w:r w:rsidDel="00000000" w:rsidR="00000000" w:rsidRPr="00000000">
        <w:rPr>
          <w:i w:val="1"/>
          <w:color w:val="222222"/>
          <w:highlight w:val="white"/>
          <w:rtl w:val="0"/>
        </w:rPr>
        <w:t xml:space="preserve">Visible Learning for Teachers: Maximizing Impact on Learning</w:t>
      </w:r>
      <w:r w:rsidDel="00000000" w:rsidR="00000000" w:rsidRPr="00000000">
        <w:rPr>
          <w:color w:val="222222"/>
          <w:highlight w:val="white"/>
          <w:rtl w:val="0"/>
        </w:rPr>
        <w:t xml:space="preserve">. New York: </w:t>
      </w:r>
      <w:r w:rsidDel="00000000" w:rsidR="00000000" w:rsidRPr="00000000">
        <w:rPr>
          <w:highlight w:val="white"/>
          <w:rtl w:val="0"/>
        </w:rPr>
        <w:t xml:space="preserve">Routledge.</w:t>
      </w:r>
    </w:p>
    <w:p w:rsidR="00000000" w:rsidDel="00000000" w:rsidP="00000000" w:rsidRDefault="00000000" w:rsidRPr="00000000" w14:paraId="000000AD">
      <w:pPr>
        <w:rPr>
          <w:highlight w:val="white"/>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Guerriero, S. (2017). </w:t>
      </w:r>
      <w:r w:rsidDel="00000000" w:rsidR="00000000" w:rsidRPr="00000000">
        <w:rPr>
          <w:i w:val="1"/>
          <w:rtl w:val="0"/>
        </w:rPr>
        <w:t xml:space="preserve">Educational Research and Innovation Pedagogical Knowledge and the Changing Nature of the Teaching Profession</w:t>
      </w:r>
      <w:r w:rsidDel="00000000" w:rsidR="00000000" w:rsidRPr="00000000">
        <w:rPr>
          <w:rtl w:val="0"/>
        </w:rPr>
        <w:t xml:space="preserve">. Paris: OECD, p.122.</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Herring, M., Koehler, M., Mishra, P., Rosenberg, J. and Teske, J. (2019). 1. In: M. Herring, M. Koehler and P. Mishra, ed. London: Routledge, p.1.</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Hill, H., Rowan, B., &amp; Ball, D. L. (2005). ‘Effects of teachers’ mathematical knowledge for teaching on student achievement’.</w:t>
      </w:r>
      <w:r w:rsidDel="00000000" w:rsidR="00000000" w:rsidRPr="00000000">
        <w:rPr>
          <w:i w:val="1"/>
          <w:rtl w:val="0"/>
        </w:rPr>
        <w:t xml:space="preserve"> American Educational Research Journal</w:t>
      </w:r>
      <w:r w:rsidDel="00000000" w:rsidR="00000000" w:rsidRPr="00000000">
        <w:rPr>
          <w:rtl w:val="0"/>
        </w:rPr>
        <w:t xml:space="preserve">, 42, pp. 371–406.</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Hill, H., Blunk, M. L., Charalambous, C. Y., Lewis, J. M., Phelps, G. C., Sleep, L., &amp; Ball, D. L. (2008). Mathematical knowledge for teaching and the mathematical quality of instruction: An exploratory study. Cognition and Instruction, 26(4), 430-511.</w:t>
      </w: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Kind, V. (2009). Pedagogical content knowledge in science education: perspectives and potential for progress. Studies in science education, 45(2), pp. 169-204.</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Mahler, D., Großschedl, J., &amp; Harms, U. (2017). ‘Using doubly latent multilevel analysis to elucidate relationships between science teachers’ professional knowledge and students’ performance.’ from </w:t>
      </w:r>
      <w:r w:rsidDel="00000000" w:rsidR="00000000" w:rsidRPr="00000000">
        <w:rPr>
          <w:i w:val="1"/>
          <w:rtl w:val="0"/>
        </w:rPr>
        <w:t xml:space="preserve">International Journal of Science Education</w:t>
      </w:r>
      <w:r w:rsidDel="00000000" w:rsidR="00000000" w:rsidRPr="00000000">
        <w:rPr>
          <w:rtl w:val="0"/>
        </w:rPr>
        <w:t xml:space="preserve">, 39(2), pp. 213-237, </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color w:val="222222"/>
          <w:highlight w:val="white"/>
        </w:rPr>
      </w:pPr>
      <w:r w:rsidDel="00000000" w:rsidR="00000000" w:rsidRPr="00000000">
        <w:rPr>
          <w:color w:val="222222"/>
          <w:highlight w:val="white"/>
          <w:rtl w:val="0"/>
        </w:rPr>
        <w:t xml:space="preserve">Mishra, P., &amp; Koehler, M. (2006) Technological pedagogical content knowledge: a framework for teacher knowledge. Teachers College Record, 108 (6), 1017-1054.</w:t>
      </w: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color w:val="222222"/>
          <w:highlight w:val="white"/>
        </w:rPr>
      </w:pPr>
      <w:r w:rsidDel="00000000" w:rsidR="00000000" w:rsidRPr="00000000">
        <w:rPr>
          <w:color w:val="222222"/>
          <w:highlight w:val="white"/>
          <w:rtl w:val="0"/>
        </w:rPr>
        <w:t xml:space="preserve">Rowland, T., Huckstep, P., &amp; Thwaites, A. (2003). The knowledge quartet. </w:t>
      </w:r>
      <w:r w:rsidDel="00000000" w:rsidR="00000000" w:rsidRPr="00000000">
        <w:rPr>
          <w:i w:val="1"/>
          <w:color w:val="222222"/>
          <w:highlight w:val="white"/>
          <w:rtl w:val="0"/>
        </w:rPr>
        <w:t xml:space="preserve">Proceedings of the British Society for Research into Learning Mathematics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23</w:t>
      </w:r>
      <w:r w:rsidDel="00000000" w:rsidR="00000000" w:rsidRPr="00000000">
        <w:rPr>
          <w:color w:val="222222"/>
          <w:highlight w:val="white"/>
          <w:rtl w:val="0"/>
        </w:rPr>
        <w:t xml:space="preserve">(3), pp. 97-102.</w:t>
      </w:r>
    </w:p>
    <w:p w:rsidR="00000000" w:rsidDel="00000000" w:rsidP="00000000" w:rsidRDefault="00000000" w:rsidRPr="00000000" w14:paraId="000000BD">
      <w:pPr>
        <w:rPr>
          <w:color w:val="222222"/>
          <w:highlight w:val="white"/>
        </w:rPr>
      </w:pPr>
      <w:r w:rsidDel="00000000" w:rsidR="00000000" w:rsidRPr="00000000">
        <w:rPr>
          <w:rtl w:val="0"/>
        </w:rPr>
      </w:r>
    </w:p>
    <w:p w:rsidR="00000000" w:rsidDel="00000000" w:rsidP="00000000" w:rsidRDefault="00000000" w:rsidRPr="00000000" w14:paraId="000000BE">
      <w:pPr>
        <w:rPr>
          <w:color w:val="222222"/>
          <w:highlight w:val="white"/>
        </w:rPr>
      </w:pPr>
      <w:r w:rsidDel="00000000" w:rsidR="00000000" w:rsidRPr="00000000">
        <w:rPr>
          <w:color w:val="222222"/>
          <w:highlight w:val="white"/>
          <w:rtl w:val="0"/>
        </w:rPr>
        <w:t xml:space="preserve">Rowland, T., Turner, F., Thwaites, A., &amp; Huckstep, P. (2009).</w:t>
      </w:r>
      <w:r w:rsidDel="00000000" w:rsidR="00000000" w:rsidRPr="00000000">
        <w:rPr>
          <w:i w:val="1"/>
          <w:color w:val="222222"/>
          <w:highlight w:val="white"/>
          <w:rtl w:val="0"/>
        </w:rPr>
        <w:t xml:space="preserve"> Developing primary mathematics teaching: Reflecting on practice with the Knowledge Quartet.</w:t>
      </w:r>
      <w:r w:rsidDel="00000000" w:rsidR="00000000" w:rsidRPr="00000000">
        <w:rPr>
          <w:color w:val="222222"/>
          <w:highlight w:val="white"/>
          <w:rtl w:val="0"/>
        </w:rPr>
        <w:t xml:space="preserve"> London: Sage.</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Sadler, P. M., Sonnert, G., Coyle, H. P., Cook-Smith, N., &amp; Miller, J. L. (2013). ‘The influence of teachers’ knowledge on student learning in middle school physical science classrooms’ from </w:t>
      </w:r>
      <w:r w:rsidDel="00000000" w:rsidR="00000000" w:rsidRPr="00000000">
        <w:rPr>
          <w:i w:val="1"/>
          <w:rtl w:val="0"/>
        </w:rPr>
        <w:t xml:space="preserve">American Educational Research Journal, 50(5).</w:t>
      </w:r>
      <w:r w:rsidDel="00000000" w:rsidR="00000000" w:rsidRPr="00000000">
        <w:rPr>
          <w:rtl w:val="0"/>
        </w:rPr>
        <w:t xml:space="preserve"> pp. 1020-1049. </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Shavelson, R. and Stern, P. (1981). Research on Teachers' Pedagogical Thoughts, Judgments, Decisions, and Behavior.</w:t>
      </w:r>
      <w:r w:rsidDel="00000000" w:rsidR="00000000" w:rsidRPr="00000000">
        <w:rPr>
          <w:i w:val="1"/>
          <w:rtl w:val="0"/>
        </w:rPr>
        <w:t xml:space="preserve"> Review of Educational Research</w:t>
      </w:r>
      <w:r w:rsidDel="00000000" w:rsidR="00000000" w:rsidRPr="00000000">
        <w:rPr>
          <w:rtl w:val="0"/>
        </w:rPr>
        <w:t xml:space="preserve">, 51(4), p.455.</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Shulman, L. (1986). Those who understand: knowledge growth in teaching. Educational Researcher, 15(2), 5–14</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color w:val="222222"/>
          <w:highlight w:val="white"/>
        </w:rPr>
      </w:pPr>
      <w:r w:rsidDel="00000000" w:rsidR="00000000" w:rsidRPr="00000000">
        <w:rPr>
          <w:color w:val="222222"/>
          <w:highlight w:val="white"/>
          <w:rtl w:val="0"/>
        </w:rPr>
        <w:t xml:space="preserve">Shulman, L. (1987). Knowledge and Teaching: Foundations of the New Reform. </w:t>
      </w:r>
      <w:r w:rsidDel="00000000" w:rsidR="00000000" w:rsidRPr="00000000">
        <w:rPr>
          <w:i w:val="1"/>
          <w:color w:val="222222"/>
          <w:highlight w:val="white"/>
          <w:rtl w:val="0"/>
        </w:rPr>
        <w:t xml:space="preserve">Harvard Educational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57</w:t>
      </w:r>
      <w:r w:rsidDel="00000000" w:rsidR="00000000" w:rsidRPr="00000000">
        <w:rPr>
          <w:color w:val="222222"/>
          <w:highlight w:val="white"/>
          <w:rtl w:val="0"/>
        </w:rPr>
        <w:t xml:space="preserve">(1), pp. 1-23.</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highlight w:val="white"/>
        </w:rPr>
      </w:pPr>
      <w:r w:rsidDel="00000000" w:rsidR="00000000" w:rsidRPr="00000000">
        <w:rPr>
          <w:highlight w:val="white"/>
          <w:rtl w:val="0"/>
        </w:rPr>
        <w:t xml:space="preserve">Somekh, B. (2007). </w:t>
      </w:r>
      <w:r w:rsidDel="00000000" w:rsidR="00000000" w:rsidRPr="00000000">
        <w:rPr>
          <w:i w:val="1"/>
          <w:highlight w:val="white"/>
          <w:rtl w:val="0"/>
        </w:rPr>
        <w:t xml:space="preserve">Pedagogy and Learning with ICT</w:t>
      </w:r>
      <w:r w:rsidDel="00000000" w:rsidR="00000000" w:rsidRPr="00000000">
        <w:rPr>
          <w:highlight w:val="white"/>
          <w:rtl w:val="0"/>
        </w:rPr>
        <w:t xml:space="preserve">. 1st ed. Oxon: Routledge, pp. 45 - 46.</w:t>
      </w:r>
    </w:p>
    <w:p w:rsidR="00000000" w:rsidDel="00000000" w:rsidP="00000000" w:rsidRDefault="00000000" w:rsidRPr="00000000" w14:paraId="000000C9">
      <w:pPr>
        <w:rPr>
          <w:highlight w:val="white"/>
        </w:rPr>
      </w:pPr>
      <w:r w:rsidDel="00000000" w:rsidR="00000000" w:rsidRPr="00000000">
        <w:rPr>
          <w:rtl w:val="0"/>
        </w:rPr>
      </w:r>
    </w:p>
    <w:p w:rsidR="00000000" w:rsidDel="00000000" w:rsidP="00000000" w:rsidRDefault="00000000" w:rsidRPr="00000000" w14:paraId="000000CA">
      <w:pPr>
        <w:rPr>
          <w:color w:val="333333"/>
          <w:highlight w:val="white"/>
        </w:rPr>
      </w:pPr>
      <w:r w:rsidDel="00000000" w:rsidR="00000000" w:rsidRPr="00000000">
        <w:rPr>
          <w:highlight w:val="white"/>
          <w:rtl w:val="0"/>
        </w:rPr>
        <w:t xml:space="preserve">Trgalova, J., Tabach, M. (2018). ‘In Search of Standards: Teaching Mathematics in a Technological Environment’ from </w:t>
      </w:r>
      <w:r w:rsidDel="00000000" w:rsidR="00000000" w:rsidRPr="00000000">
        <w:rPr>
          <w:i w:val="1"/>
          <w:color w:val="333333"/>
          <w:highlight w:val="white"/>
          <w:rtl w:val="0"/>
        </w:rPr>
        <w:t xml:space="preserve">Uses of Technology in Primary and Secondary Mathematics Education: Tools, Topics and Trends</w:t>
      </w:r>
      <w:r w:rsidDel="00000000" w:rsidR="00000000" w:rsidRPr="00000000">
        <w:rPr>
          <w:color w:val="333333"/>
          <w:highlight w:val="white"/>
          <w:rtl w:val="0"/>
        </w:rPr>
        <w:t xml:space="preserve">. Springer International Publishing.</w:t>
      </w:r>
    </w:p>
    <w:p w:rsidR="00000000" w:rsidDel="00000000" w:rsidP="00000000" w:rsidRDefault="00000000" w:rsidRPr="00000000" w14:paraId="000000CB">
      <w:pPr>
        <w:rPr>
          <w:color w:val="333333"/>
          <w:highlight w:val="white"/>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Webb, M. and Cox, M. (2004). A review of pedagogy related to information and communications technology. </w:t>
      </w:r>
      <w:r w:rsidDel="00000000" w:rsidR="00000000" w:rsidRPr="00000000">
        <w:rPr>
          <w:i w:val="1"/>
          <w:rtl w:val="0"/>
        </w:rPr>
        <w:t xml:space="preserve">Technology, Pedagogy and Education,</w:t>
      </w:r>
      <w:r w:rsidDel="00000000" w:rsidR="00000000" w:rsidRPr="00000000">
        <w:rPr>
          <w:rtl w:val="0"/>
        </w:rPr>
        <w:t xml:space="preserve"> 13(3), pp.235-286.</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Wilson, C., Stuhlsatz, M., Hvidsten, C. and Gardner, A. (2018). Analysis of Practice and Teacher PCK: Inferences From Professional Developmental Research. In: S. Miles Uzzo, S. Browne Graves, E. Shay, M. Harford and R. Thompson, ed., </w:t>
      </w:r>
      <w:r w:rsidDel="00000000" w:rsidR="00000000" w:rsidRPr="00000000">
        <w:rPr>
          <w:i w:val="1"/>
          <w:rtl w:val="0"/>
        </w:rPr>
        <w:t xml:space="preserve">Pedagogical Content Knowledge in STEM</w:t>
      </w:r>
      <w:r w:rsidDel="00000000" w:rsidR="00000000" w:rsidRPr="00000000">
        <w:rPr>
          <w:rtl w:val="0"/>
        </w:rPr>
        <w:t xml:space="preserve">: Research to Practice. New York: Springer, p.3.</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Wragg, E.C and Brown, G in Rowland, T. and Ruthven, K. (2013). Mathematical knowledge in teaching. London: Springer, p.202.</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b w:val="1"/>
        </w:rPr>
      </w:pPr>
      <w:r w:rsidDel="00000000" w:rsidR="00000000" w:rsidRPr="00000000">
        <w:rPr>
          <w:b w:val="1"/>
          <w:rtl w:val="0"/>
        </w:rPr>
        <w:t xml:space="preserve">Appendices</w:t>
      </w:r>
    </w:p>
    <w:p w:rsidR="00000000" w:rsidDel="00000000" w:rsidP="00000000" w:rsidRDefault="00000000" w:rsidRPr="00000000" w14:paraId="000000ED">
      <w:pPr>
        <w:rPr>
          <w:b w:val="1"/>
        </w:rPr>
      </w:pPr>
      <w:r w:rsidDel="00000000" w:rsidR="00000000" w:rsidRPr="00000000">
        <w:rPr>
          <w:rtl w:val="0"/>
        </w:rPr>
      </w:r>
    </w:p>
    <w:p w:rsidR="00000000" w:rsidDel="00000000" w:rsidP="00000000" w:rsidRDefault="00000000" w:rsidRPr="00000000" w14:paraId="000000EE">
      <w:pPr>
        <w:rPr>
          <w:b w:val="1"/>
        </w:rPr>
      </w:pPr>
      <w:r w:rsidDel="00000000" w:rsidR="00000000" w:rsidRPr="00000000">
        <w:rPr>
          <w:b w:val="1"/>
          <w:rtl w:val="0"/>
        </w:rPr>
        <w:t xml:space="preserve">Appendix A</w:t>
      </w:r>
    </w:p>
    <w:p w:rsidR="00000000" w:rsidDel="00000000" w:rsidP="00000000" w:rsidRDefault="00000000" w:rsidRPr="00000000" w14:paraId="000000EF">
      <w:pPr>
        <w:rPr>
          <w:b w:val="1"/>
        </w:rPr>
      </w:pPr>
      <w:r w:rsidDel="00000000" w:rsidR="00000000" w:rsidRPr="00000000">
        <w:rPr>
          <w:rtl w:val="0"/>
        </w:rPr>
      </w:r>
    </w:p>
    <w:p w:rsidR="00000000" w:rsidDel="00000000" w:rsidP="00000000" w:rsidRDefault="00000000" w:rsidRPr="00000000" w14:paraId="000000F0">
      <w:pPr>
        <w:rPr>
          <w:b w:val="1"/>
        </w:rPr>
      </w:pPr>
      <w:r w:rsidDel="00000000" w:rsidR="00000000" w:rsidRPr="00000000">
        <w:rPr>
          <w:rtl w:val="0"/>
        </w:rPr>
      </w:r>
    </w:p>
    <w:p w:rsidR="00000000" w:rsidDel="00000000" w:rsidP="00000000" w:rsidRDefault="00000000" w:rsidRPr="00000000" w14:paraId="000000F1">
      <w:pPr>
        <w:rPr>
          <w:b w:val="1"/>
        </w:rPr>
      </w:pPr>
      <w:r w:rsidDel="00000000" w:rsidR="00000000" w:rsidRPr="00000000">
        <w:rPr>
          <w:b w:val="1"/>
        </w:rPr>
        <w:drawing>
          <wp:inline distB="114300" distT="114300" distL="114300" distR="114300">
            <wp:extent cx="5943600" cy="5803900"/>
            <wp:effectExtent b="0" l="0" r="0" t="0"/>
            <wp:docPr id="7"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5803900"/>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rPr>
          <w:b w:val="1"/>
        </w:rPr>
      </w:pPr>
      <w:r w:rsidDel="00000000" w:rsidR="00000000" w:rsidRPr="00000000">
        <w:rPr>
          <w:rtl w:val="0"/>
        </w:rPr>
      </w:r>
    </w:p>
    <w:p w:rsidR="00000000" w:rsidDel="00000000" w:rsidP="00000000" w:rsidRDefault="00000000" w:rsidRPr="00000000" w14:paraId="000000F3">
      <w:pPr>
        <w:rPr>
          <w:b w:val="1"/>
        </w:rPr>
      </w:pPr>
      <w:r w:rsidDel="00000000" w:rsidR="00000000" w:rsidRPr="00000000">
        <w:rPr>
          <w:rtl w:val="0"/>
        </w:rPr>
      </w:r>
    </w:p>
    <w:p w:rsidR="00000000" w:rsidDel="00000000" w:rsidP="00000000" w:rsidRDefault="00000000" w:rsidRPr="00000000" w14:paraId="000000F4">
      <w:pPr>
        <w:rPr>
          <w:b w:val="1"/>
        </w:rPr>
      </w:pPr>
      <w:r w:rsidDel="00000000" w:rsidR="00000000" w:rsidRPr="00000000">
        <w:rPr>
          <w:rtl w:val="0"/>
        </w:rPr>
      </w:r>
    </w:p>
    <w:p w:rsidR="00000000" w:rsidDel="00000000" w:rsidP="00000000" w:rsidRDefault="00000000" w:rsidRPr="00000000" w14:paraId="000000F5">
      <w:pPr>
        <w:rPr>
          <w:b w:val="1"/>
        </w:rPr>
      </w:pPr>
      <w:r w:rsidDel="00000000" w:rsidR="00000000" w:rsidRPr="00000000">
        <w:rPr>
          <w:rtl w:val="0"/>
        </w:rPr>
      </w:r>
    </w:p>
    <w:p w:rsidR="00000000" w:rsidDel="00000000" w:rsidP="00000000" w:rsidRDefault="00000000" w:rsidRPr="00000000" w14:paraId="000000F6">
      <w:pPr>
        <w:rPr>
          <w:b w:val="1"/>
        </w:rPr>
      </w:pPr>
      <w:r w:rsidDel="00000000" w:rsidR="00000000" w:rsidRPr="00000000">
        <w:rPr>
          <w:rtl w:val="0"/>
        </w:rPr>
      </w:r>
    </w:p>
    <w:p w:rsidR="00000000" w:rsidDel="00000000" w:rsidP="00000000" w:rsidRDefault="00000000" w:rsidRPr="00000000" w14:paraId="000000F7">
      <w:pPr>
        <w:rPr>
          <w:b w:val="1"/>
        </w:rPr>
      </w:pPr>
      <w:r w:rsidDel="00000000" w:rsidR="00000000" w:rsidRPr="00000000">
        <w:rPr>
          <w:rtl w:val="0"/>
        </w:rPr>
      </w:r>
    </w:p>
    <w:p w:rsidR="00000000" w:rsidDel="00000000" w:rsidP="00000000" w:rsidRDefault="00000000" w:rsidRPr="00000000" w14:paraId="000000F8">
      <w:pPr>
        <w:rPr>
          <w:b w:val="1"/>
        </w:rPr>
      </w:pPr>
      <w:r w:rsidDel="00000000" w:rsidR="00000000" w:rsidRPr="00000000">
        <w:rPr>
          <w:b w:val="1"/>
          <w:rtl w:val="0"/>
        </w:rPr>
        <w:t xml:space="preserve">Appendix B</w:t>
      </w:r>
    </w:p>
    <w:p w:rsidR="00000000" w:rsidDel="00000000" w:rsidP="00000000" w:rsidRDefault="00000000" w:rsidRPr="00000000" w14:paraId="000000F9">
      <w:pPr>
        <w:rPr>
          <w:b w:val="1"/>
        </w:rPr>
      </w:pPr>
      <w:r w:rsidDel="00000000" w:rsidR="00000000" w:rsidRPr="00000000">
        <w:rPr>
          <w:rtl w:val="0"/>
        </w:rPr>
      </w:r>
    </w:p>
    <w:p w:rsidR="00000000" w:rsidDel="00000000" w:rsidP="00000000" w:rsidRDefault="00000000" w:rsidRPr="00000000" w14:paraId="000000FA">
      <w:pPr>
        <w:rPr>
          <w:b w:val="1"/>
        </w:rPr>
      </w:pPr>
      <w:r w:rsidDel="00000000" w:rsidR="00000000" w:rsidRPr="00000000">
        <w:rPr>
          <w:b w:val="1"/>
        </w:rPr>
        <w:drawing>
          <wp:inline distB="114300" distT="114300" distL="114300" distR="114300">
            <wp:extent cx="5300133" cy="6125838"/>
            <wp:effectExtent b="0" l="0" r="0" t="0"/>
            <wp:docPr id="5" name="image8.png"/>
            <a:graphic>
              <a:graphicData uri="http://schemas.openxmlformats.org/drawingml/2006/picture">
                <pic:pic>
                  <pic:nvPicPr>
                    <pic:cNvPr id="0" name="image8.png"/>
                    <pic:cNvPicPr preferRelativeResize="0"/>
                  </pic:nvPicPr>
                  <pic:blipFill>
                    <a:blip r:embed="rId7"/>
                    <a:srcRect b="5792" l="19711" r="37019" t="5413"/>
                    <a:stretch>
                      <a:fillRect/>
                    </a:stretch>
                  </pic:blipFill>
                  <pic:spPr>
                    <a:xfrm>
                      <a:off x="0" y="0"/>
                      <a:ext cx="5300133" cy="6125838"/>
                    </a:xfrm>
                    <a:prstGeom prst="rect"/>
                    <a:ln/>
                  </pic:spPr>
                </pic:pic>
              </a:graphicData>
            </a:graphic>
          </wp:inline>
        </w:drawing>
      </w:r>
      <w:r w:rsidDel="00000000" w:rsidR="00000000" w:rsidRPr="00000000">
        <w:rPr>
          <w:rtl w:val="0"/>
        </w:rPr>
      </w:r>
    </w:p>
    <w:p w:rsidR="00000000" w:rsidDel="00000000" w:rsidP="00000000" w:rsidRDefault="00000000" w:rsidRPr="00000000" w14:paraId="000000FB">
      <w:pPr>
        <w:rPr>
          <w:b w:val="1"/>
        </w:rPr>
      </w:pPr>
      <w:r w:rsidDel="00000000" w:rsidR="00000000" w:rsidRPr="00000000">
        <w:rPr>
          <w:rtl w:val="0"/>
        </w:rPr>
      </w:r>
    </w:p>
    <w:p w:rsidR="00000000" w:rsidDel="00000000" w:rsidP="00000000" w:rsidRDefault="00000000" w:rsidRPr="00000000" w14:paraId="000000FC">
      <w:pPr>
        <w:rPr>
          <w:b w:val="1"/>
        </w:rPr>
      </w:pPr>
      <w:r w:rsidDel="00000000" w:rsidR="00000000" w:rsidRPr="00000000">
        <w:rPr>
          <w:b w:val="1"/>
        </w:rPr>
        <w:drawing>
          <wp:inline distB="114300" distT="114300" distL="114300" distR="114300">
            <wp:extent cx="5367028" cy="3371850"/>
            <wp:effectExtent b="0" l="0" r="0" t="0"/>
            <wp:docPr id="2" name="image1.png"/>
            <a:graphic>
              <a:graphicData uri="http://schemas.openxmlformats.org/drawingml/2006/picture">
                <pic:pic>
                  <pic:nvPicPr>
                    <pic:cNvPr id="0" name="image1.png"/>
                    <pic:cNvPicPr preferRelativeResize="0"/>
                  </pic:nvPicPr>
                  <pic:blipFill>
                    <a:blip r:embed="rId8"/>
                    <a:srcRect b="4372" l="19818" r="37008" t="47547"/>
                    <a:stretch>
                      <a:fillRect/>
                    </a:stretch>
                  </pic:blipFill>
                  <pic:spPr>
                    <a:xfrm>
                      <a:off x="0" y="0"/>
                      <a:ext cx="5367028" cy="3371850"/>
                    </a:xfrm>
                    <a:prstGeom prst="rect"/>
                    <a:ln/>
                  </pic:spPr>
                </pic:pic>
              </a:graphicData>
            </a:graphic>
          </wp:inline>
        </w:drawing>
      </w:r>
      <w:r w:rsidDel="00000000" w:rsidR="00000000" w:rsidRPr="00000000">
        <w:rPr>
          <w:rtl w:val="0"/>
        </w:rPr>
      </w:r>
    </w:p>
    <w:p w:rsidR="00000000" w:rsidDel="00000000" w:rsidP="00000000" w:rsidRDefault="00000000" w:rsidRPr="00000000" w14:paraId="000000FD">
      <w:pPr>
        <w:rPr>
          <w:b w:val="1"/>
        </w:rPr>
      </w:pPr>
      <w:r w:rsidDel="00000000" w:rsidR="00000000" w:rsidRPr="00000000">
        <w:rPr>
          <w:rtl w:val="0"/>
        </w:rPr>
      </w:r>
    </w:p>
    <w:p w:rsidR="00000000" w:rsidDel="00000000" w:rsidP="00000000" w:rsidRDefault="00000000" w:rsidRPr="00000000" w14:paraId="000000FE">
      <w:pPr>
        <w:rPr>
          <w:b w:val="1"/>
        </w:rPr>
      </w:pPr>
      <w:r w:rsidDel="00000000" w:rsidR="00000000" w:rsidRPr="00000000">
        <w:rPr>
          <w:rtl w:val="0"/>
        </w:rPr>
      </w:r>
    </w:p>
    <w:p w:rsidR="00000000" w:rsidDel="00000000" w:rsidP="00000000" w:rsidRDefault="00000000" w:rsidRPr="00000000" w14:paraId="000000FF">
      <w:pPr>
        <w:rPr>
          <w:b w:val="1"/>
        </w:rPr>
      </w:pPr>
      <w:r w:rsidDel="00000000" w:rsidR="00000000" w:rsidRPr="00000000">
        <w:rPr>
          <w:rtl w:val="0"/>
        </w:rPr>
      </w:r>
    </w:p>
    <w:p w:rsidR="00000000" w:rsidDel="00000000" w:rsidP="00000000" w:rsidRDefault="00000000" w:rsidRPr="00000000" w14:paraId="00000100">
      <w:pPr>
        <w:rPr>
          <w:b w:val="1"/>
        </w:rPr>
      </w:pPr>
      <w:r w:rsidDel="00000000" w:rsidR="00000000" w:rsidRPr="00000000">
        <w:rPr>
          <w:rtl w:val="0"/>
        </w:rPr>
      </w:r>
    </w:p>
    <w:p w:rsidR="00000000" w:rsidDel="00000000" w:rsidP="00000000" w:rsidRDefault="00000000" w:rsidRPr="00000000" w14:paraId="00000101">
      <w:pPr>
        <w:rPr>
          <w:b w:val="1"/>
        </w:rPr>
      </w:pPr>
      <w:r w:rsidDel="00000000" w:rsidR="00000000" w:rsidRPr="00000000">
        <w:rPr>
          <w:rtl w:val="0"/>
        </w:rPr>
      </w:r>
    </w:p>
    <w:p w:rsidR="00000000" w:rsidDel="00000000" w:rsidP="00000000" w:rsidRDefault="00000000" w:rsidRPr="00000000" w14:paraId="00000102">
      <w:pPr>
        <w:rPr>
          <w:b w:val="1"/>
        </w:rPr>
      </w:pPr>
      <w:r w:rsidDel="00000000" w:rsidR="00000000" w:rsidRPr="00000000">
        <w:rPr>
          <w:rtl w:val="0"/>
        </w:rPr>
      </w:r>
    </w:p>
    <w:p w:rsidR="00000000" w:rsidDel="00000000" w:rsidP="00000000" w:rsidRDefault="00000000" w:rsidRPr="00000000" w14:paraId="00000103">
      <w:pPr>
        <w:rPr>
          <w:b w:val="1"/>
        </w:rPr>
      </w:pPr>
      <w:r w:rsidDel="00000000" w:rsidR="00000000" w:rsidRPr="00000000">
        <w:rPr>
          <w:rtl w:val="0"/>
        </w:rPr>
      </w:r>
    </w:p>
    <w:p w:rsidR="00000000" w:rsidDel="00000000" w:rsidP="00000000" w:rsidRDefault="00000000" w:rsidRPr="00000000" w14:paraId="00000104">
      <w:pPr>
        <w:rPr>
          <w:b w:val="1"/>
        </w:rPr>
      </w:pPr>
      <w:r w:rsidDel="00000000" w:rsidR="00000000" w:rsidRPr="00000000">
        <w:rPr>
          <w:rtl w:val="0"/>
        </w:rPr>
      </w:r>
    </w:p>
    <w:p w:rsidR="00000000" w:rsidDel="00000000" w:rsidP="00000000" w:rsidRDefault="00000000" w:rsidRPr="00000000" w14:paraId="00000105">
      <w:pPr>
        <w:rPr>
          <w:b w:val="1"/>
        </w:rPr>
      </w:pPr>
      <w:r w:rsidDel="00000000" w:rsidR="00000000" w:rsidRPr="00000000">
        <w:rPr>
          <w:rtl w:val="0"/>
        </w:rPr>
      </w:r>
    </w:p>
    <w:p w:rsidR="00000000" w:rsidDel="00000000" w:rsidP="00000000" w:rsidRDefault="00000000" w:rsidRPr="00000000" w14:paraId="00000106">
      <w:pPr>
        <w:rPr>
          <w:b w:val="1"/>
        </w:rPr>
      </w:pPr>
      <w:r w:rsidDel="00000000" w:rsidR="00000000" w:rsidRPr="00000000">
        <w:rPr>
          <w:rtl w:val="0"/>
        </w:rPr>
      </w:r>
    </w:p>
    <w:p w:rsidR="00000000" w:rsidDel="00000000" w:rsidP="00000000" w:rsidRDefault="00000000" w:rsidRPr="00000000" w14:paraId="00000107">
      <w:pPr>
        <w:rPr>
          <w:b w:val="1"/>
        </w:rPr>
      </w:pPr>
      <w:r w:rsidDel="00000000" w:rsidR="00000000" w:rsidRPr="00000000">
        <w:rPr>
          <w:rtl w:val="0"/>
        </w:rPr>
      </w:r>
    </w:p>
    <w:p w:rsidR="00000000" w:rsidDel="00000000" w:rsidP="00000000" w:rsidRDefault="00000000" w:rsidRPr="00000000" w14:paraId="00000108">
      <w:pPr>
        <w:rPr>
          <w:b w:val="1"/>
        </w:rPr>
      </w:pPr>
      <w:r w:rsidDel="00000000" w:rsidR="00000000" w:rsidRPr="00000000">
        <w:rPr>
          <w:rtl w:val="0"/>
        </w:rPr>
      </w:r>
    </w:p>
    <w:p w:rsidR="00000000" w:rsidDel="00000000" w:rsidP="00000000" w:rsidRDefault="00000000" w:rsidRPr="00000000" w14:paraId="00000109">
      <w:pPr>
        <w:rPr>
          <w:b w:val="1"/>
        </w:rPr>
      </w:pPr>
      <w:r w:rsidDel="00000000" w:rsidR="00000000" w:rsidRPr="00000000">
        <w:rPr>
          <w:rtl w:val="0"/>
        </w:rPr>
      </w:r>
    </w:p>
    <w:p w:rsidR="00000000" w:rsidDel="00000000" w:rsidP="00000000" w:rsidRDefault="00000000" w:rsidRPr="00000000" w14:paraId="0000010A">
      <w:pPr>
        <w:rPr>
          <w:b w:val="1"/>
        </w:rPr>
      </w:pPr>
      <w:r w:rsidDel="00000000" w:rsidR="00000000" w:rsidRPr="00000000">
        <w:rPr>
          <w:rtl w:val="0"/>
        </w:rPr>
      </w:r>
    </w:p>
    <w:p w:rsidR="00000000" w:rsidDel="00000000" w:rsidP="00000000" w:rsidRDefault="00000000" w:rsidRPr="00000000" w14:paraId="0000010B">
      <w:pPr>
        <w:rPr>
          <w:b w:val="1"/>
        </w:rPr>
      </w:pPr>
      <w:r w:rsidDel="00000000" w:rsidR="00000000" w:rsidRPr="00000000">
        <w:rPr>
          <w:rtl w:val="0"/>
        </w:rPr>
      </w:r>
    </w:p>
    <w:p w:rsidR="00000000" w:rsidDel="00000000" w:rsidP="00000000" w:rsidRDefault="00000000" w:rsidRPr="00000000" w14:paraId="0000010C">
      <w:pPr>
        <w:rPr>
          <w:b w:val="1"/>
        </w:rPr>
      </w:pPr>
      <w:r w:rsidDel="00000000" w:rsidR="00000000" w:rsidRPr="00000000">
        <w:rPr>
          <w:rtl w:val="0"/>
        </w:rPr>
      </w:r>
    </w:p>
    <w:p w:rsidR="00000000" w:rsidDel="00000000" w:rsidP="00000000" w:rsidRDefault="00000000" w:rsidRPr="00000000" w14:paraId="0000010D">
      <w:pPr>
        <w:rPr>
          <w:b w:val="1"/>
        </w:rPr>
      </w:pPr>
      <w:r w:rsidDel="00000000" w:rsidR="00000000" w:rsidRPr="00000000">
        <w:rPr>
          <w:rtl w:val="0"/>
        </w:rPr>
      </w:r>
    </w:p>
    <w:p w:rsidR="00000000" w:rsidDel="00000000" w:rsidP="00000000" w:rsidRDefault="00000000" w:rsidRPr="00000000" w14:paraId="0000010E">
      <w:pPr>
        <w:rPr>
          <w:b w:val="1"/>
        </w:rPr>
      </w:pPr>
      <w:r w:rsidDel="00000000" w:rsidR="00000000" w:rsidRPr="00000000">
        <w:rPr>
          <w:rtl w:val="0"/>
        </w:rPr>
      </w:r>
    </w:p>
    <w:p w:rsidR="00000000" w:rsidDel="00000000" w:rsidP="00000000" w:rsidRDefault="00000000" w:rsidRPr="00000000" w14:paraId="0000010F">
      <w:pPr>
        <w:rPr>
          <w:b w:val="1"/>
        </w:rPr>
      </w:pPr>
      <w:r w:rsidDel="00000000" w:rsidR="00000000" w:rsidRPr="00000000">
        <w:rPr>
          <w:rtl w:val="0"/>
        </w:rPr>
      </w:r>
    </w:p>
    <w:p w:rsidR="00000000" w:rsidDel="00000000" w:rsidP="00000000" w:rsidRDefault="00000000" w:rsidRPr="00000000" w14:paraId="00000110">
      <w:pPr>
        <w:rPr>
          <w:b w:val="1"/>
        </w:rPr>
      </w:pPr>
      <w:r w:rsidDel="00000000" w:rsidR="00000000" w:rsidRPr="00000000">
        <w:rPr>
          <w:rtl w:val="0"/>
        </w:rPr>
      </w:r>
    </w:p>
    <w:p w:rsidR="00000000" w:rsidDel="00000000" w:rsidP="00000000" w:rsidRDefault="00000000" w:rsidRPr="00000000" w14:paraId="00000111">
      <w:pPr>
        <w:rPr>
          <w:b w:val="1"/>
        </w:rPr>
      </w:pPr>
      <w:r w:rsidDel="00000000" w:rsidR="00000000" w:rsidRPr="00000000">
        <w:rPr>
          <w:rtl w:val="0"/>
        </w:rPr>
      </w:r>
    </w:p>
    <w:p w:rsidR="00000000" w:rsidDel="00000000" w:rsidP="00000000" w:rsidRDefault="00000000" w:rsidRPr="00000000" w14:paraId="00000112">
      <w:pPr>
        <w:rPr>
          <w:b w:val="1"/>
        </w:rPr>
      </w:pPr>
      <w:r w:rsidDel="00000000" w:rsidR="00000000" w:rsidRPr="00000000">
        <w:rPr>
          <w:rtl w:val="0"/>
        </w:rPr>
      </w:r>
    </w:p>
    <w:p w:rsidR="00000000" w:rsidDel="00000000" w:rsidP="00000000" w:rsidRDefault="00000000" w:rsidRPr="00000000" w14:paraId="00000113">
      <w:pPr>
        <w:rPr>
          <w:b w:val="1"/>
        </w:rPr>
      </w:pPr>
      <w:r w:rsidDel="00000000" w:rsidR="00000000" w:rsidRPr="00000000">
        <w:rPr>
          <w:rtl w:val="0"/>
        </w:rPr>
      </w:r>
    </w:p>
    <w:p w:rsidR="00000000" w:rsidDel="00000000" w:rsidP="00000000" w:rsidRDefault="00000000" w:rsidRPr="00000000" w14:paraId="00000114">
      <w:pPr>
        <w:rPr>
          <w:b w:val="1"/>
        </w:rPr>
      </w:pPr>
      <w:r w:rsidDel="00000000" w:rsidR="00000000" w:rsidRPr="00000000">
        <w:rPr>
          <w:rtl w:val="0"/>
        </w:rPr>
      </w:r>
    </w:p>
    <w:p w:rsidR="00000000" w:rsidDel="00000000" w:rsidP="00000000" w:rsidRDefault="00000000" w:rsidRPr="00000000" w14:paraId="00000115">
      <w:pPr>
        <w:rPr>
          <w:b w:val="1"/>
        </w:rPr>
      </w:pPr>
      <w:r w:rsidDel="00000000" w:rsidR="00000000" w:rsidRPr="00000000">
        <w:rPr>
          <w:rtl w:val="0"/>
        </w:rPr>
      </w:r>
    </w:p>
    <w:p w:rsidR="00000000" w:rsidDel="00000000" w:rsidP="00000000" w:rsidRDefault="00000000" w:rsidRPr="00000000" w14:paraId="00000116">
      <w:pPr>
        <w:rPr>
          <w:b w:val="1"/>
        </w:rPr>
      </w:pPr>
      <w:r w:rsidDel="00000000" w:rsidR="00000000" w:rsidRPr="00000000">
        <w:rPr>
          <w:b w:val="1"/>
          <w:rtl w:val="0"/>
        </w:rPr>
        <w:t xml:space="preserve">Appendix C</w:t>
      </w:r>
    </w:p>
    <w:p w:rsidR="00000000" w:rsidDel="00000000" w:rsidP="00000000" w:rsidRDefault="00000000" w:rsidRPr="00000000" w14:paraId="00000117">
      <w:pPr>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228600</wp:posOffset>
            </wp:positionV>
            <wp:extent cx="4567289" cy="3890963"/>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9"/>
                    <a:srcRect b="7977" l="2884" r="49358" t="19658"/>
                    <a:stretch>
                      <a:fillRect/>
                    </a:stretch>
                  </pic:blipFill>
                  <pic:spPr>
                    <a:xfrm>
                      <a:off x="0" y="0"/>
                      <a:ext cx="4567289" cy="3890963"/>
                    </a:xfrm>
                    <a:prstGeom prst="rect"/>
                    <a:ln/>
                  </pic:spPr>
                </pic:pic>
              </a:graphicData>
            </a:graphic>
          </wp:anchor>
        </w:drawing>
      </w:r>
    </w:p>
    <w:p w:rsidR="00000000" w:rsidDel="00000000" w:rsidP="00000000" w:rsidRDefault="00000000" w:rsidRPr="00000000" w14:paraId="00000118">
      <w:pPr>
        <w:rPr>
          <w:b w:val="1"/>
        </w:rPr>
      </w:pPr>
      <w:r w:rsidDel="00000000" w:rsidR="00000000" w:rsidRPr="00000000">
        <w:rPr>
          <w:rtl w:val="0"/>
        </w:rPr>
      </w:r>
    </w:p>
    <w:p w:rsidR="00000000" w:rsidDel="00000000" w:rsidP="00000000" w:rsidRDefault="00000000" w:rsidRPr="00000000" w14:paraId="00000119">
      <w:pPr>
        <w:rPr>
          <w:b w:val="1"/>
        </w:rPr>
      </w:pPr>
      <w:r w:rsidDel="00000000" w:rsidR="00000000" w:rsidRPr="00000000">
        <w:rPr>
          <w:rtl w:val="0"/>
        </w:rPr>
      </w:r>
    </w:p>
    <w:p w:rsidR="00000000" w:rsidDel="00000000" w:rsidP="00000000" w:rsidRDefault="00000000" w:rsidRPr="00000000" w14:paraId="0000011A">
      <w:pPr>
        <w:rPr>
          <w:b w:val="1"/>
        </w:rPr>
      </w:pPr>
      <w:r w:rsidDel="00000000" w:rsidR="00000000" w:rsidRPr="00000000">
        <w:rPr>
          <w:rtl w:val="0"/>
        </w:rPr>
      </w:r>
    </w:p>
    <w:p w:rsidR="00000000" w:rsidDel="00000000" w:rsidP="00000000" w:rsidRDefault="00000000" w:rsidRPr="00000000" w14:paraId="0000011B">
      <w:pPr>
        <w:rPr>
          <w:b w:val="1"/>
        </w:rPr>
      </w:pPr>
      <w:r w:rsidDel="00000000" w:rsidR="00000000" w:rsidRPr="00000000">
        <w:rPr>
          <w:rtl w:val="0"/>
        </w:rPr>
      </w:r>
    </w:p>
    <w:p w:rsidR="00000000" w:rsidDel="00000000" w:rsidP="00000000" w:rsidRDefault="00000000" w:rsidRPr="00000000" w14:paraId="0000011C">
      <w:pPr>
        <w:rPr>
          <w:b w:val="1"/>
        </w:rPr>
      </w:pPr>
      <w:r w:rsidDel="00000000" w:rsidR="00000000" w:rsidRPr="00000000">
        <w:rPr>
          <w:rtl w:val="0"/>
        </w:rPr>
      </w:r>
    </w:p>
    <w:p w:rsidR="00000000" w:rsidDel="00000000" w:rsidP="00000000" w:rsidRDefault="00000000" w:rsidRPr="00000000" w14:paraId="0000011D">
      <w:pPr>
        <w:rPr>
          <w:b w:val="1"/>
        </w:rPr>
      </w:pPr>
      <w:r w:rsidDel="00000000" w:rsidR="00000000" w:rsidRPr="00000000">
        <w:rPr>
          <w:rtl w:val="0"/>
        </w:rPr>
      </w:r>
    </w:p>
    <w:p w:rsidR="00000000" w:rsidDel="00000000" w:rsidP="00000000" w:rsidRDefault="00000000" w:rsidRPr="00000000" w14:paraId="0000011E">
      <w:pPr>
        <w:rPr>
          <w:b w:val="1"/>
        </w:rPr>
      </w:pPr>
      <w:r w:rsidDel="00000000" w:rsidR="00000000" w:rsidRPr="00000000">
        <w:rPr>
          <w:rtl w:val="0"/>
        </w:rPr>
      </w:r>
    </w:p>
    <w:p w:rsidR="00000000" w:rsidDel="00000000" w:rsidP="00000000" w:rsidRDefault="00000000" w:rsidRPr="00000000" w14:paraId="0000011F">
      <w:pPr>
        <w:rPr>
          <w:b w:val="1"/>
        </w:rPr>
      </w:pPr>
      <w:r w:rsidDel="00000000" w:rsidR="00000000" w:rsidRPr="00000000">
        <w:rPr>
          <w:rtl w:val="0"/>
        </w:rPr>
      </w:r>
    </w:p>
    <w:p w:rsidR="00000000" w:rsidDel="00000000" w:rsidP="00000000" w:rsidRDefault="00000000" w:rsidRPr="00000000" w14:paraId="00000120">
      <w:pPr>
        <w:rPr>
          <w:b w:val="1"/>
        </w:rPr>
      </w:pPr>
      <w:r w:rsidDel="00000000" w:rsidR="00000000" w:rsidRPr="00000000">
        <w:rPr>
          <w:rtl w:val="0"/>
        </w:rPr>
      </w:r>
    </w:p>
    <w:p w:rsidR="00000000" w:rsidDel="00000000" w:rsidP="00000000" w:rsidRDefault="00000000" w:rsidRPr="00000000" w14:paraId="00000121">
      <w:pPr>
        <w:rPr>
          <w:b w:val="1"/>
        </w:rPr>
      </w:pPr>
      <w:r w:rsidDel="00000000" w:rsidR="00000000" w:rsidRPr="00000000">
        <w:rPr>
          <w:rtl w:val="0"/>
        </w:rPr>
      </w:r>
    </w:p>
    <w:p w:rsidR="00000000" w:rsidDel="00000000" w:rsidP="00000000" w:rsidRDefault="00000000" w:rsidRPr="00000000" w14:paraId="00000122">
      <w:pPr>
        <w:rPr>
          <w:b w:val="1"/>
        </w:rPr>
      </w:pPr>
      <w:r w:rsidDel="00000000" w:rsidR="00000000" w:rsidRPr="00000000">
        <w:rPr>
          <w:rtl w:val="0"/>
        </w:rPr>
      </w:r>
    </w:p>
    <w:p w:rsidR="00000000" w:rsidDel="00000000" w:rsidP="00000000" w:rsidRDefault="00000000" w:rsidRPr="00000000" w14:paraId="00000123">
      <w:pPr>
        <w:rPr>
          <w:b w:val="1"/>
        </w:rPr>
      </w:pPr>
      <w:r w:rsidDel="00000000" w:rsidR="00000000" w:rsidRPr="00000000">
        <w:rPr>
          <w:rtl w:val="0"/>
        </w:rPr>
      </w:r>
    </w:p>
    <w:p w:rsidR="00000000" w:rsidDel="00000000" w:rsidP="00000000" w:rsidRDefault="00000000" w:rsidRPr="00000000" w14:paraId="00000124">
      <w:pPr>
        <w:rPr>
          <w:b w:val="1"/>
        </w:rPr>
      </w:pPr>
      <w:r w:rsidDel="00000000" w:rsidR="00000000" w:rsidRPr="00000000">
        <w:rPr>
          <w:rtl w:val="0"/>
        </w:rPr>
      </w:r>
    </w:p>
    <w:p w:rsidR="00000000" w:rsidDel="00000000" w:rsidP="00000000" w:rsidRDefault="00000000" w:rsidRPr="00000000" w14:paraId="00000125">
      <w:pPr>
        <w:rPr>
          <w:b w:val="1"/>
        </w:rPr>
      </w:pPr>
      <w:r w:rsidDel="00000000" w:rsidR="00000000" w:rsidRPr="00000000">
        <w:rPr>
          <w:rtl w:val="0"/>
        </w:rPr>
      </w:r>
    </w:p>
    <w:p w:rsidR="00000000" w:rsidDel="00000000" w:rsidP="00000000" w:rsidRDefault="00000000" w:rsidRPr="00000000" w14:paraId="00000126">
      <w:pPr>
        <w:rPr>
          <w:b w:val="1"/>
        </w:rPr>
      </w:pPr>
      <w:r w:rsidDel="00000000" w:rsidR="00000000" w:rsidRPr="00000000">
        <w:rPr>
          <w:rtl w:val="0"/>
        </w:rPr>
      </w:r>
    </w:p>
    <w:p w:rsidR="00000000" w:rsidDel="00000000" w:rsidP="00000000" w:rsidRDefault="00000000" w:rsidRPr="00000000" w14:paraId="00000127">
      <w:pPr>
        <w:rPr>
          <w:b w:val="1"/>
        </w:rPr>
      </w:pPr>
      <w:r w:rsidDel="00000000" w:rsidR="00000000" w:rsidRPr="00000000">
        <w:rPr>
          <w:rtl w:val="0"/>
        </w:rPr>
      </w:r>
    </w:p>
    <w:p w:rsidR="00000000" w:rsidDel="00000000" w:rsidP="00000000" w:rsidRDefault="00000000" w:rsidRPr="00000000" w14:paraId="00000128">
      <w:pPr>
        <w:rPr>
          <w:b w:val="1"/>
        </w:rPr>
      </w:pPr>
      <w:r w:rsidDel="00000000" w:rsidR="00000000" w:rsidRPr="00000000">
        <w:rPr>
          <w:rtl w:val="0"/>
        </w:rPr>
      </w:r>
    </w:p>
    <w:p w:rsidR="00000000" w:rsidDel="00000000" w:rsidP="00000000" w:rsidRDefault="00000000" w:rsidRPr="00000000" w14:paraId="00000129">
      <w:pPr>
        <w:rPr>
          <w:b w:val="1"/>
        </w:rPr>
      </w:pPr>
      <w:r w:rsidDel="00000000" w:rsidR="00000000" w:rsidRPr="00000000">
        <w:rPr>
          <w:rtl w:val="0"/>
        </w:rPr>
      </w:r>
    </w:p>
    <w:p w:rsidR="00000000" w:rsidDel="00000000" w:rsidP="00000000" w:rsidRDefault="00000000" w:rsidRPr="00000000" w14:paraId="0000012A">
      <w:pPr>
        <w:rPr>
          <w:b w:val="1"/>
        </w:rPr>
      </w:pPr>
      <w:r w:rsidDel="00000000" w:rsidR="00000000" w:rsidRPr="00000000">
        <w:rPr>
          <w:rtl w:val="0"/>
        </w:rPr>
      </w:r>
    </w:p>
    <w:p w:rsidR="00000000" w:rsidDel="00000000" w:rsidP="00000000" w:rsidRDefault="00000000" w:rsidRPr="00000000" w14:paraId="0000012B">
      <w:pPr>
        <w:rPr>
          <w:b w:val="1"/>
        </w:rPr>
      </w:pPr>
      <w:r w:rsidDel="00000000" w:rsidR="00000000" w:rsidRPr="00000000">
        <w:rPr>
          <w:rtl w:val="0"/>
        </w:rPr>
      </w:r>
    </w:p>
    <w:p w:rsidR="00000000" w:rsidDel="00000000" w:rsidP="00000000" w:rsidRDefault="00000000" w:rsidRPr="00000000" w14:paraId="0000012C">
      <w:pPr>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23813</wp:posOffset>
            </wp:positionH>
            <wp:positionV relativeFrom="paragraph">
              <wp:posOffset>123825</wp:posOffset>
            </wp:positionV>
            <wp:extent cx="4559300" cy="3671919"/>
            <wp:effectExtent b="0" l="0" r="0" t="0"/>
            <wp:wrapSquare wrapText="bothSides" distB="114300" distT="114300" distL="114300" distR="114300"/>
            <wp:docPr id="8" name="image5.png"/>
            <a:graphic>
              <a:graphicData uri="http://schemas.openxmlformats.org/drawingml/2006/picture">
                <pic:pic>
                  <pic:nvPicPr>
                    <pic:cNvPr id="0" name="image5.png"/>
                    <pic:cNvPicPr preferRelativeResize="0"/>
                  </pic:nvPicPr>
                  <pic:blipFill>
                    <a:blip r:embed="rId10"/>
                    <a:srcRect b="8290" l="2954" r="49376" t="23393"/>
                    <a:stretch>
                      <a:fillRect/>
                    </a:stretch>
                  </pic:blipFill>
                  <pic:spPr>
                    <a:xfrm>
                      <a:off x="0" y="0"/>
                      <a:ext cx="4559300" cy="3671919"/>
                    </a:xfrm>
                    <a:prstGeom prst="rect"/>
                    <a:ln/>
                  </pic:spPr>
                </pic:pic>
              </a:graphicData>
            </a:graphic>
          </wp:anchor>
        </w:drawing>
      </w:r>
    </w:p>
    <w:p w:rsidR="00000000" w:rsidDel="00000000" w:rsidP="00000000" w:rsidRDefault="00000000" w:rsidRPr="00000000" w14:paraId="0000012D">
      <w:pPr>
        <w:rPr>
          <w:b w:val="1"/>
        </w:rPr>
      </w:pPr>
      <w:r w:rsidDel="00000000" w:rsidR="00000000" w:rsidRPr="00000000">
        <w:rPr>
          <w:rtl w:val="0"/>
        </w:rPr>
      </w:r>
    </w:p>
    <w:p w:rsidR="00000000" w:rsidDel="00000000" w:rsidP="00000000" w:rsidRDefault="00000000" w:rsidRPr="00000000" w14:paraId="0000012E">
      <w:pPr>
        <w:rPr>
          <w:b w:val="1"/>
        </w:rPr>
      </w:pPr>
      <w:r w:rsidDel="00000000" w:rsidR="00000000" w:rsidRPr="00000000">
        <w:rPr>
          <w:rtl w:val="0"/>
        </w:rPr>
      </w:r>
    </w:p>
    <w:p w:rsidR="00000000" w:rsidDel="00000000" w:rsidP="00000000" w:rsidRDefault="00000000" w:rsidRPr="00000000" w14:paraId="0000012F">
      <w:pPr>
        <w:rPr>
          <w:b w:val="1"/>
        </w:rPr>
      </w:pPr>
      <w:r w:rsidDel="00000000" w:rsidR="00000000" w:rsidRPr="00000000">
        <w:rPr>
          <w:rtl w:val="0"/>
        </w:rPr>
      </w:r>
    </w:p>
    <w:p w:rsidR="00000000" w:rsidDel="00000000" w:rsidP="00000000" w:rsidRDefault="00000000" w:rsidRPr="00000000" w14:paraId="00000130">
      <w:pPr>
        <w:rPr>
          <w:b w:val="1"/>
        </w:rPr>
      </w:pPr>
      <w:r w:rsidDel="00000000" w:rsidR="00000000" w:rsidRPr="00000000">
        <w:rPr>
          <w:rtl w:val="0"/>
        </w:rPr>
      </w:r>
    </w:p>
    <w:p w:rsidR="00000000" w:rsidDel="00000000" w:rsidP="00000000" w:rsidRDefault="00000000" w:rsidRPr="00000000" w14:paraId="00000131">
      <w:pPr>
        <w:rPr>
          <w:b w:val="1"/>
        </w:rPr>
      </w:pPr>
      <w:r w:rsidDel="00000000" w:rsidR="00000000" w:rsidRPr="00000000">
        <w:rPr>
          <w:rtl w:val="0"/>
        </w:rPr>
      </w:r>
    </w:p>
    <w:p w:rsidR="00000000" w:rsidDel="00000000" w:rsidP="00000000" w:rsidRDefault="00000000" w:rsidRPr="00000000" w14:paraId="00000132">
      <w:pPr>
        <w:rPr>
          <w:b w:val="1"/>
        </w:rPr>
      </w:pPr>
      <w:r w:rsidDel="00000000" w:rsidR="00000000" w:rsidRPr="00000000">
        <w:rPr>
          <w:rtl w:val="0"/>
        </w:rPr>
      </w:r>
    </w:p>
    <w:p w:rsidR="00000000" w:rsidDel="00000000" w:rsidP="00000000" w:rsidRDefault="00000000" w:rsidRPr="00000000" w14:paraId="00000133">
      <w:pPr>
        <w:rPr>
          <w:b w:val="1"/>
        </w:rPr>
      </w:pPr>
      <w:r w:rsidDel="00000000" w:rsidR="00000000" w:rsidRPr="00000000">
        <w:rPr>
          <w:rtl w:val="0"/>
        </w:rPr>
      </w:r>
    </w:p>
    <w:p w:rsidR="00000000" w:rsidDel="00000000" w:rsidP="00000000" w:rsidRDefault="00000000" w:rsidRPr="00000000" w14:paraId="00000134">
      <w:pPr>
        <w:rPr>
          <w:b w:val="1"/>
        </w:rPr>
      </w:pPr>
      <w:r w:rsidDel="00000000" w:rsidR="00000000" w:rsidRPr="00000000">
        <w:rPr>
          <w:rtl w:val="0"/>
        </w:rPr>
      </w:r>
    </w:p>
    <w:p w:rsidR="00000000" w:rsidDel="00000000" w:rsidP="00000000" w:rsidRDefault="00000000" w:rsidRPr="00000000" w14:paraId="00000135">
      <w:pPr>
        <w:rPr>
          <w:b w:val="1"/>
        </w:rPr>
      </w:pPr>
      <w:r w:rsidDel="00000000" w:rsidR="00000000" w:rsidRPr="00000000">
        <w:rPr>
          <w:rtl w:val="0"/>
        </w:rPr>
      </w:r>
    </w:p>
    <w:p w:rsidR="00000000" w:rsidDel="00000000" w:rsidP="00000000" w:rsidRDefault="00000000" w:rsidRPr="00000000" w14:paraId="00000136">
      <w:pPr>
        <w:rPr>
          <w:b w:val="1"/>
        </w:rPr>
      </w:pPr>
      <w:r w:rsidDel="00000000" w:rsidR="00000000" w:rsidRPr="00000000">
        <w:rPr>
          <w:rtl w:val="0"/>
        </w:rPr>
      </w:r>
    </w:p>
    <w:p w:rsidR="00000000" w:rsidDel="00000000" w:rsidP="00000000" w:rsidRDefault="00000000" w:rsidRPr="00000000" w14:paraId="00000137">
      <w:pPr>
        <w:rPr>
          <w:b w:val="1"/>
        </w:rPr>
      </w:pPr>
      <w:r w:rsidDel="00000000" w:rsidR="00000000" w:rsidRPr="00000000">
        <w:rPr>
          <w:rtl w:val="0"/>
        </w:rPr>
      </w:r>
    </w:p>
    <w:p w:rsidR="00000000" w:rsidDel="00000000" w:rsidP="00000000" w:rsidRDefault="00000000" w:rsidRPr="00000000" w14:paraId="00000138">
      <w:pPr>
        <w:rPr>
          <w:b w:val="1"/>
        </w:rPr>
      </w:pPr>
      <w:r w:rsidDel="00000000" w:rsidR="00000000" w:rsidRPr="00000000">
        <w:rPr>
          <w:rtl w:val="0"/>
        </w:rPr>
      </w:r>
    </w:p>
    <w:p w:rsidR="00000000" w:rsidDel="00000000" w:rsidP="00000000" w:rsidRDefault="00000000" w:rsidRPr="00000000" w14:paraId="00000139">
      <w:pPr>
        <w:rPr>
          <w:b w:val="1"/>
        </w:rPr>
      </w:pPr>
      <w:r w:rsidDel="00000000" w:rsidR="00000000" w:rsidRPr="00000000">
        <w:rPr>
          <w:rtl w:val="0"/>
        </w:rPr>
      </w:r>
    </w:p>
    <w:p w:rsidR="00000000" w:rsidDel="00000000" w:rsidP="00000000" w:rsidRDefault="00000000" w:rsidRPr="00000000" w14:paraId="0000013A">
      <w:pPr>
        <w:rPr>
          <w:b w:val="1"/>
        </w:rPr>
      </w:pPr>
      <w:r w:rsidDel="00000000" w:rsidR="00000000" w:rsidRPr="00000000">
        <w:rPr>
          <w:rtl w:val="0"/>
        </w:rPr>
      </w:r>
    </w:p>
    <w:p w:rsidR="00000000" w:rsidDel="00000000" w:rsidP="00000000" w:rsidRDefault="00000000" w:rsidRPr="00000000" w14:paraId="0000013B">
      <w:pPr>
        <w:rPr>
          <w:b w:val="1"/>
        </w:rPr>
      </w:pPr>
      <w:r w:rsidDel="00000000" w:rsidR="00000000" w:rsidRPr="00000000">
        <w:rPr>
          <w:rtl w:val="0"/>
        </w:rPr>
      </w:r>
    </w:p>
    <w:p w:rsidR="00000000" w:rsidDel="00000000" w:rsidP="00000000" w:rsidRDefault="00000000" w:rsidRPr="00000000" w14:paraId="0000013C">
      <w:pPr>
        <w:rPr>
          <w:b w:val="1"/>
        </w:rPr>
      </w:pPr>
      <w:r w:rsidDel="00000000" w:rsidR="00000000" w:rsidRPr="00000000">
        <w:rPr>
          <w:rtl w:val="0"/>
        </w:rPr>
      </w:r>
    </w:p>
    <w:p w:rsidR="00000000" w:rsidDel="00000000" w:rsidP="00000000" w:rsidRDefault="00000000" w:rsidRPr="00000000" w14:paraId="0000013D">
      <w:pPr>
        <w:rPr>
          <w:b w:val="1"/>
        </w:rPr>
      </w:pPr>
      <w:r w:rsidDel="00000000" w:rsidR="00000000" w:rsidRPr="00000000">
        <w:rPr>
          <w:rtl w:val="0"/>
        </w:rPr>
      </w:r>
    </w:p>
    <w:p w:rsidR="00000000" w:rsidDel="00000000" w:rsidP="00000000" w:rsidRDefault="00000000" w:rsidRPr="00000000" w14:paraId="0000013E">
      <w:pPr>
        <w:rPr>
          <w:b w:val="1"/>
        </w:rPr>
      </w:pPr>
      <w:r w:rsidDel="00000000" w:rsidR="00000000" w:rsidRPr="00000000">
        <w:rPr>
          <w:rtl w:val="0"/>
        </w:rPr>
      </w:r>
    </w:p>
    <w:p w:rsidR="00000000" w:rsidDel="00000000" w:rsidP="00000000" w:rsidRDefault="00000000" w:rsidRPr="00000000" w14:paraId="0000013F">
      <w:pPr>
        <w:rPr>
          <w:b w:val="1"/>
        </w:rPr>
      </w:pPr>
      <w:r w:rsidDel="00000000" w:rsidR="00000000" w:rsidRPr="00000000">
        <w:rPr>
          <w:rtl w:val="0"/>
        </w:rPr>
      </w:r>
    </w:p>
    <w:p w:rsidR="00000000" w:rsidDel="00000000" w:rsidP="00000000" w:rsidRDefault="00000000" w:rsidRPr="00000000" w14:paraId="00000140">
      <w:pPr>
        <w:rPr>
          <w:b w:val="1"/>
        </w:rPr>
      </w:pPr>
      <w:r w:rsidDel="00000000" w:rsidR="00000000" w:rsidRPr="00000000">
        <w:rPr>
          <w:rtl w:val="0"/>
        </w:rPr>
      </w:r>
    </w:p>
    <w:p w:rsidR="00000000" w:rsidDel="00000000" w:rsidP="00000000" w:rsidRDefault="00000000" w:rsidRPr="00000000" w14:paraId="00000141">
      <w:pPr>
        <w:rPr>
          <w:b w:val="1"/>
        </w:rPr>
      </w:pPr>
      <w:r w:rsidDel="00000000" w:rsidR="00000000" w:rsidRPr="00000000">
        <w:rPr>
          <w:b w:val="1"/>
          <w:rtl w:val="0"/>
        </w:rPr>
        <w:t xml:space="preserve">Appendix D</w:t>
      </w:r>
    </w:p>
    <w:p w:rsidR="00000000" w:rsidDel="00000000" w:rsidP="00000000" w:rsidRDefault="00000000" w:rsidRPr="00000000" w14:paraId="00000142">
      <w:pPr>
        <w:rPr>
          <w:b w:val="1"/>
        </w:rPr>
      </w:pPr>
      <w:r w:rsidDel="00000000" w:rsidR="00000000" w:rsidRPr="00000000">
        <w:rPr>
          <w:rtl w:val="0"/>
        </w:rPr>
      </w:r>
    </w:p>
    <w:p w:rsidR="00000000" w:rsidDel="00000000" w:rsidP="00000000" w:rsidRDefault="00000000" w:rsidRPr="00000000" w14:paraId="00000143">
      <w:pPr>
        <w:rPr>
          <w:b w:val="1"/>
        </w:rPr>
      </w:pPr>
      <w:r w:rsidDel="00000000" w:rsidR="00000000" w:rsidRPr="00000000">
        <w:rPr>
          <w:b w:val="1"/>
        </w:rPr>
        <w:drawing>
          <wp:inline distB="114300" distT="114300" distL="114300" distR="114300">
            <wp:extent cx="4612217" cy="5212319"/>
            <wp:effectExtent b="0" l="0" r="0" t="0"/>
            <wp:docPr id="3" name="image3.png"/>
            <a:graphic>
              <a:graphicData uri="http://schemas.openxmlformats.org/drawingml/2006/picture">
                <pic:pic>
                  <pic:nvPicPr>
                    <pic:cNvPr id="0" name="image3.png"/>
                    <pic:cNvPicPr preferRelativeResize="0"/>
                  </pic:nvPicPr>
                  <pic:blipFill>
                    <a:blip r:embed="rId11"/>
                    <a:srcRect b="10808" l="37972" r="18928" t="2437"/>
                    <a:stretch>
                      <a:fillRect/>
                    </a:stretch>
                  </pic:blipFill>
                  <pic:spPr>
                    <a:xfrm>
                      <a:off x="0" y="0"/>
                      <a:ext cx="4612217" cy="5212319"/>
                    </a:xfrm>
                    <a:prstGeom prst="rect"/>
                    <a:ln/>
                  </pic:spPr>
                </pic:pic>
              </a:graphicData>
            </a:graphic>
          </wp:inline>
        </w:drawing>
      </w:r>
      <w:r w:rsidDel="00000000" w:rsidR="00000000" w:rsidRPr="00000000">
        <w:rPr>
          <w:rtl w:val="0"/>
        </w:rPr>
      </w:r>
    </w:p>
    <w:p w:rsidR="00000000" w:rsidDel="00000000" w:rsidP="00000000" w:rsidRDefault="00000000" w:rsidRPr="00000000" w14:paraId="00000144">
      <w:pPr>
        <w:rPr>
          <w:b w:val="1"/>
        </w:rPr>
      </w:pPr>
      <w:r w:rsidDel="00000000" w:rsidR="00000000" w:rsidRPr="00000000">
        <w:rPr>
          <w:b w:val="1"/>
        </w:rPr>
        <w:drawing>
          <wp:inline distB="114300" distT="114300" distL="114300" distR="114300">
            <wp:extent cx="4590555" cy="1309158"/>
            <wp:effectExtent b="0" l="0" r="0" t="0"/>
            <wp:docPr id="6" name="image7.png"/>
            <a:graphic>
              <a:graphicData uri="http://schemas.openxmlformats.org/drawingml/2006/picture">
                <pic:pic>
                  <pic:nvPicPr>
                    <pic:cNvPr id="0" name="image7.png"/>
                    <pic:cNvPicPr preferRelativeResize="0"/>
                  </pic:nvPicPr>
                  <pic:blipFill>
                    <a:blip r:embed="rId12"/>
                    <a:srcRect b="61285" l="37794" r="18928" t="16827"/>
                    <a:stretch>
                      <a:fillRect/>
                    </a:stretch>
                  </pic:blipFill>
                  <pic:spPr>
                    <a:xfrm>
                      <a:off x="0" y="0"/>
                      <a:ext cx="4590555" cy="1309158"/>
                    </a:xfrm>
                    <a:prstGeom prst="rect"/>
                    <a:ln/>
                  </pic:spPr>
                </pic:pic>
              </a:graphicData>
            </a:graphic>
          </wp:inline>
        </w:drawing>
      </w:r>
      <w:r w:rsidDel="00000000" w:rsidR="00000000" w:rsidRPr="00000000">
        <w:rPr>
          <w:rtl w:val="0"/>
        </w:rPr>
      </w:r>
    </w:p>
    <w:p w:rsidR="00000000" w:rsidDel="00000000" w:rsidP="00000000" w:rsidRDefault="00000000" w:rsidRPr="00000000" w14:paraId="00000145">
      <w:pPr>
        <w:rPr>
          <w:b w:val="1"/>
        </w:rPr>
      </w:pPr>
      <w:r w:rsidDel="00000000" w:rsidR="00000000" w:rsidRPr="00000000">
        <w:rPr>
          <w:b w:val="1"/>
        </w:rPr>
        <w:drawing>
          <wp:inline distB="114300" distT="114300" distL="114300" distR="114300">
            <wp:extent cx="4495800" cy="5304034"/>
            <wp:effectExtent b="0" l="0" r="0" t="0"/>
            <wp:docPr id="1" name="image6.png"/>
            <a:graphic>
              <a:graphicData uri="http://schemas.openxmlformats.org/drawingml/2006/picture">
                <pic:pic>
                  <pic:nvPicPr>
                    <pic:cNvPr id="0" name="image6.png"/>
                    <pic:cNvPicPr preferRelativeResize="0"/>
                  </pic:nvPicPr>
                  <pic:blipFill>
                    <a:blip r:embed="rId13"/>
                    <a:srcRect b="5446" l="37964" r="19106" t="4526"/>
                    <a:stretch>
                      <a:fillRect/>
                    </a:stretch>
                  </pic:blipFill>
                  <pic:spPr>
                    <a:xfrm>
                      <a:off x="0" y="0"/>
                      <a:ext cx="4495800" cy="5304034"/>
                    </a:xfrm>
                    <a:prstGeom prst="rect"/>
                    <a:ln/>
                  </pic:spPr>
                </pic:pic>
              </a:graphicData>
            </a:graphic>
          </wp:inline>
        </w:drawing>
      </w:r>
      <w:r w:rsidDel="00000000" w:rsidR="00000000" w:rsidRPr="00000000">
        <w:rPr>
          <w:rtl w:val="0"/>
        </w:rPr>
      </w:r>
    </w:p>
    <w:sectPr>
      <w:headerReference r:id="rId14" w:type="default"/>
      <w:footerReference r:id="rId15"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7">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5.png"/><Relationship Id="rId13" Type="http://schemas.openxmlformats.org/officeDocument/2006/relationships/image" Target="media/image6.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8.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