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CAD2EA" w14:textId="003DA55E" w:rsidR="006526DF" w:rsidRPr="00E450CC" w:rsidRDefault="008175F6" w:rsidP="00AF5A66">
      <w:pPr>
        <w:rPr>
          <w:b/>
          <w:bCs/>
          <w:sz w:val="36"/>
          <w:szCs w:val="36"/>
        </w:rPr>
      </w:pPr>
      <w:r w:rsidRPr="00E450CC">
        <w:rPr>
          <w:b/>
          <w:bCs/>
          <w:sz w:val="36"/>
          <w:szCs w:val="36"/>
        </w:rPr>
        <w:t xml:space="preserve">Student Name: </w:t>
      </w:r>
      <w:r w:rsidR="00340E55" w:rsidRPr="00E450CC">
        <w:rPr>
          <w:b/>
          <w:bCs/>
          <w:sz w:val="36"/>
          <w:szCs w:val="36"/>
        </w:rPr>
        <w:t>Zakia Bi</w:t>
      </w:r>
    </w:p>
    <w:p w14:paraId="3ED1C73B" w14:textId="2EF55CDB" w:rsidR="008175F6" w:rsidRPr="00E450CC" w:rsidRDefault="008175F6" w:rsidP="00AF5A66">
      <w:pPr>
        <w:rPr>
          <w:b/>
          <w:bCs/>
          <w:sz w:val="36"/>
          <w:szCs w:val="36"/>
        </w:rPr>
      </w:pPr>
      <w:r w:rsidRPr="00E450CC">
        <w:rPr>
          <w:b/>
          <w:bCs/>
          <w:sz w:val="36"/>
          <w:szCs w:val="36"/>
        </w:rPr>
        <w:t xml:space="preserve">Student Number: </w:t>
      </w:r>
      <w:r w:rsidR="00340E55" w:rsidRPr="00E450CC">
        <w:rPr>
          <w:b/>
          <w:bCs/>
          <w:sz w:val="36"/>
          <w:szCs w:val="36"/>
        </w:rPr>
        <w:t>2246</w:t>
      </w:r>
      <w:r w:rsidR="00635850" w:rsidRPr="00E450CC">
        <w:rPr>
          <w:b/>
          <w:bCs/>
          <w:sz w:val="36"/>
          <w:szCs w:val="36"/>
        </w:rPr>
        <w:t>095</w:t>
      </w:r>
    </w:p>
    <w:p w14:paraId="360777FF" w14:textId="52A82C0F" w:rsidR="008175F6" w:rsidRPr="00E450CC" w:rsidRDefault="000C2460" w:rsidP="00AF5A66">
      <w:pPr>
        <w:rPr>
          <w:b/>
          <w:bCs/>
          <w:sz w:val="36"/>
          <w:szCs w:val="36"/>
        </w:rPr>
      </w:pPr>
      <w:r w:rsidRPr="00E450CC">
        <w:rPr>
          <w:b/>
          <w:bCs/>
          <w:sz w:val="36"/>
          <w:szCs w:val="36"/>
        </w:rPr>
        <w:t>P</w:t>
      </w:r>
      <w:r w:rsidR="00861AE2" w:rsidRPr="00E450CC">
        <w:rPr>
          <w:b/>
          <w:bCs/>
          <w:sz w:val="36"/>
          <w:szCs w:val="36"/>
        </w:rPr>
        <w:t>rogramme:</w:t>
      </w:r>
      <w:r w:rsidR="00471BF1" w:rsidRPr="00E450CC">
        <w:rPr>
          <w:b/>
          <w:bCs/>
          <w:sz w:val="36"/>
          <w:szCs w:val="36"/>
        </w:rPr>
        <w:t xml:space="preserve"> </w:t>
      </w:r>
      <w:r w:rsidR="00635850" w:rsidRPr="00E450CC">
        <w:rPr>
          <w:b/>
          <w:bCs/>
          <w:sz w:val="36"/>
          <w:szCs w:val="36"/>
        </w:rPr>
        <w:t xml:space="preserve">BSc </w:t>
      </w:r>
      <w:r w:rsidR="00471BF1" w:rsidRPr="00E450CC">
        <w:rPr>
          <w:b/>
          <w:bCs/>
          <w:sz w:val="36"/>
          <w:szCs w:val="36"/>
        </w:rPr>
        <w:t>(</w:t>
      </w:r>
      <w:r w:rsidR="00635850" w:rsidRPr="00E450CC">
        <w:rPr>
          <w:b/>
          <w:bCs/>
          <w:sz w:val="36"/>
          <w:szCs w:val="36"/>
        </w:rPr>
        <w:t>Hons</w:t>
      </w:r>
      <w:r w:rsidR="00471BF1" w:rsidRPr="00E450CC">
        <w:rPr>
          <w:b/>
          <w:bCs/>
          <w:sz w:val="36"/>
          <w:szCs w:val="36"/>
        </w:rPr>
        <w:t>) Health and Social Cree</w:t>
      </w:r>
    </w:p>
    <w:p w14:paraId="1CF88D8D" w14:textId="05EE49A7" w:rsidR="00C8275B" w:rsidRPr="00E450CC" w:rsidRDefault="00861AE2" w:rsidP="00AF5A66">
      <w:pPr>
        <w:rPr>
          <w:b/>
          <w:bCs/>
          <w:sz w:val="36"/>
          <w:szCs w:val="36"/>
        </w:rPr>
      </w:pPr>
      <w:r w:rsidRPr="00E450CC">
        <w:rPr>
          <w:b/>
          <w:bCs/>
          <w:sz w:val="36"/>
          <w:szCs w:val="36"/>
        </w:rPr>
        <w:t>Module:</w:t>
      </w:r>
      <w:r w:rsidR="00471BF1" w:rsidRPr="00E450CC">
        <w:rPr>
          <w:b/>
          <w:bCs/>
          <w:sz w:val="36"/>
          <w:szCs w:val="36"/>
        </w:rPr>
        <w:t xml:space="preserve"> Health, Wellb</w:t>
      </w:r>
      <w:r w:rsidR="00C8275B" w:rsidRPr="00E450CC">
        <w:rPr>
          <w:b/>
          <w:bCs/>
          <w:sz w:val="36"/>
          <w:szCs w:val="36"/>
        </w:rPr>
        <w:t>eing and Sustainable Development</w:t>
      </w:r>
    </w:p>
    <w:p w14:paraId="39BF31CF" w14:textId="151C79F1" w:rsidR="00861AE2" w:rsidRPr="00E450CC" w:rsidRDefault="00861AE2" w:rsidP="00AF5A66">
      <w:pPr>
        <w:rPr>
          <w:b/>
          <w:bCs/>
          <w:sz w:val="36"/>
          <w:szCs w:val="36"/>
        </w:rPr>
      </w:pPr>
      <w:r w:rsidRPr="00E450CC">
        <w:rPr>
          <w:b/>
          <w:bCs/>
          <w:sz w:val="36"/>
          <w:szCs w:val="36"/>
        </w:rPr>
        <w:t>Module Code:</w:t>
      </w:r>
      <w:r w:rsidR="00C8275B" w:rsidRPr="00E450CC">
        <w:rPr>
          <w:b/>
          <w:bCs/>
          <w:sz w:val="36"/>
          <w:szCs w:val="36"/>
        </w:rPr>
        <w:t xml:space="preserve"> BMHP</w:t>
      </w:r>
      <w:r w:rsidR="00B26B6D" w:rsidRPr="00E450CC">
        <w:rPr>
          <w:b/>
          <w:bCs/>
          <w:sz w:val="36"/>
          <w:szCs w:val="36"/>
        </w:rPr>
        <w:t>6030</w:t>
      </w:r>
    </w:p>
    <w:p w14:paraId="132634E5" w14:textId="56068814" w:rsidR="00340E55" w:rsidRPr="00E450CC" w:rsidRDefault="00340E55" w:rsidP="00AF5A66">
      <w:pPr>
        <w:rPr>
          <w:b/>
          <w:bCs/>
          <w:sz w:val="36"/>
          <w:szCs w:val="36"/>
        </w:rPr>
      </w:pPr>
      <w:r w:rsidRPr="00E450CC">
        <w:rPr>
          <w:b/>
          <w:bCs/>
          <w:sz w:val="36"/>
          <w:szCs w:val="36"/>
        </w:rPr>
        <w:t>Assignment Title:</w:t>
      </w:r>
      <w:r w:rsidR="00B26B6D" w:rsidRPr="00E450CC">
        <w:rPr>
          <w:b/>
          <w:bCs/>
          <w:sz w:val="36"/>
          <w:szCs w:val="36"/>
        </w:rPr>
        <w:t xml:space="preserve"> Written Assignment component 2 </w:t>
      </w:r>
    </w:p>
    <w:p w14:paraId="641DA36A" w14:textId="74A333D2" w:rsidR="00340E55" w:rsidRPr="00E450CC" w:rsidRDefault="00340E55" w:rsidP="00AF5A66">
      <w:pPr>
        <w:rPr>
          <w:b/>
          <w:bCs/>
          <w:sz w:val="36"/>
          <w:szCs w:val="36"/>
        </w:rPr>
      </w:pPr>
      <w:r w:rsidRPr="00E450CC">
        <w:rPr>
          <w:b/>
          <w:bCs/>
          <w:sz w:val="36"/>
          <w:szCs w:val="36"/>
        </w:rPr>
        <w:t>Tutor Name:</w:t>
      </w:r>
      <w:r w:rsidR="00B26B6D" w:rsidRPr="00E450CC">
        <w:rPr>
          <w:b/>
          <w:bCs/>
          <w:sz w:val="36"/>
          <w:szCs w:val="36"/>
        </w:rPr>
        <w:t xml:space="preserve"> Parese </w:t>
      </w:r>
      <w:r w:rsidR="00B91AD4" w:rsidRPr="00E450CC">
        <w:rPr>
          <w:b/>
          <w:bCs/>
          <w:sz w:val="36"/>
          <w:szCs w:val="36"/>
        </w:rPr>
        <w:t>Ahmed</w:t>
      </w:r>
    </w:p>
    <w:p w14:paraId="2EB1E783" w14:textId="77777777" w:rsidR="006526DF" w:rsidRDefault="006526DF" w:rsidP="00AF5A66">
      <w:pPr>
        <w:rPr>
          <w:b/>
          <w:bCs/>
        </w:rPr>
      </w:pPr>
    </w:p>
    <w:p w14:paraId="1EC7C547" w14:textId="77777777" w:rsidR="006526DF" w:rsidRDefault="006526DF" w:rsidP="00AF5A66">
      <w:pPr>
        <w:rPr>
          <w:b/>
          <w:bCs/>
        </w:rPr>
      </w:pPr>
    </w:p>
    <w:p w14:paraId="0F194A76" w14:textId="77777777" w:rsidR="006526DF" w:rsidRDefault="006526DF" w:rsidP="00AF5A66">
      <w:pPr>
        <w:rPr>
          <w:b/>
          <w:bCs/>
        </w:rPr>
      </w:pPr>
    </w:p>
    <w:p w14:paraId="354C28B5" w14:textId="77777777" w:rsidR="006526DF" w:rsidRDefault="006526DF" w:rsidP="00AF5A66">
      <w:pPr>
        <w:rPr>
          <w:b/>
          <w:bCs/>
        </w:rPr>
      </w:pPr>
    </w:p>
    <w:p w14:paraId="535CA598" w14:textId="77777777" w:rsidR="006526DF" w:rsidRDefault="006526DF" w:rsidP="00AF5A66">
      <w:pPr>
        <w:rPr>
          <w:b/>
          <w:bCs/>
        </w:rPr>
      </w:pPr>
    </w:p>
    <w:p w14:paraId="380FFD1E" w14:textId="77777777" w:rsidR="006526DF" w:rsidRDefault="006526DF" w:rsidP="00AF5A66">
      <w:pPr>
        <w:rPr>
          <w:b/>
          <w:bCs/>
        </w:rPr>
      </w:pPr>
    </w:p>
    <w:p w14:paraId="193E7CF0" w14:textId="77777777" w:rsidR="006526DF" w:rsidRDefault="006526DF" w:rsidP="00AF5A66">
      <w:pPr>
        <w:rPr>
          <w:b/>
          <w:bCs/>
        </w:rPr>
      </w:pPr>
    </w:p>
    <w:p w14:paraId="2E99D330" w14:textId="77777777" w:rsidR="006526DF" w:rsidRDefault="006526DF" w:rsidP="00AF5A66">
      <w:pPr>
        <w:rPr>
          <w:b/>
          <w:bCs/>
        </w:rPr>
      </w:pPr>
    </w:p>
    <w:p w14:paraId="7CC07FCB" w14:textId="77777777" w:rsidR="006526DF" w:rsidRDefault="006526DF" w:rsidP="00AF5A66">
      <w:pPr>
        <w:rPr>
          <w:b/>
          <w:bCs/>
        </w:rPr>
      </w:pPr>
    </w:p>
    <w:p w14:paraId="3CD9DC5F" w14:textId="77777777" w:rsidR="006526DF" w:rsidRDefault="006526DF" w:rsidP="00AF5A66">
      <w:pPr>
        <w:rPr>
          <w:b/>
          <w:bCs/>
        </w:rPr>
      </w:pPr>
    </w:p>
    <w:p w14:paraId="3A5617E3" w14:textId="77777777" w:rsidR="006526DF" w:rsidRDefault="006526DF" w:rsidP="00AF5A66">
      <w:pPr>
        <w:rPr>
          <w:b/>
          <w:bCs/>
        </w:rPr>
      </w:pPr>
    </w:p>
    <w:p w14:paraId="74F3FF06" w14:textId="77777777" w:rsidR="006526DF" w:rsidRDefault="006526DF" w:rsidP="00AF5A66">
      <w:pPr>
        <w:rPr>
          <w:b/>
          <w:bCs/>
        </w:rPr>
      </w:pPr>
    </w:p>
    <w:p w14:paraId="351CDDA1" w14:textId="77777777" w:rsidR="006526DF" w:rsidRDefault="006526DF" w:rsidP="00AF5A66">
      <w:pPr>
        <w:rPr>
          <w:b/>
          <w:bCs/>
        </w:rPr>
      </w:pPr>
    </w:p>
    <w:p w14:paraId="579F7FE8" w14:textId="77777777" w:rsidR="006526DF" w:rsidRDefault="006526DF" w:rsidP="00AF5A66">
      <w:pPr>
        <w:rPr>
          <w:b/>
          <w:bCs/>
        </w:rPr>
      </w:pPr>
    </w:p>
    <w:p w14:paraId="5BC3E8F1" w14:textId="77777777" w:rsidR="006526DF" w:rsidRDefault="006526DF" w:rsidP="00AF5A66">
      <w:pPr>
        <w:rPr>
          <w:b/>
          <w:bCs/>
        </w:rPr>
      </w:pPr>
    </w:p>
    <w:p w14:paraId="06D6DA72" w14:textId="77777777" w:rsidR="006526DF" w:rsidRDefault="006526DF" w:rsidP="00AF5A66">
      <w:pPr>
        <w:rPr>
          <w:b/>
          <w:bCs/>
        </w:rPr>
      </w:pPr>
    </w:p>
    <w:p w14:paraId="61381C54" w14:textId="77777777" w:rsidR="00E450CC" w:rsidRDefault="00E450CC" w:rsidP="00AF5A66">
      <w:pPr>
        <w:rPr>
          <w:b/>
          <w:bCs/>
        </w:rPr>
      </w:pPr>
    </w:p>
    <w:p w14:paraId="74E7C49F" w14:textId="77777777" w:rsidR="004D1676" w:rsidRDefault="004D1676" w:rsidP="004D1676">
      <w:pPr>
        <w:spacing w:line="360" w:lineRule="auto"/>
        <w:rPr>
          <w:rFonts w:ascii="Arial" w:hAnsi="Arial" w:cs="Arial"/>
          <w:b/>
          <w:bCs/>
          <w:sz w:val="22"/>
          <w:szCs w:val="22"/>
          <w:u w:val="single"/>
        </w:rPr>
      </w:pPr>
    </w:p>
    <w:p w14:paraId="13E4EAF1" w14:textId="77777777" w:rsidR="00E45ABC" w:rsidRDefault="00E45ABC" w:rsidP="00C13164">
      <w:pPr>
        <w:pStyle w:val="Heading2"/>
      </w:pPr>
    </w:p>
    <w:sdt>
      <w:sdtPr>
        <w:rPr>
          <w:rFonts w:asciiTheme="minorHAnsi" w:eastAsiaTheme="minorHAnsi" w:hAnsiTheme="minorHAnsi" w:cstheme="minorBidi"/>
          <w:color w:val="auto"/>
          <w:kern w:val="2"/>
          <w:sz w:val="24"/>
          <w:szCs w:val="24"/>
          <w:lang w:val="en-GB"/>
          <w14:ligatures w14:val="standardContextual"/>
        </w:rPr>
        <w:id w:val="-1391722228"/>
        <w:docPartObj>
          <w:docPartGallery w:val="Table of Contents"/>
          <w:docPartUnique/>
        </w:docPartObj>
      </w:sdtPr>
      <w:sdtEndPr>
        <w:rPr>
          <w:b/>
          <w:bCs/>
          <w:noProof/>
        </w:rPr>
      </w:sdtEndPr>
      <w:sdtContent>
        <w:p w14:paraId="4C96526D" w14:textId="7DEAE85D" w:rsidR="001C311F" w:rsidRDefault="001C311F">
          <w:pPr>
            <w:pStyle w:val="TOCHeading"/>
          </w:pPr>
          <w:r>
            <w:t>Contents</w:t>
          </w:r>
        </w:p>
        <w:p w14:paraId="295F372E" w14:textId="2E1874D0" w:rsidR="001A65AB" w:rsidRDefault="001C311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984229" w:history="1">
            <w:r w:rsidR="001A65AB" w:rsidRPr="001B0C67">
              <w:rPr>
                <w:rStyle w:val="Hyperlink"/>
                <w:noProof/>
              </w:rPr>
              <w:t>Health, Well-being, and Sustainability Development</w:t>
            </w:r>
            <w:r w:rsidR="001A65AB">
              <w:rPr>
                <w:noProof/>
                <w:webHidden/>
              </w:rPr>
              <w:tab/>
            </w:r>
            <w:r w:rsidR="001A65AB">
              <w:rPr>
                <w:noProof/>
                <w:webHidden/>
              </w:rPr>
              <w:fldChar w:fldCharType="begin"/>
            </w:r>
            <w:r w:rsidR="001A65AB">
              <w:rPr>
                <w:noProof/>
                <w:webHidden/>
              </w:rPr>
              <w:instrText xml:space="preserve"> PAGEREF _Toc224984229 \h </w:instrText>
            </w:r>
            <w:r w:rsidR="001A65AB">
              <w:rPr>
                <w:noProof/>
                <w:webHidden/>
              </w:rPr>
            </w:r>
            <w:r w:rsidR="001A65AB">
              <w:rPr>
                <w:noProof/>
                <w:webHidden/>
              </w:rPr>
              <w:fldChar w:fldCharType="separate"/>
            </w:r>
            <w:r w:rsidR="002A6CBC">
              <w:rPr>
                <w:noProof/>
                <w:webHidden/>
              </w:rPr>
              <w:t>3</w:t>
            </w:r>
            <w:r w:rsidR="001A65AB">
              <w:rPr>
                <w:noProof/>
                <w:webHidden/>
              </w:rPr>
              <w:fldChar w:fldCharType="end"/>
            </w:r>
          </w:hyperlink>
        </w:p>
        <w:p w14:paraId="44D4973C" w14:textId="4B8FDE88" w:rsidR="001A65AB" w:rsidRDefault="001A65AB">
          <w:pPr>
            <w:pStyle w:val="TOC2"/>
            <w:tabs>
              <w:tab w:val="right" w:leader="dot" w:pos="9016"/>
            </w:tabs>
            <w:rPr>
              <w:rFonts w:eastAsiaTheme="minorEastAsia"/>
              <w:noProof/>
              <w:lang w:eastAsia="en-GB"/>
            </w:rPr>
          </w:pPr>
          <w:hyperlink w:anchor="_Toc224984230" w:history="1">
            <w:r w:rsidRPr="001B0C67">
              <w:rPr>
                <w:rStyle w:val="Hyperlink"/>
                <w:noProof/>
              </w:rPr>
              <w:t>Introduction</w:t>
            </w:r>
            <w:r>
              <w:rPr>
                <w:noProof/>
                <w:webHidden/>
              </w:rPr>
              <w:tab/>
            </w:r>
            <w:r>
              <w:rPr>
                <w:noProof/>
                <w:webHidden/>
              </w:rPr>
              <w:fldChar w:fldCharType="begin"/>
            </w:r>
            <w:r>
              <w:rPr>
                <w:noProof/>
                <w:webHidden/>
              </w:rPr>
              <w:instrText xml:space="preserve"> PAGEREF _Toc224984230 \h </w:instrText>
            </w:r>
            <w:r>
              <w:rPr>
                <w:noProof/>
                <w:webHidden/>
              </w:rPr>
            </w:r>
            <w:r>
              <w:rPr>
                <w:noProof/>
                <w:webHidden/>
              </w:rPr>
              <w:fldChar w:fldCharType="separate"/>
            </w:r>
            <w:r w:rsidR="002A6CBC">
              <w:rPr>
                <w:noProof/>
                <w:webHidden/>
              </w:rPr>
              <w:t>3</w:t>
            </w:r>
            <w:r>
              <w:rPr>
                <w:noProof/>
                <w:webHidden/>
              </w:rPr>
              <w:fldChar w:fldCharType="end"/>
            </w:r>
          </w:hyperlink>
        </w:p>
        <w:p w14:paraId="2ABAA321" w14:textId="13752C2A" w:rsidR="001A65AB" w:rsidRDefault="001A65AB">
          <w:pPr>
            <w:pStyle w:val="TOC1"/>
            <w:tabs>
              <w:tab w:val="right" w:leader="dot" w:pos="9016"/>
            </w:tabs>
            <w:rPr>
              <w:rFonts w:eastAsiaTheme="minorEastAsia"/>
              <w:noProof/>
              <w:lang w:eastAsia="en-GB"/>
            </w:rPr>
          </w:pPr>
          <w:hyperlink w:anchor="_Toc224984231" w:history="1">
            <w:r w:rsidRPr="001B0C67">
              <w:rPr>
                <w:rStyle w:val="Hyperlink"/>
                <w:noProof/>
              </w:rPr>
              <w:t>SDG 3: Good Health and Well-being</w:t>
            </w:r>
            <w:r>
              <w:rPr>
                <w:noProof/>
                <w:webHidden/>
              </w:rPr>
              <w:tab/>
            </w:r>
            <w:r>
              <w:rPr>
                <w:noProof/>
                <w:webHidden/>
              </w:rPr>
              <w:fldChar w:fldCharType="begin"/>
            </w:r>
            <w:r>
              <w:rPr>
                <w:noProof/>
                <w:webHidden/>
              </w:rPr>
              <w:instrText xml:space="preserve"> PAGEREF _Toc224984231 \h </w:instrText>
            </w:r>
            <w:r>
              <w:rPr>
                <w:noProof/>
                <w:webHidden/>
              </w:rPr>
            </w:r>
            <w:r>
              <w:rPr>
                <w:noProof/>
                <w:webHidden/>
              </w:rPr>
              <w:fldChar w:fldCharType="separate"/>
            </w:r>
            <w:r w:rsidR="002A6CBC">
              <w:rPr>
                <w:noProof/>
                <w:webHidden/>
              </w:rPr>
              <w:t>3</w:t>
            </w:r>
            <w:r>
              <w:rPr>
                <w:noProof/>
                <w:webHidden/>
              </w:rPr>
              <w:fldChar w:fldCharType="end"/>
            </w:r>
          </w:hyperlink>
        </w:p>
        <w:p w14:paraId="5510E3A8" w14:textId="5E86D83E" w:rsidR="001A65AB" w:rsidRPr="00CE053A" w:rsidRDefault="001A65AB">
          <w:pPr>
            <w:pStyle w:val="TOC1"/>
            <w:tabs>
              <w:tab w:val="right" w:leader="dot" w:pos="9016"/>
            </w:tabs>
            <w:rPr>
              <w:rFonts w:eastAsiaTheme="minorEastAsia"/>
              <w:noProof/>
              <w:lang w:eastAsia="en-GB"/>
            </w:rPr>
          </w:pPr>
          <w:hyperlink w:anchor="_Toc224984232" w:history="1">
            <w:r w:rsidRPr="001B0C67">
              <w:rPr>
                <w:rStyle w:val="Hyperlink"/>
                <w:noProof/>
              </w:rPr>
              <w:t>Global Level</w:t>
            </w:r>
            <w:r>
              <w:rPr>
                <w:noProof/>
                <w:webHidden/>
              </w:rPr>
              <w:tab/>
            </w:r>
            <w:r>
              <w:rPr>
                <w:noProof/>
                <w:webHidden/>
              </w:rPr>
              <w:fldChar w:fldCharType="begin"/>
            </w:r>
            <w:r>
              <w:rPr>
                <w:noProof/>
                <w:webHidden/>
              </w:rPr>
              <w:instrText xml:space="preserve"> PAGEREF _Toc224984232 \h </w:instrText>
            </w:r>
            <w:r>
              <w:rPr>
                <w:noProof/>
                <w:webHidden/>
              </w:rPr>
            </w:r>
            <w:r>
              <w:rPr>
                <w:noProof/>
                <w:webHidden/>
              </w:rPr>
              <w:fldChar w:fldCharType="separate"/>
            </w:r>
            <w:r w:rsidR="002A6CBC">
              <w:rPr>
                <w:noProof/>
                <w:webHidden/>
              </w:rPr>
              <w:t>3</w:t>
            </w:r>
            <w:r>
              <w:rPr>
                <w:noProof/>
                <w:webHidden/>
              </w:rPr>
              <w:fldChar w:fldCharType="end"/>
            </w:r>
          </w:hyperlink>
          <w:r w:rsidR="00431B05" w:rsidRPr="00CE053A">
            <w:rPr>
              <w:rStyle w:val="Hyperlink"/>
              <w:noProof/>
              <w:color w:val="auto"/>
            </w:rPr>
            <w:t xml:space="preserve">,4 </w:t>
          </w:r>
        </w:p>
        <w:p w14:paraId="03FA867E" w14:textId="2DCBF44C" w:rsidR="001A65AB" w:rsidRPr="00CE053A" w:rsidRDefault="001A65AB">
          <w:pPr>
            <w:pStyle w:val="TOC1"/>
            <w:tabs>
              <w:tab w:val="right" w:leader="dot" w:pos="9016"/>
            </w:tabs>
            <w:rPr>
              <w:rFonts w:eastAsiaTheme="minorEastAsia"/>
              <w:noProof/>
              <w:lang w:eastAsia="en-GB"/>
            </w:rPr>
          </w:pPr>
          <w:hyperlink w:anchor="_Toc224984233" w:history="1">
            <w:r w:rsidRPr="00CE053A">
              <w:rPr>
                <w:rStyle w:val="Hyperlink"/>
                <w:noProof/>
                <w:color w:val="auto"/>
              </w:rPr>
              <w:t>National Level</w:t>
            </w:r>
            <w:r w:rsidRPr="00CE053A">
              <w:rPr>
                <w:noProof/>
                <w:webHidden/>
              </w:rPr>
              <w:tab/>
            </w:r>
            <w:r w:rsidRPr="00CE053A">
              <w:rPr>
                <w:noProof/>
                <w:webHidden/>
              </w:rPr>
              <w:fldChar w:fldCharType="begin"/>
            </w:r>
            <w:r w:rsidRPr="00CE053A">
              <w:rPr>
                <w:noProof/>
                <w:webHidden/>
              </w:rPr>
              <w:instrText xml:space="preserve"> PAGEREF _Toc224984233 \h </w:instrText>
            </w:r>
            <w:r w:rsidRPr="00CE053A">
              <w:rPr>
                <w:noProof/>
                <w:webHidden/>
              </w:rPr>
            </w:r>
            <w:r w:rsidRPr="00CE053A">
              <w:rPr>
                <w:noProof/>
                <w:webHidden/>
              </w:rPr>
              <w:fldChar w:fldCharType="separate"/>
            </w:r>
            <w:r w:rsidR="002A6CBC">
              <w:rPr>
                <w:noProof/>
                <w:webHidden/>
              </w:rPr>
              <w:t>4</w:t>
            </w:r>
            <w:r w:rsidRPr="00CE053A">
              <w:rPr>
                <w:noProof/>
                <w:webHidden/>
              </w:rPr>
              <w:fldChar w:fldCharType="end"/>
            </w:r>
          </w:hyperlink>
        </w:p>
        <w:p w14:paraId="3D0636D0" w14:textId="2F002073" w:rsidR="001A65AB" w:rsidRDefault="001A65AB">
          <w:pPr>
            <w:pStyle w:val="TOC1"/>
            <w:tabs>
              <w:tab w:val="right" w:leader="dot" w:pos="9016"/>
            </w:tabs>
            <w:rPr>
              <w:rStyle w:val="Hyperlink"/>
              <w:noProof/>
              <w:color w:val="auto"/>
            </w:rPr>
          </w:pPr>
          <w:hyperlink w:anchor="_Toc224984234" w:history="1">
            <w:r w:rsidRPr="00CE053A">
              <w:rPr>
                <w:rStyle w:val="Hyperlink"/>
                <w:noProof/>
                <w:color w:val="auto"/>
              </w:rPr>
              <w:t>Local Level</w:t>
            </w:r>
            <w:r w:rsidRPr="00CE053A">
              <w:rPr>
                <w:noProof/>
                <w:webHidden/>
              </w:rPr>
              <w:tab/>
            </w:r>
            <w:r w:rsidRPr="00CE053A">
              <w:rPr>
                <w:noProof/>
                <w:webHidden/>
              </w:rPr>
              <w:fldChar w:fldCharType="begin"/>
            </w:r>
            <w:r w:rsidRPr="00CE053A">
              <w:rPr>
                <w:noProof/>
                <w:webHidden/>
              </w:rPr>
              <w:instrText xml:space="preserve"> PAGEREF _Toc224984234 \h </w:instrText>
            </w:r>
            <w:r w:rsidRPr="00CE053A">
              <w:rPr>
                <w:noProof/>
                <w:webHidden/>
              </w:rPr>
            </w:r>
            <w:r w:rsidRPr="00CE053A">
              <w:rPr>
                <w:noProof/>
                <w:webHidden/>
              </w:rPr>
              <w:fldChar w:fldCharType="separate"/>
            </w:r>
            <w:r w:rsidR="002A6CBC">
              <w:rPr>
                <w:noProof/>
                <w:webHidden/>
              </w:rPr>
              <w:t>4</w:t>
            </w:r>
            <w:r w:rsidRPr="00CE053A">
              <w:rPr>
                <w:noProof/>
                <w:webHidden/>
              </w:rPr>
              <w:fldChar w:fldCharType="end"/>
            </w:r>
          </w:hyperlink>
          <w:r w:rsidR="004C6C5F" w:rsidRPr="00CE053A">
            <w:rPr>
              <w:rStyle w:val="Hyperlink"/>
              <w:noProof/>
              <w:color w:val="auto"/>
            </w:rPr>
            <w:t>,</w:t>
          </w:r>
        </w:p>
        <w:p w14:paraId="09A26D90" w14:textId="5F28BE46" w:rsidR="00457218" w:rsidRPr="00457218" w:rsidRDefault="00457218" w:rsidP="00457218">
          <w:r>
            <w:t>Critical</w:t>
          </w:r>
          <w:r w:rsidR="00231761">
            <w:t>………………………………………………………………………………………………………….4,5</w:t>
          </w:r>
        </w:p>
        <w:p w14:paraId="32719564" w14:textId="0B0087C1" w:rsidR="001A65AB" w:rsidRPr="00CE053A" w:rsidRDefault="001A65AB">
          <w:pPr>
            <w:pStyle w:val="TOC1"/>
            <w:tabs>
              <w:tab w:val="right" w:leader="dot" w:pos="9016"/>
            </w:tabs>
            <w:rPr>
              <w:rFonts w:eastAsiaTheme="minorEastAsia"/>
              <w:noProof/>
              <w:lang w:eastAsia="en-GB"/>
            </w:rPr>
          </w:pPr>
          <w:hyperlink w:anchor="_Toc224984235" w:history="1">
            <w:r w:rsidRPr="00CE053A">
              <w:rPr>
                <w:rStyle w:val="Hyperlink"/>
                <w:noProof/>
                <w:color w:val="auto"/>
              </w:rPr>
              <w:t>SDG 3: National and Local Initiatives</w:t>
            </w:r>
            <w:r w:rsidRPr="00CE053A">
              <w:rPr>
                <w:noProof/>
                <w:webHidden/>
              </w:rPr>
              <w:tab/>
            </w:r>
            <w:r w:rsidRPr="00CE053A">
              <w:rPr>
                <w:noProof/>
                <w:webHidden/>
              </w:rPr>
              <w:fldChar w:fldCharType="begin"/>
            </w:r>
            <w:r w:rsidRPr="00CE053A">
              <w:rPr>
                <w:noProof/>
                <w:webHidden/>
              </w:rPr>
              <w:instrText xml:space="preserve"> PAGEREF _Toc224984235 \h </w:instrText>
            </w:r>
            <w:r w:rsidRPr="00CE053A">
              <w:rPr>
                <w:noProof/>
                <w:webHidden/>
              </w:rPr>
            </w:r>
            <w:r w:rsidRPr="00CE053A">
              <w:rPr>
                <w:noProof/>
                <w:webHidden/>
              </w:rPr>
              <w:fldChar w:fldCharType="separate"/>
            </w:r>
            <w:r w:rsidR="002A6CBC">
              <w:rPr>
                <w:noProof/>
                <w:webHidden/>
              </w:rPr>
              <w:t>5</w:t>
            </w:r>
            <w:r w:rsidRPr="00CE053A">
              <w:rPr>
                <w:noProof/>
                <w:webHidden/>
              </w:rPr>
              <w:fldChar w:fldCharType="end"/>
            </w:r>
          </w:hyperlink>
        </w:p>
        <w:p w14:paraId="4A7CF046" w14:textId="7C55BCCB" w:rsidR="001A65AB" w:rsidRPr="00CE053A" w:rsidRDefault="001A65AB">
          <w:pPr>
            <w:pStyle w:val="TOC1"/>
            <w:tabs>
              <w:tab w:val="right" w:leader="dot" w:pos="9016"/>
            </w:tabs>
            <w:rPr>
              <w:rFonts w:eastAsiaTheme="minorEastAsia"/>
              <w:noProof/>
              <w:lang w:eastAsia="en-GB"/>
            </w:rPr>
          </w:pPr>
          <w:hyperlink w:anchor="_Toc224984236" w:history="1">
            <w:r w:rsidRPr="00CE053A">
              <w:rPr>
                <w:rStyle w:val="Hyperlink"/>
                <w:noProof/>
                <w:color w:val="auto"/>
              </w:rPr>
              <w:t>Critical Analysis</w:t>
            </w:r>
            <w:r w:rsidRPr="00CE053A">
              <w:rPr>
                <w:noProof/>
                <w:webHidden/>
              </w:rPr>
              <w:tab/>
            </w:r>
            <w:r w:rsidRPr="00CE053A">
              <w:rPr>
                <w:noProof/>
                <w:webHidden/>
              </w:rPr>
              <w:fldChar w:fldCharType="begin"/>
            </w:r>
            <w:r w:rsidRPr="00CE053A">
              <w:rPr>
                <w:noProof/>
                <w:webHidden/>
              </w:rPr>
              <w:instrText xml:space="preserve"> PAGEREF _Toc224984236 \h </w:instrText>
            </w:r>
            <w:r w:rsidRPr="00CE053A">
              <w:rPr>
                <w:noProof/>
                <w:webHidden/>
              </w:rPr>
            </w:r>
            <w:r w:rsidRPr="00CE053A">
              <w:rPr>
                <w:noProof/>
                <w:webHidden/>
              </w:rPr>
              <w:fldChar w:fldCharType="separate"/>
            </w:r>
            <w:r w:rsidR="002A6CBC">
              <w:rPr>
                <w:noProof/>
                <w:webHidden/>
              </w:rPr>
              <w:t>5</w:t>
            </w:r>
            <w:r w:rsidRPr="00CE053A">
              <w:rPr>
                <w:noProof/>
                <w:webHidden/>
              </w:rPr>
              <w:fldChar w:fldCharType="end"/>
            </w:r>
          </w:hyperlink>
        </w:p>
        <w:p w14:paraId="361A8A31" w14:textId="557B52A1" w:rsidR="001A65AB" w:rsidRPr="00CE053A" w:rsidRDefault="001A65AB">
          <w:pPr>
            <w:pStyle w:val="TOC1"/>
            <w:tabs>
              <w:tab w:val="right" w:leader="dot" w:pos="9016"/>
            </w:tabs>
            <w:rPr>
              <w:rFonts w:eastAsiaTheme="minorEastAsia"/>
              <w:noProof/>
              <w:lang w:eastAsia="en-GB"/>
            </w:rPr>
          </w:pPr>
          <w:hyperlink w:anchor="_Toc224984237" w:history="1">
            <w:r w:rsidRPr="00CE053A">
              <w:rPr>
                <w:rStyle w:val="Hyperlink"/>
                <w:noProof/>
                <w:color w:val="auto"/>
              </w:rPr>
              <w:t>Recommendations</w:t>
            </w:r>
            <w:r w:rsidRPr="00CE053A">
              <w:rPr>
                <w:noProof/>
                <w:webHidden/>
              </w:rPr>
              <w:tab/>
            </w:r>
            <w:r w:rsidR="008129A6">
              <w:rPr>
                <w:noProof/>
                <w:webHidden/>
              </w:rPr>
              <w:t>5</w:t>
            </w:r>
          </w:hyperlink>
          <w:r w:rsidR="00240CE5">
            <w:rPr>
              <w:rStyle w:val="Hyperlink"/>
              <w:noProof/>
              <w:color w:val="auto"/>
            </w:rPr>
            <w:t>,6</w:t>
          </w:r>
        </w:p>
        <w:p w14:paraId="33344EB2" w14:textId="5DF0E31B" w:rsidR="001A65AB" w:rsidRPr="00CE053A" w:rsidRDefault="001A65AB">
          <w:pPr>
            <w:pStyle w:val="TOC2"/>
            <w:tabs>
              <w:tab w:val="right" w:leader="dot" w:pos="9016"/>
            </w:tabs>
            <w:rPr>
              <w:rFonts w:eastAsiaTheme="minorEastAsia"/>
              <w:noProof/>
              <w:lang w:eastAsia="en-GB"/>
            </w:rPr>
          </w:pPr>
          <w:hyperlink w:anchor="_Toc224984238" w:history="1">
            <w:r w:rsidRPr="00CE053A">
              <w:rPr>
                <w:rStyle w:val="Hyperlink"/>
                <w:noProof/>
                <w:color w:val="auto"/>
              </w:rPr>
              <w:t>SDG 13: Climate Action</w:t>
            </w:r>
            <w:r w:rsidR="00240CE5">
              <w:rPr>
                <w:noProof/>
                <w:webHidden/>
              </w:rPr>
              <w:t>………………………………………………………………………………….</w:t>
            </w:r>
            <w:r w:rsidRPr="00CE053A">
              <w:rPr>
                <w:noProof/>
                <w:webHidden/>
              </w:rPr>
              <w:fldChar w:fldCharType="begin"/>
            </w:r>
            <w:r w:rsidRPr="00CE053A">
              <w:rPr>
                <w:noProof/>
                <w:webHidden/>
              </w:rPr>
              <w:instrText xml:space="preserve"> PAGEREF _Toc224984238 \h </w:instrText>
            </w:r>
            <w:r w:rsidRPr="00CE053A">
              <w:rPr>
                <w:noProof/>
                <w:webHidden/>
              </w:rPr>
            </w:r>
            <w:r w:rsidRPr="00CE053A">
              <w:rPr>
                <w:noProof/>
                <w:webHidden/>
              </w:rPr>
              <w:fldChar w:fldCharType="separate"/>
            </w:r>
            <w:r w:rsidR="002A6CBC">
              <w:rPr>
                <w:noProof/>
                <w:webHidden/>
              </w:rPr>
              <w:t>6</w:t>
            </w:r>
            <w:r w:rsidRPr="00CE053A">
              <w:rPr>
                <w:noProof/>
                <w:webHidden/>
              </w:rPr>
              <w:fldChar w:fldCharType="end"/>
            </w:r>
          </w:hyperlink>
        </w:p>
        <w:p w14:paraId="78BBD4C8" w14:textId="1D49B5FD" w:rsidR="001A65AB" w:rsidRPr="00CE053A" w:rsidRDefault="001A65AB">
          <w:pPr>
            <w:pStyle w:val="TOC1"/>
            <w:tabs>
              <w:tab w:val="right" w:leader="dot" w:pos="9016"/>
            </w:tabs>
            <w:rPr>
              <w:rFonts w:eastAsiaTheme="minorEastAsia"/>
              <w:noProof/>
              <w:lang w:eastAsia="en-GB"/>
            </w:rPr>
          </w:pPr>
          <w:hyperlink w:anchor="_Toc224984239" w:history="1">
            <w:r w:rsidRPr="00CE053A">
              <w:rPr>
                <w:rStyle w:val="Hyperlink"/>
                <w:noProof/>
                <w:color w:val="auto"/>
              </w:rPr>
              <w:t>Global Level</w:t>
            </w:r>
            <w:r w:rsidRPr="00CE053A">
              <w:rPr>
                <w:noProof/>
                <w:webHidden/>
              </w:rPr>
              <w:tab/>
            </w:r>
          </w:hyperlink>
          <w:r w:rsidR="00240CE5">
            <w:rPr>
              <w:rStyle w:val="Hyperlink"/>
              <w:noProof/>
              <w:color w:val="auto"/>
            </w:rPr>
            <w:t>6,7</w:t>
          </w:r>
        </w:p>
        <w:p w14:paraId="58DEFFDB" w14:textId="5CB0B61F" w:rsidR="001A65AB" w:rsidRPr="00CE053A" w:rsidRDefault="001A65AB">
          <w:pPr>
            <w:pStyle w:val="TOC1"/>
            <w:tabs>
              <w:tab w:val="right" w:leader="dot" w:pos="9016"/>
            </w:tabs>
            <w:rPr>
              <w:rFonts w:eastAsiaTheme="minorEastAsia"/>
              <w:noProof/>
              <w:lang w:eastAsia="en-GB"/>
            </w:rPr>
          </w:pPr>
          <w:hyperlink w:anchor="_Toc224984240" w:history="1">
            <w:r w:rsidRPr="00CE053A">
              <w:rPr>
                <w:rStyle w:val="Hyperlink"/>
                <w:noProof/>
                <w:color w:val="auto"/>
              </w:rPr>
              <w:t>National Level</w:t>
            </w:r>
            <w:r w:rsidRPr="00CE053A">
              <w:rPr>
                <w:noProof/>
                <w:webHidden/>
              </w:rPr>
              <w:tab/>
            </w:r>
            <w:r w:rsidRPr="00CE053A">
              <w:rPr>
                <w:noProof/>
                <w:webHidden/>
              </w:rPr>
              <w:fldChar w:fldCharType="begin"/>
            </w:r>
            <w:r w:rsidRPr="00CE053A">
              <w:rPr>
                <w:noProof/>
                <w:webHidden/>
              </w:rPr>
              <w:instrText xml:space="preserve"> PAGEREF _Toc224984240 \h </w:instrText>
            </w:r>
            <w:r w:rsidRPr="00CE053A">
              <w:rPr>
                <w:noProof/>
                <w:webHidden/>
              </w:rPr>
            </w:r>
            <w:r w:rsidRPr="00CE053A">
              <w:rPr>
                <w:noProof/>
                <w:webHidden/>
              </w:rPr>
              <w:fldChar w:fldCharType="separate"/>
            </w:r>
            <w:r w:rsidR="002A6CBC">
              <w:rPr>
                <w:noProof/>
                <w:webHidden/>
              </w:rPr>
              <w:t>7</w:t>
            </w:r>
            <w:r w:rsidRPr="00CE053A">
              <w:rPr>
                <w:noProof/>
                <w:webHidden/>
              </w:rPr>
              <w:fldChar w:fldCharType="end"/>
            </w:r>
          </w:hyperlink>
        </w:p>
        <w:p w14:paraId="7E0A507E" w14:textId="147BF0EB" w:rsidR="001A65AB" w:rsidRPr="00CE053A" w:rsidRDefault="001A65AB">
          <w:pPr>
            <w:pStyle w:val="TOC1"/>
            <w:tabs>
              <w:tab w:val="right" w:leader="dot" w:pos="9016"/>
            </w:tabs>
            <w:rPr>
              <w:rFonts w:eastAsiaTheme="minorEastAsia"/>
              <w:noProof/>
              <w:lang w:eastAsia="en-GB"/>
            </w:rPr>
          </w:pPr>
          <w:hyperlink w:anchor="_Toc224984241" w:history="1">
            <w:r w:rsidRPr="00CE053A">
              <w:rPr>
                <w:rStyle w:val="Hyperlink"/>
                <w:noProof/>
                <w:color w:val="auto"/>
              </w:rPr>
              <w:t>Local Level</w:t>
            </w:r>
            <w:r w:rsidRPr="00CE053A">
              <w:rPr>
                <w:noProof/>
                <w:webHidden/>
              </w:rPr>
              <w:tab/>
            </w:r>
            <w:r w:rsidRPr="00CE053A">
              <w:rPr>
                <w:noProof/>
                <w:webHidden/>
              </w:rPr>
              <w:fldChar w:fldCharType="begin"/>
            </w:r>
            <w:r w:rsidRPr="00CE053A">
              <w:rPr>
                <w:noProof/>
                <w:webHidden/>
              </w:rPr>
              <w:instrText xml:space="preserve"> PAGEREF _Toc224984241 \h </w:instrText>
            </w:r>
            <w:r w:rsidRPr="00CE053A">
              <w:rPr>
                <w:noProof/>
                <w:webHidden/>
              </w:rPr>
            </w:r>
            <w:r w:rsidRPr="00CE053A">
              <w:rPr>
                <w:noProof/>
                <w:webHidden/>
              </w:rPr>
              <w:fldChar w:fldCharType="separate"/>
            </w:r>
            <w:r w:rsidR="002A6CBC">
              <w:rPr>
                <w:noProof/>
                <w:webHidden/>
              </w:rPr>
              <w:t>7</w:t>
            </w:r>
            <w:r w:rsidRPr="00CE053A">
              <w:rPr>
                <w:noProof/>
                <w:webHidden/>
              </w:rPr>
              <w:fldChar w:fldCharType="end"/>
            </w:r>
          </w:hyperlink>
          <w:r w:rsidR="004067B2">
            <w:rPr>
              <w:rStyle w:val="Hyperlink"/>
              <w:noProof/>
              <w:color w:val="auto"/>
            </w:rPr>
            <w:t>,8</w:t>
          </w:r>
        </w:p>
        <w:p w14:paraId="6CBEED1A" w14:textId="3396440D" w:rsidR="001A65AB" w:rsidRPr="00CE053A" w:rsidRDefault="001A65AB">
          <w:pPr>
            <w:pStyle w:val="TOC1"/>
            <w:tabs>
              <w:tab w:val="right" w:leader="dot" w:pos="9016"/>
            </w:tabs>
            <w:rPr>
              <w:rFonts w:eastAsiaTheme="minorEastAsia"/>
              <w:noProof/>
              <w:lang w:eastAsia="en-GB"/>
            </w:rPr>
          </w:pPr>
          <w:hyperlink w:anchor="_Toc224984242" w:history="1">
            <w:r w:rsidRPr="00CE053A">
              <w:rPr>
                <w:rStyle w:val="Hyperlink"/>
                <w:noProof/>
                <w:color w:val="auto"/>
              </w:rPr>
              <w:t>Critical Analysis</w:t>
            </w:r>
            <w:r w:rsidRPr="00CE053A">
              <w:rPr>
                <w:noProof/>
                <w:webHidden/>
              </w:rPr>
              <w:tab/>
            </w:r>
            <w:r w:rsidRPr="00CE053A">
              <w:rPr>
                <w:noProof/>
                <w:webHidden/>
              </w:rPr>
              <w:fldChar w:fldCharType="begin"/>
            </w:r>
            <w:r w:rsidRPr="00CE053A">
              <w:rPr>
                <w:noProof/>
                <w:webHidden/>
              </w:rPr>
              <w:instrText xml:space="preserve"> PAGEREF _Toc224984242 \h </w:instrText>
            </w:r>
            <w:r w:rsidRPr="00CE053A">
              <w:rPr>
                <w:noProof/>
                <w:webHidden/>
              </w:rPr>
            </w:r>
            <w:r w:rsidRPr="00CE053A">
              <w:rPr>
                <w:noProof/>
                <w:webHidden/>
              </w:rPr>
              <w:fldChar w:fldCharType="separate"/>
            </w:r>
            <w:r w:rsidR="002A6CBC">
              <w:rPr>
                <w:noProof/>
                <w:webHidden/>
              </w:rPr>
              <w:t>8</w:t>
            </w:r>
            <w:r w:rsidRPr="00CE053A">
              <w:rPr>
                <w:noProof/>
                <w:webHidden/>
              </w:rPr>
              <w:fldChar w:fldCharType="end"/>
            </w:r>
          </w:hyperlink>
        </w:p>
        <w:p w14:paraId="739AFE0C" w14:textId="382CD808" w:rsidR="001A65AB" w:rsidRPr="00CE053A" w:rsidRDefault="001A65AB">
          <w:pPr>
            <w:pStyle w:val="TOC1"/>
            <w:tabs>
              <w:tab w:val="right" w:leader="dot" w:pos="9016"/>
            </w:tabs>
            <w:rPr>
              <w:rFonts w:eastAsiaTheme="minorEastAsia"/>
              <w:noProof/>
              <w:lang w:eastAsia="en-GB"/>
            </w:rPr>
          </w:pPr>
          <w:hyperlink w:anchor="_Toc224984243" w:history="1">
            <w:r w:rsidRPr="00CE053A">
              <w:rPr>
                <w:rStyle w:val="Hyperlink"/>
                <w:noProof/>
                <w:color w:val="auto"/>
              </w:rPr>
              <w:t>National and Local Initiatives</w:t>
            </w:r>
            <w:r w:rsidRPr="00CE053A">
              <w:rPr>
                <w:noProof/>
                <w:webHidden/>
              </w:rPr>
              <w:tab/>
            </w:r>
            <w:r w:rsidRPr="00CE053A">
              <w:rPr>
                <w:noProof/>
                <w:webHidden/>
              </w:rPr>
              <w:fldChar w:fldCharType="begin"/>
            </w:r>
            <w:r w:rsidRPr="00CE053A">
              <w:rPr>
                <w:noProof/>
                <w:webHidden/>
              </w:rPr>
              <w:instrText xml:space="preserve"> PAGEREF _Toc224984243 \h </w:instrText>
            </w:r>
            <w:r w:rsidRPr="00CE053A">
              <w:rPr>
                <w:noProof/>
                <w:webHidden/>
              </w:rPr>
            </w:r>
            <w:r w:rsidRPr="00CE053A">
              <w:rPr>
                <w:noProof/>
                <w:webHidden/>
              </w:rPr>
              <w:fldChar w:fldCharType="separate"/>
            </w:r>
            <w:r w:rsidR="002A6CBC">
              <w:rPr>
                <w:noProof/>
                <w:webHidden/>
              </w:rPr>
              <w:t>8</w:t>
            </w:r>
            <w:r w:rsidRPr="00CE053A">
              <w:rPr>
                <w:noProof/>
                <w:webHidden/>
              </w:rPr>
              <w:fldChar w:fldCharType="end"/>
            </w:r>
          </w:hyperlink>
          <w:r w:rsidR="00A00FB2" w:rsidRPr="00CE053A">
            <w:rPr>
              <w:rStyle w:val="Hyperlink"/>
              <w:noProof/>
              <w:color w:val="auto"/>
            </w:rPr>
            <w:t>,</w:t>
          </w:r>
        </w:p>
        <w:p w14:paraId="1C10F917" w14:textId="63406342" w:rsidR="001A65AB" w:rsidRPr="00CE053A" w:rsidRDefault="001A65AB">
          <w:pPr>
            <w:pStyle w:val="TOC1"/>
            <w:tabs>
              <w:tab w:val="right" w:leader="dot" w:pos="9016"/>
            </w:tabs>
            <w:rPr>
              <w:rFonts w:eastAsiaTheme="minorEastAsia"/>
              <w:noProof/>
              <w:lang w:eastAsia="en-GB"/>
            </w:rPr>
          </w:pPr>
          <w:hyperlink w:anchor="_Toc224984244" w:history="1">
            <w:r w:rsidRPr="00CE053A">
              <w:rPr>
                <w:rStyle w:val="Hyperlink"/>
                <w:noProof/>
                <w:color w:val="auto"/>
              </w:rPr>
              <w:t>Critical Analysis</w:t>
            </w:r>
            <w:r w:rsidRPr="00CE053A">
              <w:rPr>
                <w:noProof/>
                <w:webHidden/>
              </w:rPr>
              <w:tab/>
            </w:r>
            <w:r w:rsidRPr="00CE053A">
              <w:rPr>
                <w:noProof/>
                <w:webHidden/>
              </w:rPr>
              <w:fldChar w:fldCharType="begin"/>
            </w:r>
            <w:r w:rsidRPr="00CE053A">
              <w:rPr>
                <w:noProof/>
                <w:webHidden/>
              </w:rPr>
              <w:instrText xml:space="preserve"> PAGEREF _Toc224984244 \h </w:instrText>
            </w:r>
            <w:r w:rsidRPr="00CE053A">
              <w:rPr>
                <w:noProof/>
                <w:webHidden/>
              </w:rPr>
            </w:r>
            <w:r w:rsidRPr="00CE053A">
              <w:rPr>
                <w:noProof/>
                <w:webHidden/>
              </w:rPr>
              <w:fldChar w:fldCharType="separate"/>
            </w:r>
            <w:r w:rsidR="002A6CBC">
              <w:rPr>
                <w:noProof/>
                <w:webHidden/>
              </w:rPr>
              <w:t>8</w:t>
            </w:r>
            <w:r w:rsidRPr="00CE053A">
              <w:rPr>
                <w:noProof/>
                <w:webHidden/>
              </w:rPr>
              <w:fldChar w:fldCharType="end"/>
            </w:r>
          </w:hyperlink>
          <w:r w:rsidR="0017409A">
            <w:rPr>
              <w:rStyle w:val="Hyperlink"/>
              <w:noProof/>
              <w:color w:val="auto"/>
            </w:rPr>
            <w:t>,9</w:t>
          </w:r>
        </w:p>
        <w:p w14:paraId="52309C07" w14:textId="5975C016" w:rsidR="001A65AB" w:rsidRDefault="001A65AB">
          <w:pPr>
            <w:pStyle w:val="TOC1"/>
            <w:tabs>
              <w:tab w:val="right" w:leader="dot" w:pos="9016"/>
            </w:tabs>
            <w:rPr>
              <w:rFonts w:eastAsiaTheme="minorEastAsia"/>
              <w:noProof/>
              <w:lang w:eastAsia="en-GB"/>
            </w:rPr>
          </w:pPr>
          <w:hyperlink w:anchor="_Toc224984245" w:history="1">
            <w:r w:rsidRPr="00CE053A">
              <w:rPr>
                <w:rStyle w:val="Hyperlink"/>
                <w:noProof/>
                <w:color w:val="auto"/>
              </w:rPr>
              <w:t>Recommendations for Improvement</w:t>
            </w:r>
            <w:r w:rsidRPr="00CE053A">
              <w:rPr>
                <w:noProof/>
                <w:webHidden/>
              </w:rPr>
              <w:tab/>
            </w:r>
            <w:r w:rsidRPr="00CE053A">
              <w:rPr>
                <w:noProof/>
                <w:webHidden/>
              </w:rPr>
              <w:fldChar w:fldCharType="begin"/>
            </w:r>
            <w:r w:rsidRPr="00CE053A">
              <w:rPr>
                <w:noProof/>
                <w:webHidden/>
              </w:rPr>
              <w:instrText xml:space="preserve"> PAGEREF _Toc224984245 \h </w:instrText>
            </w:r>
            <w:r w:rsidRPr="00CE053A">
              <w:rPr>
                <w:noProof/>
                <w:webHidden/>
              </w:rPr>
            </w:r>
            <w:r w:rsidRPr="00CE053A">
              <w:rPr>
                <w:noProof/>
                <w:webHidden/>
              </w:rPr>
              <w:fldChar w:fldCharType="separate"/>
            </w:r>
            <w:r w:rsidR="002A6CBC">
              <w:rPr>
                <w:noProof/>
                <w:webHidden/>
              </w:rPr>
              <w:t>9</w:t>
            </w:r>
            <w:r w:rsidRPr="00CE053A">
              <w:rPr>
                <w:noProof/>
                <w:webHidden/>
              </w:rPr>
              <w:fldChar w:fldCharType="end"/>
            </w:r>
          </w:hyperlink>
        </w:p>
        <w:p w14:paraId="529EFD5D" w14:textId="0200E672" w:rsidR="001A65AB" w:rsidRDefault="001A65AB">
          <w:pPr>
            <w:pStyle w:val="TOC1"/>
            <w:tabs>
              <w:tab w:val="right" w:leader="dot" w:pos="9016"/>
            </w:tabs>
            <w:rPr>
              <w:rStyle w:val="Hyperlink"/>
              <w:noProof/>
            </w:rPr>
          </w:pPr>
          <w:r w:rsidRPr="00CC5E63">
            <w:rPr>
              <w:rStyle w:val="Hyperlink"/>
              <w:noProof/>
              <w:color w:val="auto"/>
              <w:u w:val="none"/>
            </w:rPr>
            <w:t>Conclusion</w:t>
          </w:r>
          <w:r>
            <w:rPr>
              <w:noProof/>
              <w:webHidden/>
            </w:rPr>
            <w:tab/>
          </w:r>
          <w:r w:rsidR="00445E39">
            <w:rPr>
              <w:noProof/>
              <w:webHidden/>
            </w:rPr>
            <w:t>9,</w:t>
          </w:r>
          <w:r w:rsidR="002A1B58">
            <w:rPr>
              <w:rStyle w:val="Hyperlink"/>
              <w:noProof/>
            </w:rPr>
            <w:t xml:space="preserve"> </w:t>
          </w:r>
        </w:p>
        <w:p w14:paraId="19DE14E9" w14:textId="72B38765" w:rsidR="002A1B58" w:rsidRPr="002A1B58" w:rsidRDefault="002A1B58" w:rsidP="002A1B58">
          <w:pPr>
            <w:rPr>
              <w:noProof/>
            </w:rPr>
          </w:pPr>
          <w:r>
            <w:rPr>
              <w:noProof/>
            </w:rPr>
            <w:t>References</w:t>
          </w:r>
          <w:r w:rsidR="002A6CBC">
            <w:rPr>
              <w:noProof/>
            </w:rPr>
            <w:t>…………………………………………………………………………………..</w:t>
          </w:r>
          <w:r>
            <w:rPr>
              <w:noProof/>
            </w:rPr>
            <w:t xml:space="preserve"> </w:t>
          </w:r>
          <w:r w:rsidR="00EE5C11">
            <w:rPr>
              <w:noProof/>
            </w:rPr>
            <w:t>10,11,12,13,14</w:t>
          </w:r>
        </w:p>
        <w:p w14:paraId="3DE50606" w14:textId="7DEAE85D" w:rsidR="001C311F" w:rsidRDefault="001C311F">
          <w:r>
            <w:rPr>
              <w:b/>
              <w:bCs/>
              <w:noProof/>
            </w:rPr>
            <w:fldChar w:fldCharType="end"/>
          </w:r>
        </w:p>
      </w:sdtContent>
    </w:sdt>
    <w:p w14:paraId="72BD4926" w14:textId="77777777" w:rsidR="00E45ABC" w:rsidRDefault="00E45ABC" w:rsidP="00C13164">
      <w:pPr>
        <w:pStyle w:val="Heading2"/>
      </w:pPr>
    </w:p>
    <w:p w14:paraId="01ECCEE4" w14:textId="77777777" w:rsidR="00E45ABC" w:rsidRDefault="00E45ABC" w:rsidP="00C13164">
      <w:pPr>
        <w:pStyle w:val="Heading2"/>
      </w:pPr>
    </w:p>
    <w:p w14:paraId="798700F7" w14:textId="77777777" w:rsidR="00E45ABC" w:rsidRDefault="00E45ABC" w:rsidP="00C13164">
      <w:pPr>
        <w:pStyle w:val="Heading2"/>
      </w:pPr>
    </w:p>
    <w:p w14:paraId="3DD550AD" w14:textId="77777777" w:rsidR="00B8436A" w:rsidRDefault="00B8436A" w:rsidP="00C13164">
      <w:pPr>
        <w:pStyle w:val="Heading2"/>
      </w:pPr>
    </w:p>
    <w:p w14:paraId="222301DA" w14:textId="77777777" w:rsidR="00F402F4" w:rsidRDefault="00F402F4" w:rsidP="00F402F4"/>
    <w:p w14:paraId="1BC5C78A" w14:textId="77777777" w:rsidR="00F402F4" w:rsidRPr="00F402F4" w:rsidRDefault="00F402F4" w:rsidP="00F402F4"/>
    <w:p w14:paraId="72D7C7A2" w14:textId="77777777" w:rsidR="00F402F4" w:rsidRPr="00903D85" w:rsidRDefault="00092272" w:rsidP="00903D85">
      <w:pPr>
        <w:pStyle w:val="Heading2"/>
        <w:spacing w:line="360" w:lineRule="auto"/>
        <w:rPr>
          <w:rFonts w:ascii="Ariel" w:hAnsi="Ariel"/>
          <w:b/>
          <w:bCs/>
          <w:color w:val="auto"/>
          <w:sz w:val="22"/>
          <w:szCs w:val="22"/>
          <w:u w:val="single"/>
        </w:rPr>
      </w:pPr>
      <w:bookmarkStart w:id="0" w:name="_Toc224984196"/>
      <w:bookmarkStart w:id="1" w:name="_Toc224984229"/>
      <w:r w:rsidRPr="00903D85">
        <w:rPr>
          <w:rFonts w:ascii="Ariel" w:hAnsi="Ariel"/>
          <w:b/>
          <w:bCs/>
          <w:color w:val="auto"/>
          <w:sz w:val="22"/>
          <w:szCs w:val="22"/>
          <w:u w:val="single"/>
        </w:rPr>
        <w:lastRenderedPageBreak/>
        <w:t xml:space="preserve">Health, Well-being, and Sustainability </w:t>
      </w:r>
      <w:r w:rsidR="00495A45" w:rsidRPr="00903D85">
        <w:rPr>
          <w:rFonts w:ascii="Ariel" w:hAnsi="Ariel"/>
          <w:b/>
          <w:bCs/>
          <w:color w:val="auto"/>
          <w:sz w:val="22"/>
          <w:szCs w:val="22"/>
          <w:u w:val="single"/>
        </w:rPr>
        <w:t>Development</w:t>
      </w:r>
      <w:bookmarkEnd w:id="0"/>
      <w:bookmarkEnd w:id="1"/>
      <w:r w:rsidR="00495A45" w:rsidRPr="00903D85">
        <w:rPr>
          <w:rFonts w:ascii="Ariel" w:hAnsi="Ariel"/>
          <w:b/>
          <w:bCs/>
          <w:color w:val="auto"/>
          <w:sz w:val="22"/>
          <w:szCs w:val="22"/>
          <w:u w:val="single"/>
        </w:rPr>
        <w:t xml:space="preserve"> </w:t>
      </w:r>
    </w:p>
    <w:p w14:paraId="55A2014D" w14:textId="1DAC3772" w:rsidR="00AF5A66" w:rsidRPr="00903D85" w:rsidRDefault="00AF5A66" w:rsidP="00903D85">
      <w:pPr>
        <w:pStyle w:val="Heading2"/>
        <w:spacing w:line="360" w:lineRule="auto"/>
        <w:rPr>
          <w:rFonts w:ascii="Ariel" w:hAnsi="Ariel"/>
          <w:b/>
          <w:bCs/>
          <w:color w:val="auto"/>
          <w:sz w:val="22"/>
          <w:szCs w:val="22"/>
          <w:u w:val="single"/>
        </w:rPr>
      </w:pPr>
      <w:bookmarkStart w:id="2" w:name="_Toc224984230"/>
      <w:r w:rsidRPr="00903D85">
        <w:rPr>
          <w:rFonts w:ascii="Ariel" w:hAnsi="Ariel"/>
          <w:b/>
          <w:bCs/>
          <w:color w:val="auto"/>
          <w:sz w:val="22"/>
          <w:szCs w:val="22"/>
          <w:u w:val="single"/>
        </w:rPr>
        <w:t>Introduction</w:t>
      </w:r>
      <w:bookmarkEnd w:id="2"/>
    </w:p>
    <w:p w14:paraId="4318C8C1" w14:textId="57E56D6E" w:rsidR="00AF5A66" w:rsidRPr="00903D85" w:rsidRDefault="00AF5A66" w:rsidP="00903D85">
      <w:pPr>
        <w:spacing w:line="360" w:lineRule="auto"/>
        <w:rPr>
          <w:rFonts w:ascii="Ariel" w:hAnsi="Ariel" w:cs="Arial"/>
          <w:sz w:val="22"/>
          <w:szCs w:val="22"/>
        </w:rPr>
      </w:pPr>
      <w:r w:rsidRPr="00903D85">
        <w:rPr>
          <w:rFonts w:ascii="Ariel" w:hAnsi="Ariel" w:cs="Arial"/>
          <w:sz w:val="22"/>
          <w:szCs w:val="22"/>
        </w:rPr>
        <w:t xml:space="preserve">Health, well-being, and sustainability </w:t>
      </w:r>
      <w:r w:rsidR="00F56276" w:rsidRPr="00903D85">
        <w:rPr>
          <w:rFonts w:ascii="Ariel" w:hAnsi="Ariel" w:cs="Arial"/>
          <w:sz w:val="22"/>
          <w:szCs w:val="22"/>
        </w:rPr>
        <w:t xml:space="preserve">development </w:t>
      </w:r>
      <w:r w:rsidRPr="00903D85">
        <w:rPr>
          <w:rFonts w:ascii="Ariel" w:hAnsi="Ariel" w:cs="Arial"/>
          <w:sz w:val="22"/>
          <w:szCs w:val="22"/>
        </w:rPr>
        <w:t xml:space="preserve">are intrinsically linked to social, economic, and environmental determinants across global, national, and local levels. Governments, international organisations, and communities have developed a range of policies and initiatives aimed at enhancing the quality of life and ensuring long-term sustainability. The Sustainable Development Goals (SDGs) constitute a globally recognised framework for addressing these challenges, with </w:t>
      </w:r>
      <w:r w:rsidR="00464DFA" w:rsidRPr="00903D85">
        <w:rPr>
          <w:rFonts w:ascii="Ariel" w:hAnsi="Ariel" w:cs="Arial"/>
          <w:sz w:val="22"/>
          <w:szCs w:val="22"/>
        </w:rPr>
        <w:t>relevance</w:t>
      </w:r>
      <w:r w:rsidRPr="00903D85">
        <w:rPr>
          <w:rFonts w:ascii="Ariel" w:hAnsi="Ariel" w:cs="Arial"/>
          <w:sz w:val="22"/>
          <w:szCs w:val="22"/>
        </w:rPr>
        <w:t xml:space="preserve"> attributed to SDG 3: Good Health and Well-being, which seeks to ensure healthy lives and promote well-being for all at all ages </w:t>
      </w:r>
      <w:r w:rsidR="002D7D10" w:rsidRPr="00903D85">
        <w:rPr>
          <w:rFonts w:ascii="Ariel" w:hAnsi="Ariel" w:cs="Arial"/>
          <w:sz w:val="22"/>
          <w:szCs w:val="22"/>
        </w:rPr>
        <w:t xml:space="preserve">(Macassa, 2021). </w:t>
      </w:r>
      <w:r w:rsidRPr="00903D85">
        <w:rPr>
          <w:rFonts w:ascii="Ariel" w:hAnsi="Ariel" w:cs="Arial"/>
          <w:sz w:val="22"/>
          <w:szCs w:val="22"/>
        </w:rPr>
        <w:t>The interdependence of environmental sustainability and public health is further reflected in SDG 13: Climate Action (Intergovernmental Panel on Climate Change, 2022)</w:t>
      </w:r>
      <w:r w:rsidR="00744E73" w:rsidRPr="00903D85">
        <w:rPr>
          <w:rFonts w:ascii="Ariel" w:hAnsi="Ariel" w:cs="Arial"/>
          <w:sz w:val="22"/>
          <w:szCs w:val="22"/>
        </w:rPr>
        <w:t>.</w:t>
      </w:r>
      <w:r w:rsidRPr="00903D85">
        <w:rPr>
          <w:rFonts w:ascii="Ariel" w:hAnsi="Ariel" w:cs="Arial"/>
          <w:sz w:val="22"/>
          <w:szCs w:val="22"/>
        </w:rPr>
        <w:t xml:space="preserve"> Climate change, environmental degradation, and pollution have increasingly been identified as critical determinants of health outcomes at the global level </w:t>
      </w:r>
      <w:r w:rsidR="003E51D3" w:rsidRPr="00903D85">
        <w:rPr>
          <w:rFonts w:ascii="Ariel" w:hAnsi="Ariel" w:cs="Arial"/>
          <w:sz w:val="22"/>
          <w:szCs w:val="22"/>
        </w:rPr>
        <w:t>(Arora and Mishra, 2023).</w:t>
      </w:r>
    </w:p>
    <w:p w14:paraId="1EB531EB" w14:textId="77777777" w:rsidR="00077F08" w:rsidRPr="00903D85" w:rsidRDefault="00AF5A66" w:rsidP="00903D85">
      <w:pPr>
        <w:spacing w:line="360" w:lineRule="auto"/>
        <w:rPr>
          <w:rFonts w:ascii="Ariel" w:hAnsi="Ariel" w:cs="Arial"/>
          <w:sz w:val="22"/>
          <w:szCs w:val="22"/>
        </w:rPr>
      </w:pPr>
      <w:r w:rsidRPr="00903D85">
        <w:rPr>
          <w:rFonts w:ascii="Ariel" w:hAnsi="Ariel" w:cs="Arial"/>
          <w:sz w:val="22"/>
          <w:szCs w:val="22"/>
        </w:rPr>
        <w:t>This report critically examines current health, well-being, and sustainability policies and initiatives as they affect citizens across global, national, and local contexts. Specifically, it analyses the impact of SDG 3 and SDG 13 on citizen health and well-being, evaluates national and local health and sustainability initiatives, and advances recommendations for enhancing their effectiveness. The report draws upon evidence from peer-reviewed research, government reports, and international health frameworks, engaging critically with both achievements and areas requiring further development (World Health Organisation, 2023</w:t>
      </w:r>
      <w:r w:rsidR="00AD1340" w:rsidRPr="00903D85">
        <w:rPr>
          <w:rFonts w:ascii="Ariel" w:hAnsi="Ariel" w:cs="Arial"/>
          <w:sz w:val="22"/>
          <w:szCs w:val="22"/>
        </w:rPr>
        <w:t>a</w:t>
      </w:r>
      <w:r w:rsidRPr="00903D85">
        <w:rPr>
          <w:rFonts w:ascii="Ariel" w:hAnsi="Ariel" w:cs="Arial"/>
          <w:sz w:val="22"/>
          <w:szCs w:val="22"/>
        </w:rPr>
        <w:t>).</w:t>
      </w:r>
    </w:p>
    <w:p w14:paraId="1DB695A0" w14:textId="1F99902B" w:rsidR="00AF5A66" w:rsidRPr="00903D85" w:rsidRDefault="00AF5A66" w:rsidP="00903D85">
      <w:pPr>
        <w:spacing w:line="360" w:lineRule="auto"/>
        <w:rPr>
          <w:rStyle w:val="Heading1Char"/>
          <w:rFonts w:ascii="Ariel" w:eastAsiaTheme="minorHAnsi" w:hAnsi="Ariel" w:cs="Arial"/>
          <w:b/>
          <w:bCs/>
          <w:color w:val="auto"/>
          <w:sz w:val="22"/>
          <w:szCs w:val="22"/>
          <w:u w:val="single"/>
        </w:rPr>
      </w:pPr>
      <w:bookmarkStart w:id="3" w:name="_Toc224984231"/>
      <w:r w:rsidRPr="00903D85">
        <w:rPr>
          <w:rStyle w:val="Heading1Char"/>
          <w:rFonts w:ascii="Ariel" w:hAnsi="Ariel"/>
          <w:b/>
          <w:bCs/>
          <w:color w:val="auto"/>
          <w:sz w:val="22"/>
          <w:szCs w:val="22"/>
          <w:u w:val="single"/>
        </w:rPr>
        <w:t>SDG 3: Good Health and Well-being</w:t>
      </w:r>
      <w:bookmarkEnd w:id="3"/>
    </w:p>
    <w:p w14:paraId="7155E2B9" w14:textId="394D8726" w:rsidR="00704768" w:rsidRPr="00903D85" w:rsidRDefault="00704768" w:rsidP="00903D85">
      <w:pPr>
        <w:spacing w:line="360" w:lineRule="auto"/>
        <w:rPr>
          <w:rFonts w:ascii="Ariel" w:hAnsi="Ariel" w:cs="Arial"/>
          <w:sz w:val="22"/>
          <w:szCs w:val="22"/>
        </w:rPr>
      </w:pPr>
      <w:r w:rsidRPr="00903D85">
        <w:rPr>
          <w:rFonts w:ascii="Ariel" w:hAnsi="Ariel" w:cs="Arial"/>
          <w:sz w:val="22"/>
          <w:szCs w:val="22"/>
        </w:rPr>
        <w:t>SDG 3 aims to ensure healthy lives and promote well</w:t>
      </w:r>
      <w:r w:rsidRPr="00903D85">
        <w:rPr>
          <w:rFonts w:ascii="Ariel" w:hAnsi="Ariel" w:cs="Cambria Math"/>
          <w:sz w:val="22"/>
          <w:szCs w:val="22"/>
        </w:rPr>
        <w:t>‑</w:t>
      </w:r>
      <w:r w:rsidRPr="00903D85">
        <w:rPr>
          <w:rFonts w:ascii="Ariel" w:hAnsi="Ariel" w:cs="Arial"/>
          <w:sz w:val="22"/>
          <w:szCs w:val="22"/>
        </w:rPr>
        <w:t>being for all ages by reducing maternal and child mortality, combating communicable and non</w:t>
      </w:r>
      <w:r w:rsidRPr="00903D85">
        <w:rPr>
          <w:rFonts w:ascii="Ariel" w:hAnsi="Ariel" w:cs="Cambria Math"/>
          <w:sz w:val="22"/>
          <w:szCs w:val="22"/>
        </w:rPr>
        <w:t>‑</w:t>
      </w:r>
      <w:r w:rsidRPr="00903D85">
        <w:rPr>
          <w:rFonts w:ascii="Ariel" w:hAnsi="Ariel" w:cs="Arial"/>
          <w:sz w:val="22"/>
          <w:szCs w:val="22"/>
        </w:rPr>
        <w:t xml:space="preserve">communicable diseases, and improving access to essential health services </w:t>
      </w:r>
      <w:r w:rsidR="001137B3" w:rsidRPr="00903D85">
        <w:rPr>
          <w:rFonts w:ascii="Ariel" w:hAnsi="Ariel" w:cs="Arial"/>
          <w:sz w:val="22"/>
          <w:szCs w:val="22"/>
        </w:rPr>
        <w:t>(Skevington, Dogra and Elwan, 2018).</w:t>
      </w:r>
    </w:p>
    <w:p w14:paraId="388E6CEE" w14:textId="417CF1D2" w:rsidR="00AF5A66" w:rsidRPr="00903D85" w:rsidRDefault="00AF5A66" w:rsidP="00903D85">
      <w:pPr>
        <w:pStyle w:val="Heading1"/>
        <w:spacing w:line="360" w:lineRule="auto"/>
        <w:rPr>
          <w:rFonts w:ascii="Ariel" w:hAnsi="Ariel"/>
          <w:b/>
          <w:bCs/>
          <w:color w:val="auto"/>
          <w:sz w:val="22"/>
          <w:szCs w:val="22"/>
          <w:u w:val="single"/>
        </w:rPr>
      </w:pPr>
      <w:bookmarkStart w:id="4" w:name="_Toc224984232"/>
      <w:r w:rsidRPr="00903D85">
        <w:rPr>
          <w:rFonts w:ascii="Ariel" w:hAnsi="Ariel"/>
          <w:b/>
          <w:bCs/>
          <w:color w:val="auto"/>
          <w:sz w:val="22"/>
          <w:szCs w:val="22"/>
          <w:u w:val="single"/>
        </w:rPr>
        <w:t>Global Level</w:t>
      </w:r>
      <w:bookmarkEnd w:id="4"/>
    </w:p>
    <w:p w14:paraId="09BD0912" w14:textId="701EBA75" w:rsidR="009C461C" w:rsidRPr="00903D85" w:rsidRDefault="009C461C" w:rsidP="00903D85">
      <w:pPr>
        <w:spacing w:line="360" w:lineRule="auto"/>
        <w:rPr>
          <w:rFonts w:ascii="Ariel" w:hAnsi="Ariel" w:cs="Arial"/>
          <w:sz w:val="22"/>
          <w:szCs w:val="22"/>
        </w:rPr>
      </w:pPr>
      <w:r w:rsidRPr="00903D85">
        <w:rPr>
          <w:rFonts w:ascii="Ariel" w:hAnsi="Ariel" w:cs="Arial"/>
          <w:sz w:val="22"/>
          <w:szCs w:val="22"/>
        </w:rPr>
        <w:t>Programs such as Universal Health Coverage (UHC) aim to reduce health inequities by guaranteeing access to essential healthcare without financial hardship (World Bank, 2023</w:t>
      </w:r>
      <w:r w:rsidR="00143D3E" w:rsidRPr="00903D85">
        <w:rPr>
          <w:rFonts w:ascii="Ariel" w:hAnsi="Ariel" w:cs="Arial"/>
          <w:sz w:val="22"/>
          <w:szCs w:val="22"/>
        </w:rPr>
        <w:t>a</w:t>
      </w:r>
      <w:r w:rsidRPr="00903D85">
        <w:rPr>
          <w:rFonts w:ascii="Ariel" w:hAnsi="Ariel" w:cs="Arial"/>
          <w:sz w:val="22"/>
          <w:szCs w:val="22"/>
        </w:rPr>
        <w:t>). International immunisation programs and disease surveillance have significantly improved global health outcomes</w:t>
      </w:r>
      <w:r w:rsidR="00E41525" w:rsidRPr="00903D85">
        <w:rPr>
          <w:rFonts w:ascii="Ariel" w:hAnsi="Ariel" w:cs="Arial"/>
          <w:sz w:val="22"/>
          <w:szCs w:val="22"/>
        </w:rPr>
        <w:t xml:space="preserve"> </w:t>
      </w:r>
      <w:r w:rsidR="000C3560" w:rsidRPr="00903D85">
        <w:rPr>
          <w:rFonts w:ascii="Ariel" w:hAnsi="Ariel" w:cs="Arial"/>
          <w:sz w:val="22"/>
          <w:szCs w:val="22"/>
        </w:rPr>
        <w:t>(Koohpayezadeh et al., 2021)</w:t>
      </w:r>
      <w:r w:rsidR="00E41525" w:rsidRPr="00903D85">
        <w:rPr>
          <w:rFonts w:ascii="Ariel" w:hAnsi="Ariel" w:cs="Arial"/>
          <w:sz w:val="22"/>
          <w:szCs w:val="22"/>
        </w:rPr>
        <w:t xml:space="preserve">. </w:t>
      </w:r>
      <w:r w:rsidRPr="00903D85">
        <w:rPr>
          <w:rFonts w:ascii="Ariel" w:hAnsi="Ariel" w:cs="Arial"/>
          <w:sz w:val="22"/>
          <w:szCs w:val="22"/>
        </w:rPr>
        <w:t>Expanded vaccination coverage, lower child mortality, and improved infectious disease management have resulted from coordinated global actions</w:t>
      </w:r>
      <w:r w:rsidR="00143D3E" w:rsidRPr="00903D85">
        <w:rPr>
          <w:rFonts w:ascii="Ariel" w:hAnsi="Ariel" w:cs="Arial"/>
          <w:sz w:val="22"/>
          <w:szCs w:val="22"/>
        </w:rPr>
        <w:t>.</w:t>
      </w:r>
    </w:p>
    <w:p w14:paraId="3411B8CD" w14:textId="1912021F" w:rsidR="009C461C" w:rsidRPr="00903D85" w:rsidRDefault="009C461C" w:rsidP="00903D85">
      <w:pPr>
        <w:spacing w:line="360" w:lineRule="auto"/>
        <w:rPr>
          <w:rFonts w:ascii="Ariel" w:hAnsi="Ariel" w:cs="Arial"/>
          <w:sz w:val="22"/>
          <w:szCs w:val="22"/>
        </w:rPr>
      </w:pPr>
      <w:r w:rsidRPr="00903D85">
        <w:rPr>
          <w:rFonts w:ascii="Ariel" w:hAnsi="Ariel" w:cs="Arial"/>
          <w:sz w:val="22"/>
          <w:szCs w:val="22"/>
        </w:rPr>
        <w:lastRenderedPageBreak/>
        <w:t>Despite these achievements, progress remains uneven. Significant gaps persist in financial protection and service coverage in many low- and middle-income countries, where health systems are often overburdened and underfunded (World Bank, 2023</w:t>
      </w:r>
      <w:r w:rsidR="00143D3E" w:rsidRPr="00903D85">
        <w:rPr>
          <w:rFonts w:ascii="Ariel" w:hAnsi="Ariel" w:cs="Arial"/>
          <w:sz w:val="22"/>
          <w:szCs w:val="22"/>
        </w:rPr>
        <w:t>b</w:t>
      </w:r>
      <w:r w:rsidRPr="00903D85">
        <w:rPr>
          <w:rFonts w:ascii="Ariel" w:hAnsi="Ariel" w:cs="Arial"/>
          <w:sz w:val="22"/>
          <w:szCs w:val="22"/>
        </w:rPr>
        <w:t xml:space="preserve">). </w:t>
      </w:r>
      <w:r w:rsidR="006111AC" w:rsidRPr="00903D85">
        <w:rPr>
          <w:rFonts w:ascii="Ariel" w:hAnsi="Ariel" w:cs="Arial"/>
          <w:sz w:val="22"/>
          <w:szCs w:val="22"/>
        </w:rPr>
        <w:t>Vaccine disparities exposed by the COVID-19 pandemic reveal ongoing systemic inequities and resource limitations, despite international progress. The pandemic underscores the necessity for resilient health systems to effectively respond to global health emergencies, with countries having strong health systems and integrated policies managing challenges more successfully</w:t>
      </w:r>
      <w:r w:rsidR="00002DC4">
        <w:rPr>
          <w:rFonts w:ascii="Ariel" w:hAnsi="Ariel" w:cs="Arial"/>
          <w:sz w:val="22"/>
          <w:szCs w:val="22"/>
        </w:rPr>
        <w:t xml:space="preserve"> </w:t>
      </w:r>
      <w:r w:rsidR="00A74178" w:rsidRPr="00A74178">
        <w:rPr>
          <w:rFonts w:ascii="Ariel" w:hAnsi="Ariel" w:cs="Arial"/>
          <w:sz w:val="22"/>
          <w:szCs w:val="22"/>
        </w:rPr>
        <w:t>(Health systems resilience toolkit, n.d.)</w:t>
      </w:r>
      <w:r w:rsidR="00A74178">
        <w:rPr>
          <w:rFonts w:ascii="Ariel" w:hAnsi="Ariel" w:cs="Arial"/>
          <w:sz w:val="22"/>
          <w:szCs w:val="22"/>
        </w:rPr>
        <w:t>.</w:t>
      </w:r>
    </w:p>
    <w:p w14:paraId="594B3C11" w14:textId="77777777" w:rsidR="00AF5A66" w:rsidRPr="00903D85" w:rsidRDefault="00AF5A66" w:rsidP="00903D85">
      <w:pPr>
        <w:pStyle w:val="Heading1"/>
        <w:spacing w:line="360" w:lineRule="auto"/>
        <w:rPr>
          <w:rFonts w:ascii="Ariel" w:hAnsi="Ariel"/>
          <w:b/>
          <w:bCs/>
          <w:color w:val="auto"/>
          <w:sz w:val="22"/>
          <w:szCs w:val="22"/>
          <w:u w:val="single"/>
        </w:rPr>
      </w:pPr>
      <w:bookmarkStart w:id="5" w:name="_Toc224984233"/>
      <w:r w:rsidRPr="00903D85">
        <w:rPr>
          <w:rFonts w:ascii="Ariel" w:hAnsi="Ariel"/>
          <w:b/>
          <w:bCs/>
          <w:color w:val="auto"/>
          <w:sz w:val="22"/>
          <w:szCs w:val="22"/>
          <w:u w:val="single"/>
        </w:rPr>
        <w:t>National Level</w:t>
      </w:r>
      <w:bookmarkEnd w:id="5"/>
    </w:p>
    <w:p w14:paraId="24DCACFB" w14:textId="48E4E908" w:rsidR="00AF5A66" w:rsidRPr="00903D85" w:rsidRDefault="00782F54" w:rsidP="00903D85">
      <w:pPr>
        <w:spacing w:line="360" w:lineRule="auto"/>
        <w:rPr>
          <w:rFonts w:ascii="Ariel" w:hAnsi="Ariel" w:cs="Arial"/>
          <w:sz w:val="22"/>
          <w:szCs w:val="22"/>
        </w:rPr>
      </w:pPr>
      <w:r w:rsidRPr="00903D85">
        <w:rPr>
          <w:rFonts w:ascii="Ariel" w:hAnsi="Ariel" w:cs="Arial"/>
          <w:sz w:val="22"/>
          <w:szCs w:val="22"/>
        </w:rPr>
        <w:t>Governments enhance health through policies such as the UK's NHS Long Term Plan, which focuses on proactive healthcare, mental health support, and service integration. This plan has expanded access to mental health services and fostered a patient-</w:t>
      </w:r>
      <w:r w:rsidR="00611577" w:rsidRPr="00903D85">
        <w:rPr>
          <w:rFonts w:ascii="Ariel" w:hAnsi="Ariel" w:cs="Arial"/>
          <w:sz w:val="22"/>
          <w:szCs w:val="22"/>
        </w:rPr>
        <w:t>centred</w:t>
      </w:r>
      <w:r w:rsidRPr="00903D85">
        <w:rPr>
          <w:rFonts w:ascii="Ariel" w:hAnsi="Ariel" w:cs="Arial"/>
          <w:sz w:val="22"/>
          <w:szCs w:val="22"/>
        </w:rPr>
        <w:t xml:space="preserve"> approach via Integrated Care Systems. Moreover, digital health tools like remote consultations and electronic prescriptions have improved accessibility and efficiency, particularly during the COVID-19 pandemic</w:t>
      </w:r>
      <w:r w:rsidR="001204F9" w:rsidRPr="00903D85">
        <w:rPr>
          <w:rFonts w:ascii="Ariel" w:hAnsi="Ariel" w:cs="Arial"/>
          <w:sz w:val="22"/>
          <w:szCs w:val="22"/>
        </w:rPr>
        <w:t xml:space="preserve"> </w:t>
      </w:r>
      <w:r w:rsidR="00AF5A66" w:rsidRPr="00903D85">
        <w:rPr>
          <w:rFonts w:ascii="Ariel" w:hAnsi="Ariel" w:cs="Arial"/>
          <w:sz w:val="22"/>
          <w:szCs w:val="22"/>
        </w:rPr>
        <w:t>(The King’s Fund, 202</w:t>
      </w:r>
      <w:r w:rsidR="00404684" w:rsidRPr="00903D85">
        <w:rPr>
          <w:rFonts w:ascii="Ariel" w:hAnsi="Ariel" w:cs="Arial"/>
          <w:sz w:val="22"/>
          <w:szCs w:val="22"/>
        </w:rPr>
        <w:t>1</w:t>
      </w:r>
      <w:r w:rsidR="00AF5A66" w:rsidRPr="00903D85">
        <w:rPr>
          <w:rFonts w:ascii="Ariel" w:hAnsi="Ariel" w:cs="Arial"/>
          <w:sz w:val="22"/>
          <w:szCs w:val="22"/>
        </w:rPr>
        <w:t>).</w:t>
      </w:r>
    </w:p>
    <w:p w14:paraId="40E4D520" w14:textId="6846AD0F" w:rsidR="00AF5A66" w:rsidRPr="00903D85" w:rsidRDefault="00AF5A66" w:rsidP="00903D85">
      <w:pPr>
        <w:spacing w:line="360" w:lineRule="auto"/>
        <w:rPr>
          <w:rFonts w:ascii="Ariel" w:hAnsi="Ariel" w:cs="Arial"/>
          <w:sz w:val="22"/>
          <w:szCs w:val="22"/>
        </w:rPr>
      </w:pPr>
      <w:r w:rsidRPr="00903D85">
        <w:rPr>
          <w:rFonts w:ascii="Ariel" w:hAnsi="Ariel" w:cs="Arial"/>
          <w:sz w:val="22"/>
          <w:szCs w:val="22"/>
        </w:rPr>
        <w:t xml:space="preserve">While the NHS Long Term Plan has led to improvements in healthcare, its effectiveness is hindered </w:t>
      </w:r>
      <w:r w:rsidR="009A7791" w:rsidRPr="00903D85">
        <w:rPr>
          <w:rFonts w:ascii="Ariel" w:hAnsi="Ariel" w:cs="Arial"/>
          <w:sz w:val="22"/>
          <w:szCs w:val="22"/>
        </w:rPr>
        <w:t>by workforce shortages, funding pressures, and regional disparities constrain the Plan’s effectiveness. Persistent health inequalities, especially in low-income communities, highlight the need to address social determinants of health, which the Plan does not fully resolve</w:t>
      </w:r>
      <w:r w:rsidR="00017226" w:rsidRPr="00903D85">
        <w:rPr>
          <w:rFonts w:ascii="Ariel" w:hAnsi="Ariel" w:cs="Arial"/>
          <w:sz w:val="22"/>
          <w:szCs w:val="22"/>
        </w:rPr>
        <w:t xml:space="preserve"> (The King’s Fund, 2017).</w:t>
      </w:r>
    </w:p>
    <w:p w14:paraId="25D11274" w14:textId="77777777" w:rsidR="00AF5A66" w:rsidRPr="00903D85" w:rsidRDefault="00AF5A66" w:rsidP="00903D85">
      <w:pPr>
        <w:pStyle w:val="Heading1"/>
        <w:spacing w:line="360" w:lineRule="auto"/>
        <w:rPr>
          <w:rFonts w:ascii="Ariel" w:hAnsi="Ariel"/>
          <w:b/>
          <w:bCs/>
          <w:color w:val="auto"/>
          <w:sz w:val="22"/>
          <w:szCs w:val="22"/>
          <w:u w:val="single"/>
        </w:rPr>
      </w:pPr>
      <w:bookmarkStart w:id="6" w:name="_Toc224984234"/>
      <w:r w:rsidRPr="00903D85">
        <w:rPr>
          <w:rFonts w:ascii="Ariel" w:hAnsi="Ariel"/>
          <w:b/>
          <w:bCs/>
          <w:color w:val="auto"/>
          <w:sz w:val="22"/>
          <w:szCs w:val="22"/>
          <w:u w:val="single"/>
        </w:rPr>
        <w:t>Local Level</w:t>
      </w:r>
      <w:bookmarkEnd w:id="6"/>
    </w:p>
    <w:p w14:paraId="60BDC035" w14:textId="624A3666" w:rsidR="00AF5A66" w:rsidRPr="00903D85" w:rsidRDefault="00AF5A66" w:rsidP="00903D85">
      <w:pPr>
        <w:spacing w:line="360" w:lineRule="auto"/>
        <w:rPr>
          <w:rFonts w:ascii="Ariel" w:hAnsi="Ariel" w:cs="Arial"/>
          <w:sz w:val="22"/>
          <w:szCs w:val="22"/>
        </w:rPr>
      </w:pPr>
      <w:r w:rsidRPr="00903D85">
        <w:rPr>
          <w:rFonts w:ascii="Ariel" w:hAnsi="Ariel" w:cs="Arial"/>
          <w:sz w:val="22"/>
          <w:szCs w:val="22"/>
        </w:rPr>
        <w:t>Local interventions are equally important in addressing public health issues. Community-based programmes such as vaccination campaigns, nutrition education, and physical activity initiatives contribute directly to improved population health (Public Health England, 2019</w:t>
      </w:r>
      <w:r w:rsidR="00C83E8D" w:rsidRPr="00903D85">
        <w:rPr>
          <w:rFonts w:ascii="Ariel" w:hAnsi="Ariel" w:cs="Arial"/>
          <w:sz w:val="22"/>
          <w:szCs w:val="22"/>
        </w:rPr>
        <w:t>a</w:t>
      </w:r>
      <w:r w:rsidRPr="00903D85">
        <w:rPr>
          <w:rFonts w:ascii="Ariel" w:hAnsi="Ariel" w:cs="Arial"/>
          <w:sz w:val="22"/>
          <w:szCs w:val="22"/>
        </w:rPr>
        <w:t>). Schools, community centres, and local authorities often collaborate to promote healthier lifestyles.</w:t>
      </w:r>
    </w:p>
    <w:p w14:paraId="6A83A9D0" w14:textId="477F7CA1" w:rsidR="00AF5A66" w:rsidRPr="00903D85" w:rsidRDefault="009745A3" w:rsidP="00903D85">
      <w:pPr>
        <w:spacing w:line="360" w:lineRule="auto"/>
        <w:rPr>
          <w:rFonts w:ascii="Ariel" w:hAnsi="Ariel" w:cs="Arial"/>
          <w:sz w:val="22"/>
          <w:szCs w:val="22"/>
        </w:rPr>
      </w:pPr>
      <w:r w:rsidRPr="00903D85">
        <w:rPr>
          <w:rFonts w:ascii="Ariel" w:hAnsi="Ariel" w:cs="Arial"/>
          <w:sz w:val="22"/>
          <w:szCs w:val="22"/>
        </w:rPr>
        <w:t xml:space="preserve">According to the Health Belief Model, such programmes enhance individuals’ perceived susceptibility and severity of health risks while increasing the perceived benefits of preventive actions. Accessible education, resources, and supportive environments reduce barriers and empower individuals to adopt healthier behaviours, improving population-level health outcomes </w:t>
      </w:r>
      <w:r w:rsidR="00C83E8D" w:rsidRPr="00903D85">
        <w:rPr>
          <w:rFonts w:ascii="Ariel" w:hAnsi="Ariel" w:cs="Arial"/>
          <w:sz w:val="22"/>
          <w:szCs w:val="22"/>
        </w:rPr>
        <w:t>(</w:t>
      </w:r>
      <w:r w:rsidR="00AF5A66" w:rsidRPr="00903D85">
        <w:rPr>
          <w:rFonts w:ascii="Ariel" w:hAnsi="Ariel" w:cs="Arial"/>
          <w:sz w:val="22"/>
          <w:szCs w:val="22"/>
        </w:rPr>
        <w:t>Public Health England, 2019</w:t>
      </w:r>
      <w:r w:rsidR="00C83E8D" w:rsidRPr="00903D85">
        <w:rPr>
          <w:rFonts w:ascii="Ariel" w:hAnsi="Ariel" w:cs="Arial"/>
          <w:sz w:val="22"/>
          <w:szCs w:val="22"/>
        </w:rPr>
        <w:t>b</w:t>
      </w:r>
      <w:r w:rsidR="00AF5A66" w:rsidRPr="00903D85">
        <w:rPr>
          <w:rFonts w:ascii="Ariel" w:hAnsi="Ariel" w:cs="Arial"/>
          <w:sz w:val="22"/>
          <w:szCs w:val="22"/>
        </w:rPr>
        <w:t>).</w:t>
      </w:r>
    </w:p>
    <w:p w14:paraId="65F9F756" w14:textId="31F6EA21" w:rsidR="00B75E3F" w:rsidRPr="00903D85" w:rsidRDefault="00B75E3F" w:rsidP="00903D85">
      <w:pPr>
        <w:spacing w:line="360" w:lineRule="auto"/>
        <w:rPr>
          <w:rFonts w:ascii="Ariel" w:hAnsi="Ariel" w:cs="Arial"/>
          <w:b/>
          <w:bCs/>
          <w:sz w:val="22"/>
          <w:szCs w:val="22"/>
          <w:u w:val="single"/>
        </w:rPr>
      </w:pPr>
      <w:r w:rsidRPr="00903D85">
        <w:rPr>
          <w:rFonts w:ascii="Ariel" w:hAnsi="Ariel" w:cs="Arial"/>
          <w:b/>
          <w:bCs/>
          <w:sz w:val="22"/>
          <w:szCs w:val="22"/>
          <w:u w:val="single"/>
        </w:rPr>
        <w:t xml:space="preserve">Critical Analysis </w:t>
      </w:r>
    </w:p>
    <w:p w14:paraId="4D4C2DD2" w14:textId="25335AB2" w:rsidR="00C931BF" w:rsidRPr="00903D85" w:rsidRDefault="00C931BF" w:rsidP="00903D85">
      <w:pPr>
        <w:spacing w:line="360" w:lineRule="auto"/>
        <w:rPr>
          <w:rFonts w:ascii="Ariel" w:hAnsi="Ariel" w:cs="Arial"/>
          <w:sz w:val="22"/>
          <w:szCs w:val="22"/>
        </w:rPr>
      </w:pPr>
      <w:r w:rsidRPr="00903D85">
        <w:rPr>
          <w:rFonts w:ascii="Ariel" w:hAnsi="Ariel" w:cs="Arial"/>
          <w:sz w:val="22"/>
          <w:szCs w:val="22"/>
        </w:rPr>
        <w:lastRenderedPageBreak/>
        <w:t>Despite global, national, and local initiatives improving healthcare access and preventive services, challenges persist. Health inequities, workforce shortages, funding limitations, and uneven community engagement hinder effectiveness. Addressing social determinants, strengthening system resilience, and ensuring equitable resource distribution are essential to achieving SDG 3 goals</w:t>
      </w:r>
      <w:r w:rsidR="007E6652" w:rsidRPr="00903D85">
        <w:rPr>
          <w:rFonts w:ascii="Ariel" w:hAnsi="Ariel" w:cs="Arial"/>
          <w:sz w:val="22"/>
          <w:szCs w:val="22"/>
        </w:rPr>
        <w:t xml:space="preserve"> (Debie et al., 2024).</w:t>
      </w:r>
    </w:p>
    <w:p w14:paraId="59D09199" w14:textId="250E8654" w:rsidR="00DA3576" w:rsidRPr="00903D85" w:rsidRDefault="00DA3576" w:rsidP="00903D85">
      <w:pPr>
        <w:spacing w:line="360" w:lineRule="auto"/>
        <w:rPr>
          <w:rFonts w:ascii="Ariel" w:hAnsi="Ariel" w:cs="Arial"/>
          <w:b/>
          <w:bCs/>
          <w:sz w:val="22"/>
          <w:szCs w:val="22"/>
          <w:u w:val="single"/>
        </w:rPr>
      </w:pPr>
      <w:bookmarkStart w:id="7" w:name="_Toc224984235"/>
      <w:r w:rsidRPr="00903D85">
        <w:rPr>
          <w:rStyle w:val="Heading1Char"/>
          <w:rFonts w:ascii="Ariel" w:hAnsi="Ariel"/>
          <w:b/>
          <w:bCs/>
          <w:color w:val="auto"/>
          <w:sz w:val="22"/>
          <w:szCs w:val="22"/>
          <w:u w:val="single"/>
        </w:rPr>
        <w:t xml:space="preserve">SDG 3: National </w:t>
      </w:r>
      <w:r w:rsidR="002009D0" w:rsidRPr="00903D85">
        <w:rPr>
          <w:rStyle w:val="Heading1Char"/>
          <w:rFonts w:ascii="Ariel" w:hAnsi="Ariel"/>
          <w:b/>
          <w:bCs/>
          <w:color w:val="auto"/>
          <w:sz w:val="22"/>
          <w:szCs w:val="22"/>
          <w:u w:val="single"/>
        </w:rPr>
        <w:t xml:space="preserve">and Local </w:t>
      </w:r>
      <w:r w:rsidRPr="00903D85">
        <w:rPr>
          <w:rStyle w:val="Heading1Char"/>
          <w:rFonts w:ascii="Ariel" w:hAnsi="Ariel"/>
          <w:b/>
          <w:bCs/>
          <w:color w:val="auto"/>
          <w:sz w:val="22"/>
          <w:szCs w:val="22"/>
          <w:u w:val="single"/>
        </w:rPr>
        <w:t>Initiatives</w:t>
      </w:r>
      <w:bookmarkEnd w:id="7"/>
    </w:p>
    <w:p w14:paraId="3451F04A" w14:textId="77777777" w:rsidR="002221EF" w:rsidRPr="00903D85" w:rsidRDefault="002221EF" w:rsidP="00903D85">
      <w:pPr>
        <w:spacing w:line="360" w:lineRule="auto"/>
        <w:rPr>
          <w:rFonts w:ascii="Ariel" w:hAnsi="Ariel" w:cs="Arial"/>
          <w:sz w:val="22"/>
          <w:szCs w:val="22"/>
        </w:rPr>
      </w:pPr>
      <w:r w:rsidRPr="00903D85">
        <w:rPr>
          <w:rFonts w:ascii="Ariel" w:hAnsi="Ariel" w:cs="Arial"/>
          <w:sz w:val="22"/>
          <w:szCs w:val="22"/>
        </w:rPr>
        <w:t>The NHS Long Term Plan is a comprehensive national health strategy in the UK, aiming to improve outcomes by expanding mental health services, promoting preventive care, and addressing risk factors like obesity and smoking (NHS England, 2019b; Department of Health and Social Care, 2021). Despite improvements in awareness and screening, funding pressures, workforce shortages, and rising demand continue to strain the system (The King’s Fund, 2017b).</w:t>
      </w:r>
    </w:p>
    <w:p w14:paraId="23A12F24" w14:textId="3D1AC898" w:rsidR="002221EF" w:rsidRPr="00903D85" w:rsidRDefault="002221EF" w:rsidP="00903D85">
      <w:pPr>
        <w:spacing w:line="360" w:lineRule="auto"/>
        <w:rPr>
          <w:rFonts w:ascii="Ariel" w:hAnsi="Ariel" w:cs="Arial"/>
          <w:sz w:val="22"/>
          <w:szCs w:val="22"/>
        </w:rPr>
      </w:pPr>
      <w:r w:rsidRPr="00903D85">
        <w:rPr>
          <w:rFonts w:ascii="Ariel" w:hAnsi="Ariel" w:cs="Arial"/>
          <w:sz w:val="22"/>
          <w:szCs w:val="22"/>
        </w:rPr>
        <w:t>Similarly, Australia’s National Preventive Health Strategy encourages healthier lifestyles through better nutrition, physical activity, and tobacco control though disparities persist among Indigenous and rural populations</w:t>
      </w:r>
      <w:r w:rsidR="008E4FB1" w:rsidRPr="00903D85">
        <w:rPr>
          <w:rFonts w:ascii="Ariel" w:hAnsi="Ariel" w:cs="Arial"/>
          <w:sz w:val="22"/>
          <w:szCs w:val="22"/>
        </w:rPr>
        <w:t xml:space="preserve"> (Australian Government Department of Health, 202</w:t>
      </w:r>
      <w:r w:rsidR="00B3742A" w:rsidRPr="00903D85">
        <w:rPr>
          <w:rFonts w:ascii="Ariel" w:hAnsi="Ariel" w:cs="Arial"/>
          <w:sz w:val="22"/>
          <w:szCs w:val="22"/>
        </w:rPr>
        <w:t xml:space="preserve">). </w:t>
      </w:r>
    </w:p>
    <w:p w14:paraId="762B86B2" w14:textId="2C8E00DA" w:rsidR="002221EF" w:rsidRPr="00903D85" w:rsidRDefault="002221EF" w:rsidP="00903D85">
      <w:pPr>
        <w:spacing w:line="360" w:lineRule="auto"/>
        <w:rPr>
          <w:rFonts w:ascii="Ariel" w:hAnsi="Ariel" w:cs="Arial"/>
          <w:sz w:val="22"/>
          <w:szCs w:val="22"/>
        </w:rPr>
      </w:pPr>
      <w:r w:rsidRPr="00903D85">
        <w:rPr>
          <w:rFonts w:ascii="Ariel" w:hAnsi="Ariel" w:cs="Arial"/>
          <w:sz w:val="22"/>
          <w:szCs w:val="22"/>
        </w:rPr>
        <w:t>At the local level, councils run vaccination campaigns, mental health services, and school-based programs (Local Government Association, 2022). Urban planning initiatives, including green spaces and active transport, support physical and mental well-being, but limited funding, administrative capacity, and variable community engagement can constrain effectiveness (Bagnall et al., 2025).</w:t>
      </w:r>
    </w:p>
    <w:p w14:paraId="6329E191" w14:textId="77777777" w:rsidR="00DA3576" w:rsidRPr="00903D85" w:rsidRDefault="00DA3576" w:rsidP="00903D85">
      <w:pPr>
        <w:pStyle w:val="Heading1"/>
        <w:spacing w:line="360" w:lineRule="auto"/>
        <w:rPr>
          <w:rFonts w:ascii="Ariel" w:hAnsi="Ariel"/>
          <w:b/>
          <w:bCs/>
          <w:color w:val="auto"/>
          <w:sz w:val="22"/>
          <w:szCs w:val="22"/>
          <w:u w:val="single"/>
        </w:rPr>
      </w:pPr>
      <w:bookmarkStart w:id="8" w:name="_Toc224984236"/>
      <w:r w:rsidRPr="00903D85">
        <w:rPr>
          <w:rFonts w:ascii="Ariel" w:hAnsi="Ariel"/>
          <w:b/>
          <w:bCs/>
          <w:color w:val="auto"/>
          <w:sz w:val="22"/>
          <w:szCs w:val="22"/>
          <w:u w:val="single"/>
        </w:rPr>
        <w:t>Critical Analysis</w:t>
      </w:r>
      <w:bookmarkEnd w:id="8"/>
    </w:p>
    <w:p w14:paraId="58BF5A48" w14:textId="45FE6A32" w:rsidR="00DA3576" w:rsidRPr="00903D85" w:rsidRDefault="00DA3576" w:rsidP="00903D85">
      <w:pPr>
        <w:spacing w:line="360" w:lineRule="auto"/>
        <w:rPr>
          <w:rFonts w:ascii="Ariel" w:hAnsi="Ariel" w:cs="Arial"/>
          <w:sz w:val="22"/>
          <w:szCs w:val="22"/>
        </w:rPr>
      </w:pPr>
      <w:r w:rsidRPr="00903D85">
        <w:rPr>
          <w:rFonts w:ascii="Ariel" w:hAnsi="Ariel" w:cs="Arial"/>
          <w:sz w:val="22"/>
          <w:szCs w:val="22"/>
        </w:rPr>
        <w:t>Overall, national and local initiatives demonstrate a commitment to improving public health. However, fragmentation between health, environmental, and social policies can limit their effectiveness (Solar and Irwin, 2010). Furthermore, gaps in data collection and monitoring systems make it difficult to evaluate the long-term impact of many initiatives. Strengthening cross-sector collaboration and integrating preventive care strategies can enhance progress toward SDG 3.</w:t>
      </w:r>
    </w:p>
    <w:p w14:paraId="3C6A2634" w14:textId="77777777" w:rsidR="00AF5A66" w:rsidRPr="00903D85" w:rsidRDefault="00AF5A66" w:rsidP="00903D85">
      <w:pPr>
        <w:pStyle w:val="Heading1"/>
        <w:spacing w:line="360" w:lineRule="auto"/>
        <w:rPr>
          <w:rFonts w:ascii="Ariel" w:hAnsi="Ariel"/>
          <w:b/>
          <w:bCs/>
          <w:color w:val="auto"/>
          <w:sz w:val="22"/>
          <w:szCs w:val="22"/>
          <w:u w:val="single"/>
        </w:rPr>
      </w:pPr>
      <w:bookmarkStart w:id="9" w:name="_Toc224984237"/>
      <w:r w:rsidRPr="00903D85">
        <w:rPr>
          <w:rFonts w:ascii="Ariel" w:hAnsi="Ariel"/>
          <w:b/>
          <w:bCs/>
          <w:color w:val="auto"/>
          <w:sz w:val="22"/>
          <w:szCs w:val="22"/>
          <w:u w:val="single"/>
        </w:rPr>
        <w:t>Recommendations</w:t>
      </w:r>
      <w:bookmarkEnd w:id="9"/>
    </w:p>
    <w:p w14:paraId="320A212D" w14:textId="51B442B3" w:rsidR="00403BEF" w:rsidRPr="00903D85" w:rsidRDefault="00403BEF" w:rsidP="00903D85">
      <w:pPr>
        <w:spacing w:line="360" w:lineRule="auto"/>
        <w:rPr>
          <w:rFonts w:ascii="Ariel" w:hAnsi="Ariel" w:cs="Arial"/>
          <w:b/>
          <w:bCs/>
          <w:sz w:val="22"/>
          <w:szCs w:val="22"/>
        </w:rPr>
      </w:pPr>
      <w:r w:rsidRPr="00903D85">
        <w:rPr>
          <w:rFonts w:ascii="Ariel" w:hAnsi="Ariel" w:cs="Arial"/>
          <w:b/>
          <w:bCs/>
          <w:sz w:val="22"/>
          <w:szCs w:val="22"/>
        </w:rPr>
        <w:t>SDG 3: Good Health and Well-being</w:t>
      </w:r>
    </w:p>
    <w:p w14:paraId="1A6D9C82" w14:textId="748CA5E2" w:rsidR="00B56435" w:rsidRPr="00903D85" w:rsidRDefault="00685DC4" w:rsidP="00903D85">
      <w:pPr>
        <w:spacing w:line="360" w:lineRule="auto"/>
        <w:rPr>
          <w:rFonts w:ascii="Ariel" w:hAnsi="Ariel" w:cs="Arial"/>
          <w:sz w:val="22"/>
          <w:szCs w:val="22"/>
        </w:rPr>
      </w:pPr>
      <w:r w:rsidRPr="00903D85">
        <w:rPr>
          <w:rFonts w:ascii="Ariel" w:hAnsi="Ariel" w:cs="Arial"/>
          <w:sz w:val="22"/>
          <w:szCs w:val="22"/>
        </w:rPr>
        <w:t>To strengthen progress toward SDG 3 in the future, countries should expand and reinforce universal health coverage (UHC) by investing in resilient, equitable health systems that better integrate preventive, curative, and promotive services. This includes increasing funding for primary healthcare, addressing shortages in the health workforce, bolstering cross</w:t>
      </w:r>
      <w:r w:rsidRPr="00903D85">
        <w:rPr>
          <w:rFonts w:ascii="Ariel" w:hAnsi="Ariel" w:cs="Cambria Math"/>
          <w:sz w:val="22"/>
          <w:szCs w:val="22"/>
        </w:rPr>
        <w:t>‑</w:t>
      </w:r>
      <w:r w:rsidRPr="00903D85">
        <w:rPr>
          <w:rFonts w:ascii="Ariel" w:hAnsi="Ariel" w:cs="Arial"/>
          <w:sz w:val="22"/>
          <w:szCs w:val="22"/>
        </w:rPr>
        <w:t xml:space="preserve">sector </w:t>
      </w:r>
      <w:r w:rsidRPr="00903D85">
        <w:rPr>
          <w:rFonts w:ascii="Ariel" w:hAnsi="Ariel" w:cs="Arial"/>
          <w:sz w:val="22"/>
          <w:szCs w:val="22"/>
        </w:rPr>
        <w:lastRenderedPageBreak/>
        <w:t>collaboration (e.g., linking education, social protection, and environmental policies), and using data</w:t>
      </w:r>
      <w:r w:rsidRPr="00903D85">
        <w:rPr>
          <w:rFonts w:ascii="Ariel" w:hAnsi="Ariel" w:cs="Cambria Math"/>
          <w:sz w:val="22"/>
          <w:szCs w:val="22"/>
        </w:rPr>
        <w:t>‑</w:t>
      </w:r>
      <w:r w:rsidRPr="00903D85">
        <w:rPr>
          <w:rFonts w:ascii="Ariel" w:hAnsi="Ariel" w:cs="Arial"/>
          <w:sz w:val="22"/>
          <w:szCs w:val="22"/>
        </w:rPr>
        <w:t xml:space="preserve">informed strategies to target underserved populations. </w:t>
      </w:r>
      <w:r w:rsidR="00F46A1D" w:rsidRPr="00903D85">
        <w:rPr>
          <w:rFonts w:ascii="Ariel" w:hAnsi="Ariel" w:cs="Arial"/>
          <w:sz w:val="22"/>
          <w:szCs w:val="22"/>
        </w:rPr>
        <w:t>Strengthening cross</w:t>
      </w:r>
      <w:r w:rsidR="00F46A1D" w:rsidRPr="00903D85">
        <w:rPr>
          <w:rFonts w:ascii="Ariel" w:hAnsi="Ariel" w:cs="Cambria Math"/>
          <w:sz w:val="22"/>
          <w:szCs w:val="22"/>
        </w:rPr>
        <w:t>‑</w:t>
      </w:r>
      <w:r w:rsidR="00F46A1D" w:rsidRPr="00903D85">
        <w:rPr>
          <w:rFonts w:ascii="Ariel" w:hAnsi="Ariel" w:cs="Arial"/>
          <w:sz w:val="22"/>
          <w:szCs w:val="22"/>
        </w:rPr>
        <w:t>sector integration of health services and bolstering governance capacity are essential strategies for accelerating progress toward SDG 3 (Menne, 2020).</w:t>
      </w:r>
    </w:p>
    <w:p w14:paraId="07A2A1A9" w14:textId="1F47A40F" w:rsidR="00685DC4" w:rsidRPr="00903D85" w:rsidRDefault="00685DC4" w:rsidP="00903D85">
      <w:pPr>
        <w:spacing w:line="360" w:lineRule="auto"/>
        <w:rPr>
          <w:rFonts w:ascii="Ariel" w:hAnsi="Ariel" w:cs="Arial"/>
          <w:sz w:val="22"/>
          <w:szCs w:val="22"/>
        </w:rPr>
      </w:pPr>
      <w:r w:rsidRPr="00903D85">
        <w:rPr>
          <w:rFonts w:ascii="Ariel" w:hAnsi="Ariel" w:cs="Arial"/>
          <w:sz w:val="22"/>
          <w:szCs w:val="22"/>
        </w:rPr>
        <w:t>By ensuring that all people have affordable access to essential health services and by promoting innovation and multisector partnerships, policymakers can improve global health outcomes and narrow health inequalities.</w:t>
      </w:r>
    </w:p>
    <w:p w14:paraId="336D871D" w14:textId="0E15FDA3" w:rsidR="0098417B" w:rsidRPr="00903D85" w:rsidRDefault="0098417B" w:rsidP="00903D85">
      <w:pPr>
        <w:spacing w:line="360" w:lineRule="auto"/>
        <w:rPr>
          <w:rFonts w:ascii="Ariel" w:hAnsi="Ariel" w:cs="Arial"/>
          <w:sz w:val="22"/>
          <w:szCs w:val="22"/>
        </w:rPr>
      </w:pPr>
      <w:r w:rsidRPr="00903D85">
        <w:rPr>
          <w:rFonts w:ascii="Ariel" w:hAnsi="Ariel" w:cs="Arial"/>
          <w:sz w:val="22"/>
          <w:szCs w:val="22"/>
        </w:rPr>
        <w:t>According to Ramirez</w:t>
      </w:r>
      <w:r w:rsidRPr="00903D85">
        <w:rPr>
          <w:rFonts w:ascii="Ariel" w:hAnsi="Ariel" w:cs="Cambria Math"/>
          <w:sz w:val="22"/>
          <w:szCs w:val="22"/>
        </w:rPr>
        <w:t>‑</w:t>
      </w:r>
      <w:r w:rsidRPr="00903D85">
        <w:rPr>
          <w:rFonts w:ascii="Ariel" w:hAnsi="Ariel" w:cs="Arial"/>
          <w:sz w:val="22"/>
          <w:szCs w:val="22"/>
        </w:rPr>
        <w:t>Rubio et al. (2019), the HiAP approach systematically integrates health considerations into all sectors to strengthen population health and equity</w:t>
      </w:r>
      <w:r w:rsidR="005E6FD5" w:rsidRPr="00903D85">
        <w:rPr>
          <w:rFonts w:ascii="Ariel" w:hAnsi="Ariel" w:cs="Arial"/>
          <w:sz w:val="22"/>
          <w:szCs w:val="22"/>
        </w:rPr>
        <w:t xml:space="preserve"> by </w:t>
      </w:r>
      <w:r w:rsidR="00917EA9" w:rsidRPr="00903D85">
        <w:rPr>
          <w:rFonts w:ascii="Ariel" w:hAnsi="Ariel" w:cs="Arial"/>
          <w:sz w:val="22"/>
          <w:szCs w:val="22"/>
        </w:rPr>
        <w:t xml:space="preserve">supporting </w:t>
      </w:r>
      <w:r w:rsidR="003150CC" w:rsidRPr="00903D85">
        <w:rPr>
          <w:rFonts w:ascii="Ariel" w:hAnsi="Ariel" w:cs="Arial"/>
          <w:sz w:val="22"/>
          <w:szCs w:val="22"/>
        </w:rPr>
        <w:t xml:space="preserve"> the achievement of SDG 3.</w:t>
      </w:r>
    </w:p>
    <w:p w14:paraId="505A9140" w14:textId="446E0772" w:rsidR="00AF5A66" w:rsidRPr="00903D85" w:rsidRDefault="00AF5A66" w:rsidP="00903D85">
      <w:pPr>
        <w:spacing w:line="360" w:lineRule="auto"/>
        <w:rPr>
          <w:rStyle w:val="Heading2Char"/>
          <w:rFonts w:ascii="Ariel" w:hAnsi="Ariel"/>
          <w:b/>
          <w:bCs/>
          <w:color w:val="auto"/>
          <w:sz w:val="22"/>
          <w:szCs w:val="22"/>
          <w:u w:val="single"/>
        </w:rPr>
      </w:pPr>
      <w:bookmarkStart w:id="10" w:name="_Toc224984238"/>
      <w:r w:rsidRPr="00903D85">
        <w:rPr>
          <w:rStyle w:val="Heading2Char"/>
          <w:rFonts w:ascii="Ariel" w:hAnsi="Ariel"/>
          <w:b/>
          <w:bCs/>
          <w:color w:val="auto"/>
          <w:sz w:val="22"/>
          <w:szCs w:val="22"/>
          <w:u w:val="single"/>
        </w:rPr>
        <w:t>SDG 13: Climate Action</w:t>
      </w:r>
      <w:bookmarkEnd w:id="10"/>
    </w:p>
    <w:p w14:paraId="24C48731" w14:textId="7D7934D9" w:rsidR="0063595B" w:rsidRPr="00903D85" w:rsidRDefault="00214730" w:rsidP="00903D85">
      <w:pPr>
        <w:spacing w:line="360" w:lineRule="auto"/>
        <w:rPr>
          <w:rFonts w:ascii="Ariel" w:hAnsi="Ariel" w:cs="Arial"/>
          <w:sz w:val="22"/>
          <w:szCs w:val="22"/>
        </w:rPr>
      </w:pPr>
      <w:r w:rsidRPr="00903D85">
        <w:rPr>
          <w:rFonts w:ascii="Ariel" w:hAnsi="Ariel" w:cs="Arial"/>
          <w:sz w:val="22"/>
          <w:szCs w:val="22"/>
        </w:rPr>
        <w:t>SDG 13 addresses climate change and its effects on human societies. Climate change is a significant public health issue, influencing environmental conditions, disease patterns, and food security</w:t>
      </w:r>
      <w:r w:rsidR="0063595B" w:rsidRPr="00903D85">
        <w:rPr>
          <w:rFonts w:ascii="Ariel" w:eastAsia="Times New Roman" w:hAnsi="Ariel" w:cs="Times New Roman"/>
          <w:kern w:val="0"/>
          <w:sz w:val="22"/>
          <w:szCs w:val="22"/>
          <w:lang w:eastAsia="en-GB"/>
          <w14:ligatures w14:val="none"/>
        </w:rPr>
        <w:t xml:space="preserve"> </w:t>
      </w:r>
      <w:r w:rsidR="0063595B" w:rsidRPr="00903D85">
        <w:rPr>
          <w:rFonts w:ascii="Ariel" w:hAnsi="Ariel" w:cs="Arial"/>
          <w:sz w:val="22"/>
          <w:szCs w:val="22"/>
        </w:rPr>
        <w:t>(Morẹ́nikẹ́ Oluwátóyìn Foláyan et al., 2024).</w:t>
      </w:r>
    </w:p>
    <w:p w14:paraId="29DFEE88" w14:textId="163B9243" w:rsidR="00214730" w:rsidRPr="00903D85" w:rsidRDefault="00214730" w:rsidP="00903D85">
      <w:pPr>
        <w:spacing w:line="360" w:lineRule="auto"/>
        <w:rPr>
          <w:rFonts w:ascii="Ariel" w:hAnsi="Ariel" w:cs="Arial"/>
          <w:sz w:val="22"/>
          <w:szCs w:val="22"/>
        </w:rPr>
      </w:pPr>
      <w:r w:rsidRPr="00903D85">
        <w:rPr>
          <w:rFonts w:ascii="Ariel" w:hAnsi="Ariel" w:cs="Arial"/>
          <w:sz w:val="22"/>
          <w:szCs w:val="22"/>
        </w:rPr>
        <w:t>Rising global temperatures, frequent extreme weather events, and altered precipitation patterns threaten ecosystems and exacerbate health risks, including heat-related diseases, respiratory conditions, vector-borne diseases, and malnutrition</w:t>
      </w:r>
      <w:r w:rsidR="006E7E08" w:rsidRPr="00903D85">
        <w:rPr>
          <w:rFonts w:ascii="Ariel" w:hAnsi="Ariel" w:cs="Arial"/>
          <w:sz w:val="22"/>
          <w:szCs w:val="22"/>
        </w:rPr>
        <w:t xml:space="preserve">. </w:t>
      </w:r>
    </w:p>
    <w:p w14:paraId="788BE512" w14:textId="35F2ECC3" w:rsidR="00214730" w:rsidRPr="00903D85" w:rsidRDefault="00214730" w:rsidP="00903D85">
      <w:pPr>
        <w:spacing w:line="360" w:lineRule="auto"/>
        <w:rPr>
          <w:rFonts w:ascii="Ariel" w:hAnsi="Ariel" w:cs="Arial"/>
          <w:sz w:val="22"/>
          <w:szCs w:val="22"/>
        </w:rPr>
      </w:pPr>
      <w:r w:rsidRPr="00903D85">
        <w:rPr>
          <w:rFonts w:ascii="Ariel" w:hAnsi="Ariel" w:cs="Arial"/>
          <w:sz w:val="22"/>
          <w:szCs w:val="22"/>
        </w:rPr>
        <w:t xml:space="preserve">Vulnerable populations, including the elderly, children, and low-income communities, are disproportionately affected due to limited adaptive capacity and reduced access to healthcare </w:t>
      </w:r>
      <w:r w:rsidR="00AF2EB1" w:rsidRPr="00903D85">
        <w:rPr>
          <w:rFonts w:ascii="Ariel" w:hAnsi="Ariel" w:cs="Arial"/>
          <w:sz w:val="22"/>
          <w:szCs w:val="22"/>
        </w:rPr>
        <w:t xml:space="preserve">(Arora and Mishra, 2023b). </w:t>
      </w:r>
      <w:r w:rsidRPr="00903D85">
        <w:rPr>
          <w:rFonts w:ascii="Ariel" w:hAnsi="Ariel" w:cs="Arial"/>
          <w:sz w:val="22"/>
          <w:szCs w:val="22"/>
        </w:rPr>
        <w:t>Climate change interacts with other social determinants, such as housing and employment, amplifying health inequalities. Addressing these impacts requires coordinated action across sectors, highlighting the interconnectedness of SDG 13 with other SDGs</w:t>
      </w:r>
    </w:p>
    <w:p w14:paraId="66452C81" w14:textId="7523C6BB" w:rsidR="00AF5A66" w:rsidRPr="00D217DE" w:rsidRDefault="00AF5A66" w:rsidP="00903D85">
      <w:pPr>
        <w:pStyle w:val="Heading1"/>
        <w:spacing w:line="360" w:lineRule="auto"/>
        <w:rPr>
          <w:rFonts w:ascii="Ariel" w:hAnsi="Ariel"/>
          <w:b/>
          <w:bCs/>
          <w:color w:val="auto"/>
          <w:sz w:val="22"/>
          <w:szCs w:val="22"/>
          <w:u w:val="single"/>
        </w:rPr>
      </w:pPr>
      <w:bookmarkStart w:id="11" w:name="_Toc224984239"/>
      <w:r w:rsidRPr="00D217DE">
        <w:rPr>
          <w:rFonts w:ascii="Ariel" w:hAnsi="Ariel"/>
          <w:b/>
          <w:bCs/>
          <w:color w:val="auto"/>
          <w:sz w:val="22"/>
          <w:szCs w:val="22"/>
          <w:u w:val="single"/>
        </w:rPr>
        <w:t>Global Level</w:t>
      </w:r>
      <w:bookmarkEnd w:id="11"/>
    </w:p>
    <w:p w14:paraId="535447DD" w14:textId="7B7CCA31" w:rsidR="005E6C73" w:rsidRPr="00903D85" w:rsidRDefault="005E6C73" w:rsidP="00903D85">
      <w:pPr>
        <w:spacing w:line="360" w:lineRule="auto"/>
        <w:rPr>
          <w:rFonts w:ascii="Ariel" w:hAnsi="Ariel" w:cs="Arial"/>
          <w:sz w:val="22"/>
          <w:szCs w:val="22"/>
        </w:rPr>
      </w:pPr>
      <w:r w:rsidRPr="00903D85">
        <w:rPr>
          <w:rFonts w:ascii="Ariel" w:hAnsi="Ariel" w:cs="Arial"/>
          <w:sz w:val="22"/>
          <w:szCs w:val="22"/>
        </w:rPr>
        <w:t>International agreements, such as the Paris Climate Agreement, aim to reduce greenhouse gas emissions and limit global warming through Nationally Determined Contributions (NDCs). The Agreement seeks to cap temperature rise to below 2°C, with efforts to limit it to 1.5°C, and includes provisions for climate finance, transparency, and periodic progress reviews (</w:t>
      </w:r>
      <w:r w:rsidR="00BC48E6" w:rsidRPr="00903D85">
        <w:rPr>
          <w:rFonts w:ascii="Ariel" w:hAnsi="Ariel" w:cs="Arial"/>
          <w:sz w:val="22"/>
          <w:szCs w:val="22"/>
        </w:rPr>
        <w:t xml:space="preserve">United Nations Framework Convention on Climate Change 2015). </w:t>
      </w:r>
    </w:p>
    <w:p w14:paraId="507A98D3" w14:textId="749FDBBC" w:rsidR="002E2037" w:rsidRPr="00903D85" w:rsidRDefault="003B139D" w:rsidP="00903D85">
      <w:pPr>
        <w:spacing w:line="360" w:lineRule="auto"/>
        <w:rPr>
          <w:rFonts w:ascii="Ariel" w:hAnsi="Ariel" w:cs="Arial"/>
          <w:sz w:val="22"/>
          <w:szCs w:val="22"/>
        </w:rPr>
      </w:pPr>
      <w:r w:rsidRPr="00903D85">
        <w:rPr>
          <w:rFonts w:ascii="Ariel" w:hAnsi="Ariel" w:cs="Arial"/>
          <w:sz w:val="22"/>
          <w:szCs w:val="22"/>
        </w:rPr>
        <w:t xml:space="preserve">The Paris Agreement has achieved near-universal participation, catalysed national climate policies, and strengthened international cooperation and accountability through mechanisms such as nationally determined contributions and periodic review processes (Roelfsema et al., </w:t>
      </w:r>
      <w:r w:rsidRPr="00903D85">
        <w:rPr>
          <w:rFonts w:ascii="Ariel" w:hAnsi="Ariel" w:cs="Arial"/>
          <w:sz w:val="22"/>
          <w:szCs w:val="22"/>
        </w:rPr>
        <w:lastRenderedPageBreak/>
        <w:t>2020</w:t>
      </w:r>
      <w:r w:rsidR="00F11835" w:rsidRPr="00903D85">
        <w:rPr>
          <w:rFonts w:ascii="Ariel" w:hAnsi="Ariel" w:cs="Arial"/>
          <w:sz w:val="22"/>
          <w:szCs w:val="22"/>
        </w:rPr>
        <w:t xml:space="preserve">). </w:t>
      </w:r>
      <w:r w:rsidRPr="00903D85">
        <w:rPr>
          <w:rFonts w:ascii="Ariel" w:hAnsi="Ariel" w:cs="Arial"/>
          <w:sz w:val="22"/>
          <w:szCs w:val="22"/>
        </w:rPr>
        <w:t>Furthermore, it has contributed to increased investment in sustainable systems and generated significant co-benefits for public health and wellbeing (Hamilton et al., 2021).</w:t>
      </w:r>
    </w:p>
    <w:p w14:paraId="4B560F07" w14:textId="35C8D3BE" w:rsidR="00B75663" w:rsidRPr="00903D85" w:rsidRDefault="00447103" w:rsidP="00903D85">
      <w:pPr>
        <w:spacing w:line="360" w:lineRule="auto"/>
        <w:rPr>
          <w:rFonts w:ascii="Ariel" w:hAnsi="Ariel" w:cs="Arial"/>
          <w:sz w:val="22"/>
          <w:szCs w:val="22"/>
        </w:rPr>
      </w:pPr>
      <w:r w:rsidRPr="00903D85">
        <w:rPr>
          <w:rFonts w:ascii="Ariel" w:hAnsi="Ariel" w:cs="Arial"/>
          <w:sz w:val="22"/>
          <w:szCs w:val="22"/>
        </w:rPr>
        <w:t>However, significant barriers remain. Nationally Determined Contributions (NDCs) are non-legally binding, and current commitments are insufficient to achieve the 1.5°C target. In addition, low- and middle-income countries require greater financial and technological support, while geopolitical tensions and economic priorities continue to limit global cooperation and reduce overall effectiveness</w:t>
      </w:r>
      <w:r w:rsidR="00B75663" w:rsidRPr="00903D85">
        <w:rPr>
          <w:rFonts w:ascii="Ariel" w:eastAsia="Times New Roman" w:hAnsi="Ariel" w:cs="Times New Roman"/>
          <w:kern w:val="0"/>
          <w:sz w:val="22"/>
          <w:szCs w:val="22"/>
          <w:lang w:eastAsia="en-GB"/>
          <w14:ligatures w14:val="none"/>
        </w:rPr>
        <w:t xml:space="preserve"> </w:t>
      </w:r>
      <w:r w:rsidR="00B75663" w:rsidRPr="00903D85">
        <w:rPr>
          <w:rFonts w:ascii="Ariel" w:hAnsi="Ariel" w:cs="Arial"/>
          <w:sz w:val="22"/>
          <w:szCs w:val="22"/>
        </w:rPr>
        <w:t>(Depledge, 2024).</w:t>
      </w:r>
    </w:p>
    <w:p w14:paraId="1CF550B2" w14:textId="4D86570E" w:rsidR="00AF5A66" w:rsidRPr="00D217DE" w:rsidRDefault="00AF5A66" w:rsidP="00903D85">
      <w:pPr>
        <w:spacing w:line="360" w:lineRule="auto"/>
        <w:rPr>
          <w:rFonts w:ascii="Ariel" w:hAnsi="Ariel" w:cs="Arial"/>
          <w:b/>
          <w:bCs/>
          <w:sz w:val="22"/>
          <w:szCs w:val="22"/>
          <w:u w:val="single"/>
        </w:rPr>
      </w:pPr>
      <w:bookmarkStart w:id="12" w:name="_Toc224984240"/>
      <w:r w:rsidRPr="00D217DE">
        <w:rPr>
          <w:rFonts w:ascii="Ariel" w:hAnsi="Ariel"/>
          <w:b/>
          <w:bCs/>
          <w:sz w:val="22"/>
          <w:szCs w:val="22"/>
          <w:u w:val="single"/>
        </w:rPr>
        <w:t>National Level</w:t>
      </w:r>
      <w:bookmarkEnd w:id="12"/>
    </w:p>
    <w:p w14:paraId="25CBC8A1" w14:textId="77777777" w:rsidR="00800142" w:rsidRPr="00903D85" w:rsidRDefault="00800142" w:rsidP="00903D85">
      <w:pPr>
        <w:spacing w:line="360" w:lineRule="auto"/>
        <w:rPr>
          <w:rFonts w:ascii="Ariel" w:hAnsi="Ariel" w:cs="Arial"/>
          <w:sz w:val="22"/>
          <w:szCs w:val="22"/>
        </w:rPr>
      </w:pPr>
      <w:r w:rsidRPr="00903D85">
        <w:rPr>
          <w:rFonts w:ascii="Ariel" w:hAnsi="Ariel" w:cs="Arial"/>
          <w:sz w:val="22"/>
          <w:szCs w:val="22"/>
        </w:rPr>
        <w:t>National governments translate global commitments into domestic policies. The UK’s Climate Change Act 2008 establishes legally binding carbon budgets to achieve net-zero emissions by 2050, supported by strategies such as the Net Zero Strategy and Clean Air Strategy, which aim to reduce emissions across sectors while improving public health (UK Government, 2021).</w:t>
      </w:r>
    </w:p>
    <w:p w14:paraId="15DC8E40" w14:textId="0C7C7054" w:rsidR="00800142" w:rsidRPr="00903D85" w:rsidRDefault="00800142" w:rsidP="00903D85">
      <w:pPr>
        <w:spacing w:line="360" w:lineRule="auto"/>
        <w:rPr>
          <w:rFonts w:ascii="Ariel" w:hAnsi="Ariel" w:cs="Arial"/>
          <w:sz w:val="22"/>
          <w:szCs w:val="22"/>
        </w:rPr>
      </w:pPr>
      <w:r w:rsidRPr="00903D85">
        <w:rPr>
          <w:rFonts w:ascii="Ariel" w:hAnsi="Ariel" w:cs="Arial"/>
          <w:sz w:val="22"/>
          <w:szCs w:val="22"/>
        </w:rPr>
        <w:t>Governments also invest in adaptation measures, including flood defences, heatwave response plans, and early warning systems. Public health agencies are integrated into these strategies due to climate-related health risks. Additionally, governments fund research, incentivise green technologies, and regulate industries for environmental compliance</w:t>
      </w:r>
      <w:r w:rsidR="0012466C" w:rsidRPr="00903D85">
        <w:rPr>
          <w:rFonts w:ascii="Ariel" w:hAnsi="Ariel" w:cs="Arial"/>
          <w:sz w:val="22"/>
          <w:szCs w:val="22"/>
        </w:rPr>
        <w:t xml:space="preserve">. </w:t>
      </w:r>
    </w:p>
    <w:p w14:paraId="19D33C95" w14:textId="3DE31E29" w:rsidR="006F4192" w:rsidRPr="00903D85" w:rsidRDefault="002E26C8" w:rsidP="00903D85">
      <w:pPr>
        <w:spacing w:line="360" w:lineRule="auto"/>
        <w:rPr>
          <w:rFonts w:ascii="Ariel" w:hAnsi="Ariel" w:cs="Arial"/>
          <w:sz w:val="22"/>
          <w:szCs w:val="22"/>
        </w:rPr>
      </w:pPr>
      <w:r w:rsidRPr="00903D85">
        <w:rPr>
          <w:rFonts w:ascii="Ariel" w:hAnsi="Ariel" w:cs="Arial"/>
          <w:sz w:val="22"/>
          <w:szCs w:val="22"/>
        </w:rPr>
        <w:t>Systems theory considers environmental, social, and economic factors as interconnected components of a larger system, where changes in one area</w:t>
      </w:r>
      <w:r w:rsidR="002A1F80" w:rsidRPr="00903D85">
        <w:rPr>
          <w:rFonts w:ascii="Ariel" w:hAnsi="Ariel" w:cs="Arial"/>
          <w:sz w:val="22"/>
          <w:szCs w:val="22"/>
        </w:rPr>
        <w:t xml:space="preserve"> </w:t>
      </w:r>
      <w:r w:rsidRPr="00903D85">
        <w:rPr>
          <w:rFonts w:ascii="Ariel" w:hAnsi="Ariel" w:cs="Arial"/>
          <w:sz w:val="22"/>
          <w:szCs w:val="22"/>
        </w:rPr>
        <w:t>such as emissions, urban planning, or energy use</w:t>
      </w:r>
      <w:r w:rsidR="00CA7B5E" w:rsidRPr="00903D85">
        <w:rPr>
          <w:rFonts w:ascii="Ariel" w:hAnsi="Ariel" w:cs="Arial"/>
          <w:sz w:val="22"/>
          <w:szCs w:val="22"/>
        </w:rPr>
        <w:t xml:space="preserve"> I</w:t>
      </w:r>
      <w:r w:rsidRPr="00903D85">
        <w:rPr>
          <w:rFonts w:ascii="Ariel" w:hAnsi="Ariel" w:cs="Arial"/>
          <w:sz w:val="22"/>
          <w:szCs w:val="22"/>
        </w:rPr>
        <w:t xml:space="preserve">mpact others like public health, biodiversity, and economic productivity. </w:t>
      </w:r>
      <w:r w:rsidR="0023719A" w:rsidRPr="00903D85">
        <w:rPr>
          <w:rFonts w:ascii="Ariel" w:hAnsi="Ariel" w:cs="Arial"/>
          <w:sz w:val="22"/>
          <w:szCs w:val="22"/>
        </w:rPr>
        <w:t>A systems</w:t>
      </w:r>
      <w:r w:rsidR="0023719A" w:rsidRPr="00903D85">
        <w:rPr>
          <w:rFonts w:ascii="Ariel" w:hAnsi="Ariel" w:cs="Cambria Math"/>
          <w:sz w:val="22"/>
          <w:szCs w:val="22"/>
        </w:rPr>
        <w:t>‑</w:t>
      </w:r>
      <w:r w:rsidR="0023719A" w:rsidRPr="00903D85">
        <w:rPr>
          <w:rFonts w:ascii="Ariel" w:hAnsi="Ariel" w:cs="Arial"/>
          <w:sz w:val="22"/>
          <w:szCs w:val="22"/>
        </w:rPr>
        <w:t>based understanding can guide climate and health policy by recognising dynamic interconnections between environmental, economic, and societal factors (Pongsiri and Bassi, 2021).</w:t>
      </w:r>
    </w:p>
    <w:p w14:paraId="5CC10770" w14:textId="6725F884" w:rsidR="00AF5A66" w:rsidRPr="00D217DE" w:rsidRDefault="00AF5A66" w:rsidP="00903D85">
      <w:pPr>
        <w:pStyle w:val="Heading1"/>
        <w:spacing w:line="360" w:lineRule="auto"/>
        <w:rPr>
          <w:rFonts w:ascii="Ariel" w:hAnsi="Ariel"/>
          <w:b/>
          <w:bCs/>
          <w:color w:val="auto"/>
          <w:sz w:val="22"/>
          <w:szCs w:val="22"/>
          <w:u w:val="single"/>
        </w:rPr>
      </w:pPr>
      <w:bookmarkStart w:id="13" w:name="_Toc224984241"/>
      <w:r w:rsidRPr="00D217DE">
        <w:rPr>
          <w:rFonts w:ascii="Ariel" w:hAnsi="Ariel"/>
          <w:b/>
          <w:bCs/>
          <w:color w:val="auto"/>
          <w:sz w:val="22"/>
          <w:szCs w:val="22"/>
          <w:u w:val="single"/>
        </w:rPr>
        <w:t>Local Level</w:t>
      </w:r>
      <w:bookmarkEnd w:id="13"/>
    </w:p>
    <w:p w14:paraId="02003FE9" w14:textId="373B5BC3" w:rsidR="00F81B22" w:rsidRPr="00903D85" w:rsidRDefault="00AF5A66" w:rsidP="00903D85">
      <w:pPr>
        <w:spacing w:line="360" w:lineRule="auto"/>
        <w:rPr>
          <w:rFonts w:ascii="Ariel" w:hAnsi="Ariel" w:cs="Arial"/>
          <w:sz w:val="22"/>
          <w:szCs w:val="22"/>
        </w:rPr>
      </w:pPr>
      <w:r w:rsidRPr="00903D85">
        <w:rPr>
          <w:rFonts w:ascii="Ariel" w:hAnsi="Ariel" w:cs="Arial"/>
          <w:sz w:val="22"/>
          <w:szCs w:val="22"/>
        </w:rPr>
        <w:t>Local initiatives play a crucial role in operationalising national and global climate and health strategies</w:t>
      </w:r>
      <w:r w:rsidR="009A3260" w:rsidRPr="00903D85">
        <w:rPr>
          <w:rFonts w:ascii="Ariel" w:hAnsi="Ariel" w:cs="Arial"/>
          <w:sz w:val="22"/>
          <w:szCs w:val="22"/>
        </w:rPr>
        <w:t xml:space="preserve"> Many cities have adopted urban sustainability programs to tackle environmental health determinants by enhancing green spaces, encouraging active transport, and reducing air pollution. These initiatives, including parks and green roofs, improve air quality, mitigate urban heat islands, and bolster mental health</w:t>
      </w:r>
      <w:r w:rsidR="00F81B22" w:rsidRPr="00903D85">
        <w:rPr>
          <w:rFonts w:ascii="Ariel" w:eastAsia="Times New Roman" w:hAnsi="Ariel" w:cs="Times New Roman"/>
          <w:kern w:val="0"/>
          <w:sz w:val="22"/>
          <w:szCs w:val="22"/>
          <w:lang w:eastAsia="en-GB"/>
          <w14:ligatures w14:val="none"/>
        </w:rPr>
        <w:t xml:space="preserve"> </w:t>
      </w:r>
      <w:r w:rsidR="00F81B22" w:rsidRPr="00903D85">
        <w:rPr>
          <w:rFonts w:ascii="Ariel" w:hAnsi="Ariel" w:cs="Arial"/>
          <w:sz w:val="22"/>
          <w:szCs w:val="22"/>
        </w:rPr>
        <w:t>(Wheatley, 2024).</w:t>
      </w:r>
    </w:p>
    <w:p w14:paraId="6AF6FD13" w14:textId="477C206D" w:rsidR="001B5F1B" w:rsidRPr="00903D85" w:rsidRDefault="00F13810" w:rsidP="00903D85">
      <w:pPr>
        <w:spacing w:line="360" w:lineRule="auto"/>
        <w:rPr>
          <w:rFonts w:ascii="Ariel" w:hAnsi="Ariel" w:cs="Arial"/>
          <w:sz w:val="22"/>
          <w:szCs w:val="22"/>
        </w:rPr>
      </w:pPr>
      <w:r w:rsidRPr="00903D85">
        <w:rPr>
          <w:rFonts w:ascii="Ariel" w:hAnsi="Ariel" w:cs="Arial"/>
          <w:sz w:val="22"/>
          <w:szCs w:val="22"/>
        </w:rPr>
        <w:t xml:space="preserve">To reduce nitrogen dioxide levels, local governments establish low-emission zones, such as London's ULEZ. Community-based projects foster sustainability and citizen participation. However, limitations including inadequate finance and governance ability might hinder efficacy, </w:t>
      </w:r>
      <w:r w:rsidRPr="00903D85">
        <w:rPr>
          <w:rFonts w:ascii="Ariel" w:hAnsi="Ariel" w:cs="Arial"/>
          <w:sz w:val="22"/>
          <w:szCs w:val="22"/>
        </w:rPr>
        <w:lastRenderedPageBreak/>
        <w:t>underscoring the necessity of robust collaboration at the international, national, and local levels</w:t>
      </w:r>
      <w:r w:rsidR="001B5F1B" w:rsidRPr="00903D85">
        <w:rPr>
          <w:rFonts w:ascii="Ariel" w:eastAsia="Times New Roman" w:hAnsi="Ariel" w:cs="Times New Roman"/>
          <w:kern w:val="0"/>
          <w:sz w:val="22"/>
          <w:szCs w:val="22"/>
          <w:lang w:eastAsia="en-GB"/>
          <w14:ligatures w14:val="none"/>
        </w:rPr>
        <w:t xml:space="preserve"> </w:t>
      </w:r>
      <w:r w:rsidR="001B5F1B" w:rsidRPr="00903D85">
        <w:rPr>
          <w:rFonts w:ascii="Ariel" w:hAnsi="Ariel" w:cs="Arial"/>
          <w:sz w:val="22"/>
          <w:szCs w:val="22"/>
        </w:rPr>
        <w:t>(Schulte et al., 2025).</w:t>
      </w:r>
    </w:p>
    <w:p w14:paraId="3CE29CF4" w14:textId="74D77481" w:rsidR="00947A10" w:rsidRPr="00903D85" w:rsidRDefault="00F13810" w:rsidP="00903D85">
      <w:pPr>
        <w:spacing w:line="360" w:lineRule="auto"/>
        <w:rPr>
          <w:rFonts w:ascii="Ariel" w:hAnsi="Ariel" w:cs="Arial"/>
          <w:sz w:val="22"/>
          <w:szCs w:val="22"/>
        </w:rPr>
      </w:pPr>
      <w:r w:rsidRPr="00903D85">
        <w:rPr>
          <w:rFonts w:ascii="Ariel" w:hAnsi="Ariel" w:cs="Arial"/>
          <w:sz w:val="22"/>
          <w:szCs w:val="22"/>
        </w:rPr>
        <w:t xml:space="preserve">However, budgetary constraints, regional disparities, and differences in local governing capacity might restrict the efficacy of local initiatives. </w:t>
      </w:r>
      <w:r w:rsidR="00CB527E" w:rsidRPr="00903D85">
        <w:rPr>
          <w:rFonts w:ascii="Ariel" w:hAnsi="Ariel" w:cs="Arial"/>
          <w:sz w:val="22"/>
          <w:szCs w:val="22"/>
        </w:rPr>
        <w:t>To</w:t>
      </w:r>
      <w:r w:rsidRPr="00903D85">
        <w:rPr>
          <w:rFonts w:ascii="Ariel" w:hAnsi="Ariel" w:cs="Arial"/>
          <w:sz w:val="22"/>
          <w:szCs w:val="22"/>
        </w:rPr>
        <w:t xml:space="preserve"> guarantee that interventions are both successful and equitable, this emphasizes the significance of robust coordination at local, national, and international levels </w:t>
      </w:r>
      <w:r w:rsidR="00947A10" w:rsidRPr="00903D85">
        <w:rPr>
          <w:rFonts w:ascii="Ariel" w:hAnsi="Ariel" w:cs="Arial"/>
          <w:sz w:val="22"/>
          <w:szCs w:val="22"/>
        </w:rPr>
        <w:t>(Wolff, 2024).</w:t>
      </w:r>
    </w:p>
    <w:p w14:paraId="3D8AF98F" w14:textId="77777777" w:rsidR="00AF5A66" w:rsidRPr="00D217DE" w:rsidRDefault="00AF5A66" w:rsidP="00903D85">
      <w:pPr>
        <w:pStyle w:val="Heading1"/>
        <w:spacing w:line="360" w:lineRule="auto"/>
        <w:rPr>
          <w:rFonts w:ascii="Ariel" w:hAnsi="Ariel"/>
          <w:b/>
          <w:bCs/>
          <w:color w:val="auto"/>
          <w:sz w:val="22"/>
          <w:szCs w:val="22"/>
          <w:u w:val="single"/>
        </w:rPr>
      </w:pPr>
      <w:bookmarkStart w:id="14" w:name="_Toc224984242"/>
      <w:r w:rsidRPr="00D217DE">
        <w:rPr>
          <w:rFonts w:ascii="Ariel" w:hAnsi="Ariel"/>
          <w:b/>
          <w:bCs/>
          <w:color w:val="auto"/>
          <w:sz w:val="22"/>
          <w:szCs w:val="22"/>
          <w:u w:val="single"/>
        </w:rPr>
        <w:t>Critical Analysis</w:t>
      </w:r>
      <w:bookmarkEnd w:id="14"/>
    </w:p>
    <w:p w14:paraId="1794C362" w14:textId="5BAF010C" w:rsidR="00AF5A66" w:rsidRPr="00903D85" w:rsidRDefault="00AF5A66" w:rsidP="00903D85">
      <w:pPr>
        <w:spacing w:line="360" w:lineRule="auto"/>
        <w:rPr>
          <w:rFonts w:ascii="Ariel" w:hAnsi="Ariel" w:cs="Arial"/>
          <w:sz w:val="22"/>
          <w:szCs w:val="22"/>
        </w:rPr>
      </w:pPr>
      <w:r w:rsidRPr="00903D85">
        <w:rPr>
          <w:rFonts w:ascii="Ariel" w:hAnsi="Ariel" w:cs="Arial"/>
          <w:sz w:val="22"/>
          <w:szCs w:val="22"/>
        </w:rPr>
        <w:t>The effectiveness of climate action policies depends heavily on coordination across sectors such as health, environment, and urban planning. Many policies fail to fully integrate climate mitigation strategies with public health priorities</w:t>
      </w:r>
      <w:r w:rsidR="00491B1C" w:rsidRPr="00903D85">
        <w:rPr>
          <w:rFonts w:ascii="Ariel" w:hAnsi="Ariel" w:cs="Arial"/>
          <w:sz w:val="22"/>
          <w:szCs w:val="22"/>
        </w:rPr>
        <w:t xml:space="preserve">. </w:t>
      </w:r>
      <w:r w:rsidRPr="00903D85">
        <w:rPr>
          <w:rFonts w:ascii="Ariel" w:hAnsi="Ariel" w:cs="Arial"/>
          <w:sz w:val="22"/>
          <w:szCs w:val="22"/>
        </w:rPr>
        <w:t xml:space="preserve">Improved collaboration between policymakers, healthcare systems, and environmental agencies is therefore </w:t>
      </w:r>
      <w:r w:rsidR="009839D1" w:rsidRPr="00903D85">
        <w:rPr>
          <w:rFonts w:ascii="Ariel" w:hAnsi="Ariel" w:cs="Arial"/>
          <w:sz w:val="22"/>
          <w:szCs w:val="22"/>
        </w:rPr>
        <w:t>necessary (Romanello et al., 2023).</w:t>
      </w:r>
    </w:p>
    <w:p w14:paraId="5DE84FDA" w14:textId="3C3E0EEB" w:rsidR="00AF5A66" w:rsidRPr="00D217DE" w:rsidRDefault="00AF5A66" w:rsidP="00903D85">
      <w:pPr>
        <w:spacing w:line="360" w:lineRule="auto"/>
        <w:rPr>
          <w:rStyle w:val="Heading1Char"/>
          <w:rFonts w:ascii="Ariel" w:hAnsi="Ariel"/>
          <w:b/>
          <w:bCs/>
          <w:color w:val="auto"/>
          <w:sz w:val="22"/>
          <w:szCs w:val="22"/>
          <w:u w:val="single"/>
        </w:rPr>
      </w:pPr>
      <w:bookmarkStart w:id="15" w:name="_Toc224984243"/>
      <w:r w:rsidRPr="00D217DE">
        <w:rPr>
          <w:rStyle w:val="Heading1Char"/>
          <w:rFonts w:ascii="Ariel" w:hAnsi="Ariel"/>
          <w:b/>
          <w:bCs/>
          <w:color w:val="auto"/>
          <w:sz w:val="22"/>
          <w:szCs w:val="22"/>
          <w:u w:val="single"/>
        </w:rPr>
        <w:t>National</w:t>
      </w:r>
      <w:r w:rsidR="000812DF" w:rsidRPr="00D217DE">
        <w:rPr>
          <w:rStyle w:val="Heading1Char"/>
          <w:rFonts w:ascii="Ariel" w:hAnsi="Ariel"/>
          <w:b/>
          <w:bCs/>
          <w:color w:val="auto"/>
          <w:sz w:val="22"/>
          <w:szCs w:val="22"/>
          <w:u w:val="single"/>
        </w:rPr>
        <w:t xml:space="preserve"> and Local</w:t>
      </w:r>
      <w:r w:rsidRPr="00D217DE">
        <w:rPr>
          <w:rStyle w:val="Heading1Char"/>
          <w:rFonts w:ascii="Ariel" w:hAnsi="Ariel"/>
          <w:b/>
          <w:bCs/>
          <w:color w:val="auto"/>
          <w:sz w:val="22"/>
          <w:szCs w:val="22"/>
          <w:u w:val="single"/>
        </w:rPr>
        <w:t xml:space="preserve"> Initiatives</w:t>
      </w:r>
      <w:bookmarkEnd w:id="15"/>
    </w:p>
    <w:p w14:paraId="26E7279E" w14:textId="7D08E799" w:rsidR="00901AEA" w:rsidRPr="00903D85" w:rsidRDefault="001D0E1D" w:rsidP="00903D85">
      <w:pPr>
        <w:spacing w:line="360" w:lineRule="auto"/>
        <w:rPr>
          <w:rFonts w:ascii="Ariel" w:hAnsi="Ariel" w:cs="Arial"/>
          <w:sz w:val="22"/>
          <w:szCs w:val="22"/>
        </w:rPr>
      </w:pPr>
      <w:r w:rsidRPr="00903D85">
        <w:rPr>
          <w:rFonts w:ascii="Ariel" w:hAnsi="Ariel" w:cs="Arial"/>
          <w:sz w:val="22"/>
          <w:szCs w:val="22"/>
        </w:rPr>
        <w:t xml:space="preserve">National governments implement global climate commitments through domestic policies. In the UK, the Climate Change Act 2008 enforces legally binding carbon budgets to reach net-zero emissions by 2050, supported by the Net Zero and Clean Air Strategies. These initiatives seek to lower emissions and enhance public health </w:t>
      </w:r>
      <w:r w:rsidR="00901AEA" w:rsidRPr="00903D85">
        <w:rPr>
          <w:rFonts w:ascii="Ariel" w:hAnsi="Ariel" w:cs="Arial"/>
          <w:sz w:val="22"/>
          <w:szCs w:val="22"/>
        </w:rPr>
        <w:t>(UK Government, 2021). Governments also invest in adaptation measures, including flood defences, heatwave response plans, and early warning systems, integrating public health agencies to address climate-related risks.</w:t>
      </w:r>
    </w:p>
    <w:p w14:paraId="2E716E0F" w14:textId="25077334" w:rsidR="00901AEA" w:rsidRPr="00903D85" w:rsidRDefault="00901AEA" w:rsidP="00903D85">
      <w:pPr>
        <w:spacing w:line="360" w:lineRule="auto"/>
        <w:rPr>
          <w:rFonts w:ascii="Ariel" w:hAnsi="Ariel" w:cs="Arial"/>
          <w:sz w:val="22"/>
          <w:szCs w:val="22"/>
        </w:rPr>
      </w:pPr>
      <w:r w:rsidRPr="00903D85">
        <w:rPr>
          <w:rFonts w:ascii="Ariel" w:hAnsi="Ariel" w:cs="Arial"/>
          <w:sz w:val="22"/>
          <w:szCs w:val="22"/>
        </w:rPr>
        <w:t>Local authorities operationalise national climate and health strategies at the community level. Urban sustainability initiatives, including greening projects, low-emission zones (e.g., London’s ULEZ), and investments in cycling and pedestrian infrastructure, reduce air pollution, urban heat island effects, and carbon emissions while promoting physical activity and mental well-being</w:t>
      </w:r>
      <w:r w:rsidR="008E3D08">
        <w:rPr>
          <w:rFonts w:ascii="Ariel" w:hAnsi="Ariel" w:cs="Arial"/>
          <w:sz w:val="22"/>
          <w:szCs w:val="22"/>
        </w:rPr>
        <w:t xml:space="preserve"> </w:t>
      </w:r>
      <w:r w:rsidR="008E3D08" w:rsidRPr="008E3D08">
        <w:rPr>
          <w:rFonts w:ascii="Ariel" w:hAnsi="Ariel" w:cs="Arial"/>
          <w:sz w:val="22"/>
          <w:szCs w:val="22"/>
        </w:rPr>
        <w:t>(Sohrabi et al., 2020</w:t>
      </w:r>
      <w:r w:rsidR="007D35E5">
        <w:rPr>
          <w:rFonts w:ascii="Ariel" w:hAnsi="Ariel" w:cs="Arial"/>
          <w:sz w:val="22"/>
          <w:szCs w:val="22"/>
        </w:rPr>
        <w:t>)</w:t>
      </w:r>
      <w:r w:rsidRPr="00903D85">
        <w:rPr>
          <w:rFonts w:ascii="Ariel" w:hAnsi="Ariel" w:cs="Arial"/>
          <w:sz w:val="22"/>
          <w:szCs w:val="22"/>
        </w:rPr>
        <w:t>. Community engagement programs, such as participatory planning and local climate education campaigns, empower residents to respond to environmental risks.</w:t>
      </w:r>
    </w:p>
    <w:p w14:paraId="509807CB" w14:textId="77777777" w:rsidR="00901AEA" w:rsidRPr="00D217DE" w:rsidRDefault="00901AEA" w:rsidP="00903D85">
      <w:pPr>
        <w:pStyle w:val="Heading1"/>
        <w:spacing w:line="360" w:lineRule="auto"/>
        <w:rPr>
          <w:rFonts w:ascii="Ariel" w:hAnsi="Ariel"/>
          <w:b/>
          <w:bCs/>
          <w:color w:val="auto"/>
          <w:sz w:val="22"/>
          <w:szCs w:val="22"/>
          <w:u w:val="single"/>
        </w:rPr>
      </w:pPr>
      <w:bookmarkStart w:id="16" w:name="_Toc224982248"/>
      <w:bookmarkStart w:id="17" w:name="_Toc224984244"/>
      <w:r w:rsidRPr="00D217DE">
        <w:rPr>
          <w:rFonts w:ascii="Ariel" w:hAnsi="Ariel"/>
          <w:b/>
          <w:bCs/>
          <w:color w:val="auto"/>
          <w:sz w:val="22"/>
          <w:szCs w:val="22"/>
          <w:u w:val="single"/>
        </w:rPr>
        <w:t>Critical Analysis</w:t>
      </w:r>
      <w:bookmarkEnd w:id="16"/>
      <w:bookmarkEnd w:id="17"/>
    </w:p>
    <w:p w14:paraId="736FE87C" w14:textId="63CFB6D3" w:rsidR="00901AEA" w:rsidRPr="00903D85" w:rsidRDefault="00901AEA" w:rsidP="00903D85">
      <w:pPr>
        <w:spacing w:line="360" w:lineRule="auto"/>
        <w:rPr>
          <w:rFonts w:ascii="Ariel" w:hAnsi="Ariel" w:cs="Arial"/>
          <w:sz w:val="22"/>
          <w:szCs w:val="22"/>
        </w:rPr>
      </w:pPr>
      <w:r w:rsidRPr="00903D85">
        <w:rPr>
          <w:rFonts w:ascii="Ariel" w:hAnsi="Ariel" w:cs="Arial"/>
          <w:sz w:val="22"/>
          <w:szCs w:val="22"/>
        </w:rPr>
        <w:t>Despite progress, the effectiveness of climate action policies is constrained by limited funding, governance disparities, and insufficient cross-sector coordination (Romanello et al., 2023). Policies often fail to fully integrate climate mitigation with public health objectives, and regional inequalities can reduce intervention effectiveness. Strengthening collaboration between environmental, public health, and urban planning sectors is essential to ensure equitable, scalable, and sustainable climate solutions.</w:t>
      </w:r>
    </w:p>
    <w:p w14:paraId="12CD0248" w14:textId="6E21DBDA" w:rsidR="00AF5A66" w:rsidRPr="00D217DE" w:rsidRDefault="00AF5A66" w:rsidP="00903D85">
      <w:pPr>
        <w:spacing w:line="360" w:lineRule="auto"/>
        <w:rPr>
          <w:rStyle w:val="Heading1Char"/>
          <w:rFonts w:ascii="Ariel" w:hAnsi="Ariel"/>
          <w:b/>
          <w:bCs/>
          <w:color w:val="auto"/>
          <w:sz w:val="22"/>
          <w:szCs w:val="22"/>
          <w:u w:val="single"/>
        </w:rPr>
      </w:pPr>
      <w:bookmarkStart w:id="18" w:name="_Toc224984245"/>
      <w:r w:rsidRPr="00D217DE">
        <w:rPr>
          <w:rStyle w:val="Heading1Char"/>
          <w:rFonts w:ascii="Ariel" w:hAnsi="Ariel"/>
          <w:b/>
          <w:bCs/>
          <w:color w:val="auto"/>
          <w:sz w:val="22"/>
          <w:szCs w:val="22"/>
          <w:u w:val="single"/>
        </w:rPr>
        <w:lastRenderedPageBreak/>
        <w:t>Recommendations for Improvement</w:t>
      </w:r>
      <w:bookmarkEnd w:id="18"/>
    </w:p>
    <w:p w14:paraId="04D06B4D" w14:textId="4AB12E95" w:rsidR="006823EB" w:rsidRPr="00D217DE" w:rsidRDefault="006823EB" w:rsidP="00903D85">
      <w:pPr>
        <w:pStyle w:val="Heading1"/>
        <w:spacing w:line="360" w:lineRule="auto"/>
        <w:rPr>
          <w:rFonts w:ascii="Ariel" w:hAnsi="Ariel"/>
          <w:b/>
          <w:bCs/>
          <w:color w:val="auto"/>
          <w:sz w:val="22"/>
          <w:szCs w:val="22"/>
          <w:u w:val="single"/>
        </w:rPr>
      </w:pPr>
      <w:bookmarkStart w:id="19" w:name="_Toc224982249"/>
      <w:bookmarkStart w:id="20" w:name="_Toc224982866"/>
      <w:bookmarkStart w:id="21" w:name="_Toc224983375"/>
      <w:bookmarkStart w:id="22" w:name="_Toc224984246"/>
      <w:r w:rsidRPr="00D217DE">
        <w:rPr>
          <w:rFonts w:ascii="Ariel" w:hAnsi="Ariel"/>
          <w:b/>
          <w:bCs/>
          <w:color w:val="auto"/>
          <w:sz w:val="22"/>
          <w:szCs w:val="22"/>
          <w:u w:val="single"/>
        </w:rPr>
        <w:t>SDG 13: Climate Action</w:t>
      </w:r>
      <w:bookmarkEnd w:id="19"/>
      <w:bookmarkEnd w:id="20"/>
      <w:bookmarkEnd w:id="21"/>
      <w:bookmarkEnd w:id="22"/>
    </w:p>
    <w:p w14:paraId="6DE60A79" w14:textId="60221BEC" w:rsidR="00D268F5" w:rsidRPr="00903D85" w:rsidRDefault="00AF5A66" w:rsidP="00903D85">
      <w:pPr>
        <w:spacing w:line="360" w:lineRule="auto"/>
        <w:rPr>
          <w:rFonts w:ascii="Ariel" w:hAnsi="Ariel" w:cs="Arial"/>
          <w:sz w:val="22"/>
          <w:szCs w:val="22"/>
        </w:rPr>
      </w:pPr>
      <w:r w:rsidRPr="00903D85">
        <w:rPr>
          <w:rFonts w:ascii="Ariel" w:hAnsi="Ariel" w:cs="Arial"/>
          <w:sz w:val="22"/>
          <w:szCs w:val="22"/>
        </w:rPr>
        <w:t xml:space="preserve">To improve the effectiveness of climate action, governments and local authorities should embed climate resilience into urban planning and community initiatives. This includes developing green infrastructure, improving flood defences, implementing heatwave action plans, and promoting energy-efficient buildings, all of which reduce environmental vulnerability while protecting public health </w:t>
      </w:r>
      <w:r w:rsidR="00D268F5" w:rsidRPr="00903D85">
        <w:rPr>
          <w:rFonts w:ascii="Ariel" w:hAnsi="Ariel" w:cs="Arial"/>
          <w:sz w:val="22"/>
          <w:szCs w:val="22"/>
        </w:rPr>
        <w:t>(Joshi et al., 2024).</w:t>
      </w:r>
    </w:p>
    <w:p w14:paraId="0D1057FB" w14:textId="5100F83F" w:rsidR="00AF5A66" w:rsidRPr="00903D85" w:rsidRDefault="00AF5A66" w:rsidP="00903D85">
      <w:pPr>
        <w:spacing w:line="360" w:lineRule="auto"/>
        <w:rPr>
          <w:rFonts w:ascii="Ariel" w:hAnsi="Ariel" w:cs="Arial"/>
          <w:sz w:val="22"/>
          <w:szCs w:val="22"/>
        </w:rPr>
      </w:pPr>
      <w:r w:rsidRPr="00903D85">
        <w:rPr>
          <w:rFonts w:ascii="Ariel" w:hAnsi="Ariel" w:cs="Arial"/>
          <w:sz w:val="22"/>
          <w:szCs w:val="22"/>
        </w:rPr>
        <w:t>Community-based adaptation programs</w:t>
      </w:r>
      <w:r w:rsidR="00B45630" w:rsidRPr="00903D85">
        <w:rPr>
          <w:rFonts w:ascii="Ariel" w:hAnsi="Ariel" w:cs="Arial"/>
          <w:sz w:val="22"/>
          <w:szCs w:val="22"/>
        </w:rPr>
        <w:t xml:space="preserve"> </w:t>
      </w:r>
      <w:r w:rsidRPr="00903D85">
        <w:rPr>
          <w:rFonts w:ascii="Ariel" w:hAnsi="Ariel" w:cs="Arial"/>
          <w:sz w:val="22"/>
          <w:szCs w:val="22"/>
        </w:rPr>
        <w:t>such as local early warning systems, public education campaigns on extreme weather, and participatory decision-making</w:t>
      </w:r>
      <w:r w:rsidR="00B45630" w:rsidRPr="00903D85">
        <w:rPr>
          <w:rFonts w:ascii="Ariel" w:hAnsi="Ariel" w:cs="Arial"/>
          <w:sz w:val="22"/>
          <w:szCs w:val="22"/>
        </w:rPr>
        <w:t xml:space="preserve"> </w:t>
      </w:r>
      <w:r w:rsidRPr="00903D85">
        <w:rPr>
          <w:rFonts w:ascii="Ariel" w:hAnsi="Ariel" w:cs="Arial"/>
          <w:sz w:val="22"/>
          <w:szCs w:val="22"/>
        </w:rPr>
        <w:t xml:space="preserve">empower residents to respond effectively to climate risks, particularly in vulnerable areas </w:t>
      </w:r>
      <w:r w:rsidR="00C54E20" w:rsidRPr="00903D85">
        <w:rPr>
          <w:rFonts w:ascii="Ariel" w:hAnsi="Ariel" w:cs="Arial"/>
          <w:sz w:val="22"/>
          <w:szCs w:val="22"/>
        </w:rPr>
        <w:t>(Intergovernmental Panel on Climate Change, 2022).</w:t>
      </w:r>
    </w:p>
    <w:p w14:paraId="2FFA9CF4" w14:textId="77777777" w:rsidR="00AF5A66" w:rsidRPr="00903D85" w:rsidRDefault="00AF5A66" w:rsidP="00903D85">
      <w:pPr>
        <w:spacing w:line="360" w:lineRule="auto"/>
        <w:rPr>
          <w:rFonts w:ascii="Ariel" w:hAnsi="Ariel" w:cs="Arial"/>
          <w:sz w:val="22"/>
          <w:szCs w:val="22"/>
        </w:rPr>
      </w:pPr>
      <w:r w:rsidRPr="00903D85">
        <w:rPr>
          <w:rFonts w:ascii="Ariel" w:hAnsi="Ariel" w:cs="Arial"/>
          <w:sz w:val="22"/>
          <w:szCs w:val="22"/>
        </w:rPr>
        <w:t>By fostering coordination between environmental, public health, and urban planning sectors, this approach ensures that climate mitigation and adaptation strategies are mutually reinforcing, scalable, and equitable, enhancing both sustainability and population health outcomes.</w:t>
      </w:r>
    </w:p>
    <w:p w14:paraId="6735190D" w14:textId="77777777" w:rsidR="00AF5A66" w:rsidRPr="00D217DE" w:rsidRDefault="00AF5A66" w:rsidP="00903D85">
      <w:pPr>
        <w:pStyle w:val="Heading1"/>
        <w:spacing w:line="360" w:lineRule="auto"/>
        <w:rPr>
          <w:rFonts w:ascii="Ariel" w:hAnsi="Ariel"/>
          <w:b/>
          <w:bCs/>
          <w:color w:val="auto"/>
          <w:sz w:val="22"/>
          <w:szCs w:val="22"/>
          <w:u w:val="single"/>
        </w:rPr>
      </w:pPr>
      <w:bookmarkStart w:id="23" w:name="_Toc224984247"/>
      <w:r w:rsidRPr="00D217DE">
        <w:rPr>
          <w:rFonts w:ascii="Ariel" w:hAnsi="Ariel"/>
          <w:b/>
          <w:bCs/>
          <w:color w:val="auto"/>
          <w:sz w:val="22"/>
          <w:szCs w:val="22"/>
          <w:u w:val="single"/>
        </w:rPr>
        <w:t>Conclusion</w:t>
      </w:r>
      <w:bookmarkEnd w:id="23"/>
    </w:p>
    <w:p w14:paraId="7B0EF7F6" w14:textId="365F2877" w:rsidR="00AF5A66" w:rsidRPr="00903D85" w:rsidRDefault="00AF5A66" w:rsidP="00903D85">
      <w:pPr>
        <w:spacing w:line="360" w:lineRule="auto"/>
        <w:rPr>
          <w:rFonts w:ascii="Ariel" w:hAnsi="Ariel" w:cs="Arial"/>
          <w:sz w:val="22"/>
          <w:szCs w:val="22"/>
        </w:rPr>
      </w:pPr>
      <w:r w:rsidRPr="00903D85">
        <w:rPr>
          <w:rFonts w:ascii="Ariel" w:hAnsi="Ariel" w:cs="Arial"/>
          <w:sz w:val="22"/>
          <w:szCs w:val="22"/>
        </w:rPr>
        <w:t>SDG 3 and SDG 13 provide an important framework for addressing health and sustainability challenges globally. While progress has been made in improving healthcare access and promoting sustainable development, significant challenges remain</w:t>
      </w:r>
      <w:r w:rsidR="002D68B5" w:rsidRPr="00903D85">
        <w:rPr>
          <w:rFonts w:ascii="Ariel" w:hAnsi="Ariel" w:cs="Arial"/>
          <w:sz w:val="22"/>
          <w:szCs w:val="22"/>
        </w:rPr>
        <w:t xml:space="preserve">. </w:t>
      </w:r>
      <w:r w:rsidRPr="00903D85">
        <w:rPr>
          <w:rFonts w:ascii="Ariel" w:hAnsi="Ariel" w:cs="Arial"/>
          <w:sz w:val="22"/>
          <w:szCs w:val="22"/>
        </w:rPr>
        <w:t>National and local initiatives have demonstrated positive outcomes, but their effectiveness is often limited by policy fragmentation and persistent social inequalities (World Health Organisation, 2023</w:t>
      </w:r>
      <w:r w:rsidR="00A9462F" w:rsidRPr="00903D85">
        <w:rPr>
          <w:rFonts w:ascii="Ariel" w:hAnsi="Ariel" w:cs="Arial"/>
          <w:sz w:val="22"/>
          <w:szCs w:val="22"/>
        </w:rPr>
        <w:t>b</w:t>
      </w:r>
      <w:r w:rsidRPr="00903D85">
        <w:rPr>
          <w:rFonts w:ascii="Ariel" w:hAnsi="Ariel" w:cs="Arial"/>
          <w:sz w:val="22"/>
          <w:szCs w:val="22"/>
        </w:rPr>
        <w:t>).</w:t>
      </w:r>
    </w:p>
    <w:p w14:paraId="084B9C52" w14:textId="77777777" w:rsidR="00AF5A66" w:rsidRPr="00903D85" w:rsidRDefault="00AF5A66" w:rsidP="00903D85">
      <w:pPr>
        <w:spacing w:line="360" w:lineRule="auto"/>
        <w:rPr>
          <w:rFonts w:ascii="Ariel" w:hAnsi="Ariel" w:cs="Arial"/>
          <w:sz w:val="22"/>
          <w:szCs w:val="22"/>
        </w:rPr>
      </w:pPr>
      <w:r w:rsidRPr="00903D85">
        <w:rPr>
          <w:rFonts w:ascii="Ariel" w:hAnsi="Ariel" w:cs="Arial"/>
          <w:sz w:val="22"/>
          <w:szCs w:val="22"/>
        </w:rPr>
        <w:t>Achieving sustainable improvements in health and well-being requires stronger collaboration across sectors, increased investment in preventive healthcare, and more inclusive policy approaches. By integrating health and environmental strategies, governments and communities can work towards achieving the Sustainable Development Goals and improving the quality of life for future generations.</w:t>
      </w:r>
    </w:p>
    <w:p w14:paraId="57B8A452" w14:textId="77777777" w:rsidR="00AF5A66" w:rsidRPr="00903D85" w:rsidRDefault="00AF5A66" w:rsidP="00903D85">
      <w:pPr>
        <w:spacing w:line="360" w:lineRule="auto"/>
        <w:rPr>
          <w:rFonts w:ascii="Ariel" w:hAnsi="Ariel" w:cs="Arial"/>
          <w:sz w:val="22"/>
          <w:szCs w:val="22"/>
        </w:rPr>
      </w:pPr>
    </w:p>
    <w:p w14:paraId="6184AFE9" w14:textId="77777777" w:rsidR="00AF5A66" w:rsidRPr="00903D85" w:rsidRDefault="00AF5A66" w:rsidP="00903D85">
      <w:pPr>
        <w:spacing w:line="360" w:lineRule="auto"/>
        <w:rPr>
          <w:rFonts w:ascii="Ariel" w:hAnsi="Ariel" w:cs="Arial"/>
          <w:sz w:val="22"/>
          <w:szCs w:val="22"/>
        </w:rPr>
      </w:pPr>
    </w:p>
    <w:p w14:paraId="3A5D5A7B" w14:textId="77777777" w:rsidR="00AF5A66" w:rsidRPr="00903D85" w:rsidRDefault="00AF5A66" w:rsidP="00903D85">
      <w:pPr>
        <w:spacing w:line="360" w:lineRule="auto"/>
        <w:rPr>
          <w:rFonts w:ascii="Ariel" w:hAnsi="Ariel" w:cs="Arial"/>
          <w:sz w:val="22"/>
          <w:szCs w:val="22"/>
        </w:rPr>
      </w:pPr>
    </w:p>
    <w:p w14:paraId="1E9708D8" w14:textId="77777777" w:rsidR="00A61373" w:rsidRDefault="00A61373" w:rsidP="00D66DA1">
      <w:pPr>
        <w:spacing w:line="360" w:lineRule="auto"/>
        <w:rPr>
          <w:rFonts w:ascii="Ariel" w:hAnsi="Ariel" w:cs="Arial"/>
          <w:b/>
          <w:bCs/>
          <w:sz w:val="22"/>
          <w:szCs w:val="22"/>
        </w:rPr>
      </w:pPr>
    </w:p>
    <w:p w14:paraId="5E755FF2" w14:textId="4F58D959" w:rsidR="00D66DA1" w:rsidRPr="00D66DA1" w:rsidRDefault="00D66DA1" w:rsidP="00D66DA1">
      <w:pPr>
        <w:spacing w:line="360" w:lineRule="auto"/>
        <w:rPr>
          <w:rFonts w:ascii="Ariel" w:hAnsi="Ariel" w:cs="Arial"/>
          <w:b/>
          <w:bCs/>
          <w:sz w:val="22"/>
          <w:szCs w:val="22"/>
        </w:rPr>
      </w:pPr>
      <w:r w:rsidRPr="00D66DA1">
        <w:rPr>
          <w:rFonts w:ascii="Ariel" w:hAnsi="Ariel" w:cs="Arial"/>
          <w:b/>
          <w:bCs/>
          <w:sz w:val="22"/>
          <w:szCs w:val="22"/>
        </w:rPr>
        <w:lastRenderedPageBreak/>
        <w:t xml:space="preserve">REFERENCES </w:t>
      </w:r>
    </w:p>
    <w:p w14:paraId="2AF78945"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Arora, N.K. and Mishra, I. (2023) ‘Sustainable development goal 13: recent progress and challenges to climate action’, </w:t>
      </w:r>
      <w:r w:rsidRPr="002A1B58">
        <w:rPr>
          <w:rFonts w:ascii="Ariel" w:hAnsi="Ariel" w:cs="Arial"/>
          <w:i/>
          <w:iCs/>
          <w:sz w:val="22"/>
          <w:szCs w:val="22"/>
        </w:rPr>
        <w:t>Environmental sustainability</w:t>
      </w:r>
      <w:r w:rsidRPr="002A1B58">
        <w:rPr>
          <w:rFonts w:ascii="Ariel" w:hAnsi="Ariel" w:cs="Arial"/>
          <w:sz w:val="22"/>
          <w:szCs w:val="22"/>
        </w:rPr>
        <w:t xml:space="preserve">, 6. Available at </w:t>
      </w:r>
      <w:hyperlink r:id="rId6" w:history="1">
        <w:r w:rsidRPr="002A1B58">
          <w:rPr>
            <w:rStyle w:val="Hyperlink"/>
            <w:rFonts w:ascii="Ariel" w:hAnsi="Ariel" w:cs="Arial"/>
            <w:sz w:val="22"/>
            <w:szCs w:val="22"/>
          </w:rPr>
          <w:t>https://doi.org/10.1007/s42398-023-00287-4</w:t>
        </w:r>
      </w:hyperlink>
      <w:r w:rsidRPr="002A1B58">
        <w:rPr>
          <w:rFonts w:ascii="Ariel" w:hAnsi="Ariel" w:cs="Arial"/>
          <w:sz w:val="22"/>
          <w:szCs w:val="22"/>
        </w:rPr>
        <w:t>. (Accessed: 17 March 2026).</w:t>
      </w:r>
    </w:p>
    <w:p w14:paraId="7559DF33"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Australian Government Department of Health and Aged Care. (2021) ‘</w:t>
      </w:r>
      <w:r w:rsidRPr="002A1B58">
        <w:rPr>
          <w:rFonts w:ascii="Ariel" w:hAnsi="Ariel" w:cs="Arial"/>
          <w:i/>
          <w:iCs/>
          <w:sz w:val="22"/>
          <w:szCs w:val="22"/>
        </w:rPr>
        <w:t>National Preventive Health Strategy 2021–2030’</w:t>
      </w:r>
      <w:r w:rsidRPr="002A1B58">
        <w:rPr>
          <w:rFonts w:ascii="Ariel" w:hAnsi="Ariel" w:cs="Arial"/>
          <w:sz w:val="22"/>
          <w:szCs w:val="22"/>
        </w:rPr>
        <w:t xml:space="preserve"> Available at: </w:t>
      </w:r>
      <w:hyperlink r:id="rId7" w:history="1">
        <w:r w:rsidRPr="002A1B58">
          <w:rPr>
            <w:rStyle w:val="Hyperlink"/>
            <w:rFonts w:ascii="Ariel" w:hAnsi="Ariel" w:cs="Arial"/>
            <w:sz w:val="22"/>
            <w:szCs w:val="22"/>
          </w:rPr>
          <w:t>https//www.health.gov.au/resources/publications/national-preventive-health-strategy-2021-2030</w:t>
        </w:r>
      </w:hyperlink>
      <w:r w:rsidRPr="002A1B58">
        <w:rPr>
          <w:rFonts w:ascii="Ariel" w:hAnsi="Ariel" w:cs="Arial"/>
          <w:sz w:val="22"/>
          <w:szCs w:val="22"/>
        </w:rPr>
        <w:t xml:space="preserve"> (Accessed: 21 March 2026).</w:t>
      </w:r>
    </w:p>
    <w:p w14:paraId="13D49E24"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Bagnall, A.-M., South, J., Kinsella, K., Trigwell, J., Sheridan, K. and Harden, A. (2025) ‘Community engagement approaches to improve health: a cross-case study analysis of barriers and facilitators in UK practice’, </w:t>
      </w:r>
      <w:r w:rsidRPr="002A1B58">
        <w:rPr>
          <w:rFonts w:ascii="Ariel" w:hAnsi="Ariel" w:cs="Arial"/>
          <w:i/>
          <w:iCs/>
          <w:sz w:val="22"/>
          <w:szCs w:val="22"/>
        </w:rPr>
        <w:t>BMC Public Health</w:t>
      </w:r>
      <w:r w:rsidRPr="002A1B58">
        <w:rPr>
          <w:rFonts w:ascii="Ariel" w:hAnsi="Ariel" w:cs="Arial"/>
          <w:sz w:val="22"/>
          <w:szCs w:val="22"/>
        </w:rPr>
        <w:t xml:space="preserve">, 25(1). Available at </w:t>
      </w:r>
      <w:hyperlink r:id="rId8" w:history="1">
        <w:r w:rsidRPr="002A1B58">
          <w:rPr>
            <w:rStyle w:val="Hyperlink"/>
            <w:rFonts w:ascii="Ariel" w:hAnsi="Ariel" w:cs="Arial"/>
            <w:sz w:val="22"/>
            <w:szCs w:val="22"/>
          </w:rPr>
          <w:t>https://doi.org/10.1186/s12889-025-21902-5</w:t>
        </w:r>
      </w:hyperlink>
      <w:r w:rsidRPr="002A1B58">
        <w:rPr>
          <w:rFonts w:ascii="Ariel" w:hAnsi="Ariel" w:cs="Arial"/>
          <w:sz w:val="22"/>
          <w:szCs w:val="22"/>
        </w:rPr>
        <w:t>. (Accessed: 11 March 2026).</w:t>
      </w:r>
    </w:p>
    <w:p w14:paraId="5EC3933C" w14:textId="5D288BE5"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Debie, A., Nigusie, A., Gedle, D., Khatri, R.B. and Assefa, Y. (2024) ‘Building a resilient health system for universal health coverage and health security: a systematic review’</w:t>
      </w:r>
      <w:r w:rsidRPr="002A1B58">
        <w:rPr>
          <w:rFonts w:ascii="Ariel" w:hAnsi="Ariel" w:cs="Arial"/>
          <w:i/>
          <w:iCs/>
          <w:sz w:val="22"/>
          <w:szCs w:val="22"/>
        </w:rPr>
        <w:t>, Global Health Research and Policy,</w:t>
      </w:r>
      <w:r w:rsidRPr="002A1B58">
        <w:rPr>
          <w:rFonts w:ascii="Ariel" w:hAnsi="Ariel" w:cs="Arial"/>
          <w:sz w:val="22"/>
          <w:szCs w:val="22"/>
        </w:rPr>
        <w:t xml:space="preserve"> 9, 2. Available at: </w:t>
      </w:r>
      <w:hyperlink r:id="rId9" w:history="1">
        <w:r w:rsidRPr="002A1B58">
          <w:rPr>
            <w:rStyle w:val="Hyperlink"/>
            <w:rFonts w:ascii="Ariel" w:hAnsi="Ariel" w:cs="Arial"/>
            <w:sz w:val="22"/>
            <w:szCs w:val="22"/>
          </w:rPr>
          <w:t>https://ghrp.biomedcentral.com/articles/10.1186/s41256-023-00340-z</w:t>
        </w:r>
      </w:hyperlink>
      <w:r w:rsidR="008541FE">
        <w:rPr>
          <w:rFonts w:ascii="Ariel" w:hAnsi="Ariel" w:cs="Arial"/>
          <w:sz w:val="22"/>
          <w:szCs w:val="22"/>
        </w:rPr>
        <w:t xml:space="preserve"> </w:t>
      </w:r>
      <w:r w:rsidRPr="002A1B58">
        <w:rPr>
          <w:rFonts w:ascii="Ariel" w:hAnsi="Ariel" w:cs="Arial"/>
          <w:sz w:val="22"/>
          <w:szCs w:val="22"/>
        </w:rPr>
        <w:t xml:space="preserve">(Accessed: 13 March 2026).. </w:t>
      </w:r>
    </w:p>
    <w:p w14:paraId="0FF43B91"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Department of Health and Social Care. (2021) ‘</w:t>
      </w:r>
      <w:r w:rsidRPr="002A1B58">
        <w:rPr>
          <w:rFonts w:ascii="Ariel" w:hAnsi="Ariel" w:cs="Arial"/>
          <w:i/>
          <w:iCs/>
          <w:sz w:val="22"/>
          <w:szCs w:val="22"/>
        </w:rPr>
        <w:t>Build Back Better: Our Plan for Health and Social Care’</w:t>
      </w:r>
      <w:r w:rsidRPr="002A1B58">
        <w:rPr>
          <w:rFonts w:ascii="Ariel" w:hAnsi="Ariel" w:cs="Arial"/>
          <w:sz w:val="22"/>
          <w:szCs w:val="22"/>
        </w:rPr>
        <w:t xml:space="preserve">, Available at: </w:t>
      </w:r>
      <w:hyperlink r:id="rId10" w:history="1">
        <w:r w:rsidRPr="002A1B58">
          <w:rPr>
            <w:rStyle w:val="Hyperlink"/>
            <w:rFonts w:ascii="Ariel" w:hAnsi="Ariel" w:cs="Arial"/>
            <w:sz w:val="22"/>
            <w:szCs w:val="22"/>
          </w:rPr>
          <w:t>https://www.gov.uk/government/publications/build-back-better-our-plan-for-health-and-social-care</w:t>
        </w:r>
      </w:hyperlink>
      <w:r w:rsidRPr="002A1B58">
        <w:rPr>
          <w:rFonts w:ascii="Ariel" w:hAnsi="Ariel" w:cs="Arial"/>
          <w:sz w:val="22"/>
          <w:szCs w:val="22"/>
        </w:rPr>
        <w:t xml:space="preserve">. (Accessed: 10 March 2026). </w:t>
      </w:r>
    </w:p>
    <w:p w14:paraId="279DEA31"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Depledge, J. (2024) ‘ The future of negotiations under the climate change COP (Conference of the Parties): Implementation is not enough’</w:t>
      </w:r>
      <w:r w:rsidRPr="002A1B58">
        <w:rPr>
          <w:rFonts w:ascii="Ariel" w:hAnsi="Ariel" w:cs="Arial"/>
          <w:i/>
          <w:iCs/>
          <w:sz w:val="22"/>
          <w:szCs w:val="22"/>
        </w:rPr>
        <w:t>, Dialogues on climate change</w:t>
      </w:r>
      <w:r w:rsidRPr="002A1B58">
        <w:rPr>
          <w:rFonts w:ascii="Ariel" w:hAnsi="Ariel" w:cs="Arial"/>
          <w:sz w:val="22"/>
          <w:szCs w:val="22"/>
        </w:rPr>
        <w:t xml:space="preserve">., 1(1). Available at </w:t>
      </w:r>
      <w:hyperlink r:id="rId11" w:history="1">
        <w:r w:rsidRPr="002A1B58">
          <w:rPr>
            <w:rStyle w:val="Hyperlink"/>
            <w:rFonts w:ascii="Ariel" w:hAnsi="Ariel" w:cs="Arial"/>
            <w:sz w:val="22"/>
            <w:szCs w:val="22"/>
          </w:rPr>
          <w:t>https://doi.org/10.1177/29768659241293212</w:t>
        </w:r>
      </w:hyperlink>
      <w:r w:rsidRPr="002A1B58">
        <w:rPr>
          <w:rFonts w:ascii="Ariel" w:hAnsi="Ariel" w:cs="Arial"/>
          <w:sz w:val="22"/>
          <w:szCs w:val="22"/>
        </w:rPr>
        <w:t>. (Accessed: 04 March 2026).</w:t>
      </w:r>
    </w:p>
    <w:p w14:paraId="702E1C56"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Hamilton, I., Kennard, H., McGushin, A., Höglund-Isaksson, L., Kiesewetter, G., Lott, M., Milner, J., Purohit, P., Rafaj, P., Sharma, R., Springmann, M., Woodcock, J. and Watts, N. (2021) ‘The public health implications of the Paris Agreement: a modelling study ‘, </w:t>
      </w:r>
      <w:r w:rsidRPr="002A1B58">
        <w:rPr>
          <w:rFonts w:ascii="Ariel" w:hAnsi="Ariel" w:cs="Arial"/>
          <w:i/>
          <w:iCs/>
          <w:sz w:val="22"/>
          <w:szCs w:val="22"/>
        </w:rPr>
        <w:t>The Lancet Planetary Health</w:t>
      </w:r>
      <w:r w:rsidRPr="002A1B58">
        <w:rPr>
          <w:rFonts w:ascii="Ariel" w:hAnsi="Ariel" w:cs="Arial"/>
          <w:sz w:val="22"/>
          <w:szCs w:val="22"/>
        </w:rPr>
        <w:t xml:space="preserve">, 5(2), pp.e74–e83. Available at </w:t>
      </w:r>
      <w:hyperlink r:id="rId12" w:history="1">
        <w:r w:rsidRPr="002A1B58">
          <w:rPr>
            <w:rStyle w:val="Hyperlink"/>
            <w:rFonts w:ascii="Ariel" w:hAnsi="Ariel" w:cs="Arial"/>
            <w:sz w:val="22"/>
            <w:szCs w:val="22"/>
          </w:rPr>
          <w:t>https://doi.org/10.1016/S2542-5196(20)30249-7</w:t>
        </w:r>
      </w:hyperlink>
      <w:r w:rsidRPr="002A1B58">
        <w:rPr>
          <w:rFonts w:ascii="Ariel" w:hAnsi="Ariel" w:cs="Arial"/>
          <w:sz w:val="22"/>
          <w:szCs w:val="22"/>
        </w:rPr>
        <w:t xml:space="preserve">. (Accessed: 07 March 2026). </w:t>
      </w:r>
    </w:p>
    <w:p w14:paraId="3401F479"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Health systems resilience toolkit. (n.d.). Available at: </w:t>
      </w:r>
      <w:hyperlink r:id="rId13" w:history="1">
        <w:r w:rsidRPr="002A1B58">
          <w:rPr>
            <w:rStyle w:val="Hyperlink"/>
            <w:rFonts w:ascii="Ariel" w:hAnsi="Ariel" w:cs="Arial"/>
            <w:sz w:val="22"/>
            <w:szCs w:val="22"/>
          </w:rPr>
          <w:t>https://iris.who.int/server/api/core/bitstreams/5dee789f-c197-4d45-b1aa-391da7b8bcf8/content</w:t>
        </w:r>
      </w:hyperlink>
      <w:r w:rsidRPr="002A1B58">
        <w:rPr>
          <w:rFonts w:ascii="Ariel" w:hAnsi="Ariel" w:cs="Arial"/>
          <w:sz w:val="22"/>
          <w:szCs w:val="22"/>
        </w:rPr>
        <w:t xml:space="preserve">. (Accessed: 11 March 2026). </w:t>
      </w:r>
    </w:p>
    <w:p w14:paraId="4A0C88B8" w14:textId="77777777" w:rsidR="002A1B58" w:rsidRPr="002A1B58" w:rsidRDefault="002A1B58" w:rsidP="002A1B58">
      <w:pPr>
        <w:spacing w:line="360" w:lineRule="auto"/>
        <w:rPr>
          <w:rFonts w:ascii="Ariel" w:hAnsi="Ariel" w:cs="Arial"/>
          <w:sz w:val="22"/>
          <w:szCs w:val="22"/>
        </w:rPr>
      </w:pPr>
    </w:p>
    <w:p w14:paraId="5DE5CE9D" w14:textId="77777777" w:rsidR="002A1B58" w:rsidRPr="002A1B58" w:rsidRDefault="002A1B58" w:rsidP="002A1B58">
      <w:pPr>
        <w:spacing w:line="360" w:lineRule="auto"/>
        <w:rPr>
          <w:rFonts w:ascii="Ariel" w:hAnsi="Ariel" w:cs="Arial"/>
          <w:sz w:val="22"/>
          <w:szCs w:val="22"/>
        </w:rPr>
      </w:pPr>
    </w:p>
    <w:p w14:paraId="543439B8"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lastRenderedPageBreak/>
        <w:t>Intergovernmental Panel on Climate Change (IPCC) (2022) ‘</w:t>
      </w:r>
      <w:r w:rsidRPr="002A1B58">
        <w:rPr>
          <w:rFonts w:ascii="Ariel" w:hAnsi="Ariel" w:cs="Arial"/>
          <w:i/>
          <w:iCs/>
          <w:sz w:val="22"/>
          <w:szCs w:val="22"/>
        </w:rPr>
        <w:t>Climate Change 2022: Impacts, Adaptation and Vulnerability</w:t>
      </w:r>
      <w:r w:rsidRPr="002A1B58">
        <w:rPr>
          <w:rFonts w:ascii="Ariel" w:hAnsi="Ariel" w:cs="Arial"/>
          <w:sz w:val="22"/>
          <w:szCs w:val="22"/>
        </w:rPr>
        <w:t xml:space="preserve">’, Available at: </w:t>
      </w:r>
      <w:hyperlink r:id="rId14" w:tgtFrame="_new" w:history="1">
        <w:r w:rsidRPr="002A1B58">
          <w:rPr>
            <w:rStyle w:val="Hyperlink"/>
            <w:rFonts w:ascii="Ariel" w:hAnsi="Ariel" w:cs="Arial"/>
            <w:sz w:val="22"/>
            <w:szCs w:val="22"/>
          </w:rPr>
          <w:t>https://www.ipcc.ch/report/ar6/wg2/</w:t>
        </w:r>
      </w:hyperlink>
      <w:r w:rsidRPr="002A1B58">
        <w:rPr>
          <w:rFonts w:ascii="Ariel" w:hAnsi="Ariel" w:cs="Arial"/>
          <w:sz w:val="22"/>
          <w:szCs w:val="22"/>
        </w:rPr>
        <w:t xml:space="preserve"> (Accessed: 05 March 2026).</w:t>
      </w:r>
    </w:p>
    <w:p w14:paraId="72973C21"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Joshi, K., Khan, A., Anand, P. and Sen, J. (2024) ‘Understanding the synergy between heat waves and the built environment: a three-decade systematic review informing policies for mitigating urban heat island in cities’, </w:t>
      </w:r>
      <w:r w:rsidRPr="002A1B58">
        <w:rPr>
          <w:rFonts w:ascii="Ariel" w:hAnsi="Ariel" w:cs="Arial"/>
          <w:i/>
          <w:iCs/>
          <w:sz w:val="22"/>
          <w:szCs w:val="22"/>
        </w:rPr>
        <w:t>Sustainable Earth Reviews</w:t>
      </w:r>
      <w:r w:rsidRPr="002A1B58">
        <w:rPr>
          <w:rFonts w:ascii="Ariel" w:hAnsi="Ariel" w:cs="Arial"/>
          <w:sz w:val="22"/>
          <w:szCs w:val="22"/>
        </w:rPr>
        <w:t xml:space="preserve">7(1). Available at </w:t>
      </w:r>
      <w:hyperlink r:id="rId15" w:history="1">
        <w:r w:rsidRPr="002A1B58">
          <w:rPr>
            <w:rStyle w:val="Hyperlink"/>
            <w:rFonts w:ascii="Ariel" w:hAnsi="Ariel" w:cs="Arial"/>
            <w:sz w:val="22"/>
            <w:szCs w:val="22"/>
          </w:rPr>
          <w:t>https://doi.org/10.1186/s42055-024-00094-7</w:t>
        </w:r>
      </w:hyperlink>
      <w:r w:rsidRPr="002A1B58">
        <w:rPr>
          <w:rFonts w:ascii="Ariel" w:hAnsi="Ariel" w:cs="Arial"/>
          <w:sz w:val="22"/>
          <w:szCs w:val="22"/>
        </w:rPr>
        <w:t>. (Accessed: 13 March 2026).</w:t>
      </w:r>
    </w:p>
    <w:p w14:paraId="2EEABA98"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Koohpayezadeh, J., Azami-Aghdash, S., Derakhshani, N., Rezapour, A., Alaei Kalajahi, R., Sajjadi Khasraghi, J., Nikoomanesh, M., Sabetrohani, H. and Soleimanpour, S. (2021). Best practices in achieving universal health coverage: A scoping review. Medical Journal of The Islamic Republic of Iran, 35(1). Available at </w:t>
      </w:r>
      <w:hyperlink r:id="rId16" w:history="1">
        <w:r w:rsidRPr="002A1B58">
          <w:rPr>
            <w:rStyle w:val="Hyperlink"/>
            <w:rFonts w:ascii="Ariel" w:hAnsi="Ariel" w:cs="Arial"/>
            <w:sz w:val="22"/>
            <w:szCs w:val="22"/>
          </w:rPr>
          <w:t>https://doi.org/10.47176/mjiri.35.191</w:t>
        </w:r>
      </w:hyperlink>
      <w:r w:rsidRPr="002A1B58">
        <w:rPr>
          <w:rFonts w:ascii="Ariel" w:hAnsi="Ariel" w:cs="Arial"/>
          <w:sz w:val="22"/>
          <w:szCs w:val="22"/>
        </w:rPr>
        <w:t>. (Accessed: 12 March 2026).</w:t>
      </w:r>
    </w:p>
    <w:p w14:paraId="7E0535C0"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Local Government Association. (2022) ‘</w:t>
      </w:r>
      <w:r w:rsidRPr="002A1B58">
        <w:rPr>
          <w:rFonts w:ascii="Ariel" w:hAnsi="Ariel" w:cs="Arial"/>
          <w:i/>
          <w:iCs/>
          <w:sz w:val="22"/>
          <w:szCs w:val="22"/>
        </w:rPr>
        <w:t>Health and Wellbeing Initiatives by Councils</w:t>
      </w:r>
      <w:r w:rsidRPr="002A1B58">
        <w:rPr>
          <w:rFonts w:ascii="Ariel" w:hAnsi="Ariel" w:cs="Arial"/>
          <w:sz w:val="22"/>
          <w:szCs w:val="22"/>
        </w:rPr>
        <w:t>.’, Available at: https://www.local.gov.uk/our-support/health/wellbeing.  (Accessed: 07 March 2026).</w:t>
      </w:r>
    </w:p>
    <w:p w14:paraId="28EC1378"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Macassa, G. (2021) ‘Can sustainable health behaviour contribute to ensure healthy lives and wellbeing for all at all ages (SDG 3)? </w:t>
      </w:r>
      <w:r w:rsidRPr="002A1B58">
        <w:rPr>
          <w:rFonts w:ascii="Ariel" w:hAnsi="Ariel" w:cs="Arial"/>
          <w:i/>
          <w:iCs/>
          <w:sz w:val="22"/>
          <w:szCs w:val="22"/>
        </w:rPr>
        <w:t>A viewpoint. Journal of Public Health Research,</w:t>
      </w:r>
      <w:r w:rsidRPr="002A1B58">
        <w:rPr>
          <w:rFonts w:ascii="Ariel" w:hAnsi="Ariel" w:cs="Arial"/>
          <w:sz w:val="22"/>
          <w:szCs w:val="22"/>
        </w:rPr>
        <w:t xml:space="preserve"> 10(3). Available at </w:t>
      </w:r>
      <w:hyperlink r:id="rId17" w:history="1">
        <w:r w:rsidRPr="002A1B58">
          <w:rPr>
            <w:rStyle w:val="Hyperlink"/>
            <w:rFonts w:ascii="Ariel" w:hAnsi="Ariel" w:cs="Arial"/>
            <w:sz w:val="22"/>
            <w:szCs w:val="22"/>
          </w:rPr>
          <w:t>https://doi.org/10.4081/jphr.2021.2051</w:t>
        </w:r>
      </w:hyperlink>
      <w:r w:rsidRPr="002A1B58">
        <w:rPr>
          <w:rFonts w:ascii="Ariel" w:hAnsi="Ariel" w:cs="Arial"/>
          <w:sz w:val="22"/>
          <w:szCs w:val="22"/>
        </w:rPr>
        <w:t>. (Accessed:07 March 2026).</w:t>
      </w:r>
    </w:p>
    <w:p w14:paraId="03B39ADE"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Menne, B. (2020) ‘Health and well‑being for all: an approach to accelerating achievement of the health‑related Sustainable Development Goals’, </w:t>
      </w:r>
      <w:r w:rsidRPr="002A1B58">
        <w:rPr>
          <w:rFonts w:ascii="Ariel" w:hAnsi="Ariel" w:cs="Arial"/>
          <w:i/>
          <w:iCs/>
          <w:sz w:val="22"/>
          <w:szCs w:val="22"/>
        </w:rPr>
        <w:t>Journal of Public Health Policy</w:t>
      </w:r>
      <w:r w:rsidRPr="002A1B58">
        <w:rPr>
          <w:rFonts w:ascii="Ariel" w:hAnsi="Ariel" w:cs="Arial"/>
          <w:sz w:val="22"/>
          <w:szCs w:val="22"/>
        </w:rPr>
        <w:t xml:space="preserve">, 41(1), pp. 1‑10. Available at: </w:t>
      </w:r>
      <w:hyperlink r:id="rId18" w:history="1">
        <w:r w:rsidRPr="002A1B58">
          <w:rPr>
            <w:rStyle w:val="Hyperlink"/>
            <w:rFonts w:ascii="Ariel" w:hAnsi="Ariel" w:cs="Arial"/>
            <w:sz w:val="22"/>
            <w:szCs w:val="22"/>
          </w:rPr>
          <w:t>https://www.ncbi.nlm.nih.gov/pmc/articles/PMC7213559</w:t>
        </w:r>
      </w:hyperlink>
      <w:r w:rsidRPr="002A1B58">
        <w:rPr>
          <w:rFonts w:ascii="Ariel" w:hAnsi="Ariel" w:cs="Arial"/>
          <w:sz w:val="22"/>
          <w:szCs w:val="22"/>
        </w:rPr>
        <w:t>. (Accessed: 11 March 2026).</w:t>
      </w:r>
    </w:p>
    <w:p w14:paraId="1C48F9F0"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Morẹ́nikẹ́ Oluwátóyìn Foláyan, Schroth, R.J., Olunike Abodunrin, Al-Batayneh, O.B., Arheiam </w:t>
      </w:r>
      <w:proofErr w:type="spellStart"/>
      <w:r w:rsidRPr="002A1B58">
        <w:rPr>
          <w:rFonts w:ascii="Ariel" w:hAnsi="Ariel" w:cs="Arial"/>
          <w:sz w:val="22"/>
          <w:szCs w:val="22"/>
        </w:rPr>
        <w:t>Arheiam</w:t>
      </w:r>
      <w:proofErr w:type="spellEnd"/>
      <w:r w:rsidRPr="002A1B58">
        <w:rPr>
          <w:rFonts w:ascii="Ariel" w:hAnsi="Ariel" w:cs="Arial"/>
          <w:sz w:val="22"/>
          <w:szCs w:val="22"/>
        </w:rPr>
        <w:t xml:space="preserve">, Tshepiso Mfolo, Virtanen, J.I., Duangporn Duangthip, Feldens, C.A. and Maha El Tantawi (2024) ‘Early childhood caries, climate change and the sustainable development goal 13: a scoping review’, </w:t>
      </w:r>
      <w:r w:rsidRPr="002A1B58">
        <w:rPr>
          <w:rFonts w:ascii="Ariel" w:hAnsi="Ariel" w:cs="Arial"/>
          <w:i/>
          <w:iCs/>
          <w:sz w:val="22"/>
          <w:szCs w:val="22"/>
        </w:rPr>
        <w:t>BMC Oral Health</w:t>
      </w:r>
      <w:r w:rsidRPr="002A1B58">
        <w:rPr>
          <w:rFonts w:ascii="Ariel" w:hAnsi="Ariel" w:cs="Arial"/>
          <w:sz w:val="22"/>
          <w:szCs w:val="22"/>
        </w:rPr>
        <w:t xml:space="preserve">, 24(1). Available at </w:t>
      </w:r>
      <w:hyperlink r:id="rId19" w:history="1">
        <w:r w:rsidRPr="002A1B58">
          <w:rPr>
            <w:rStyle w:val="Hyperlink"/>
            <w:rFonts w:ascii="Ariel" w:hAnsi="Ariel" w:cs="Arial"/>
            <w:sz w:val="22"/>
            <w:szCs w:val="22"/>
          </w:rPr>
          <w:t>https://doi.org/10.1186/s12903-024-04237-2</w:t>
        </w:r>
      </w:hyperlink>
      <w:r w:rsidRPr="002A1B58">
        <w:rPr>
          <w:rFonts w:ascii="Ariel" w:hAnsi="Ariel" w:cs="Arial"/>
          <w:sz w:val="22"/>
          <w:szCs w:val="22"/>
        </w:rPr>
        <w:t xml:space="preserve"> (Accessed: 08 March 2026).</w:t>
      </w:r>
    </w:p>
    <w:p w14:paraId="36A92403"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NHS England (2019) ‘</w:t>
      </w:r>
      <w:r w:rsidRPr="002A1B58">
        <w:rPr>
          <w:rFonts w:ascii="Ariel" w:hAnsi="Ariel" w:cs="Arial"/>
          <w:i/>
          <w:iCs/>
          <w:sz w:val="22"/>
          <w:szCs w:val="22"/>
        </w:rPr>
        <w:t>The NHS Long Term Plan’</w:t>
      </w:r>
      <w:r w:rsidRPr="002A1B58">
        <w:rPr>
          <w:rFonts w:ascii="Ariel" w:hAnsi="Ariel" w:cs="Arial"/>
          <w:sz w:val="22"/>
          <w:szCs w:val="22"/>
        </w:rPr>
        <w:t xml:space="preserve">. Available at: </w:t>
      </w:r>
      <w:hyperlink r:id="rId20" w:tgtFrame="_new" w:history="1">
        <w:r w:rsidRPr="002A1B58">
          <w:rPr>
            <w:rStyle w:val="Hyperlink"/>
            <w:rFonts w:ascii="Ariel" w:hAnsi="Ariel" w:cs="Arial"/>
            <w:sz w:val="22"/>
            <w:szCs w:val="22"/>
          </w:rPr>
          <w:t>https://www.longtermplan.nhs.uk</w:t>
        </w:r>
      </w:hyperlink>
      <w:r w:rsidRPr="002A1B58">
        <w:rPr>
          <w:rFonts w:ascii="Ariel" w:hAnsi="Ariel" w:cs="Arial"/>
          <w:sz w:val="22"/>
          <w:szCs w:val="22"/>
        </w:rPr>
        <w:t xml:space="preserve"> (Accessed: 19 March 2026).</w:t>
      </w:r>
    </w:p>
    <w:p w14:paraId="11D746EF"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Pongsiri, M.J. and Bassi, A.M. (2021) ‘A systems understanding underpins actions at the climate and health nexus’, </w:t>
      </w:r>
      <w:r w:rsidRPr="002A1B58">
        <w:rPr>
          <w:rFonts w:ascii="Ariel" w:hAnsi="Ariel" w:cs="Arial"/>
          <w:i/>
          <w:iCs/>
          <w:sz w:val="22"/>
          <w:szCs w:val="22"/>
        </w:rPr>
        <w:t>International Journal of Environmental Research and Public Health</w:t>
      </w:r>
      <w:r w:rsidRPr="002A1B58">
        <w:rPr>
          <w:rFonts w:ascii="Ariel" w:hAnsi="Ariel" w:cs="Arial"/>
          <w:sz w:val="22"/>
          <w:szCs w:val="22"/>
        </w:rPr>
        <w:t xml:space="preserve">, 18(5), p. 2398. Available at: </w:t>
      </w:r>
      <w:hyperlink r:id="rId21" w:history="1">
        <w:r w:rsidRPr="002A1B58">
          <w:rPr>
            <w:rStyle w:val="Hyperlink"/>
            <w:rFonts w:ascii="Ariel" w:hAnsi="Ariel" w:cs="Arial"/>
            <w:sz w:val="22"/>
            <w:szCs w:val="22"/>
          </w:rPr>
          <w:t>https://www.ncbi.nlm.nih.gov/pmc/articles/PMC7967726/</w:t>
        </w:r>
      </w:hyperlink>
      <w:r w:rsidRPr="002A1B58">
        <w:rPr>
          <w:rFonts w:ascii="Ariel" w:hAnsi="Ariel" w:cs="Arial"/>
          <w:sz w:val="22"/>
          <w:szCs w:val="22"/>
        </w:rPr>
        <w:t>. (Accessed: 06 March 2026).</w:t>
      </w:r>
    </w:p>
    <w:p w14:paraId="0AC8E903"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lastRenderedPageBreak/>
        <w:t>Public Health England (2019) ‘</w:t>
      </w:r>
      <w:r w:rsidRPr="002A1B58">
        <w:rPr>
          <w:rFonts w:ascii="Ariel" w:hAnsi="Ariel" w:cs="Arial"/>
          <w:i/>
          <w:iCs/>
          <w:sz w:val="22"/>
          <w:szCs w:val="22"/>
        </w:rPr>
        <w:t>Health Profile for England’</w:t>
      </w:r>
      <w:r w:rsidRPr="002A1B58">
        <w:rPr>
          <w:rFonts w:ascii="Ariel" w:hAnsi="Ariel" w:cs="Arial"/>
          <w:sz w:val="22"/>
          <w:szCs w:val="22"/>
        </w:rPr>
        <w:t>, Available at:</w:t>
      </w:r>
      <w:r w:rsidRPr="002A1B58">
        <w:rPr>
          <w:rFonts w:ascii="Ariel" w:hAnsi="Ariel" w:cs="Arial"/>
          <w:sz w:val="22"/>
          <w:szCs w:val="22"/>
        </w:rPr>
        <w:br/>
      </w:r>
      <w:hyperlink r:id="rId22" w:tgtFrame="_new" w:history="1">
        <w:r w:rsidRPr="002A1B58">
          <w:rPr>
            <w:rStyle w:val="Hyperlink"/>
            <w:rFonts w:ascii="Ariel" w:hAnsi="Ariel" w:cs="Arial"/>
            <w:sz w:val="22"/>
            <w:szCs w:val="22"/>
          </w:rPr>
          <w:t>https://www.gov.uk/government/publications/health-profile-for-england</w:t>
        </w:r>
      </w:hyperlink>
      <w:r w:rsidRPr="002A1B58">
        <w:rPr>
          <w:rFonts w:ascii="Ariel" w:hAnsi="Ariel" w:cs="Arial"/>
          <w:sz w:val="22"/>
          <w:szCs w:val="22"/>
        </w:rPr>
        <w:t>. (Accessed: 14 March 2026).</w:t>
      </w:r>
    </w:p>
    <w:p w14:paraId="589FD5AE"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Ramirez‑Rubio, O., Daher, C., Fanjul, G., Gascon, M., Mueller, N., Pajín, L., Plasencia, A., Rojas‑Rueda, D., Thondoo, M. and Nieuwenhuijsen, M.J. (2019) ‘Urban health: an example of a “Health in All Policies” approach in the context of SDGs implementation, Globalization and Health, 15, article 87. Available at: </w:t>
      </w:r>
      <w:hyperlink r:id="rId23" w:history="1">
        <w:r w:rsidRPr="002A1B58">
          <w:rPr>
            <w:rStyle w:val="Hyperlink"/>
            <w:rFonts w:ascii="Ariel" w:hAnsi="Ariel" w:cs="Arial"/>
            <w:sz w:val="22"/>
            <w:szCs w:val="22"/>
          </w:rPr>
          <w:t>https://link.springer.com/article/10.1186/s12992-019-0529-z</w:t>
        </w:r>
      </w:hyperlink>
      <w:r w:rsidRPr="002A1B58">
        <w:rPr>
          <w:rFonts w:ascii="Ariel" w:hAnsi="Ariel" w:cs="Arial"/>
          <w:sz w:val="22"/>
          <w:szCs w:val="22"/>
        </w:rPr>
        <w:t xml:space="preserve">. (Accessed: 04 March 2026). </w:t>
      </w:r>
    </w:p>
    <w:p w14:paraId="06D559E4"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Roelfsema, M., van Soest, H.L., Harmsen, M., van Vuuren, D.P., Bertram, C., den Elzen, M., Höhne, N., Iacobuta, G., Krey, V., Kriegler, E., Luderer, G., Riahi, K., Ueckerdt, F., Després, J., Drouet, L., Emmerling, J., Frank, S., Fricko, O., Gidden, M. and Humpenöder, F. (2020) ‘Taking stock of national climate policies to evaluate implementation of the Paris Agreement. Nature Communications’, 11(1), p.2096. Available at </w:t>
      </w:r>
      <w:hyperlink r:id="rId24" w:history="1">
        <w:r w:rsidRPr="002A1B58">
          <w:rPr>
            <w:rStyle w:val="Hyperlink"/>
            <w:rFonts w:ascii="Ariel" w:hAnsi="Ariel" w:cs="Arial"/>
            <w:sz w:val="22"/>
            <w:szCs w:val="22"/>
          </w:rPr>
          <w:t>https://doi.org/10.1038/s41467-020-15414-6</w:t>
        </w:r>
      </w:hyperlink>
      <w:r w:rsidRPr="002A1B58">
        <w:rPr>
          <w:rFonts w:ascii="Ariel" w:hAnsi="Ariel" w:cs="Arial"/>
          <w:sz w:val="22"/>
          <w:szCs w:val="22"/>
        </w:rPr>
        <w:t>. (Accessed: 10 March 2026).</w:t>
      </w:r>
    </w:p>
    <w:p w14:paraId="41E645F6"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Romanello, M., Claudia Di Napoli, Green, C., Kennard, H., Lampard, P., Scamman, D., Walawender, M., Ali, Z., Ameli, N., Ayeb‐Karlsson, S., Beggs, P.J., Belesova, K., Lea Berrang Ford, Bowen, K., Cai, W., Callaghan, M., Diarmid Campbell-Lendrum, Chambers, J., Cross, T.J. and Robin, K. (2023) ‘The 2023 report of the Lancet Countdown on health and climate change: the imperative for a health-centred response in a world facing irreversible harms’, </w:t>
      </w:r>
      <w:r w:rsidRPr="002A1B58">
        <w:rPr>
          <w:rFonts w:ascii="Ariel" w:hAnsi="Ariel" w:cs="Arial"/>
          <w:i/>
          <w:iCs/>
          <w:sz w:val="22"/>
          <w:szCs w:val="22"/>
        </w:rPr>
        <w:t>The Lancet,</w:t>
      </w:r>
      <w:r w:rsidRPr="002A1B58">
        <w:rPr>
          <w:rFonts w:ascii="Ariel" w:hAnsi="Ariel" w:cs="Arial"/>
          <w:sz w:val="22"/>
          <w:szCs w:val="22"/>
        </w:rPr>
        <w:t xml:space="preserve"> 402(10419). Available at </w:t>
      </w:r>
      <w:hyperlink r:id="rId25" w:history="1">
        <w:r w:rsidRPr="002A1B58">
          <w:rPr>
            <w:rStyle w:val="Hyperlink"/>
            <w:rFonts w:ascii="Ariel" w:hAnsi="Ariel" w:cs="Arial"/>
            <w:sz w:val="22"/>
            <w:szCs w:val="22"/>
          </w:rPr>
          <w:t>https://doi.org/10.1016/s0140-6736(23)01859-7</w:t>
        </w:r>
      </w:hyperlink>
      <w:r w:rsidRPr="002A1B58">
        <w:rPr>
          <w:rFonts w:ascii="Ariel" w:hAnsi="Ariel" w:cs="Arial"/>
          <w:sz w:val="22"/>
          <w:szCs w:val="22"/>
        </w:rPr>
        <w:t xml:space="preserve"> (Accessed: 12 March 2026).</w:t>
      </w:r>
    </w:p>
    <w:p w14:paraId="3A16C8CE"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Schulte, K., Grieve, A., Barratt, B., Baker, T., Coonjobeeharry, H. and Mead, M. (2025) ‘Advancing participatory sensing and knowledge production methods for city air quality governance: Applying the Breathe London Community Programme model; </w:t>
      </w:r>
      <w:r w:rsidRPr="002A1B58">
        <w:rPr>
          <w:rFonts w:ascii="Ariel" w:hAnsi="Ariel" w:cs="Arial"/>
          <w:i/>
          <w:iCs/>
          <w:sz w:val="22"/>
          <w:szCs w:val="22"/>
        </w:rPr>
        <w:t>Environmental Science &amp; Policy</w:t>
      </w:r>
      <w:r w:rsidRPr="002A1B58">
        <w:rPr>
          <w:rFonts w:ascii="Ariel" w:hAnsi="Ariel" w:cs="Arial"/>
          <w:sz w:val="22"/>
          <w:szCs w:val="22"/>
        </w:rPr>
        <w:t xml:space="preserve">, 170, p.104092. Available at </w:t>
      </w:r>
      <w:hyperlink r:id="rId26" w:history="1">
        <w:r w:rsidRPr="002A1B58">
          <w:rPr>
            <w:rStyle w:val="Hyperlink"/>
            <w:rFonts w:ascii="Ariel" w:hAnsi="Ariel" w:cs="Arial"/>
            <w:sz w:val="22"/>
            <w:szCs w:val="22"/>
          </w:rPr>
          <w:t>https://doi.org/10.1016/j.envsci.2025.104092</w:t>
        </w:r>
      </w:hyperlink>
      <w:r w:rsidRPr="002A1B58">
        <w:rPr>
          <w:rFonts w:ascii="Ariel" w:hAnsi="Ariel" w:cs="Arial"/>
          <w:sz w:val="22"/>
          <w:szCs w:val="22"/>
        </w:rPr>
        <w:t>.  (Accessed: 04 March 2026).</w:t>
      </w:r>
    </w:p>
    <w:p w14:paraId="172269E5"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Skevington, S.M., Dogra, S. and Elwan, A. (2018) ‘How will the Sustainable Development Goals deliver improvements in healthy life and well</w:t>
      </w:r>
      <w:r w:rsidRPr="002A1B58">
        <w:rPr>
          <w:rFonts w:ascii="Ariel" w:hAnsi="Ariel" w:cs="Arial"/>
          <w:sz w:val="22"/>
          <w:szCs w:val="22"/>
        </w:rPr>
        <w:noBreakHyphen/>
        <w:t xml:space="preserve">being for all?’, </w:t>
      </w:r>
      <w:r w:rsidRPr="002A1B58">
        <w:rPr>
          <w:rFonts w:ascii="Ariel" w:hAnsi="Ariel" w:cs="Arial"/>
          <w:i/>
          <w:iCs/>
          <w:sz w:val="22"/>
          <w:szCs w:val="22"/>
        </w:rPr>
        <w:t>BMJ Global Health</w:t>
      </w:r>
      <w:r w:rsidRPr="002A1B58">
        <w:rPr>
          <w:rFonts w:ascii="Ariel" w:hAnsi="Ariel" w:cs="Arial"/>
          <w:sz w:val="22"/>
          <w:szCs w:val="22"/>
        </w:rPr>
        <w:t xml:space="preserve">, 3(Suppl 1), e000609. Available at: </w:t>
      </w:r>
      <w:hyperlink r:id="rId27" w:tgtFrame="_new" w:history="1">
        <w:r w:rsidRPr="002A1B58">
          <w:rPr>
            <w:rStyle w:val="Hyperlink"/>
            <w:rFonts w:ascii="Ariel" w:hAnsi="Ariel" w:cs="Arial"/>
            <w:sz w:val="22"/>
            <w:szCs w:val="22"/>
          </w:rPr>
          <w:t>https://gh.bmj.com/content/3/Suppl_1/e000609</w:t>
        </w:r>
      </w:hyperlink>
      <w:r w:rsidRPr="002A1B58">
        <w:rPr>
          <w:rFonts w:ascii="Ariel" w:hAnsi="Ariel" w:cs="Arial"/>
          <w:sz w:val="22"/>
          <w:szCs w:val="22"/>
        </w:rPr>
        <w:t xml:space="preserve"> (Accessed: 16 March 2026).</w:t>
      </w:r>
    </w:p>
    <w:p w14:paraId="1E452E9D"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Sohrabi, C., Alsafi, Z., O’Neill, N., Khan, M., Kerwan, A., Al-Jabir, A., Iosifidis, C. and Agha, R. (2020). World Health Organization declares Global Emergency: A review of the 2019 Novel Coronavirus (COVID-19). </w:t>
      </w:r>
      <w:r w:rsidRPr="002A1B58">
        <w:rPr>
          <w:rFonts w:ascii="Ariel" w:hAnsi="Ariel" w:cs="Arial"/>
          <w:i/>
          <w:iCs/>
          <w:sz w:val="22"/>
          <w:szCs w:val="22"/>
        </w:rPr>
        <w:t>International Journal of Surgery</w:t>
      </w:r>
      <w:r w:rsidRPr="002A1B58">
        <w:rPr>
          <w:rFonts w:ascii="Ariel" w:hAnsi="Ariel" w:cs="Arial"/>
          <w:sz w:val="22"/>
          <w:szCs w:val="22"/>
        </w:rPr>
        <w:t>, 76(1), pp.71–76. Available at: https://doi.org/10.1016/j.ijsu.2020.02.034.  (Accessed: 07 March 2026).</w:t>
      </w:r>
    </w:p>
    <w:p w14:paraId="5F1A0E41"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lastRenderedPageBreak/>
        <w:t>Solar, O. and Irwin, A. (2010) ‘A Conceptual Framework for Action on the Social Determinants of Health’</w:t>
      </w:r>
      <w:r w:rsidRPr="002A1B58">
        <w:rPr>
          <w:rFonts w:ascii="Ariel" w:hAnsi="Ariel" w:cs="Arial"/>
          <w:i/>
          <w:iCs/>
          <w:sz w:val="22"/>
          <w:szCs w:val="22"/>
        </w:rPr>
        <w:t>, World Health Organization</w:t>
      </w:r>
      <w:r w:rsidRPr="002A1B58">
        <w:rPr>
          <w:rFonts w:ascii="Ariel" w:hAnsi="Ariel" w:cs="Arial"/>
          <w:sz w:val="22"/>
          <w:szCs w:val="22"/>
        </w:rPr>
        <w:t>. Available at:</w:t>
      </w:r>
      <w:r w:rsidRPr="002A1B58">
        <w:rPr>
          <w:rFonts w:ascii="Ariel" w:hAnsi="Ariel" w:cs="Arial"/>
          <w:sz w:val="22"/>
          <w:szCs w:val="22"/>
        </w:rPr>
        <w:br/>
      </w:r>
      <w:hyperlink r:id="rId28" w:tgtFrame="_new" w:history="1">
        <w:r w:rsidRPr="002A1B58">
          <w:rPr>
            <w:rStyle w:val="Hyperlink"/>
            <w:rFonts w:ascii="Ariel" w:hAnsi="Ariel" w:cs="Arial"/>
            <w:sz w:val="22"/>
            <w:szCs w:val="22"/>
          </w:rPr>
          <w:t>https://www.who.int/publications/i/item/9789241500852</w:t>
        </w:r>
      </w:hyperlink>
      <w:r w:rsidRPr="002A1B58">
        <w:rPr>
          <w:rFonts w:ascii="Ariel" w:hAnsi="Ariel" w:cs="Arial"/>
          <w:sz w:val="22"/>
          <w:szCs w:val="22"/>
        </w:rPr>
        <w:t xml:space="preserve"> (Accessed: 18 March 2026).</w:t>
      </w:r>
    </w:p>
    <w:p w14:paraId="05A1CFEC"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Health systems resilience toolkit. (n.d.). Available at: </w:t>
      </w:r>
      <w:hyperlink r:id="rId29" w:history="1">
        <w:r w:rsidRPr="002A1B58">
          <w:rPr>
            <w:rStyle w:val="Hyperlink"/>
            <w:rFonts w:ascii="Ariel" w:hAnsi="Ariel" w:cs="Arial"/>
            <w:sz w:val="22"/>
            <w:szCs w:val="22"/>
          </w:rPr>
          <w:t>https://iris.who.int/server/api/core/bitstreams/5dee789f-c197-4d45-b1aa-391da7b8bcf8/content</w:t>
        </w:r>
      </w:hyperlink>
      <w:r w:rsidRPr="002A1B58">
        <w:rPr>
          <w:rFonts w:ascii="Ariel" w:hAnsi="Ariel" w:cs="Arial"/>
          <w:sz w:val="22"/>
          <w:szCs w:val="22"/>
        </w:rPr>
        <w:t>.</w:t>
      </w:r>
    </w:p>
    <w:p w14:paraId="15945C24"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The King’s Fund (2017) ‘The health care workforce in England: make or break? </w:t>
      </w:r>
      <w:r w:rsidRPr="002A1B58">
        <w:rPr>
          <w:rFonts w:ascii="Ariel" w:hAnsi="Ariel" w:cs="Arial"/>
          <w:i/>
          <w:iCs/>
          <w:sz w:val="22"/>
          <w:szCs w:val="22"/>
        </w:rPr>
        <w:t>London:</w:t>
      </w:r>
      <w:r w:rsidRPr="002A1B58">
        <w:rPr>
          <w:rFonts w:ascii="Ariel" w:hAnsi="Ariel" w:cs="Arial"/>
          <w:sz w:val="22"/>
          <w:szCs w:val="22"/>
        </w:rPr>
        <w:t xml:space="preserve"> </w:t>
      </w:r>
      <w:r w:rsidRPr="002A1B58">
        <w:rPr>
          <w:rFonts w:ascii="Ariel" w:hAnsi="Ariel" w:cs="Arial"/>
          <w:i/>
          <w:iCs/>
          <w:sz w:val="22"/>
          <w:szCs w:val="22"/>
        </w:rPr>
        <w:t>The King’s Fund.</w:t>
      </w:r>
      <w:r w:rsidRPr="002A1B58">
        <w:rPr>
          <w:rFonts w:ascii="Ariel" w:hAnsi="Ariel" w:cs="Arial"/>
          <w:sz w:val="22"/>
          <w:szCs w:val="22"/>
        </w:rPr>
        <w:t xml:space="preserve"> Available at: </w:t>
      </w:r>
      <w:hyperlink r:id="rId30" w:history="1">
        <w:r w:rsidRPr="002A1B58">
          <w:rPr>
            <w:rStyle w:val="Hyperlink"/>
            <w:rFonts w:ascii="Ariel" w:hAnsi="Ariel" w:cs="Arial"/>
            <w:sz w:val="22"/>
            <w:szCs w:val="22"/>
          </w:rPr>
          <w:t>https://www.kingsfund.org.uk/insight-and-analysis/reports/health-care-workforce-england</w:t>
        </w:r>
      </w:hyperlink>
      <w:r w:rsidRPr="002A1B58">
        <w:rPr>
          <w:rFonts w:ascii="Ariel" w:hAnsi="Ariel" w:cs="Arial"/>
          <w:sz w:val="22"/>
          <w:szCs w:val="22"/>
        </w:rPr>
        <w:t xml:space="preserve"> (Accessed: 15 March 2026).</w:t>
      </w:r>
    </w:p>
    <w:p w14:paraId="779F9423"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The King’s Fund (2021) ‘Understanding factors that enabled digital service change in general practice during the Covid‑19 pandemic</w:t>
      </w:r>
      <w:r w:rsidRPr="002A1B58">
        <w:rPr>
          <w:rFonts w:ascii="Ariel" w:hAnsi="Ariel" w:cs="Arial"/>
          <w:i/>
          <w:iCs/>
          <w:sz w:val="22"/>
          <w:szCs w:val="22"/>
        </w:rPr>
        <w:t>. London</w:t>
      </w:r>
      <w:r w:rsidRPr="002A1B58">
        <w:rPr>
          <w:rFonts w:ascii="Ariel" w:hAnsi="Ariel" w:cs="Arial"/>
          <w:sz w:val="22"/>
          <w:szCs w:val="22"/>
        </w:rPr>
        <w:t xml:space="preserve">: </w:t>
      </w:r>
      <w:r w:rsidRPr="002A1B58">
        <w:rPr>
          <w:rFonts w:ascii="Ariel" w:hAnsi="Ariel" w:cs="Arial"/>
          <w:i/>
          <w:iCs/>
          <w:sz w:val="22"/>
          <w:szCs w:val="22"/>
        </w:rPr>
        <w:t>The King’s Fund</w:t>
      </w:r>
      <w:r w:rsidRPr="002A1B58">
        <w:rPr>
          <w:rFonts w:ascii="Ariel" w:hAnsi="Ariel" w:cs="Arial"/>
          <w:sz w:val="22"/>
          <w:szCs w:val="22"/>
        </w:rPr>
        <w:t xml:space="preserve">. Available at: </w:t>
      </w:r>
      <w:hyperlink r:id="rId31" w:history="1">
        <w:r w:rsidRPr="002A1B58">
          <w:rPr>
            <w:rStyle w:val="Hyperlink"/>
            <w:rFonts w:ascii="Ariel" w:hAnsi="Ariel" w:cs="Arial"/>
            <w:sz w:val="22"/>
            <w:szCs w:val="22"/>
          </w:rPr>
          <w:t>https://assets.kingsfund.org.uk/f/256914/x/d7997f54a1/understanding_factors_digital_service_change_general_practice_covid-19_2021.pdf</w:t>
        </w:r>
      </w:hyperlink>
      <w:r w:rsidRPr="002A1B58">
        <w:rPr>
          <w:rFonts w:ascii="Ariel" w:hAnsi="Ariel" w:cs="Arial"/>
          <w:sz w:val="22"/>
          <w:szCs w:val="22"/>
        </w:rPr>
        <w:t xml:space="preserve"> (Accessed: 16 March 2026).</w:t>
      </w:r>
    </w:p>
    <w:p w14:paraId="4002F25C"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UK Government (2021) ‘Net Zero Strategy: Build Back Greener. London: HM Government’ Available at: </w:t>
      </w:r>
      <w:hyperlink r:id="rId32" w:history="1">
        <w:r w:rsidRPr="002A1B58">
          <w:rPr>
            <w:rStyle w:val="Hyperlink"/>
            <w:rFonts w:ascii="Ariel" w:hAnsi="Ariel" w:cs="Arial"/>
            <w:sz w:val="22"/>
            <w:szCs w:val="22"/>
          </w:rPr>
          <w:t>https://www.gov.uk/government/publications/net-zero-strategy</w:t>
        </w:r>
      </w:hyperlink>
      <w:r w:rsidRPr="002A1B58">
        <w:rPr>
          <w:rFonts w:ascii="Ariel" w:hAnsi="Ariel" w:cs="Arial"/>
          <w:sz w:val="22"/>
          <w:szCs w:val="22"/>
        </w:rPr>
        <w:t xml:space="preserve">  (Accessed: 15 March 2026).</w:t>
      </w:r>
    </w:p>
    <w:p w14:paraId="4C187FC6"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Watts, N., Amann, M., Ayeb</w:t>
      </w:r>
      <w:r w:rsidRPr="002A1B58">
        <w:rPr>
          <w:rFonts w:ascii="Ariel" w:hAnsi="Ariel" w:cs="Arial"/>
          <w:sz w:val="22"/>
          <w:szCs w:val="22"/>
        </w:rPr>
        <w:noBreakHyphen/>
        <w:t>Karlsson, S., Belesova, K., Bouley, T., Boykoff, M., Byass, P., Cai, W., Campbell</w:t>
      </w:r>
      <w:r w:rsidRPr="002A1B58">
        <w:rPr>
          <w:rFonts w:ascii="Ariel" w:hAnsi="Ariel" w:cs="Arial"/>
          <w:sz w:val="22"/>
          <w:szCs w:val="22"/>
        </w:rPr>
        <w:noBreakHyphen/>
        <w:t>Lendrum, D., Chambers, J., Cox, P.M., Daly, M., Dasandi, N., Davies, M., Depledge, M., Depoux, A., Domínguez</w:t>
      </w:r>
      <w:r w:rsidRPr="002A1B58">
        <w:rPr>
          <w:rFonts w:ascii="Ariel" w:hAnsi="Ariel" w:cs="Arial"/>
          <w:sz w:val="22"/>
          <w:szCs w:val="22"/>
        </w:rPr>
        <w:noBreakHyphen/>
        <w:t>Salas, P., Drummond, P., Ekins, P., Flahault, A., Frumkin, H., Georgeson, L., Ghanei, M., Grace, D., Graham, H., Grojsman, R., Haines, A., Hamilton, I., Hartinger, S., Johnson, A., Kelman, I., Kiesewetter, G., Kniveton, D., Liang, L., Lott, M., Lowe, R., Mace, G.M., Sewe, M.O., Maslin, M., Mikhaylov, S., Milner, J., Latifi, A.M., Moradi</w:t>
      </w:r>
      <w:r w:rsidRPr="002A1B58">
        <w:rPr>
          <w:rFonts w:ascii="Ariel" w:hAnsi="Ariel" w:cs="Arial"/>
          <w:sz w:val="22"/>
          <w:szCs w:val="22"/>
        </w:rPr>
        <w:noBreakHyphen/>
        <w:t>Lakeh, M., Morrissey, K., Murray, K., Neville, T., Nilsson, M., Oreszczyn, T., Owfi, F., Pencheon, D., Pye, S., Rabbaniha, M., Robinson, E., Rocklöv, J., Schütte, S., Shumake</w:t>
      </w:r>
      <w:r w:rsidRPr="002A1B58">
        <w:rPr>
          <w:rFonts w:ascii="Ariel" w:hAnsi="Ariel" w:cs="Arial"/>
          <w:sz w:val="22"/>
          <w:szCs w:val="22"/>
        </w:rPr>
        <w:noBreakHyphen/>
        <w:t xml:space="preserve">Guillemot, J., Steinbach, R., Tabatabaei, M., Wheeler, N.,  (2018) ‘The Lancet Countdown on Health and Climate Change’, </w:t>
      </w:r>
      <w:r w:rsidRPr="002A1B58">
        <w:rPr>
          <w:rFonts w:ascii="Ariel" w:hAnsi="Ariel" w:cs="Arial"/>
          <w:i/>
          <w:iCs/>
          <w:sz w:val="22"/>
          <w:szCs w:val="22"/>
        </w:rPr>
        <w:t>The Lancet</w:t>
      </w:r>
      <w:r w:rsidRPr="002A1B58">
        <w:rPr>
          <w:rFonts w:ascii="Ariel" w:hAnsi="Ariel" w:cs="Arial"/>
          <w:sz w:val="22"/>
          <w:szCs w:val="22"/>
        </w:rPr>
        <w:t xml:space="preserve">, 392(10163). Available at: </w:t>
      </w:r>
      <w:hyperlink r:id="rId33" w:history="1">
        <w:r w:rsidRPr="002A1B58">
          <w:rPr>
            <w:rStyle w:val="Hyperlink"/>
            <w:rFonts w:ascii="Ariel" w:hAnsi="Ariel" w:cs="Arial"/>
            <w:sz w:val="22"/>
            <w:szCs w:val="22"/>
          </w:rPr>
          <w:t>https://www.thelancet.com/countdown-health-climate</w:t>
        </w:r>
      </w:hyperlink>
      <w:r w:rsidRPr="002A1B58">
        <w:rPr>
          <w:rFonts w:ascii="Ariel" w:hAnsi="Ariel" w:cs="Arial"/>
          <w:sz w:val="22"/>
          <w:szCs w:val="22"/>
        </w:rPr>
        <w:t xml:space="preserve"> (Accessed: 14 March 2026).</w:t>
      </w:r>
    </w:p>
    <w:p w14:paraId="62EAAC4A"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Wheatley, M. (2024) ‘Green Urbanism: Enhancing City Life Through Integrated Green Spaces’, </w:t>
      </w:r>
      <w:r w:rsidRPr="002A1B58">
        <w:rPr>
          <w:rFonts w:ascii="Ariel" w:hAnsi="Ariel" w:cs="Arial"/>
          <w:i/>
          <w:iCs/>
          <w:sz w:val="22"/>
          <w:szCs w:val="22"/>
        </w:rPr>
        <w:t>Premier Journal of Environmental Science</w:t>
      </w:r>
      <w:r w:rsidRPr="002A1B58">
        <w:rPr>
          <w:rFonts w:ascii="Ariel" w:hAnsi="Ariel" w:cs="Arial"/>
          <w:sz w:val="22"/>
          <w:szCs w:val="22"/>
        </w:rPr>
        <w:t xml:space="preserve">. Available at </w:t>
      </w:r>
      <w:hyperlink r:id="rId34" w:history="1">
        <w:r w:rsidRPr="002A1B58">
          <w:rPr>
            <w:rStyle w:val="Hyperlink"/>
            <w:rFonts w:ascii="Ariel" w:hAnsi="Ariel" w:cs="Arial"/>
            <w:sz w:val="22"/>
            <w:szCs w:val="22"/>
          </w:rPr>
          <w:t>https://doi.org/10.70389/pjes.100007</w:t>
        </w:r>
      </w:hyperlink>
      <w:r w:rsidRPr="002A1B58">
        <w:rPr>
          <w:rFonts w:ascii="Ariel" w:hAnsi="Ariel" w:cs="Arial"/>
          <w:sz w:val="22"/>
          <w:szCs w:val="22"/>
        </w:rPr>
        <w:t>.</w:t>
      </w:r>
    </w:p>
    <w:p w14:paraId="5FE07929"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 xml:space="preserve">Wolff, G. (2024) ‘Promoting gender equality through localized development strategies: leveraging identification’,  </w:t>
      </w:r>
      <w:r w:rsidRPr="002A1B58">
        <w:rPr>
          <w:rFonts w:ascii="Ariel" w:hAnsi="Ariel" w:cs="Arial"/>
          <w:i/>
          <w:iCs/>
          <w:sz w:val="22"/>
          <w:szCs w:val="22"/>
        </w:rPr>
        <w:t>Journal of International Humanitarian Action</w:t>
      </w:r>
      <w:r w:rsidRPr="002A1B58">
        <w:rPr>
          <w:rFonts w:ascii="Ariel" w:hAnsi="Ariel" w:cs="Arial"/>
          <w:sz w:val="22"/>
          <w:szCs w:val="22"/>
        </w:rPr>
        <w:t xml:space="preserve">, 9(1). Available at </w:t>
      </w:r>
      <w:hyperlink r:id="rId35" w:history="1">
        <w:r w:rsidRPr="002A1B58">
          <w:rPr>
            <w:rStyle w:val="Hyperlink"/>
            <w:rFonts w:ascii="Ariel" w:hAnsi="Ariel" w:cs="Arial"/>
            <w:sz w:val="22"/>
            <w:szCs w:val="22"/>
          </w:rPr>
          <w:t>https://doi.org/10.1186/s41018-024-00156-7</w:t>
        </w:r>
      </w:hyperlink>
      <w:r w:rsidRPr="002A1B58">
        <w:rPr>
          <w:rFonts w:ascii="Ariel" w:hAnsi="Ariel" w:cs="Arial"/>
          <w:sz w:val="22"/>
          <w:szCs w:val="22"/>
        </w:rPr>
        <w:t>. (Accessed: 11 March 2026).</w:t>
      </w:r>
    </w:p>
    <w:p w14:paraId="4194F169"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t>World Bank (2023) ‘</w:t>
      </w:r>
      <w:r w:rsidRPr="002A1B58">
        <w:rPr>
          <w:rFonts w:ascii="Ariel" w:hAnsi="Ariel" w:cs="Arial"/>
          <w:i/>
          <w:iCs/>
          <w:sz w:val="22"/>
          <w:szCs w:val="22"/>
        </w:rPr>
        <w:t>Universal Health Coverage Overview</w:t>
      </w:r>
      <w:r w:rsidRPr="002A1B58">
        <w:rPr>
          <w:rFonts w:ascii="Ariel" w:hAnsi="Ariel" w:cs="Arial"/>
          <w:sz w:val="22"/>
          <w:szCs w:val="22"/>
        </w:rPr>
        <w:t xml:space="preserve">’, Available at: </w:t>
      </w:r>
      <w:hyperlink r:id="rId36" w:tgtFrame="_new" w:history="1">
        <w:r w:rsidRPr="002A1B58">
          <w:rPr>
            <w:rStyle w:val="Hyperlink"/>
            <w:rFonts w:ascii="Ariel" w:hAnsi="Ariel" w:cs="Arial"/>
            <w:sz w:val="22"/>
            <w:szCs w:val="22"/>
          </w:rPr>
          <w:t>https://www.worldbank.org/en/topic/universalhealthcoverage</w:t>
        </w:r>
      </w:hyperlink>
      <w:r w:rsidRPr="002A1B58">
        <w:rPr>
          <w:rFonts w:ascii="Ariel" w:hAnsi="Ariel" w:cs="Arial"/>
          <w:sz w:val="22"/>
          <w:szCs w:val="22"/>
        </w:rPr>
        <w:t xml:space="preserve"> (Accessed: 06 March 2026).</w:t>
      </w:r>
    </w:p>
    <w:p w14:paraId="09FE28FB" w14:textId="77777777" w:rsidR="002A1B58" w:rsidRPr="002A1B58" w:rsidRDefault="002A1B58" w:rsidP="002A1B58">
      <w:pPr>
        <w:spacing w:line="360" w:lineRule="auto"/>
        <w:rPr>
          <w:rFonts w:ascii="Ariel" w:hAnsi="Ariel" w:cs="Arial"/>
          <w:sz w:val="22"/>
          <w:szCs w:val="22"/>
        </w:rPr>
      </w:pPr>
      <w:r w:rsidRPr="002A1B58">
        <w:rPr>
          <w:rFonts w:ascii="Ariel" w:hAnsi="Ariel" w:cs="Arial"/>
          <w:sz w:val="22"/>
          <w:szCs w:val="22"/>
        </w:rPr>
        <w:lastRenderedPageBreak/>
        <w:t>World Health Organization (2023) ’,</w:t>
      </w:r>
      <w:r w:rsidRPr="002A1B58">
        <w:rPr>
          <w:rFonts w:ascii="Ariel" w:hAnsi="Ariel" w:cs="Arial"/>
          <w:i/>
          <w:iCs/>
          <w:sz w:val="22"/>
          <w:szCs w:val="22"/>
        </w:rPr>
        <w:t>World Health Statistics</w:t>
      </w:r>
      <w:r w:rsidRPr="002A1B58">
        <w:rPr>
          <w:rFonts w:ascii="Ariel" w:hAnsi="Ariel" w:cs="Arial"/>
          <w:sz w:val="22"/>
          <w:szCs w:val="22"/>
        </w:rPr>
        <w:t xml:space="preserve">’,  Available at: </w:t>
      </w:r>
      <w:hyperlink r:id="rId37" w:tgtFrame="_new" w:history="1">
        <w:r w:rsidRPr="002A1B58">
          <w:rPr>
            <w:rStyle w:val="Hyperlink"/>
            <w:rFonts w:ascii="Ariel" w:hAnsi="Ariel" w:cs="Arial"/>
            <w:sz w:val="22"/>
            <w:szCs w:val="22"/>
          </w:rPr>
          <w:t>https://www.who.int/data/gho/publications/world-health-statistics</w:t>
        </w:r>
      </w:hyperlink>
      <w:r w:rsidRPr="002A1B58">
        <w:rPr>
          <w:rFonts w:ascii="Ariel" w:hAnsi="Ariel" w:cs="Arial"/>
          <w:sz w:val="22"/>
          <w:szCs w:val="22"/>
        </w:rPr>
        <w:t xml:space="preserve"> (Accessed: 19 March 2026).</w:t>
      </w:r>
    </w:p>
    <w:p w14:paraId="2892F686" w14:textId="77777777" w:rsidR="00D66DA1" w:rsidRPr="00903D85" w:rsidRDefault="00D66DA1" w:rsidP="00903D85">
      <w:pPr>
        <w:spacing w:line="360" w:lineRule="auto"/>
        <w:rPr>
          <w:rFonts w:ascii="Ariel" w:hAnsi="Ariel" w:cs="Arial"/>
          <w:sz w:val="22"/>
          <w:szCs w:val="22"/>
        </w:rPr>
      </w:pPr>
    </w:p>
    <w:sectPr w:rsidR="00D66DA1" w:rsidRPr="00903D85">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7EC4EB" w14:textId="77777777" w:rsidR="001203B3" w:rsidRDefault="001203B3" w:rsidP="00002C8C">
      <w:pPr>
        <w:spacing w:after="0" w:line="240" w:lineRule="auto"/>
      </w:pPr>
      <w:r>
        <w:separator/>
      </w:r>
    </w:p>
  </w:endnote>
  <w:endnote w:type="continuationSeparator" w:id="0">
    <w:p w14:paraId="00CD7B00" w14:textId="77777777" w:rsidR="001203B3" w:rsidRDefault="001203B3" w:rsidP="00002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491867"/>
      <w:docPartObj>
        <w:docPartGallery w:val="Page Numbers (Bottom of Page)"/>
        <w:docPartUnique/>
      </w:docPartObj>
    </w:sdtPr>
    <w:sdtEndPr>
      <w:rPr>
        <w:noProof/>
      </w:rPr>
    </w:sdtEndPr>
    <w:sdtContent>
      <w:p w14:paraId="7F94F183" w14:textId="3BEA149A" w:rsidR="00002C8C" w:rsidRDefault="00002C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92C593" w14:textId="77777777" w:rsidR="00002C8C" w:rsidRDefault="00002C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3F1D56" w14:textId="77777777" w:rsidR="001203B3" w:rsidRDefault="001203B3" w:rsidP="00002C8C">
      <w:pPr>
        <w:spacing w:after="0" w:line="240" w:lineRule="auto"/>
      </w:pPr>
      <w:r>
        <w:separator/>
      </w:r>
    </w:p>
  </w:footnote>
  <w:footnote w:type="continuationSeparator" w:id="0">
    <w:p w14:paraId="3E100C19" w14:textId="77777777" w:rsidR="001203B3" w:rsidRDefault="001203B3" w:rsidP="00002C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A66"/>
    <w:rsid w:val="00002C8C"/>
    <w:rsid w:val="00002DC4"/>
    <w:rsid w:val="000070F7"/>
    <w:rsid w:val="00017226"/>
    <w:rsid w:val="00017566"/>
    <w:rsid w:val="00026102"/>
    <w:rsid w:val="000738A9"/>
    <w:rsid w:val="00077F08"/>
    <w:rsid w:val="000812DF"/>
    <w:rsid w:val="00092272"/>
    <w:rsid w:val="000C2460"/>
    <w:rsid w:val="000C3560"/>
    <w:rsid w:val="000C4F99"/>
    <w:rsid w:val="000E0D02"/>
    <w:rsid w:val="000F0A91"/>
    <w:rsid w:val="000F6675"/>
    <w:rsid w:val="001137B3"/>
    <w:rsid w:val="00113CBB"/>
    <w:rsid w:val="00115C03"/>
    <w:rsid w:val="00116197"/>
    <w:rsid w:val="001203B3"/>
    <w:rsid w:val="001204F9"/>
    <w:rsid w:val="0012466C"/>
    <w:rsid w:val="00143D3E"/>
    <w:rsid w:val="00147AD5"/>
    <w:rsid w:val="001629E3"/>
    <w:rsid w:val="00165E21"/>
    <w:rsid w:val="001710B0"/>
    <w:rsid w:val="0017409A"/>
    <w:rsid w:val="0017544E"/>
    <w:rsid w:val="001757E7"/>
    <w:rsid w:val="001830E2"/>
    <w:rsid w:val="001844C7"/>
    <w:rsid w:val="0019009C"/>
    <w:rsid w:val="001A65AB"/>
    <w:rsid w:val="001B5F1B"/>
    <w:rsid w:val="001C0600"/>
    <w:rsid w:val="001C311F"/>
    <w:rsid w:val="001C362B"/>
    <w:rsid w:val="001D0E1D"/>
    <w:rsid w:val="001E075B"/>
    <w:rsid w:val="002009D0"/>
    <w:rsid w:val="002105D9"/>
    <w:rsid w:val="00214730"/>
    <w:rsid w:val="00215FDB"/>
    <w:rsid w:val="00216112"/>
    <w:rsid w:val="002221EF"/>
    <w:rsid w:val="00231761"/>
    <w:rsid w:val="0023619D"/>
    <w:rsid w:val="0023719A"/>
    <w:rsid w:val="00240CE5"/>
    <w:rsid w:val="002519EB"/>
    <w:rsid w:val="00254A64"/>
    <w:rsid w:val="00297B80"/>
    <w:rsid w:val="002A1B58"/>
    <w:rsid w:val="002A1DE1"/>
    <w:rsid w:val="002A1F80"/>
    <w:rsid w:val="002A6CBC"/>
    <w:rsid w:val="002D32D0"/>
    <w:rsid w:val="002D35D8"/>
    <w:rsid w:val="002D68B5"/>
    <w:rsid w:val="002D7D10"/>
    <w:rsid w:val="002E2037"/>
    <w:rsid w:val="002E26C8"/>
    <w:rsid w:val="002E3702"/>
    <w:rsid w:val="002E4949"/>
    <w:rsid w:val="002F7903"/>
    <w:rsid w:val="00303739"/>
    <w:rsid w:val="00310EC7"/>
    <w:rsid w:val="00310F95"/>
    <w:rsid w:val="00312677"/>
    <w:rsid w:val="003150CC"/>
    <w:rsid w:val="00337C51"/>
    <w:rsid w:val="00340E55"/>
    <w:rsid w:val="00356A14"/>
    <w:rsid w:val="00366304"/>
    <w:rsid w:val="003769D5"/>
    <w:rsid w:val="00383109"/>
    <w:rsid w:val="003B139D"/>
    <w:rsid w:val="003C1DF0"/>
    <w:rsid w:val="003E51D3"/>
    <w:rsid w:val="00403BEF"/>
    <w:rsid w:val="00404684"/>
    <w:rsid w:val="004067B2"/>
    <w:rsid w:val="0042245A"/>
    <w:rsid w:val="00424A50"/>
    <w:rsid w:val="00431B05"/>
    <w:rsid w:val="00445E39"/>
    <w:rsid w:val="00447103"/>
    <w:rsid w:val="00457218"/>
    <w:rsid w:val="00464357"/>
    <w:rsid w:val="00464DFA"/>
    <w:rsid w:val="00470A3D"/>
    <w:rsid w:val="00471BF1"/>
    <w:rsid w:val="00486404"/>
    <w:rsid w:val="00491B1C"/>
    <w:rsid w:val="00491E91"/>
    <w:rsid w:val="00495A45"/>
    <w:rsid w:val="004A622A"/>
    <w:rsid w:val="004B046C"/>
    <w:rsid w:val="004B56D4"/>
    <w:rsid w:val="004B61C0"/>
    <w:rsid w:val="004C137E"/>
    <w:rsid w:val="004C5D81"/>
    <w:rsid w:val="004C6C5F"/>
    <w:rsid w:val="004D1676"/>
    <w:rsid w:val="004F72C9"/>
    <w:rsid w:val="00501334"/>
    <w:rsid w:val="00504D1B"/>
    <w:rsid w:val="00504EF7"/>
    <w:rsid w:val="00513D4E"/>
    <w:rsid w:val="005214A0"/>
    <w:rsid w:val="00524311"/>
    <w:rsid w:val="0058338E"/>
    <w:rsid w:val="00585407"/>
    <w:rsid w:val="005D4916"/>
    <w:rsid w:val="005E13F1"/>
    <w:rsid w:val="005E6C73"/>
    <w:rsid w:val="005E6F6E"/>
    <w:rsid w:val="005E6FD5"/>
    <w:rsid w:val="00606163"/>
    <w:rsid w:val="006111AC"/>
    <w:rsid w:val="00611577"/>
    <w:rsid w:val="006260B5"/>
    <w:rsid w:val="00635850"/>
    <w:rsid w:val="0063595B"/>
    <w:rsid w:val="006526DF"/>
    <w:rsid w:val="006823EB"/>
    <w:rsid w:val="00685DC4"/>
    <w:rsid w:val="0069265C"/>
    <w:rsid w:val="006A3F83"/>
    <w:rsid w:val="006A6794"/>
    <w:rsid w:val="006C2F4B"/>
    <w:rsid w:val="006E7164"/>
    <w:rsid w:val="006E7E08"/>
    <w:rsid w:val="006F4192"/>
    <w:rsid w:val="0070380B"/>
    <w:rsid w:val="00704768"/>
    <w:rsid w:val="007275ED"/>
    <w:rsid w:val="00727896"/>
    <w:rsid w:val="00731C04"/>
    <w:rsid w:val="007376C9"/>
    <w:rsid w:val="00741DB1"/>
    <w:rsid w:val="00744E73"/>
    <w:rsid w:val="00747487"/>
    <w:rsid w:val="00750946"/>
    <w:rsid w:val="0076771C"/>
    <w:rsid w:val="00780F28"/>
    <w:rsid w:val="00782F54"/>
    <w:rsid w:val="007939E0"/>
    <w:rsid w:val="007B1783"/>
    <w:rsid w:val="007D35E5"/>
    <w:rsid w:val="007E6652"/>
    <w:rsid w:val="007F07A3"/>
    <w:rsid w:val="00800142"/>
    <w:rsid w:val="008129A6"/>
    <w:rsid w:val="00814940"/>
    <w:rsid w:val="00815C53"/>
    <w:rsid w:val="00816110"/>
    <w:rsid w:val="008175F6"/>
    <w:rsid w:val="00830A05"/>
    <w:rsid w:val="008541FE"/>
    <w:rsid w:val="0085660F"/>
    <w:rsid w:val="00861AE2"/>
    <w:rsid w:val="00894FC7"/>
    <w:rsid w:val="008A340F"/>
    <w:rsid w:val="008E3D08"/>
    <w:rsid w:val="008E4FB1"/>
    <w:rsid w:val="00901AEA"/>
    <w:rsid w:val="00903D85"/>
    <w:rsid w:val="00910B3C"/>
    <w:rsid w:val="00917EA9"/>
    <w:rsid w:val="00947A10"/>
    <w:rsid w:val="00973F87"/>
    <w:rsid w:val="009745A3"/>
    <w:rsid w:val="00980406"/>
    <w:rsid w:val="009839D1"/>
    <w:rsid w:val="0098417B"/>
    <w:rsid w:val="00996463"/>
    <w:rsid w:val="00997EA9"/>
    <w:rsid w:val="009A3260"/>
    <w:rsid w:val="009A7791"/>
    <w:rsid w:val="009C461C"/>
    <w:rsid w:val="009D219A"/>
    <w:rsid w:val="00A00FB2"/>
    <w:rsid w:val="00A22F6E"/>
    <w:rsid w:val="00A41ADF"/>
    <w:rsid w:val="00A43008"/>
    <w:rsid w:val="00A45284"/>
    <w:rsid w:val="00A46472"/>
    <w:rsid w:val="00A61373"/>
    <w:rsid w:val="00A6369A"/>
    <w:rsid w:val="00A74178"/>
    <w:rsid w:val="00A91848"/>
    <w:rsid w:val="00A9462F"/>
    <w:rsid w:val="00AA719C"/>
    <w:rsid w:val="00AB4941"/>
    <w:rsid w:val="00AC4AAA"/>
    <w:rsid w:val="00AD1340"/>
    <w:rsid w:val="00AE737F"/>
    <w:rsid w:val="00AF2EB1"/>
    <w:rsid w:val="00AF5A66"/>
    <w:rsid w:val="00B21055"/>
    <w:rsid w:val="00B26B6D"/>
    <w:rsid w:val="00B3742A"/>
    <w:rsid w:val="00B45630"/>
    <w:rsid w:val="00B56435"/>
    <w:rsid w:val="00B75663"/>
    <w:rsid w:val="00B75E3F"/>
    <w:rsid w:val="00B8436A"/>
    <w:rsid w:val="00B91AD4"/>
    <w:rsid w:val="00BA648C"/>
    <w:rsid w:val="00BB34E6"/>
    <w:rsid w:val="00BB6650"/>
    <w:rsid w:val="00BC05FD"/>
    <w:rsid w:val="00BC48E6"/>
    <w:rsid w:val="00BD0710"/>
    <w:rsid w:val="00BD6871"/>
    <w:rsid w:val="00BF7195"/>
    <w:rsid w:val="00C01CCE"/>
    <w:rsid w:val="00C13164"/>
    <w:rsid w:val="00C17372"/>
    <w:rsid w:val="00C24DFC"/>
    <w:rsid w:val="00C4115B"/>
    <w:rsid w:val="00C54E20"/>
    <w:rsid w:val="00C8275B"/>
    <w:rsid w:val="00C83E8D"/>
    <w:rsid w:val="00C931BF"/>
    <w:rsid w:val="00CA7B5E"/>
    <w:rsid w:val="00CB3254"/>
    <w:rsid w:val="00CB527E"/>
    <w:rsid w:val="00CC27B4"/>
    <w:rsid w:val="00CC5E63"/>
    <w:rsid w:val="00CD666E"/>
    <w:rsid w:val="00CE053A"/>
    <w:rsid w:val="00D15DD2"/>
    <w:rsid w:val="00D217DE"/>
    <w:rsid w:val="00D268F5"/>
    <w:rsid w:val="00D300E7"/>
    <w:rsid w:val="00D512D6"/>
    <w:rsid w:val="00D66DA1"/>
    <w:rsid w:val="00D74A37"/>
    <w:rsid w:val="00D76D26"/>
    <w:rsid w:val="00D77969"/>
    <w:rsid w:val="00D77AB0"/>
    <w:rsid w:val="00D91695"/>
    <w:rsid w:val="00DA3576"/>
    <w:rsid w:val="00DA5375"/>
    <w:rsid w:val="00DB7BFC"/>
    <w:rsid w:val="00DD3E00"/>
    <w:rsid w:val="00E41525"/>
    <w:rsid w:val="00E450CC"/>
    <w:rsid w:val="00E45ABC"/>
    <w:rsid w:val="00E83E9C"/>
    <w:rsid w:val="00E94585"/>
    <w:rsid w:val="00ED3EE7"/>
    <w:rsid w:val="00EE5C11"/>
    <w:rsid w:val="00EF56D8"/>
    <w:rsid w:val="00F07540"/>
    <w:rsid w:val="00F11835"/>
    <w:rsid w:val="00F13810"/>
    <w:rsid w:val="00F34939"/>
    <w:rsid w:val="00F402F4"/>
    <w:rsid w:val="00F444FC"/>
    <w:rsid w:val="00F46A1D"/>
    <w:rsid w:val="00F56276"/>
    <w:rsid w:val="00F81B22"/>
    <w:rsid w:val="00FB2DCD"/>
    <w:rsid w:val="00FC0CEF"/>
    <w:rsid w:val="00FC5C52"/>
    <w:rsid w:val="00FD58C0"/>
    <w:rsid w:val="00FE3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7C4DD"/>
  <w15:chartTrackingRefBased/>
  <w15:docId w15:val="{7D5315F4-91EC-4636-9A42-68D96DA7B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5A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5A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5A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5A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5A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5A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5A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5A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5A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A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5A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5A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5A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5A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5A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5A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5A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5A66"/>
    <w:rPr>
      <w:rFonts w:eastAsiaTheme="majorEastAsia" w:cstheme="majorBidi"/>
      <w:color w:val="272727" w:themeColor="text1" w:themeTint="D8"/>
    </w:rPr>
  </w:style>
  <w:style w:type="paragraph" w:styleId="Title">
    <w:name w:val="Title"/>
    <w:basedOn w:val="Normal"/>
    <w:next w:val="Normal"/>
    <w:link w:val="TitleChar"/>
    <w:uiPriority w:val="10"/>
    <w:qFormat/>
    <w:rsid w:val="00AF5A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5A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5A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5A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5A66"/>
    <w:pPr>
      <w:spacing w:before="160"/>
      <w:jc w:val="center"/>
    </w:pPr>
    <w:rPr>
      <w:i/>
      <w:iCs/>
      <w:color w:val="404040" w:themeColor="text1" w:themeTint="BF"/>
    </w:rPr>
  </w:style>
  <w:style w:type="character" w:customStyle="1" w:styleId="QuoteChar">
    <w:name w:val="Quote Char"/>
    <w:basedOn w:val="DefaultParagraphFont"/>
    <w:link w:val="Quote"/>
    <w:uiPriority w:val="29"/>
    <w:rsid w:val="00AF5A66"/>
    <w:rPr>
      <w:i/>
      <w:iCs/>
      <w:color w:val="404040" w:themeColor="text1" w:themeTint="BF"/>
    </w:rPr>
  </w:style>
  <w:style w:type="paragraph" w:styleId="ListParagraph">
    <w:name w:val="List Paragraph"/>
    <w:basedOn w:val="Normal"/>
    <w:uiPriority w:val="34"/>
    <w:qFormat/>
    <w:rsid w:val="00AF5A66"/>
    <w:pPr>
      <w:ind w:left="720"/>
      <w:contextualSpacing/>
    </w:pPr>
  </w:style>
  <w:style w:type="character" w:styleId="IntenseEmphasis">
    <w:name w:val="Intense Emphasis"/>
    <w:basedOn w:val="DefaultParagraphFont"/>
    <w:uiPriority w:val="21"/>
    <w:qFormat/>
    <w:rsid w:val="00AF5A66"/>
    <w:rPr>
      <w:i/>
      <w:iCs/>
      <w:color w:val="0F4761" w:themeColor="accent1" w:themeShade="BF"/>
    </w:rPr>
  </w:style>
  <w:style w:type="paragraph" w:styleId="IntenseQuote">
    <w:name w:val="Intense Quote"/>
    <w:basedOn w:val="Normal"/>
    <w:next w:val="Normal"/>
    <w:link w:val="IntenseQuoteChar"/>
    <w:uiPriority w:val="30"/>
    <w:qFormat/>
    <w:rsid w:val="00AF5A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5A66"/>
    <w:rPr>
      <w:i/>
      <w:iCs/>
      <w:color w:val="0F4761" w:themeColor="accent1" w:themeShade="BF"/>
    </w:rPr>
  </w:style>
  <w:style w:type="character" w:styleId="IntenseReference">
    <w:name w:val="Intense Reference"/>
    <w:basedOn w:val="DefaultParagraphFont"/>
    <w:uiPriority w:val="32"/>
    <w:qFormat/>
    <w:rsid w:val="00AF5A66"/>
    <w:rPr>
      <w:b/>
      <w:bCs/>
      <w:smallCaps/>
      <w:color w:val="0F4761" w:themeColor="accent1" w:themeShade="BF"/>
      <w:spacing w:val="5"/>
    </w:rPr>
  </w:style>
  <w:style w:type="paragraph" w:styleId="Header">
    <w:name w:val="header"/>
    <w:basedOn w:val="Normal"/>
    <w:link w:val="HeaderChar"/>
    <w:uiPriority w:val="99"/>
    <w:unhideWhenUsed/>
    <w:rsid w:val="00002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C8C"/>
  </w:style>
  <w:style w:type="paragraph" w:styleId="Footer">
    <w:name w:val="footer"/>
    <w:basedOn w:val="Normal"/>
    <w:link w:val="FooterChar"/>
    <w:uiPriority w:val="99"/>
    <w:unhideWhenUsed/>
    <w:rsid w:val="00002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C8C"/>
  </w:style>
  <w:style w:type="paragraph" w:styleId="TOCHeading">
    <w:name w:val="TOC Heading"/>
    <w:basedOn w:val="Heading1"/>
    <w:next w:val="Normal"/>
    <w:uiPriority w:val="39"/>
    <w:unhideWhenUsed/>
    <w:qFormat/>
    <w:rsid w:val="00F3493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34939"/>
    <w:pPr>
      <w:spacing w:after="100"/>
      <w:ind w:left="240"/>
    </w:pPr>
  </w:style>
  <w:style w:type="character" w:styleId="Hyperlink">
    <w:name w:val="Hyperlink"/>
    <w:basedOn w:val="DefaultParagraphFont"/>
    <w:uiPriority w:val="99"/>
    <w:unhideWhenUsed/>
    <w:rsid w:val="00F34939"/>
    <w:rPr>
      <w:color w:val="467886" w:themeColor="hyperlink"/>
      <w:u w:val="single"/>
    </w:rPr>
  </w:style>
  <w:style w:type="paragraph" w:styleId="TOC1">
    <w:name w:val="toc 1"/>
    <w:basedOn w:val="Normal"/>
    <w:next w:val="Normal"/>
    <w:autoRedefine/>
    <w:uiPriority w:val="39"/>
    <w:unhideWhenUsed/>
    <w:rsid w:val="00A22F6E"/>
    <w:pPr>
      <w:spacing w:after="100"/>
    </w:pPr>
  </w:style>
  <w:style w:type="character" w:styleId="UnresolvedMention">
    <w:name w:val="Unresolved Mention"/>
    <w:basedOn w:val="DefaultParagraphFont"/>
    <w:uiPriority w:val="99"/>
    <w:semiHidden/>
    <w:unhideWhenUsed/>
    <w:rsid w:val="00D66DA1"/>
    <w:rPr>
      <w:color w:val="605E5C"/>
      <w:shd w:val="clear" w:color="auto" w:fill="E1DFDD"/>
    </w:rPr>
  </w:style>
  <w:style w:type="character" w:styleId="FollowedHyperlink">
    <w:name w:val="FollowedHyperlink"/>
    <w:basedOn w:val="DefaultParagraphFont"/>
    <w:uiPriority w:val="99"/>
    <w:semiHidden/>
    <w:unhideWhenUsed/>
    <w:rsid w:val="00D66DA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ris.who.int/server/api/core/bitstreams/5dee789f-c197-4d45-b1aa-391da7b8bcf8/content" TargetMode="External"/><Relationship Id="rId18" Type="http://schemas.openxmlformats.org/officeDocument/2006/relationships/hyperlink" Target="https://www.ncbi.nlm.nih.gov/pmc/articles/PMC7213559" TargetMode="External"/><Relationship Id="rId26" Type="http://schemas.openxmlformats.org/officeDocument/2006/relationships/hyperlink" Target="https://doi.org/10.1016/j.envsci.2025.104092" TargetMode="External"/><Relationship Id="rId39" Type="http://schemas.openxmlformats.org/officeDocument/2006/relationships/fontTable" Target="fontTable.xml"/><Relationship Id="rId21" Type="http://schemas.openxmlformats.org/officeDocument/2006/relationships/hyperlink" Target="https://www.ncbi.nlm.nih.gov/pmc/articles/PMC7967726/" TargetMode="External"/><Relationship Id="rId34" Type="http://schemas.openxmlformats.org/officeDocument/2006/relationships/hyperlink" Target="https://doi.org/10.70389/pjes.100007" TargetMode="External"/><Relationship Id="rId7" Type="http://schemas.openxmlformats.org/officeDocument/2006/relationships/hyperlink" Target="https://www.health.gov.au/resources/publications/national-preventive-health-strategy-2021-2030" TargetMode="External"/><Relationship Id="rId12" Type="http://schemas.openxmlformats.org/officeDocument/2006/relationships/hyperlink" Target="https://doi.org/10.1016/S2542-5196(20)30249-7" TargetMode="External"/><Relationship Id="rId17" Type="http://schemas.openxmlformats.org/officeDocument/2006/relationships/hyperlink" Target="https://doi.org/10.4081/jphr.2021.2051" TargetMode="External"/><Relationship Id="rId25" Type="http://schemas.openxmlformats.org/officeDocument/2006/relationships/hyperlink" Target="https://doi.org/10.1016/s0140-6736(23)01859-7" TargetMode="External"/><Relationship Id="rId33" Type="http://schemas.openxmlformats.org/officeDocument/2006/relationships/hyperlink" Target="https://www.thelancet.com/countdown-health-climate"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doi.org/10.47176/mjiri.35.191" TargetMode="External"/><Relationship Id="rId20" Type="http://schemas.openxmlformats.org/officeDocument/2006/relationships/hyperlink" Target="https://www.longtermplan.nhs.uk" TargetMode="External"/><Relationship Id="rId29" Type="http://schemas.openxmlformats.org/officeDocument/2006/relationships/hyperlink" Target="https://iris.who.int/server/api/core/bitstreams/5dee789f-c197-4d45-b1aa-391da7b8bcf8/content" TargetMode="External"/><Relationship Id="rId1" Type="http://schemas.openxmlformats.org/officeDocument/2006/relationships/styles" Target="styles.xml"/><Relationship Id="rId6" Type="http://schemas.openxmlformats.org/officeDocument/2006/relationships/hyperlink" Target="https://doi.org/10.1007/s42398-023-00287-4" TargetMode="External"/><Relationship Id="rId11" Type="http://schemas.openxmlformats.org/officeDocument/2006/relationships/hyperlink" Target="https://doi.org/10.1177/29768659241293212" TargetMode="External"/><Relationship Id="rId24" Type="http://schemas.openxmlformats.org/officeDocument/2006/relationships/hyperlink" Target="https://doi.org/10.1038/s41467-020-15414-6" TargetMode="External"/><Relationship Id="rId32" Type="http://schemas.openxmlformats.org/officeDocument/2006/relationships/hyperlink" Target="https://www.gov.uk/government/publications/net-zero-strategy" TargetMode="External"/><Relationship Id="rId37" Type="http://schemas.openxmlformats.org/officeDocument/2006/relationships/hyperlink" Target="https://www.who.int/data/gho/publications/world-health-statistics" TargetMode="Externa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186/s42055-024-00094-7" TargetMode="External"/><Relationship Id="rId23" Type="http://schemas.openxmlformats.org/officeDocument/2006/relationships/hyperlink" Target="https://link.springer.com/article/10.1186/s12992-019-0529-z" TargetMode="External"/><Relationship Id="rId28" Type="http://schemas.openxmlformats.org/officeDocument/2006/relationships/hyperlink" Target="https://www.who.int/publications/i/item/9789241500852" TargetMode="External"/><Relationship Id="rId36" Type="http://schemas.openxmlformats.org/officeDocument/2006/relationships/hyperlink" Target="https://www.worldbank.org/en/topic/universalhealthcoverage" TargetMode="External"/><Relationship Id="rId10" Type="http://schemas.openxmlformats.org/officeDocument/2006/relationships/hyperlink" Target="https://www.gov.uk/government/publications/build-back-better-our-plan-for-health-and-social-care" TargetMode="External"/><Relationship Id="rId19" Type="http://schemas.openxmlformats.org/officeDocument/2006/relationships/hyperlink" Target="https://doi.org/10.1186/s12903-024-04237-2" TargetMode="External"/><Relationship Id="rId31" Type="http://schemas.openxmlformats.org/officeDocument/2006/relationships/hyperlink" Target="https://assets.kingsfund.org.uk/f/256914/x/d7997f54a1/understanding_factors_digital_service_change_general_practice_covid-19_2021.pdf" TargetMode="External"/><Relationship Id="rId4" Type="http://schemas.openxmlformats.org/officeDocument/2006/relationships/footnotes" Target="footnotes.xml"/><Relationship Id="rId9" Type="http://schemas.openxmlformats.org/officeDocument/2006/relationships/hyperlink" Target="https://ghrp.biomedcentral.com/articles/10.1186/s41256-023-00340-z" TargetMode="External"/><Relationship Id="rId14" Type="http://schemas.openxmlformats.org/officeDocument/2006/relationships/hyperlink" Target="https://www.ipcc.ch/report/ar6/wg2/" TargetMode="External"/><Relationship Id="rId22" Type="http://schemas.openxmlformats.org/officeDocument/2006/relationships/hyperlink" Target="https://www.gov.uk/government/publications/health-profile-for-england" TargetMode="External"/><Relationship Id="rId27" Type="http://schemas.openxmlformats.org/officeDocument/2006/relationships/hyperlink" Target="https://gh.bmj.com/content/3/Suppl_1/e000609?utm_source=chatgpt.com" TargetMode="External"/><Relationship Id="rId30" Type="http://schemas.openxmlformats.org/officeDocument/2006/relationships/hyperlink" Target="https://www.kingsfund.org.uk/insight-and-analysis/reports/health-care-workforce-england" TargetMode="External"/><Relationship Id="rId35" Type="http://schemas.openxmlformats.org/officeDocument/2006/relationships/hyperlink" Target="https://doi.org/10.1186/s41018-024-00156-7" TargetMode="External"/><Relationship Id="rId8" Type="http://schemas.openxmlformats.org/officeDocument/2006/relationships/hyperlink" Target="https://doi.org/10.1186/s12889-025-21902-5"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3986</Words>
  <Characters>27150</Characters>
  <Application>Microsoft Office Word</Application>
  <DocSecurity>0</DocSecurity>
  <Lines>502</Lines>
  <Paragraphs>144</Paragraphs>
  <ScaleCrop>false</ScaleCrop>
  <Company/>
  <LinksUpToDate>false</LinksUpToDate>
  <CharactersWithSpaces>30992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 Begum</dc:creator>
  <cp:keywords/>
  <dc:description/>
  <cp:lastModifiedBy>Zak Begum</cp:lastModifiedBy>
  <cp:revision>2</cp:revision>
  <dcterms:created xsi:type="dcterms:W3CDTF">2026-03-21T14:28:00Z</dcterms:created>
  <dcterms:modified xsi:type="dcterms:W3CDTF">2026-03-21T14:28:00Z</dcterms:modified>
</cp:coreProperties>
</file>