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D4353" w:rsidRDefault="003D4353">
      <w:pPr>
        <w:pBdr>
          <w:top w:val="nil"/>
          <w:left w:val="nil"/>
          <w:bottom w:val="nil"/>
          <w:right w:val="nil"/>
          <w:between w:val="nil"/>
        </w:pBdr>
        <w:spacing w:before="240" w:after="240" w:line="360" w:lineRule="auto"/>
        <w:jc w:val="center"/>
        <w:rPr>
          <w:rFonts w:ascii="Arial" w:eastAsia="Arial" w:hAnsi="Arial" w:cs="Arial"/>
          <w:color w:val="000000"/>
        </w:rPr>
      </w:pPr>
    </w:p>
    <w:p w14:paraId="00000002" w14:textId="77777777" w:rsidR="003D4353" w:rsidRDefault="003D4353">
      <w:pPr>
        <w:pBdr>
          <w:top w:val="nil"/>
          <w:left w:val="nil"/>
          <w:bottom w:val="nil"/>
          <w:right w:val="nil"/>
          <w:between w:val="nil"/>
        </w:pBdr>
        <w:spacing w:before="240" w:after="240" w:line="360" w:lineRule="auto"/>
        <w:jc w:val="center"/>
        <w:rPr>
          <w:rFonts w:ascii="Arial" w:eastAsia="Arial" w:hAnsi="Arial" w:cs="Arial"/>
          <w:color w:val="000000"/>
        </w:rPr>
      </w:pPr>
    </w:p>
    <w:p w14:paraId="00000003" w14:textId="77777777" w:rsidR="003D4353" w:rsidRDefault="003D4353">
      <w:pPr>
        <w:pBdr>
          <w:top w:val="nil"/>
          <w:left w:val="nil"/>
          <w:bottom w:val="nil"/>
          <w:right w:val="nil"/>
          <w:between w:val="nil"/>
        </w:pBdr>
        <w:spacing w:before="240" w:after="240" w:line="360" w:lineRule="auto"/>
        <w:jc w:val="center"/>
        <w:rPr>
          <w:rFonts w:ascii="Arial" w:eastAsia="Arial" w:hAnsi="Arial" w:cs="Arial"/>
          <w:color w:val="000000"/>
        </w:rPr>
      </w:pPr>
    </w:p>
    <w:p w14:paraId="00000004" w14:textId="77777777" w:rsidR="003D4353" w:rsidRDefault="003D4353">
      <w:pPr>
        <w:pBdr>
          <w:top w:val="nil"/>
          <w:left w:val="nil"/>
          <w:bottom w:val="nil"/>
          <w:right w:val="nil"/>
          <w:between w:val="nil"/>
        </w:pBdr>
        <w:spacing w:before="240" w:after="240" w:line="360" w:lineRule="auto"/>
        <w:jc w:val="center"/>
        <w:rPr>
          <w:rFonts w:ascii="Arial" w:eastAsia="Arial" w:hAnsi="Arial" w:cs="Arial"/>
          <w:color w:val="000000"/>
        </w:rPr>
      </w:pPr>
    </w:p>
    <w:p w14:paraId="00000005" w14:textId="77777777" w:rsidR="003D4353" w:rsidRDefault="00000000">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Name: Elzbieta Beuca</w:t>
      </w:r>
    </w:p>
    <w:p w14:paraId="00000006" w14:textId="2B404804" w:rsidR="003D4353" w:rsidRDefault="00000000">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Student ID:</w:t>
      </w:r>
      <w:r w:rsidR="00254142">
        <w:rPr>
          <w:rFonts w:ascii="Arial" w:eastAsia="Arial" w:hAnsi="Arial" w:cs="Arial"/>
          <w:color w:val="000000"/>
          <w:sz w:val="40"/>
          <w:szCs w:val="40"/>
        </w:rPr>
        <w:t xml:space="preserve"> 2232428</w:t>
      </w:r>
    </w:p>
    <w:p w14:paraId="00000007" w14:textId="25290E45" w:rsidR="003D4353" w:rsidRDefault="00000000">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Module:</w:t>
      </w:r>
      <w:r w:rsidR="002F6BCA">
        <w:rPr>
          <w:rFonts w:ascii="Arial" w:eastAsia="Arial" w:hAnsi="Arial" w:cs="Arial"/>
          <w:color w:val="000000"/>
          <w:sz w:val="40"/>
          <w:szCs w:val="40"/>
        </w:rPr>
        <w:t xml:space="preserve"> Sustainable Hospitality &amp;Tourism </w:t>
      </w:r>
      <w:r w:rsidR="00325871">
        <w:rPr>
          <w:rFonts w:ascii="Arial" w:eastAsia="Arial" w:hAnsi="Arial" w:cs="Arial"/>
          <w:color w:val="000000"/>
          <w:sz w:val="40"/>
          <w:szCs w:val="40"/>
        </w:rPr>
        <w:t>Management</w:t>
      </w:r>
      <w:r w:rsidR="002F6BCA">
        <w:rPr>
          <w:rFonts w:ascii="Arial" w:eastAsia="Arial" w:hAnsi="Arial" w:cs="Arial"/>
          <w:color w:val="000000"/>
          <w:sz w:val="40"/>
          <w:szCs w:val="40"/>
        </w:rPr>
        <w:t xml:space="preserve"> </w:t>
      </w:r>
    </w:p>
    <w:p w14:paraId="0F03F110" w14:textId="60C805A8" w:rsidR="00254142" w:rsidRDefault="00254142">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 xml:space="preserve">Lecturer : Lisa – Marie Bassler </w:t>
      </w:r>
    </w:p>
    <w:p w14:paraId="00000008" w14:textId="2C0B3765" w:rsidR="003D4353" w:rsidRDefault="00000000">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Moule ID:</w:t>
      </w:r>
      <w:r w:rsidR="002F6BCA">
        <w:rPr>
          <w:rFonts w:ascii="Arial" w:eastAsia="Arial" w:hAnsi="Arial" w:cs="Arial"/>
          <w:color w:val="000000"/>
          <w:sz w:val="40"/>
          <w:szCs w:val="40"/>
        </w:rPr>
        <w:t xml:space="preserve"> BMIH5006 </w:t>
      </w:r>
    </w:p>
    <w:p w14:paraId="00000009" w14:textId="73504DD9" w:rsidR="003D4353" w:rsidRDefault="00000000">
      <w:pPr>
        <w:pBdr>
          <w:top w:val="nil"/>
          <w:left w:val="nil"/>
          <w:bottom w:val="nil"/>
          <w:right w:val="nil"/>
          <w:between w:val="nil"/>
        </w:pBdr>
        <w:spacing w:before="240" w:after="240" w:line="360" w:lineRule="auto"/>
        <w:jc w:val="center"/>
        <w:rPr>
          <w:rFonts w:ascii="Arial" w:eastAsia="Arial" w:hAnsi="Arial" w:cs="Arial"/>
          <w:color w:val="000000"/>
          <w:sz w:val="40"/>
          <w:szCs w:val="40"/>
        </w:rPr>
      </w:pPr>
      <w:r>
        <w:rPr>
          <w:rFonts w:ascii="Arial" w:eastAsia="Arial" w:hAnsi="Arial" w:cs="Arial"/>
          <w:color w:val="000000"/>
          <w:sz w:val="40"/>
          <w:szCs w:val="40"/>
        </w:rPr>
        <w:t>Word count: 18</w:t>
      </w:r>
      <w:r w:rsidR="000D5F0A">
        <w:rPr>
          <w:rFonts w:ascii="Arial" w:eastAsia="Arial" w:hAnsi="Arial" w:cs="Arial"/>
          <w:color w:val="000000"/>
          <w:sz w:val="40"/>
          <w:szCs w:val="40"/>
        </w:rPr>
        <w:t>90</w:t>
      </w:r>
    </w:p>
    <w:p w14:paraId="0000000A" w14:textId="77777777" w:rsidR="003D4353" w:rsidRDefault="003D4353">
      <w:pPr>
        <w:pBdr>
          <w:top w:val="nil"/>
          <w:left w:val="nil"/>
          <w:bottom w:val="nil"/>
          <w:right w:val="nil"/>
          <w:between w:val="nil"/>
        </w:pBdr>
        <w:spacing w:before="240" w:after="240" w:line="360" w:lineRule="auto"/>
        <w:rPr>
          <w:rFonts w:ascii="Arial" w:eastAsia="Arial" w:hAnsi="Arial" w:cs="Arial"/>
          <w:color w:val="000000"/>
          <w:sz w:val="40"/>
          <w:szCs w:val="40"/>
        </w:rPr>
      </w:pPr>
    </w:p>
    <w:p w14:paraId="0000000B" w14:textId="77777777" w:rsidR="003D4353" w:rsidRDefault="003D4353">
      <w:pPr>
        <w:pBdr>
          <w:top w:val="nil"/>
          <w:left w:val="nil"/>
          <w:bottom w:val="nil"/>
          <w:right w:val="nil"/>
          <w:between w:val="nil"/>
        </w:pBdr>
        <w:spacing w:before="240" w:after="240" w:line="360" w:lineRule="auto"/>
        <w:rPr>
          <w:rFonts w:ascii="Arial" w:eastAsia="Arial" w:hAnsi="Arial" w:cs="Arial"/>
          <w:color w:val="000000"/>
          <w:sz w:val="40"/>
          <w:szCs w:val="40"/>
        </w:rPr>
      </w:pPr>
    </w:p>
    <w:p w14:paraId="19338A97" w14:textId="7F0A95BE" w:rsidR="002F6BCA" w:rsidRPr="000D5F0A" w:rsidRDefault="002F6BCA" w:rsidP="004E5967">
      <w:pPr>
        <w:keepNext/>
        <w:keepLines/>
        <w:pBdr>
          <w:top w:val="nil"/>
          <w:left w:val="nil"/>
          <w:bottom w:val="nil"/>
          <w:right w:val="nil"/>
          <w:between w:val="nil"/>
        </w:pBdr>
        <w:spacing w:before="240" w:after="0" w:line="360" w:lineRule="auto"/>
        <w:jc w:val="both"/>
        <w:rPr>
          <w:rFonts w:ascii="Arial" w:eastAsia="Arial" w:hAnsi="Arial" w:cs="Arial"/>
          <w:color w:val="000000"/>
          <w:sz w:val="24"/>
          <w:szCs w:val="24"/>
        </w:rPr>
      </w:pPr>
      <w:r w:rsidRPr="000D5F0A">
        <w:rPr>
          <w:rFonts w:ascii="Arial" w:eastAsia="Arial" w:hAnsi="Arial" w:cs="Arial"/>
          <w:color w:val="000000"/>
          <w:sz w:val="24"/>
          <w:szCs w:val="24"/>
        </w:rPr>
        <w:lastRenderedPageBreak/>
        <w:t xml:space="preserve">I confirm that I have not used any AI tools in the research </w:t>
      </w:r>
      <w:r w:rsidR="00254142" w:rsidRPr="000D5F0A">
        <w:rPr>
          <w:rFonts w:ascii="Arial" w:eastAsia="Arial" w:hAnsi="Arial" w:cs="Arial"/>
          <w:color w:val="000000"/>
          <w:sz w:val="24"/>
          <w:szCs w:val="24"/>
        </w:rPr>
        <w:t xml:space="preserve">and creation of this assignment. I confirm that I have not presented any AI generated materials as my own </w:t>
      </w:r>
      <w:r w:rsidR="000D5F0A" w:rsidRPr="000D5F0A">
        <w:rPr>
          <w:rFonts w:ascii="Arial" w:eastAsia="Arial" w:hAnsi="Arial" w:cs="Arial"/>
          <w:color w:val="000000"/>
          <w:sz w:val="24"/>
          <w:szCs w:val="24"/>
        </w:rPr>
        <w:t>work.</w:t>
      </w:r>
      <w:r w:rsidR="00254142" w:rsidRPr="000D5F0A">
        <w:rPr>
          <w:rFonts w:ascii="Arial" w:eastAsia="Arial" w:hAnsi="Arial" w:cs="Arial"/>
          <w:color w:val="000000"/>
          <w:sz w:val="24"/>
          <w:szCs w:val="24"/>
        </w:rPr>
        <w:t xml:space="preserve"> I confirm I have copies of my drafts, </w:t>
      </w:r>
      <w:r w:rsidR="000D5F0A" w:rsidRPr="000D5F0A">
        <w:rPr>
          <w:rFonts w:ascii="Arial" w:eastAsia="Arial" w:hAnsi="Arial" w:cs="Arial"/>
          <w:color w:val="000000"/>
          <w:sz w:val="24"/>
          <w:szCs w:val="24"/>
        </w:rPr>
        <w:t>notes,</w:t>
      </w:r>
      <w:r w:rsidR="00254142" w:rsidRPr="000D5F0A">
        <w:rPr>
          <w:rFonts w:ascii="Arial" w:eastAsia="Arial" w:hAnsi="Arial" w:cs="Arial"/>
          <w:color w:val="000000"/>
          <w:sz w:val="24"/>
          <w:szCs w:val="24"/>
        </w:rPr>
        <w:t xml:space="preserve"> and other resources I </w:t>
      </w:r>
      <w:r w:rsidR="000D5F0A" w:rsidRPr="000D5F0A">
        <w:rPr>
          <w:rFonts w:ascii="Arial" w:eastAsia="Arial" w:hAnsi="Arial" w:cs="Arial"/>
          <w:color w:val="000000"/>
          <w:sz w:val="24"/>
          <w:szCs w:val="24"/>
        </w:rPr>
        <w:t>used, which</w:t>
      </w:r>
      <w:r w:rsidR="00254142" w:rsidRPr="000D5F0A">
        <w:rPr>
          <w:rFonts w:ascii="Arial" w:eastAsia="Arial" w:hAnsi="Arial" w:cs="Arial"/>
          <w:color w:val="000000"/>
          <w:sz w:val="24"/>
          <w:szCs w:val="24"/>
        </w:rPr>
        <w:t xml:space="preserve"> I may be asked to provide in </w:t>
      </w:r>
      <w:r w:rsidR="000D5F0A" w:rsidRPr="000D5F0A">
        <w:rPr>
          <w:rFonts w:ascii="Arial" w:eastAsia="Arial" w:hAnsi="Arial" w:cs="Arial"/>
          <w:color w:val="000000"/>
          <w:sz w:val="24"/>
          <w:szCs w:val="24"/>
        </w:rPr>
        <w:t>evidence.</w:t>
      </w:r>
      <w:r w:rsidR="00254142" w:rsidRPr="000D5F0A">
        <w:rPr>
          <w:rFonts w:ascii="Arial" w:eastAsia="Arial" w:hAnsi="Arial" w:cs="Arial"/>
          <w:color w:val="000000"/>
          <w:sz w:val="24"/>
          <w:szCs w:val="24"/>
        </w:rPr>
        <w:t xml:space="preserve"> </w:t>
      </w:r>
    </w:p>
    <w:p w14:paraId="0615FAA3" w14:textId="77777777" w:rsidR="002F6BCA" w:rsidRPr="000D5F0A" w:rsidRDefault="002F6BCA" w:rsidP="004E5967">
      <w:pPr>
        <w:keepNext/>
        <w:keepLines/>
        <w:pBdr>
          <w:top w:val="nil"/>
          <w:left w:val="nil"/>
          <w:bottom w:val="nil"/>
          <w:right w:val="nil"/>
          <w:between w:val="nil"/>
        </w:pBdr>
        <w:spacing w:before="240" w:after="0" w:line="360" w:lineRule="auto"/>
        <w:jc w:val="both"/>
        <w:rPr>
          <w:rFonts w:ascii="Arial" w:eastAsia="Arial" w:hAnsi="Arial" w:cs="Arial"/>
          <w:color w:val="000000"/>
          <w:sz w:val="24"/>
          <w:szCs w:val="24"/>
        </w:rPr>
      </w:pPr>
    </w:p>
    <w:p w14:paraId="7E79E186" w14:textId="77777777" w:rsidR="002F6BCA" w:rsidRDefault="002F6BCA" w:rsidP="004E5967">
      <w:pPr>
        <w:keepNext/>
        <w:keepLines/>
        <w:pBdr>
          <w:top w:val="nil"/>
          <w:left w:val="nil"/>
          <w:bottom w:val="nil"/>
          <w:right w:val="nil"/>
          <w:between w:val="nil"/>
        </w:pBdr>
        <w:spacing w:before="240" w:after="0" w:line="360" w:lineRule="auto"/>
        <w:jc w:val="both"/>
        <w:rPr>
          <w:rFonts w:ascii="Arial" w:eastAsia="Arial" w:hAnsi="Arial" w:cs="Arial"/>
          <w:color w:val="000000"/>
          <w:sz w:val="56"/>
          <w:szCs w:val="56"/>
        </w:rPr>
      </w:pPr>
    </w:p>
    <w:p w14:paraId="081ECFA9" w14:textId="77777777" w:rsidR="002F6BCA" w:rsidRDefault="002F6BCA" w:rsidP="004E5967">
      <w:pPr>
        <w:keepNext/>
        <w:keepLines/>
        <w:pBdr>
          <w:top w:val="nil"/>
          <w:left w:val="nil"/>
          <w:bottom w:val="nil"/>
          <w:right w:val="nil"/>
          <w:between w:val="nil"/>
        </w:pBdr>
        <w:spacing w:before="240" w:after="0" w:line="360" w:lineRule="auto"/>
        <w:jc w:val="both"/>
        <w:rPr>
          <w:rFonts w:ascii="Arial" w:eastAsia="Arial" w:hAnsi="Arial" w:cs="Arial"/>
          <w:color w:val="000000"/>
          <w:sz w:val="56"/>
          <w:szCs w:val="56"/>
        </w:rPr>
      </w:pPr>
    </w:p>
    <w:p w14:paraId="2E1F4397"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7F04BB0E"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68EAD4CB"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53C0F159"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5D5CED69"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6EEC87DB"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3395ABDF"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6A8C50C3"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28A3AFE2" w14:textId="77777777" w:rsidR="002F6BCA" w:rsidRDefault="002F6BCA"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p>
    <w:p w14:paraId="0000000E" w14:textId="24032B5F" w:rsidR="003D4353" w:rsidRDefault="00000000" w:rsidP="000D5F0A">
      <w:pPr>
        <w:keepNext/>
        <w:keepLines/>
        <w:pBdr>
          <w:top w:val="nil"/>
          <w:left w:val="nil"/>
          <w:bottom w:val="nil"/>
          <w:right w:val="nil"/>
          <w:between w:val="nil"/>
        </w:pBdr>
        <w:spacing w:before="240" w:after="0" w:line="360" w:lineRule="auto"/>
        <w:jc w:val="center"/>
        <w:rPr>
          <w:rFonts w:ascii="Arial" w:eastAsia="Arial" w:hAnsi="Arial" w:cs="Arial"/>
          <w:color w:val="000000"/>
          <w:sz w:val="56"/>
          <w:szCs w:val="56"/>
        </w:rPr>
      </w:pPr>
      <w:r>
        <w:rPr>
          <w:rFonts w:ascii="Arial" w:eastAsia="Arial" w:hAnsi="Arial" w:cs="Arial"/>
          <w:color w:val="000000"/>
          <w:sz w:val="56"/>
          <w:szCs w:val="56"/>
        </w:rPr>
        <w:t>Contents</w:t>
      </w:r>
    </w:p>
    <w:p w14:paraId="0000000F" w14:textId="77777777" w:rsidR="003D4353" w:rsidRDefault="003D4353" w:rsidP="000D5F0A">
      <w:pPr>
        <w:pBdr>
          <w:top w:val="nil"/>
          <w:left w:val="nil"/>
          <w:bottom w:val="nil"/>
          <w:right w:val="nil"/>
          <w:between w:val="nil"/>
        </w:pBdr>
        <w:spacing w:line="360" w:lineRule="auto"/>
        <w:rPr>
          <w:rFonts w:ascii="Arial" w:eastAsia="Arial" w:hAnsi="Arial" w:cs="Arial"/>
          <w:color w:val="000000"/>
          <w:sz w:val="56"/>
          <w:szCs w:val="56"/>
        </w:rPr>
      </w:pPr>
    </w:p>
    <w:sdt>
      <w:sdtPr>
        <w:id w:val="730042295"/>
        <w:docPartObj>
          <w:docPartGallery w:val="Table of Contents"/>
          <w:docPartUnique/>
        </w:docPartObj>
      </w:sdtPr>
      <w:sdtEnd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0000010" w14:textId="77777777" w:rsidR="003D4353" w:rsidRPr="002F6BCA" w:rsidRDefault="003D4353" w:rsidP="000D5F0A">
          <w:pPr>
            <w:pBdr>
              <w:top w:val="nil"/>
              <w:left w:val="nil"/>
              <w:bottom w:val="nil"/>
              <w:right w:val="nil"/>
              <w:between w:val="nil"/>
            </w:pBdr>
            <w:spacing w:line="360" w:lineRule="auto"/>
            <w:ind w:left="220"/>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6B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F6B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\h \u \z \n \t "Heading 1,1,Heading 2,2,Heading 3,3,Heading 4,4,Heading 5,5,Heading 6,6,"</w:instrText>
          </w:r>
          <w:r w:rsidRPr="002F6B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gjdgxs">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hyperlink>
          <w:hyperlink w:anchor="_gjdgxs">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p>
        <w:p w14:paraId="00000011" w14:textId="77777777" w:rsidR="003D4353" w:rsidRPr="002F6BCA" w:rsidRDefault="003D4353" w:rsidP="000D5F0A">
          <w:pPr>
            <w:pBdr>
              <w:top w:val="nil"/>
              <w:left w:val="nil"/>
              <w:bottom w:val="nil"/>
              <w:right w:val="nil"/>
              <w:between w:val="nil"/>
            </w:pBdr>
            <w:spacing w:line="360" w:lineRule="auto"/>
            <w:ind w:left="220"/>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30j0zll">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hyperlink>
          <w:hyperlink w:anchor="_30j0zll">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p>
        <w:p w14:paraId="00000012" w14:textId="77777777" w:rsidR="003D4353" w:rsidRPr="002F6BCA" w:rsidRDefault="003D4353" w:rsidP="000D5F0A">
          <w:pPr>
            <w:pBdr>
              <w:top w:val="nil"/>
              <w:left w:val="nil"/>
              <w:bottom w:val="nil"/>
              <w:right w:val="nil"/>
              <w:between w:val="nil"/>
            </w:pBdr>
            <w:spacing w:line="360" w:lineRule="auto"/>
            <w:ind w:left="220"/>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1fob9te">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hyperlink>
          <w:hyperlink w:anchor="_1fob9te">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p>
        <w:p w14:paraId="00000013" w14:textId="77777777" w:rsidR="003D4353" w:rsidRPr="002F6BCA" w:rsidRDefault="003D4353" w:rsidP="000D5F0A">
          <w:pPr>
            <w:pBdr>
              <w:top w:val="nil"/>
              <w:left w:val="nil"/>
              <w:bottom w:val="nil"/>
              <w:right w:val="nil"/>
              <w:between w:val="nil"/>
            </w:pBdr>
            <w:spacing w:line="360" w:lineRule="auto"/>
            <w:ind w:left="220"/>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3znysh7">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hyperlink>
          <w:hyperlink w:anchor="_3znysh7">
            <w:r w:rsidRPr="002F6BCA">
              <w:rPr>
                <w:rFonts w:ascii="Arial" w:eastAsia="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r w:rsidRPr="002F6B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00000014" w14:textId="77777777" w:rsidR="003D4353" w:rsidRDefault="003D4353" w:rsidP="000D5F0A">
      <w:pPr>
        <w:pBdr>
          <w:top w:val="nil"/>
          <w:left w:val="nil"/>
          <w:bottom w:val="nil"/>
          <w:right w:val="nil"/>
          <w:between w:val="nil"/>
        </w:pBdr>
        <w:spacing w:line="360" w:lineRule="auto"/>
        <w:rPr>
          <w:rFonts w:ascii="Arial" w:eastAsia="Arial" w:hAnsi="Arial" w:cs="Arial"/>
          <w:color w:val="000000"/>
          <w:sz w:val="44"/>
          <w:szCs w:val="44"/>
        </w:rPr>
      </w:pPr>
    </w:p>
    <w:p w14:paraId="00000015"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6"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7"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8"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9"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A"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B"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C"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D"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E"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1F"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20"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21"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22" w14:textId="77777777" w:rsidR="003D4353" w:rsidRDefault="003D4353" w:rsidP="000D5F0A">
      <w:pPr>
        <w:pBdr>
          <w:top w:val="nil"/>
          <w:left w:val="nil"/>
          <w:bottom w:val="nil"/>
          <w:right w:val="nil"/>
          <w:between w:val="nil"/>
        </w:pBdr>
        <w:spacing w:before="60" w:after="0" w:line="360" w:lineRule="auto"/>
        <w:rPr>
          <w:rFonts w:ascii="Arial" w:eastAsia="Arial" w:hAnsi="Arial" w:cs="Arial"/>
          <w:color w:val="000000"/>
          <w:sz w:val="44"/>
          <w:szCs w:val="44"/>
        </w:rPr>
      </w:pPr>
    </w:p>
    <w:p w14:paraId="00000023" w14:textId="77777777" w:rsidR="003D4353" w:rsidRDefault="00000000" w:rsidP="000D5F0A">
      <w:pPr>
        <w:pBdr>
          <w:top w:val="nil"/>
          <w:left w:val="nil"/>
          <w:bottom w:val="nil"/>
          <w:right w:val="nil"/>
          <w:between w:val="nil"/>
        </w:pBdr>
        <w:spacing w:before="225" w:after="225" w:line="360" w:lineRule="auto"/>
        <w:rPr>
          <w:rFonts w:ascii="Arial" w:eastAsia="Arial" w:hAnsi="Arial" w:cs="Arial"/>
          <w:color w:val="000000"/>
          <w:sz w:val="28"/>
          <w:szCs w:val="28"/>
        </w:rPr>
      </w:pPr>
      <w:bookmarkStart w:id="0" w:name="_gjdgxs" w:colFirst="0" w:colLast="0"/>
      <w:bookmarkEnd w:id="0"/>
      <w:r>
        <w:rPr>
          <w:rFonts w:ascii="Arial" w:eastAsia="Arial" w:hAnsi="Arial" w:cs="Arial"/>
          <w:color w:val="000000"/>
          <w:sz w:val="28"/>
          <w:szCs w:val="28"/>
        </w:rPr>
        <w:t>Introduction</w:t>
      </w:r>
    </w:p>
    <w:p w14:paraId="00000024" w14:textId="77777777" w:rsidR="003D4353" w:rsidRPr="000D5F0A" w:rsidRDefault="00000000" w:rsidP="000D5F0A">
      <w:pPr>
        <w:pBdr>
          <w:top w:val="nil"/>
          <w:left w:val="nil"/>
          <w:bottom w:val="nil"/>
          <w:right w:val="nil"/>
          <w:between w:val="nil"/>
        </w:pBdr>
        <w:spacing w:before="240" w:after="240" w:line="360" w:lineRule="auto"/>
        <w:rPr>
          <w:rFonts w:ascii="Arial" w:eastAsia="Arial" w:hAnsi="Arial" w:cs="Arial"/>
          <w:color w:val="000000"/>
          <w:sz w:val="24"/>
          <w:szCs w:val="24"/>
        </w:rPr>
      </w:pPr>
      <w:r w:rsidRPr="000D5F0A">
        <w:rPr>
          <w:rFonts w:ascii="Arial" w:eastAsia="Arial" w:hAnsi="Arial" w:cs="Arial"/>
          <w:color w:val="000000"/>
          <w:sz w:val="24"/>
          <w:szCs w:val="24"/>
        </w:rPr>
        <w:t>Corporate Social Responsibility (CSR) refers to the ethical responsibility that businesses have towards their stakeholders, including the communities in which they operate. According to Jason Fernando (2024), CSR involves a business taking into account its impact on society and the environment, in addition to its economic obligations, to create a positive brand image and contribute to sustainable development.</w:t>
      </w:r>
      <w:r w:rsidRPr="000D5F0A">
        <w:rPr>
          <w:rFonts w:ascii="Arial" w:eastAsia="Arial" w:hAnsi="Arial" w:cs="Arial"/>
          <w:sz w:val="24"/>
          <w:szCs w:val="24"/>
        </w:rPr>
        <w:br/>
      </w:r>
      <w:r w:rsidRPr="000D5F0A">
        <w:rPr>
          <w:rFonts w:ascii="Arial" w:eastAsia="Arial" w:hAnsi="Arial" w:cs="Arial"/>
          <w:color w:val="000000"/>
          <w:sz w:val="24"/>
          <w:szCs w:val="24"/>
        </w:rPr>
        <w:t xml:space="preserve">In the hospitality and tourism industry, CSR is important as it helps hotels mitigate their environmental impact, promote sustainable practices, and contribute to the well-being of </w:t>
      </w:r>
      <w:r w:rsidRPr="000D5F0A">
        <w:rPr>
          <w:rFonts w:ascii="Arial" w:eastAsia="Arial" w:hAnsi="Arial" w:cs="Arial"/>
          <w:color w:val="000000"/>
          <w:sz w:val="24"/>
          <w:szCs w:val="24"/>
        </w:rPr>
        <w:lastRenderedPageBreak/>
        <w:t>the local communities. Additionally, Amanda McGrath (2023) notes that CSR initiatives allow companies to align their brand identity with their core values, while also promoting social good through environmental conservation, decent business practices, and community engagement.</w:t>
      </w:r>
      <w:r w:rsidRPr="000D5F0A">
        <w:rPr>
          <w:rFonts w:ascii="Arial" w:eastAsia="Arial" w:hAnsi="Arial" w:cs="Arial"/>
          <w:sz w:val="24"/>
          <w:szCs w:val="24"/>
        </w:rPr>
        <w:br/>
      </w:r>
      <w:r w:rsidRPr="000D5F0A">
        <w:rPr>
          <w:rFonts w:ascii="Arial" w:eastAsia="Arial" w:hAnsi="Arial" w:cs="Arial"/>
          <w:color w:val="000000"/>
          <w:sz w:val="24"/>
          <w:szCs w:val="24"/>
        </w:rPr>
        <w:t>Holiday Inn, a global brand known under the InterContinental Hotels Group (IHG), has long embraced CSR as a key element of its business strategy. With the rise of eco-conscious travelers, hotels like Holiday Inn have built up their focus on sustainability. CSR for Holiday Inn includes environmental initiatives, social equity programs, and community engagement, all of which serve to improve their global presence and commitment to responsible business practices.</w:t>
      </w:r>
      <w:r w:rsidRPr="000D5F0A">
        <w:rPr>
          <w:rFonts w:ascii="Arial" w:eastAsia="Arial" w:hAnsi="Arial" w:cs="Arial"/>
          <w:sz w:val="24"/>
          <w:szCs w:val="24"/>
        </w:rPr>
        <w:br/>
      </w:r>
      <w:r w:rsidRPr="000D5F0A">
        <w:rPr>
          <w:rFonts w:ascii="Arial" w:eastAsia="Arial" w:hAnsi="Arial" w:cs="Arial"/>
          <w:color w:val="000000"/>
          <w:sz w:val="24"/>
          <w:szCs w:val="24"/>
        </w:rPr>
        <w:t xml:space="preserve">As Uliana </w:t>
      </w:r>
      <w:proofErr w:type="spellStart"/>
      <w:r w:rsidRPr="000D5F0A">
        <w:rPr>
          <w:rFonts w:ascii="Arial" w:eastAsia="Arial" w:hAnsi="Arial" w:cs="Arial"/>
          <w:color w:val="000000"/>
          <w:sz w:val="24"/>
          <w:szCs w:val="24"/>
        </w:rPr>
        <w:t>Mohyletska</w:t>
      </w:r>
      <w:proofErr w:type="spellEnd"/>
      <w:r w:rsidRPr="000D5F0A">
        <w:rPr>
          <w:rFonts w:ascii="Arial" w:eastAsia="Arial" w:hAnsi="Arial" w:cs="Arial"/>
          <w:color w:val="000000"/>
          <w:sz w:val="24"/>
          <w:szCs w:val="24"/>
        </w:rPr>
        <w:t xml:space="preserve"> (2023) points out, CSR can also have a direct impact on a company's financial performance. According to a report from </w:t>
      </w:r>
      <w:proofErr w:type="spellStart"/>
      <w:r w:rsidRPr="000D5F0A">
        <w:rPr>
          <w:rFonts w:ascii="Arial" w:eastAsia="Arial" w:hAnsi="Arial" w:cs="Arial"/>
          <w:color w:val="000000"/>
          <w:sz w:val="24"/>
          <w:szCs w:val="24"/>
        </w:rPr>
        <w:t>Ecohz</w:t>
      </w:r>
      <w:proofErr w:type="spellEnd"/>
      <w:r w:rsidRPr="000D5F0A">
        <w:rPr>
          <w:rFonts w:ascii="Arial" w:eastAsia="Arial" w:hAnsi="Arial" w:cs="Arial"/>
          <w:color w:val="000000"/>
          <w:sz w:val="24"/>
          <w:szCs w:val="24"/>
        </w:rPr>
        <w:t xml:space="preserve"> (</w:t>
      </w:r>
      <w:proofErr w:type="spellStart"/>
      <w:r w:rsidRPr="000D5F0A">
        <w:rPr>
          <w:rFonts w:ascii="Arial" w:eastAsia="Arial" w:hAnsi="Arial" w:cs="Arial"/>
          <w:color w:val="000000"/>
          <w:sz w:val="24"/>
          <w:szCs w:val="24"/>
        </w:rPr>
        <w:t>Mohyletska</w:t>
      </w:r>
      <w:proofErr w:type="spellEnd"/>
      <w:r w:rsidRPr="000D5F0A">
        <w:rPr>
          <w:rFonts w:ascii="Arial" w:eastAsia="Arial" w:hAnsi="Arial" w:cs="Arial"/>
          <w:color w:val="000000"/>
          <w:sz w:val="24"/>
          <w:szCs w:val="24"/>
        </w:rPr>
        <w:t>, 2023), companies that engage in CSR practices, including sustainability and social responsibility, tend to see improved financial outcomes over time. This is because CSR can lead to increased customer loyalty, better employee retention, and add brand reputation, which all contribute positively to the bottom line.</w:t>
      </w:r>
      <w:r w:rsidRPr="000D5F0A">
        <w:rPr>
          <w:rFonts w:ascii="Arial" w:eastAsia="Arial" w:hAnsi="Arial" w:cs="Arial"/>
          <w:sz w:val="24"/>
          <w:szCs w:val="24"/>
        </w:rPr>
        <w:br/>
      </w:r>
      <w:r w:rsidRPr="000D5F0A">
        <w:rPr>
          <w:rFonts w:ascii="Arial" w:eastAsia="Arial" w:hAnsi="Arial" w:cs="Arial"/>
          <w:color w:val="000000"/>
          <w:sz w:val="24"/>
          <w:szCs w:val="24"/>
        </w:rPr>
        <w:t>This essay will explore Holiday Inn’s CSR practices in detail, assess their impact on the hotel and the wider environment, and examine the legislative framework that influences these initiatives.</w:t>
      </w:r>
    </w:p>
    <w:p w14:paraId="00000025" w14:textId="77777777" w:rsidR="003D4353" w:rsidRPr="000D5F0A" w:rsidRDefault="003D4353" w:rsidP="000D5F0A">
      <w:pPr>
        <w:pBdr>
          <w:top w:val="nil"/>
          <w:left w:val="nil"/>
          <w:bottom w:val="nil"/>
          <w:right w:val="nil"/>
          <w:between w:val="nil"/>
        </w:pBdr>
        <w:spacing w:before="240" w:after="240" w:line="360" w:lineRule="auto"/>
        <w:rPr>
          <w:rFonts w:ascii="Arial" w:eastAsia="Arial" w:hAnsi="Arial" w:cs="Arial"/>
          <w:color w:val="000000"/>
          <w:sz w:val="24"/>
          <w:szCs w:val="24"/>
        </w:rPr>
      </w:pPr>
    </w:p>
    <w:p w14:paraId="00000026" w14:textId="77777777" w:rsidR="003D4353" w:rsidRPr="000D5F0A" w:rsidRDefault="003D4353" w:rsidP="000D5F0A">
      <w:pPr>
        <w:pBdr>
          <w:top w:val="nil"/>
          <w:left w:val="nil"/>
          <w:bottom w:val="nil"/>
          <w:right w:val="nil"/>
          <w:between w:val="nil"/>
        </w:pBdr>
        <w:spacing w:before="240" w:after="240" w:line="360" w:lineRule="auto"/>
        <w:rPr>
          <w:rFonts w:ascii="Arial" w:eastAsia="Arial" w:hAnsi="Arial" w:cs="Arial"/>
          <w:color w:val="000000"/>
          <w:sz w:val="24"/>
          <w:szCs w:val="24"/>
        </w:rPr>
      </w:pPr>
    </w:p>
    <w:p w14:paraId="00000027" w14:textId="77777777" w:rsidR="003D4353" w:rsidRPr="000D5F0A" w:rsidRDefault="003D4353" w:rsidP="000D5F0A">
      <w:pPr>
        <w:pBdr>
          <w:top w:val="nil"/>
          <w:left w:val="nil"/>
          <w:bottom w:val="nil"/>
          <w:right w:val="nil"/>
          <w:between w:val="nil"/>
        </w:pBdr>
        <w:spacing w:before="240" w:after="240" w:line="360" w:lineRule="auto"/>
        <w:rPr>
          <w:rFonts w:ascii="Arial" w:eastAsia="Arial" w:hAnsi="Arial" w:cs="Arial"/>
          <w:color w:val="000000"/>
          <w:sz w:val="24"/>
          <w:szCs w:val="24"/>
        </w:rPr>
      </w:pPr>
    </w:p>
    <w:p w14:paraId="00000028" w14:textId="77777777" w:rsidR="003D4353" w:rsidRDefault="00000000" w:rsidP="000D5F0A">
      <w:pPr>
        <w:pBdr>
          <w:top w:val="nil"/>
          <w:left w:val="nil"/>
          <w:bottom w:val="nil"/>
          <w:right w:val="nil"/>
          <w:between w:val="nil"/>
        </w:pBdr>
        <w:spacing w:before="240" w:after="240" w:line="360" w:lineRule="auto"/>
        <w:rPr>
          <w:rFonts w:ascii="Arial" w:eastAsia="Arial" w:hAnsi="Arial" w:cs="Arial"/>
          <w:color w:val="000000"/>
          <w:sz w:val="28"/>
          <w:szCs w:val="28"/>
        </w:rPr>
      </w:pPr>
      <w:bookmarkStart w:id="1" w:name="_30j0zll" w:colFirst="0" w:colLast="0"/>
      <w:bookmarkEnd w:id="1"/>
      <w:r>
        <w:rPr>
          <w:rFonts w:ascii="Arial" w:eastAsia="Arial" w:hAnsi="Arial" w:cs="Arial"/>
          <w:color w:val="000000"/>
          <w:sz w:val="28"/>
          <w:szCs w:val="28"/>
        </w:rPr>
        <w:t>Main Body</w:t>
      </w:r>
    </w:p>
    <w:p w14:paraId="00000029" w14:textId="28AD3669" w:rsidR="003D4353" w:rsidRPr="000D5F0A" w:rsidRDefault="00000000" w:rsidP="000D5F0A">
      <w:pPr>
        <w:pBdr>
          <w:top w:val="nil"/>
          <w:left w:val="nil"/>
          <w:bottom w:val="nil"/>
          <w:right w:val="nil"/>
          <w:between w:val="nil"/>
        </w:pBdr>
        <w:spacing w:before="240"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Holiday Inn’s commitment to Corporate Social Responsibility (CSR) is deeply integrated in the core principles of its parent company, InterContinental Hotels Group (IHG). According to Holiday Inn (2024), their CSR strategy is primarily driven by the IHG Green Engage System, a comprehensive sustainability program that enables hotels to measure, manage, and reduce their environmental impacts. Through this system, </w:t>
      </w:r>
      <w:r w:rsidRPr="000D5F0A">
        <w:rPr>
          <w:rFonts w:ascii="Arial" w:eastAsia="Arial" w:hAnsi="Arial" w:cs="Arial"/>
          <w:color w:val="000000"/>
          <w:sz w:val="24"/>
          <w:szCs w:val="24"/>
        </w:rPr>
        <w:lastRenderedPageBreak/>
        <w:t>Holiday Inn has implemented a range of eco-friendly practices, including energy conservation, water management, and waste reduction initiatives across its properties worldwide. This system is particularly important because it allows hotels to adapt their sustainability efforts based on the specific challenges and opportunities presented by their geographic location, making it a flexible and adaptable model.</w:t>
      </w:r>
      <w:r w:rsidRPr="000D5F0A">
        <w:rPr>
          <w:rFonts w:ascii="Arial" w:eastAsia="Arial" w:hAnsi="Arial" w:cs="Arial"/>
          <w:sz w:val="24"/>
          <w:szCs w:val="24"/>
        </w:rPr>
        <w:br/>
      </w:r>
      <w:r w:rsidRPr="000D5F0A">
        <w:rPr>
          <w:rFonts w:ascii="Arial" w:eastAsia="Arial" w:hAnsi="Arial" w:cs="Arial"/>
          <w:color w:val="000000"/>
          <w:sz w:val="24"/>
          <w:szCs w:val="24"/>
        </w:rPr>
        <w:t>According to Juliana Hahn (2024), Corporate Social Responsibility (CSR) in the hospitality industry is particularly important for large brands, and is not only a trend but is an essential component of their business strategy. Hotels are increasingly expected to demonstrate their commitment to sustainability, community engagement, and ethical practices as part of their broader CSR efforts. </w:t>
      </w:r>
      <w:r w:rsidRPr="000D5F0A">
        <w:rPr>
          <w:rFonts w:ascii="Arial" w:eastAsia="Arial" w:hAnsi="Arial" w:cs="Arial"/>
          <w:sz w:val="24"/>
          <w:szCs w:val="24"/>
        </w:rPr>
        <w:br/>
      </w:r>
      <w:r w:rsidRPr="000D5F0A">
        <w:rPr>
          <w:rFonts w:ascii="Arial" w:eastAsia="Arial" w:hAnsi="Arial" w:cs="Arial"/>
          <w:color w:val="000000"/>
          <w:sz w:val="24"/>
          <w:szCs w:val="24"/>
        </w:rPr>
        <w:t>In a study conducted by PWC (2023), it was revealed that consumers are increasingly prioritizing sustainability when making purchasing decisions, including in the hospitality industry. The report shows that 9.7% of consumers consider a brand's sustainability practices before booking accommodations, and 80% are willing to pay more for hotels that actively reduce their impact on the environment. </w:t>
      </w:r>
      <w:r w:rsidRPr="000D5F0A">
        <w:rPr>
          <w:rFonts w:ascii="Arial" w:eastAsia="Arial" w:hAnsi="Arial" w:cs="Arial"/>
          <w:sz w:val="24"/>
          <w:szCs w:val="24"/>
        </w:rPr>
        <w:br/>
      </w:r>
      <w:r w:rsidRPr="000D5F0A">
        <w:rPr>
          <w:rFonts w:ascii="Arial" w:eastAsia="Arial" w:hAnsi="Arial" w:cs="Arial"/>
          <w:color w:val="000000"/>
          <w:sz w:val="24"/>
          <w:szCs w:val="24"/>
        </w:rPr>
        <w:t xml:space="preserve">Furthermore, according to Olha </w:t>
      </w:r>
      <w:proofErr w:type="spellStart"/>
      <w:r w:rsidRPr="000D5F0A">
        <w:rPr>
          <w:rFonts w:ascii="Arial" w:eastAsia="Arial" w:hAnsi="Arial" w:cs="Arial"/>
          <w:color w:val="000000"/>
          <w:sz w:val="24"/>
          <w:szCs w:val="24"/>
        </w:rPr>
        <w:t>Stoliarchuk</w:t>
      </w:r>
      <w:proofErr w:type="spellEnd"/>
      <w:r w:rsidRPr="000D5F0A">
        <w:rPr>
          <w:rFonts w:ascii="Arial" w:eastAsia="Arial" w:hAnsi="Arial" w:cs="Arial"/>
          <w:color w:val="000000"/>
          <w:sz w:val="24"/>
          <w:szCs w:val="24"/>
        </w:rPr>
        <w:t xml:space="preserve"> (2024), the IHG Green Engage system is designed to guide hotels through four levels of sustainability certification, each offering progressively binding measures for reducing energy consumption, minimizing waste, and conserving water. </w:t>
      </w:r>
      <w:r w:rsidRPr="000D5F0A">
        <w:rPr>
          <w:rFonts w:ascii="Arial" w:eastAsia="Arial" w:hAnsi="Arial" w:cs="Arial"/>
          <w:sz w:val="24"/>
          <w:szCs w:val="24"/>
        </w:rPr>
        <w:br/>
      </w:r>
      <w:r w:rsidRPr="000D5F0A">
        <w:rPr>
          <w:rFonts w:ascii="Arial" w:eastAsia="Arial" w:hAnsi="Arial" w:cs="Arial"/>
          <w:color w:val="000000"/>
          <w:sz w:val="24"/>
          <w:szCs w:val="24"/>
        </w:rPr>
        <w:t>For example, properties in water-scarce regions are guided to prioritize water conservation, while those in energy-intensive areas focus on optimizing energy consumption. This level of flexibility and localization helps Holiday Inn maintain a consistent commitment to environmental responsibility while ensuring practical, measurable outcomes at individual properties.</w:t>
      </w:r>
      <w:r w:rsidRPr="000D5F0A">
        <w:rPr>
          <w:rFonts w:ascii="Arial" w:eastAsia="Arial" w:hAnsi="Arial" w:cs="Arial"/>
          <w:sz w:val="24"/>
          <w:szCs w:val="24"/>
        </w:rPr>
        <w:br/>
      </w:r>
      <w:r w:rsidRPr="000D5F0A">
        <w:rPr>
          <w:rFonts w:ascii="Arial" w:eastAsia="Arial" w:hAnsi="Arial" w:cs="Arial"/>
          <w:color w:val="000000"/>
          <w:sz w:val="24"/>
          <w:szCs w:val="24"/>
        </w:rPr>
        <w:t>According to the Green Engage program (2024), Holiday Inn hotels have implemented water-saving technologies such as low-flow showers, faucets, and toilets, as well as water recycling programs that allow the reuse of greywater for non-potable purposes, such as irrigation and landscaping. These efforts not only decrease water usage but also significantly reduce the hotel's operating costs.</w:t>
      </w:r>
      <w:r w:rsidRPr="000D5F0A">
        <w:rPr>
          <w:rFonts w:ascii="Arial" w:eastAsia="Arial" w:hAnsi="Arial" w:cs="Arial"/>
          <w:sz w:val="24"/>
          <w:szCs w:val="24"/>
        </w:rPr>
        <w:br/>
      </w:r>
      <w:r w:rsidRPr="000D5F0A">
        <w:rPr>
          <w:rFonts w:ascii="Arial" w:eastAsia="Arial" w:hAnsi="Arial" w:cs="Arial"/>
          <w:color w:val="000000"/>
          <w:sz w:val="24"/>
          <w:szCs w:val="24"/>
        </w:rPr>
        <w:t xml:space="preserve">In this case Holiday Inn has made substantial progress in advancing water conservation efforts, particularly in regions like California, where the program managed to save over </w:t>
      </w:r>
      <w:r w:rsidRPr="000D5F0A">
        <w:rPr>
          <w:rFonts w:ascii="Arial" w:eastAsia="Arial" w:hAnsi="Arial" w:cs="Arial"/>
          <w:color w:val="000000"/>
          <w:sz w:val="24"/>
          <w:szCs w:val="24"/>
        </w:rPr>
        <w:lastRenderedPageBreak/>
        <w:t>77 million gallons of water per year. This achievement shows the program’s success in mitigating the effects of water shortages in vulnerable areas, as well as in reducing operational costs for participating hotels.</w:t>
      </w:r>
      <w:r w:rsidRPr="000D5F0A">
        <w:rPr>
          <w:rFonts w:ascii="Arial" w:eastAsia="Arial" w:hAnsi="Arial" w:cs="Arial"/>
          <w:sz w:val="24"/>
          <w:szCs w:val="24"/>
        </w:rPr>
        <w:br/>
      </w:r>
      <w:r w:rsidRPr="000D5F0A">
        <w:rPr>
          <w:rFonts w:ascii="Arial" w:eastAsia="Arial" w:hAnsi="Arial" w:cs="Arial"/>
          <w:color w:val="000000"/>
          <w:sz w:val="24"/>
          <w:szCs w:val="24"/>
        </w:rPr>
        <w:t>As part of its long-term sustainability strategy, IHG is targeting a 12% reduction in water usage in water-stressed areas globally.</w:t>
      </w:r>
      <w:r w:rsidRPr="000D5F0A">
        <w:rPr>
          <w:rFonts w:ascii="Arial" w:eastAsia="Arial" w:hAnsi="Arial" w:cs="Arial"/>
          <w:sz w:val="24"/>
          <w:szCs w:val="24"/>
        </w:rPr>
        <w:br/>
      </w:r>
      <w:r w:rsidRPr="000D5F0A">
        <w:rPr>
          <w:rFonts w:ascii="Arial" w:eastAsia="Arial" w:hAnsi="Arial" w:cs="Arial"/>
          <w:color w:val="000000"/>
          <w:sz w:val="24"/>
          <w:szCs w:val="24"/>
        </w:rPr>
        <w:t xml:space="preserve">According to IHG’s </w:t>
      </w:r>
      <w:r w:rsidRPr="000D5F0A">
        <w:rPr>
          <w:rFonts w:ascii="Arial" w:eastAsia="Arial" w:hAnsi="Arial" w:cs="Arial"/>
          <w:i/>
          <w:color w:val="000000"/>
          <w:sz w:val="24"/>
          <w:szCs w:val="24"/>
        </w:rPr>
        <w:t>Responsible Business Report (2021)</w:t>
      </w:r>
      <w:r w:rsidRPr="000D5F0A">
        <w:rPr>
          <w:rFonts w:ascii="Arial" w:eastAsia="Arial" w:hAnsi="Arial" w:cs="Arial"/>
          <w:color w:val="000000"/>
          <w:sz w:val="24"/>
          <w:szCs w:val="24"/>
        </w:rPr>
        <w:t>, the company has significantly advanced its efforts to reduce electricity consumption and carbon emissions as part of its broader sustainability goals under the "Journey to Tomorrow" plan.</w:t>
      </w:r>
      <w:r w:rsidRPr="000D5F0A">
        <w:rPr>
          <w:rFonts w:ascii="Arial" w:eastAsia="Arial" w:hAnsi="Arial" w:cs="Arial"/>
          <w:sz w:val="24"/>
          <w:szCs w:val="24"/>
        </w:rPr>
        <w:br/>
      </w:r>
      <w:r w:rsidRPr="000D5F0A">
        <w:rPr>
          <w:rFonts w:ascii="Arial" w:eastAsia="Arial" w:hAnsi="Arial" w:cs="Arial"/>
          <w:color w:val="000000"/>
          <w:sz w:val="24"/>
          <w:szCs w:val="24"/>
        </w:rPr>
        <w:t>This initiative aims to achieve a 46% reduction in Scope 1, 2, and 3 greenhouse gas emissions by 2030, compared to 2019 levels. IHG is focusing on improving the energy efficiency of its hotels, sourcing renewable energy, and developing new properties that operate at low or zero-carbon levels. By doing so, IHG aims to align with the most ambitious target of the Paris Agreement(2016), limiting global warming to 1.5°C.</w:t>
      </w:r>
      <w:r w:rsidRPr="000D5F0A">
        <w:rPr>
          <w:rFonts w:ascii="Arial" w:eastAsia="Arial" w:hAnsi="Arial" w:cs="Arial"/>
          <w:sz w:val="24"/>
          <w:szCs w:val="24"/>
        </w:rPr>
        <w:br/>
      </w:r>
      <w:r w:rsidRPr="000D5F0A">
        <w:rPr>
          <w:rFonts w:ascii="Arial" w:eastAsia="Arial" w:hAnsi="Arial" w:cs="Arial"/>
          <w:color w:val="000000"/>
          <w:sz w:val="24"/>
          <w:szCs w:val="24"/>
        </w:rPr>
        <w:t>IHG’s decarbonization roadmap includes investing in energy-efficient technologies, utilizing renewable energy sources, and introducing data-driven tools to help its hotels track and manage energy use more effectively. These measures are being implemented across their global hotel portfolio, with particular emphasis on reducing energy consumption in energy-intensive regions. Additionally, this has partnered with organizations and initiatives such as the UN’s Race to Zero campaign to promote sustainability in the hospitality industry.</w:t>
      </w:r>
      <w:r w:rsidRPr="000D5F0A">
        <w:rPr>
          <w:rFonts w:ascii="Arial" w:eastAsia="Arial" w:hAnsi="Arial" w:cs="Arial"/>
          <w:sz w:val="24"/>
          <w:szCs w:val="24"/>
        </w:rPr>
        <w:br/>
      </w:r>
      <w:r w:rsidRPr="000D5F0A">
        <w:rPr>
          <w:rFonts w:ascii="Arial" w:eastAsia="Arial" w:hAnsi="Arial" w:cs="Arial"/>
          <w:color w:val="000000"/>
          <w:sz w:val="24"/>
          <w:szCs w:val="24"/>
        </w:rPr>
        <w:t>The company’s commitment to sustainability goes hand-in-hand with its efforts to reduce operational costs. For example, by optimizing energy use, IHG aims to lower utility expenses for its hotels while contributing to global efforts to mitigate climate change. These actions are part of IHG’s long-term strategy to balance economic growth with environmental considerations, ensuring that the hotels remain competitive and environmentally responsible.</w:t>
      </w:r>
      <w:r w:rsidRPr="000D5F0A">
        <w:rPr>
          <w:rFonts w:ascii="Arial" w:eastAsia="Arial" w:hAnsi="Arial" w:cs="Arial"/>
          <w:sz w:val="24"/>
          <w:szCs w:val="24"/>
        </w:rPr>
        <w:br/>
      </w:r>
      <w:r w:rsidRPr="000D5F0A">
        <w:rPr>
          <w:rFonts w:ascii="Arial" w:eastAsia="Arial" w:hAnsi="Arial" w:cs="Arial"/>
          <w:color w:val="000000"/>
          <w:sz w:val="24"/>
          <w:szCs w:val="24"/>
        </w:rPr>
        <w:t xml:space="preserve">Additionally, according to Louise Byrne (2022) Holiday Inn actively supports local communities through the IHG Academy (2022), which provides skills training and employment opportunities in hospitality for disadvantaged individuals. This program, available in over 100 countries, focuses on helping women, youth, and people with disabilities by offering them access to hospitality careers. By partnering with local </w:t>
      </w:r>
      <w:r w:rsidRPr="000D5F0A">
        <w:rPr>
          <w:rFonts w:ascii="Arial" w:eastAsia="Arial" w:hAnsi="Arial" w:cs="Arial"/>
          <w:color w:val="000000"/>
          <w:sz w:val="24"/>
          <w:szCs w:val="24"/>
        </w:rPr>
        <w:lastRenderedPageBreak/>
        <w:t>institutions and governments, Holiday Inn ensures that its training programs are tailored to the specific needs of the communities in which it operates. These initiatives not only benefit local populations by providing them with marketable skills, but they also help Holiday Inn diversify its workforce.</w:t>
      </w:r>
      <w:r w:rsidRPr="000D5F0A">
        <w:rPr>
          <w:rFonts w:ascii="Arial" w:eastAsia="Arial" w:hAnsi="Arial" w:cs="Arial"/>
          <w:sz w:val="24"/>
          <w:szCs w:val="24"/>
        </w:rPr>
        <w:br/>
      </w:r>
      <w:r w:rsidRPr="000D5F0A">
        <w:rPr>
          <w:rFonts w:ascii="Arial" w:eastAsia="Arial" w:hAnsi="Arial" w:cs="Arial"/>
          <w:color w:val="000000"/>
          <w:sz w:val="24"/>
          <w:szCs w:val="24"/>
        </w:rPr>
        <w:t>In addition to employment opportunities, Holiday Inn’s social responsibility efforts extend to charitable donations and community involvement. According to Mike Ward, Chief Executive Officer at IHG, the company has launched a partnership with Action Against Hunger to address food insecurity. This collaboration demonstrates Holiday Inn's commitment to fighting global hunger, with a focus on providing support to communities struggling with food access. The partnership aims to leverage the resources and reach of IHG Hotels &amp; Resorts, including Holiday Inn, to make a meaningful impact in reducing hunger worldwide.</w:t>
      </w:r>
      <w:r w:rsidRPr="000D5F0A">
        <w:rPr>
          <w:rFonts w:ascii="Arial" w:eastAsia="Arial" w:hAnsi="Arial" w:cs="Arial"/>
          <w:sz w:val="24"/>
          <w:szCs w:val="24"/>
        </w:rPr>
        <w:br/>
      </w:r>
      <w:r w:rsidRPr="000D5F0A">
        <w:rPr>
          <w:rFonts w:ascii="Arial" w:eastAsia="Arial" w:hAnsi="Arial" w:cs="Arial"/>
          <w:color w:val="000000"/>
          <w:sz w:val="24"/>
          <w:szCs w:val="24"/>
        </w:rPr>
        <w:t>As part of this initiative, Holiday Inn properties are encouraged to participate in fundraising efforts and engage in local food programs that benefit underprivileged communities. This not only reinforces Holiday Inn's social responsibility goals but also aligns with the brand's broader mission of creating a positive influence on the communities where they operate. </w:t>
      </w:r>
      <w:r w:rsidRPr="000D5F0A">
        <w:rPr>
          <w:rFonts w:ascii="Arial" w:eastAsia="Arial" w:hAnsi="Arial" w:cs="Arial"/>
          <w:sz w:val="24"/>
          <w:szCs w:val="24"/>
        </w:rPr>
        <w:br/>
      </w:r>
      <w:r w:rsidRPr="000D5F0A">
        <w:rPr>
          <w:rFonts w:ascii="Arial" w:eastAsia="Arial" w:hAnsi="Arial" w:cs="Arial"/>
          <w:color w:val="000000"/>
          <w:sz w:val="24"/>
          <w:szCs w:val="24"/>
        </w:rPr>
        <w:t xml:space="preserve">Another important aspect of Holiday Inn’s CSR strategy is its commitment to human rights. According to </w:t>
      </w:r>
      <w:r w:rsidRPr="000D5F0A">
        <w:rPr>
          <w:rFonts w:ascii="Arial" w:eastAsia="Arial" w:hAnsi="Arial" w:cs="Arial"/>
          <w:i/>
          <w:color w:val="000000"/>
          <w:sz w:val="24"/>
          <w:szCs w:val="24"/>
        </w:rPr>
        <w:t>Human Rights Policy</w:t>
      </w:r>
      <w:r w:rsidRPr="000D5F0A">
        <w:rPr>
          <w:rFonts w:ascii="Arial" w:eastAsia="Arial" w:hAnsi="Arial" w:cs="Arial"/>
          <w:color w:val="000000"/>
          <w:sz w:val="24"/>
          <w:szCs w:val="24"/>
        </w:rPr>
        <w:t xml:space="preserve"> (2019), Holiday Inn has adopted stringent policies to ensure that all of its suppliers adhere to ethical labor standards. The company is particularly focused on eliminating child labor, ensuring fair wages, and improving working conditions throughout its supply chain. This commitment to ethical sourcing is part of a broader IHG initiative, which seeks to promote human rights across the company’s global operations. By partnering with non-governmental organizations and conducting regular audits of its suppliers, Holiday Inn ensures that its supply chain complies with international labor laws and best practices.</w:t>
      </w:r>
      <w:r w:rsidRPr="000D5F0A">
        <w:rPr>
          <w:rFonts w:ascii="Arial" w:eastAsia="Arial" w:hAnsi="Arial" w:cs="Arial"/>
          <w:sz w:val="24"/>
          <w:szCs w:val="24"/>
        </w:rPr>
        <w:br/>
      </w:r>
      <w:r w:rsidRPr="000D5F0A">
        <w:rPr>
          <w:rFonts w:ascii="Arial" w:eastAsia="Arial" w:hAnsi="Arial" w:cs="Arial"/>
          <w:color w:val="000000"/>
          <w:sz w:val="24"/>
          <w:szCs w:val="24"/>
        </w:rPr>
        <w:t xml:space="preserve">Moreover, the challenge of balancing short-term financial pressures with long-term CSR goals remains a significant issue for Holiday Inn. According to PWC (2023), many hotels are under constant pressure to reduce costs, with operating expenses in some cases rising by up to 18% year-on-year, primarily driven by increasing energy costs, labor shortages, and inflation. This has led to forecasts that costs could lower revenue growth </w:t>
      </w:r>
      <w:r w:rsidRPr="000D5F0A">
        <w:rPr>
          <w:rFonts w:ascii="Arial" w:eastAsia="Arial" w:hAnsi="Arial" w:cs="Arial"/>
          <w:color w:val="000000"/>
          <w:sz w:val="24"/>
          <w:szCs w:val="24"/>
        </w:rPr>
        <w:lastRenderedPageBreak/>
        <w:t>by as much as 7% in 2024, creating tension between the need for immediate cost savings and the long-term investments required for sustainable initiatives like energy-efficient technologies or water conservation systems.</w:t>
      </w:r>
      <w:r w:rsidRPr="000D5F0A">
        <w:rPr>
          <w:rFonts w:ascii="Arial" w:eastAsia="Arial" w:hAnsi="Arial" w:cs="Arial"/>
          <w:sz w:val="24"/>
          <w:szCs w:val="24"/>
        </w:rPr>
        <w:br/>
      </w:r>
      <w:r w:rsidRPr="000D5F0A">
        <w:rPr>
          <w:rFonts w:ascii="Arial" w:eastAsia="Arial" w:hAnsi="Arial" w:cs="Arial"/>
          <w:color w:val="000000"/>
          <w:sz w:val="24"/>
          <w:szCs w:val="24"/>
        </w:rPr>
        <w:t xml:space="preserve">In terms of community engagement, Holiday Inn’s efforts have fostered stronger relationships with the local populations where its hotels operate. According to </w:t>
      </w:r>
      <w:r w:rsidRPr="000D5F0A">
        <w:rPr>
          <w:rFonts w:ascii="Arial" w:eastAsia="Arial" w:hAnsi="Arial" w:cs="Arial"/>
          <w:i/>
          <w:color w:val="000000"/>
          <w:sz w:val="24"/>
          <w:szCs w:val="24"/>
        </w:rPr>
        <w:t>IHG Foundation</w:t>
      </w:r>
      <w:r w:rsidRPr="000D5F0A">
        <w:rPr>
          <w:rFonts w:ascii="Arial" w:eastAsia="Arial" w:hAnsi="Arial" w:cs="Arial"/>
          <w:color w:val="000000"/>
          <w:sz w:val="24"/>
          <w:szCs w:val="24"/>
        </w:rPr>
        <w:t xml:space="preserve"> (2023), Holiday Inn regularly participates in local charitable initiatives, ranging from school partnerships to community clean-up projects. During the COVID-19 pandemic, for instance, many Holiday Inn properties provided free or discounted accommodations to healthcare workers and first responders, ensuring that these essential workers had a safe place to stay during the height of the pandemic. This type of community involvement improves the hotel’s CSR profile and also generates positive media coverage and strengthens customer loyalty.</w:t>
      </w:r>
      <w:r w:rsidRPr="000D5F0A">
        <w:rPr>
          <w:rFonts w:ascii="Arial" w:eastAsia="Arial" w:hAnsi="Arial" w:cs="Arial"/>
          <w:sz w:val="24"/>
          <w:szCs w:val="24"/>
        </w:rPr>
        <w:br/>
      </w:r>
      <w:r w:rsidRPr="000D5F0A">
        <w:rPr>
          <w:rFonts w:ascii="Arial" w:eastAsia="Arial" w:hAnsi="Arial" w:cs="Arial"/>
          <w:color w:val="000000"/>
          <w:sz w:val="24"/>
          <w:szCs w:val="24"/>
        </w:rPr>
        <w:t xml:space="preserve">Additionally, legislation plays an important role in enforcing CSR in the hotel industry. According to Liam </w:t>
      </w:r>
      <w:proofErr w:type="spellStart"/>
      <w:r w:rsidRPr="000D5F0A">
        <w:rPr>
          <w:rFonts w:ascii="Arial" w:eastAsia="Arial" w:hAnsi="Arial" w:cs="Arial"/>
          <w:color w:val="000000"/>
          <w:sz w:val="24"/>
          <w:szCs w:val="24"/>
        </w:rPr>
        <w:t>Mullans</w:t>
      </w:r>
      <w:proofErr w:type="spellEnd"/>
      <w:r w:rsidR="00E932A8" w:rsidRPr="000D5F0A">
        <w:rPr>
          <w:rFonts w:ascii="Arial" w:eastAsia="Arial" w:hAnsi="Arial" w:cs="Arial"/>
          <w:color w:val="000000"/>
          <w:sz w:val="24"/>
          <w:szCs w:val="24"/>
        </w:rPr>
        <w:t xml:space="preserve"> </w:t>
      </w:r>
      <w:r w:rsidRPr="000D5F0A">
        <w:rPr>
          <w:rFonts w:ascii="Arial" w:eastAsia="Arial" w:hAnsi="Arial" w:cs="Arial"/>
          <w:color w:val="000000"/>
          <w:sz w:val="24"/>
          <w:szCs w:val="24"/>
        </w:rPr>
        <w:t>(2023), while comprehensive environmental regulations may still be some way off for hotels, there is increasing pressure for businesses to align with Environmental, Social, and Governance (ESG) criteria. Hotels, including major brands like Holiday Inn, are being encouraged to proactively adopt sustainable practices even before regulations mandate them. </w:t>
      </w:r>
      <w:r w:rsidRPr="000D5F0A">
        <w:rPr>
          <w:rFonts w:ascii="Arial" w:eastAsia="Arial" w:hAnsi="Arial" w:cs="Arial"/>
          <w:sz w:val="24"/>
          <w:szCs w:val="24"/>
        </w:rPr>
        <w:br/>
      </w:r>
      <w:r w:rsidRPr="000D5F0A">
        <w:rPr>
          <w:rFonts w:ascii="Arial" w:eastAsia="Arial" w:hAnsi="Arial" w:cs="Arial"/>
          <w:color w:val="000000"/>
          <w:sz w:val="24"/>
          <w:szCs w:val="24"/>
        </w:rPr>
        <w:t>According to Donald Farmer, ESG metrics are essential tools for measuring a company’s performance on Environmental, Social, and Governance criteria. These metrics help hotels like Holiday Inn track their progress on sustainability initiatives, allowing them to assess the impact of their CSR activities. Examples of ESG metrics include carbon footprint, water usage, waste management, and energy efficiency, all of which can provide insight into how well a hotel is performing in relation to its environmental goals.</w:t>
      </w:r>
      <w:r w:rsidRPr="000D5F0A">
        <w:rPr>
          <w:rFonts w:ascii="Arial" w:eastAsia="Arial" w:hAnsi="Arial" w:cs="Arial"/>
          <w:sz w:val="24"/>
          <w:szCs w:val="24"/>
        </w:rPr>
        <w:br/>
      </w:r>
      <w:r w:rsidRPr="000D5F0A">
        <w:rPr>
          <w:rFonts w:ascii="Arial" w:eastAsia="Arial" w:hAnsi="Arial" w:cs="Arial"/>
          <w:color w:val="000000"/>
          <w:sz w:val="24"/>
          <w:szCs w:val="24"/>
        </w:rPr>
        <w:t>Holiday Inn's use of the IHG Green Engage System, which tracks energy consumption and carbon emissions, is an example of how these metrics are being applied in practice. By consistently measuring and reporting on its environmental performance, the hotel can both improve its operational efficiency and demonstrate its dedication to sustainability, positioning itself as a leader in ESG within the hospitality industry.</w:t>
      </w:r>
    </w:p>
    <w:p w14:paraId="0000002A" w14:textId="77777777" w:rsidR="003D4353" w:rsidRDefault="003D4353" w:rsidP="000D5F0A">
      <w:pPr>
        <w:pBdr>
          <w:top w:val="nil"/>
          <w:left w:val="nil"/>
          <w:bottom w:val="nil"/>
          <w:right w:val="nil"/>
          <w:between w:val="nil"/>
        </w:pBdr>
        <w:spacing w:after="0" w:line="360" w:lineRule="auto"/>
        <w:rPr>
          <w:rFonts w:ascii="Arial" w:eastAsia="Arial" w:hAnsi="Arial" w:cs="Arial"/>
          <w:color w:val="000000"/>
        </w:rPr>
      </w:pPr>
    </w:p>
    <w:p w14:paraId="0000002B" w14:textId="77777777" w:rsidR="003D4353" w:rsidRDefault="00000000" w:rsidP="000D5F0A">
      <w:pPr>
        <w:pBdr>
          <w:top w:val="nil"/>
          <w:left w:val="nil"/>
          <w:bottom w:val="nil"/>
          <w:right w:val="nil"/>
          <w:between w:val="nil"/>
        </w:pBdr>
        <w:spacing w:before="240" w:after="240" w:line="360" w:lineRule="auto"/>
        <w:rPr>
          <w:rFonts w:ascii="Arial" w:eastAsia="Arial" w:hAnsi="Arial" w:cs="Arial"/>
          <w:color w:val="000000"/>
          <w:sz w:val="28"/>
          <w:szCs w:val="28"/>
        </w:rPr>
      </w:pPr>
      <w:bookmarkStart w:id="2" w:name="_1fob9te" w:colFirst="0" w:colLast="0"/>
      <w:bookmarkEnd w:id="2"/>
      <w:r>
        <w:rPr>
          <w:rFonts w:ascii="Arial" w:eastAsia="Arial" w:hAnsi="Arial" w:cs="Arial"/>
          <w:color w:val="000000"/>
          <w:sz w:val="28"/>
          <w:szCs w:val="28"/>
        </w:rPr>
        <w:t>Conclusion</w:t>
      </w:r>
    </w:p>
    <w:p w14:paraId="0000002C" w14:textId="77777777" w:rsidR="003D4353" w:rsidRPr="000D5F0A" w:rsidRDefault="00000000" w:rsidP="000D5F0A">
      <w:pPr>
        <w:pBdr>
          <w:top w:val="nil"/>
          <w:left w:val="nil"/>
          <w:bottom w:val="nil"/>
          <w:right w:val="nil"/>
          <w:between w:val="nil"/>
        </w:pBdr>
        <w:spacing w:before="240" w:after="240" w:line="360" w:lineRule="auto"/>
        <w:rPr>
          <w:rFonts w:ascii="Arial" w:eastAsia="Arial" w:hAnsi="Arial" w:cs="Arial"/>
          <w:color w:val="000000"/>
          <w:sz w:val="24"/>
          <w:szCs w:val="24"/>
        </w:rPr>
      </w:pPr>
      <w:r w:rsidRPr="000D5F0A">
        <w:rPr>
          <w:rFonts w:ascii="Arial" w:eastAsia="Arial" w:hAnsi="Arial" w:cs="Arial"/>
          <w:color w:val="000000"/>
          <w:sz w:val="24"/>
          <w:szCs w:val="24"/>
        </w:rPr>
        <w:t>In conclusion, Holiday Inn's Corporate Social Responsibility (CSR) efforts are deeply integrated into its overall business strategy, allowing the brand to meet the growing expectations of eco-conscious consumers while adhering to legal and ethical standards. Through the IHG Green Engage System, Holiday Inn has successfully implemented a range of sustainability initiatives, including energy and water conservation, waste reduction, and community engagement. These efforts not only mitigate the hotel’s environmental impact but also contribute to the well-being of local communities, strengthen brand loyalty, and enhance the company’s global reputation.</w:t>
      </w:r>
      <w:r w:rsidRPr="000D5F0A">
        <w:rPr>
          <w:rFonts w:ascii="Arial" w:eastAsia="Arial" w:hAnsi="Arial" w:cs="Arial"/>
          <w:sz w:val="24"/>
          <w:szCs w:val="24"/>
        </w:rPr>
        <w:br/>
      </w:r>
      <w:r w:rsidRPr="000D5F0A">
        <w:rPr>
          <w:rFonts w:ascii="Arial" w:eastAsia="Arial" w:hAnsi="Arial" w:cs="Arial"/>
          <w:color w:val="000000"/>
          <w:sz w:val="24"/>
          <w:szCs w:val="24"/>
        </w:rPr>
        <w:t>However, challenges such as uneven regional infrastructure and the need to balance short-term financial pressures with long-term CSR goals remain. Despite these obstacles, Holiday Inn's ongoing commitment to CSR positions it as a leader in the hospitality industry, demonstrating that responsible business practices can deliver both environmental and financial benefits. Moving forward, the brand’s ability to adapt to changing regulations and continue investing in sustainable technologies will be essential for maintaining its competitive edge and encouraging its positive impact on society and the environment.</w:t>
      </w:r>
    </w:p>
    <w:p w14:paraId="0000002D" w14:textId="77777777" w:rsidR="003D4353" w:rsidRPr="000D5F0A" w:rsidRDefault="003D4353" w:rsidP="000D5F0A">
      <w:pPr>
        <w:pBdr>
          <w:top w:val="nil"/>
          <w:left w:val="nil"/>
          <w:bottom w:val="nil"/>
          <w:right w:val="nil"/>
          <w:between w:val="nil"/>
        </w:pBdr>
        <w:spacing w:after="0" w:line="360" w:lineRule="auto"/>
        <w:rPr>
          <w:rFonts w:ascii="Arial" w:eastAsia="Arial" w:hAnsi="Arial" w:cs="Arial"/>
          <w:color w:val="000000"/>
          <w:sz w:val="24"/>
          <w:szCs w:val="24"/>
        </w:rPr>
      </w:pPr>
    </w:p>
    <w:p w14:paraId="0000002E" w14:textId="77777777" w:rsidR="003D4353" w:rsidRPr="000D5F0A" w:rsidRDefault="003D4353" w:rsidP="000D5F0A">
      <w:pPr>
        <w:pBdr>
          <w:top w:val="nil"/>
          <w:left w:val="nil"/>
          <w:bottom w:val="nil"/>
          <w:right w:val="nil"/>
          <w:between w:val="nil"/>
        </w:pBdr>
        <w:spacing w:after="360" w:line="360" w:lineRule="auto"/>
        <w:rPr>
          <w:rFonts w:ascii="Arial" w:eastAsia="Arial" w:hAnsi="Arial" w:cs="Arial"/>
          <w:color w:val="000000"/>
          <w:sz w:val="24"/>
          <w:szCs w:val="24"/>
        </w:rPr>
      </w:pPr>
    </w:p>
    <w:p w14:paraId="0000002F" w14:textId="77777777" w:rsidR="003D4353" w:rsidRPr="000D5F0A" w:rsidRDefault="003D4353" w:rsidP="000D5F0A">
      <w:pPr>
        <w:pBdr>
          <w:top w:val="nil"/>
          <w:left w:val="nil"/>
          <w:bottom w:val="nil"/>
          <w:right w:val="nil"/>
          <w:between w:val="nil"/>
        </w:pBdr>
        <w:spacing w:after="360" w:line="360" w:lineRule="auto"/>
        <w:rPr>
          <w:rFonts w:ascii="Arial" w:eastAsia="Arial" w:hAnsi="Arial" w:cs="Arial"/>
          <w:color w:val="000000"/>
          <w:sz w:val="24"/>
          <w:szCs w:val="24"/>
        </w:rPr>
      </w:pPr>
    </w:p>
    <w:p w14:paraId="00000030" w14:textId="77777777" w:rsidR="003D4353" w:rsidRPr="000D5F0A" w:rsidRDefault="003D4353" w:rsidP="000D5F0A">
      <w:pPr>
        <w:pBdr>
          <w:top w:val="nil"/>
          <w:left w:val="nil"/>
          <w:bottom w:val="nil"/>
          <w:right w:val="nil"/>
          <w:between w:val="nil"/>
        </w:pBdr>
        <w:spacing w:after="360" w:line="360" w:lineRule="auto"/>
        <w:rPr>
          <w:rFonts w:ascii="Arial" w:eastAsia="Arial" w:hAnsi="Arial" w:cs="Arial"/>
          <w:color w:val="000000"/>
          <w:sz w:val="24"/>
          <w:szCs w:val="24"/>
        </w:rPr>
      </w:pPr>
    </w:p>
    <w:p w14:paraId="00000031"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2"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3"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4"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5"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6"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7"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8"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9"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A"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B"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C"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D" w14:textId="77777777" w:rsidR="003D4353" w:rsidRDefault="003D4353" w:rsidP="000D5F0A">
      <w:pPr>
        <w:pBdr>
          <w:top w:val="nil"/>
          <w:left w:val="nil"/>
          <w:bottom w:val="nil"/>
          <w:right w:val="nil"/>
          <w:between w:val="nil"/>
        </w:pBdr>
        <w:spacing w:after="360" w:line="360" w:lineRule="auto"/>
        <w:rPr>
          <w:rFonts w:ascii="Arial" w:eastAsia="Arial" w:hAnsi="Arial" w:cs="Arial"/>
          <w:color w:val="000000"/>
        </w:rPr>
      </w:pPr>
    </w:p>
    <w:p w14:paraId="0000003E" w14:textId="77777777" w:rsidR="003D4353" w:rsidRDefault="00000000" w:rsidP="000D5F0A">
      <w:pPr>
        <w:pBdr>
          <w:top w:val="nil"/>
          <w:left w:val="nil"/>
          <w:bottom w:val="nil"/>
          <w:right w:val="nil"/>
          <w:between w:val="nil"/>
        </w:pBdr>
        <w:spacing w:after="360" w:line="360" w:lineRule="auto"/>
        <w:jc w:val="center"/>
        <w:rPr>
          <w:rFonts w:ascii="Arial" w:eastAsia="Arial" w:hAnsi="Arial" w:cs="Arial"/>
          <w:b/>
          <w:color w:val="000000"/>
          <w:sz w:val="40"/>
          <w:szCs w:val="40"/>
        </w:rPr>
      </w:pPr>
      <w:bookmarkStart w:id="3" w:name="_3znysh7" w:colFirst="0" w:colLast="0"/>
      <w:bookmarkEnd w:id="3"/>
      <w:r>
        <w:rPr>
          <w:rFonts w:ascii="Arial" w:eastAsia="Arial" w:hAnsi="Arial" w:cs="Arial"/>
          <w:b/>
          <w:color w:val="000000"/>
          <w:sz w:val="40"/>
          <w:szCs w:val="40"/>
        </w:rPr>
        <w:t>Reference list</w:t>
      </w:r>
    </w:p>
    <w:p w14:paraId="0000003F" w14:textId="77777777" w:rsidR="003D4353" w:rsidRPr="000D5F0A" w:rsidRDefault="00000000" w:rsidP="000D5F0A">
      <w:pPr>
        <w:pBdr>
          <w:top w:val="nil"/>
          <w:left w:val="nil"/>
          <w:bottom w:val="nil"/>
          <w:right w:val="nil"/>
          <w:between w:val="nil"/>
        </w:pBdr>
        <w:spacing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European Commission (n.d.). </w:t>
      </w:r>
      <w:r w:rsidRPr="000D5F0A">
        <w:rPr>
          <w:rFonts w:ascii="Arial" w:eastAsia="Arial" w:hAnsi="Arial" w:cs="Arial"/>
          <w:i/>
          <w:color w:val="000000"/>
          <w:sz w:val="24"/>
          <w:szCs w:val="24"/>
        </w:rPr>
        <w:t>Corporate Sustainability and Responsibility</w:t>
      </w:r>
      <w:r w:rsidRPr="000D5F0A">
        <w:rPr>
          <w:rFonts w:ascii="Arial" w:eastAsia="Arial" w:hAnsi="Arial" w:cs="Arial"/>
          <w:color w:val="000000"/>
          <w:sz w:val="24"/>
          <w:szCs w:val="24"/>
        </w:rPr>
        <w:t xml:space="preserve">. [online] single-market-economy.ec.europa.eu. Available at: </w:t>
      </w:r>
      <w:bookmarkStart w:id="4" w:name="_Hlk180159361"/>
      <w:r w:rsidRPr="000D5F0A">
        <w:rPr>
          <w:rFonts w:ascii="Arial" w:hAnsi="Arial" w:cs="Arial"/>
          <w:sz w:val="24"/>
          <w:szCs w:val="24"/>
        </w:rPr>
        <w:fldChar w:fldCharType="begin"/>
      </w:r>
      <w:r w:rsidRPr="000D5F0A">
        <w:rPr>
          <w:rFonts w:ascii="Arial" w:hAnsi="Arial" w:cs="Arial"/>
          <w:sz w:val="24"/>
          <w:szCs w:val="24"/>
        </w:rPr>
        <w:instrText>HYPERLINK "https://single-market-economy.ec.europa.eu/industry/sustainability/corporate-sustainability-and-responsibility_en" \h</w:instrText>
      </w:r>
      <w:r w:rsidRPr="000D5F0A">
        <w:rPr>
          <w:rFonts w:ascii="Arial" w:hAnsi="Arial" w:cs="Arial"/>
          <w:sz w:val="24"/>
          <w:szCs w:val="24"/>
        </w:rPr>
      </w:r>
      <w:r w:rsidRPr="000D5F0A">
        <w:rPr>
          <w:rFonts w:ascii="Arial" w:hAnsi="Arial" w:cs="Arial"/>
          <w:sz w:val="24"/>
          <w:szCs w:val="24"/>
        </w:rPr>
        <w:fldChar w:fldCharType="separate"/>
      </w:r>
      <w:r w:rsidRPr="000D5F0A">
        <w:rPr>
          <w:rFonts w:ascii="Arial" w:eastAsia="Arial" w:hAnsi="Arial" w:cs="Arial"/>
          <w:color w:val="0000FF"/>
          <w:sz w:val="24"/>
          <w:szCs w:val="24"/>
          <w:u w:val="single"/>
        </w:rPr>
        <w:t>https://single-market-economy.ec.europa.eu/industry/sustainability/corporate-sustainability-and-responsibility_en</w:t>
      </w:r>
      <w:r w:rsidRPr="000D5F0A">
        <w:rPr>
          <w:rFonts w:ascii="Arial" w:eastAsia="Arial" w:hAnsi="Arial" w:cs="Arial"/>
          <w:color w:val="0000FF"/>
          <w:sz w:val="24"/>
          <w:szCs w:val="24"/>
          <w:u w:val="single"/>
        </w:rPr>
        <w:fldChar w:fldCharType="end"/>
      </w:r>
      <w:r w:rsidRPr="000D5F0A">
        <w:rPr>
          <w:rFonts w:ascii="Arial" w:eastAsia="Arial" w:hAnsi="Arial" w:cs="Arial"/>
          <w:color w:val="000000"/>
          <w:sz w:val="24"/>
          <w:szCs w:val="24"/>
        </w:rPr>
        <w:t xml:space="preserve"> </w:t>
      </w:r>
    </w:p>
    <w:bookmarkEnd w:id="4"/>
    <w:p w14:paraId="00000040"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Farmer, D. (2024). </w:t>
      </w:r>
      <w:r w:rsidRPr="000D5F0A">
        <w:rPr>
          <w:rFonts w:ascii="Arial" w:eastAsia="Arial" w:hAnsi="Arial" w:cs="Arial"/>
          <w:i/>
          <w:color w:val="000000"/>
          <w:sz w:val="24"/>
          <w:szCs w:val="24"/>
        </w:rPr>
        <w:t>ESG Metrics: Tips and Examples for Measuring ESG Performance</w:t>
      </w:r>
      <w:r w:rsidRPr="000D5F0A">
        <w:rPr>
          <w:rFonts w:ascii="Arial" w:eastAsia="Arial" w:hAnsi="Arial" w:cs="Arial"/>
          <w:color w:val="000000"/>
          <w:sz w:val="24"/>
          <w:szCs w:val="24"/>
        </w:rPr>
        <w:t xml:space="preserve">. [online] Sustainability and ESG. Available at: </w:t>
      </w:r>
      <w:hyperlink r:id="rId6">
        <w:r w:rsidR="003D4353" w:rsidRPr="000D5F0A">
          <w:rPr>
            <w:rFonts w:ascii="Arial" w:eastAsia="Arial" w:hAnsi="Arial" w:cs="Arial"/>
            <w:color w:val="0000FF"/>
            <w:sz w:val="24"/>
            <w:szCs w:val="24"/>
            <w:u w:val="single"/>
          </w:rPr>
          <w:t>https://www.techtarget.com/sustainability/feature/ESG-metrics-Tips-and-examples-for-measuring-ESG-performance</w:t>
        </w:r>
      </w:hyperlink>
      <w:r w:rsidRPr="000D5F0A">
        <w:rPr>
          <w:rFonts w:ascii="Arial" w:eastAsia="Arial" w:hAnsi="Arial" w:cs="Arial"/>
          <w:color w:val="000000"/>
          <w:sz w:val="24"/>
          <w:szCs w:val="24"/>
        </w:rPr>
        <w:t xml:space="preserve"> </w:t>
      </w:r>
    </w:p>
    <w:p w14:paraId="00000041"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lastRenderedPageBreak/>
        <w:t xml:space="preserve">Fernando, J. (2024). </w:t>
      </w:r>
      <w:r w:rsidRPr="000D5F0A">
        <w:rPr>
          <w:rFonts w:ascii="Arial" w:eastAsia="Arial" w:hAnsi="Arial" w:cs="Arial"/>
          <w:i/>
          <w:color w:val="000000"/>
          <w:sz w:val="24"/>
          <w:szCs w:val="24"/>
        </w:rPr>
        <w:t>What Is CSR? Corporate Social Responsibility Explained</w:t>
      </w:r>
      <w:r w:rsidRPr="000D5F0A">
        <w:rPr>
          <w:rFonts w:ascii="Arial" w:eastAsia="Arial" w:hAnsi="Arial" w:cs="Arial"/>
          <w:color w:val="000000"/>
          <w:sz w:val="24"/>
          <w:szCs w:val="24"/>
        </w:rPr>
        <w:t xml:space="preserve">. [online] Investopedia. Available at: </w:t>
      </w:r>
      <w:hyperlink r:id="rId7">
        <w:r w:rsidR="003D4353" w:rsidRPr="000D5F0A">
          <w:rPr>
            <w:rFonts w:ascii="Arial" w:eastAsia="Arial" w:hAnsi="Arial" w:cs="Arial"/>
            <w:color w:val="0000FF"/>
            <w:sz w:val="24"/>
            <w:szCs w:val="24"/>
            <w:u w:val="single"/>
          </w:rPr>
          <w:t>https://www.investopedia.com/terms/c/corp-social-responsibility.asp</w:t>
        </w:r>
      </w:hyperlink>
      <w:r w:rsidRPr="000D5F0A">
        <w:rPr>
          <w:rFonts w:ascii="Arial" w:eastAsia="Arial" w:hAnsi="Arial" w:cs="Arial"/>
          <w:color w:val="000000"/>
          <w:sz w:val="24"/>
          <w:szCs w:val="24"/>
        </w:rPr>
        <w:t xml:space="preserve"> </w:t>
      </w:r>
    </w:p>
    <w:p w14:paraId="00000042"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Hahn, J. (2022). </w:t>
      </w:r>
      <w:r w:rsidRPr="000D5F0A">
        <w:rPr>
          <w:rFonts w:ascii="Arial" w:eastAsia="Arial" w:hAnsi="Arial" w:cs="Arial"/>
          <w:i/>
          <w:color w:val="000000"/>
          <w:sz w:val="24"/>
          <w:szCs w:val="24"/>
        </w:rPr>
        <w:t>Corporate Social Responsibility: A guide for hotels and venues | Cvent Blog</w:t>
      </w:r>
      <w:r w:rsidRPr="000D5F0A">
        <w:rPr>
          <w:rFonts w:ascii="Arial" w:eastAsia="Arial" w:hAnsi="Arial" w:cs="Arial"/>
          <w:color w:val="000000"/>
          <w:sz w:val="24"/>
          <w:szCs w:val="24"/>
        </w:rPr>
        <w:t xml:space="preserve">. [online] www.cvent.com. Available at: </w:t>
      </w:r>
      <w:hyperlink r:id="rId8">
        <w:r w:rsidR="003D4353" w:rsidRPr="000D5F0A">
          <w:rPr>
            <w:rFonts w:ascii="Arial" w:eastAsia="Arial" w:hAnsi="Arial" w:cs="Arial"/>
            <w:color w:val="0000FF"/>
            <w:sz w:val="24"/>
            <w:szCs w:val="24"/>
            <w:u w:val="single"/>
          </w:rPr>
          <w:t>https://www.cvent.com/uk/blog/hospitality/corporate-social-responsibility-hotels</w:t>
        </w:r>
      </w:hyperlink>
      <w:r w:rsidRPr="000D5F0A">
        <w:rPr>
          <w:rFonts w:ascii="Arial" w:eastAsia="Arial" w:hAnsi="Arial" w:cs="Arial"/>
          <w:color w:val="000000"/>
          <w:sz w:val="24"/>
          <w:szCs w:val="24"/>
        </w:rPr>
        <w:t xml:space="preserve">   </w:t>
      </w:r>
    </w:p>
    <w:p w14:paraId="00000043"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Holiday In Report (2021). </w:t>
      </w:r>
      <w:r w:rsidRPr="000D5F0A">
        <w:rPr>
          <w:rFonts w:ascii="Arial" w:eastAsia="Arial" w:hAnsi="Arial" w:cs="Arial"/>
          <w:i/>
          <w:color w:val="000000"/>
          <w:sz w:val="24"/>
          <w:szCs w:val="24"/>
        </w:rPr>
        <w:t>True Hospitality for Good</w:t>
      </w:r>
      <w:r w:rsidRPr="000D5F0A">
        <w:rPr>
          <w:rFonts w:ascii="Arial" w:eastAsia="Arial" w:hAnsi="Arial" w:cs="Arial"/>
          <w:color w:val="000000"/>
          <w:sz w:val="24"/>
          <w:szCs w:val="24"/>
        </w:rPr>
        <w:t xml:space="preserve">. [online] Available at: </w:t>
      </w:r>
      <w:hyperlink r:id="rId9">
        <w:r w:rsidR="003D4353" w:rsidRPr="000D5F0A">
          <w:rPr>
            <w:rFonts w:ascii="Arial" w:eastAsia="Arial" w:hAnsi="Arial" w:cs="Arial"/>
            <w:color w:val="0000FF"/>
            <w:sz w:val="24"/>
            <w:szCs w:val="24"/>
            <w:u w:val="single"/>
          </w:rPr>
          <w:t>https://www.ihgplc.com/~/media/Files/I/Ihg-Plc/investors/annual-report-2021/ihg-2021-annual-report.pdf</w:t>
        </w:r>
      </w:hyperlink>
      <w:r w:rsidRPr="000D5F0A">
        <w:rPr>
          <w:rFonts w:ascii="Arial" w:eastAsia="Arial" w:hAnsi="Arial" w:cs="Arial"/>
          <w:color w:val="000000"/>
          <w:sz w:val="24"/>
          <w:szCs w:val="24"/>
        </w:rPr>
        <w:t xml:space="preserve"> </w:t>
      </w:r>
    </w:p>
    <w:p w14:paraId="00000044"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Hutton, G., Foley, N. and Irvine, S. (2022). Hospitality Industry and Covid-19. </w:t>
      </w:r>
      <w:r w:rsidRPr="000D5F0A">
        <w:rPr>
          <w:rFonts w:ascii="Arial" w:eastAsia="Arial" w:hAnsi="Arial" w:cs="Arial"/>
          <w:i/>
          <w:color w:val="000000"/>
          <w:sz w:val="24"/>
          <w:szCs w:val="24"/>
        </w:rPr>
        <w:t>commonslibrary.parliament.uk</w:t>
      </w:r>
      <w:r w:rsidRPr="000D5F0A">
        <w:rPr>
          <w:rFonts w:ascii="Arial" w:eastAsia="Arial" w:hAnsi="Arial" w:cs="Arial"/>
          <w:color w:val="000000"/>
          <w:sz w:val="24"/>
          <w:szCs w:val="24"/>
        </w:rPr>
        <w:t xml:space="preserve">, [online] CBP 9111. Available at: </w:t>
      </w:r>
      <w:hyperlink r:id="rId10">
        <w:r w:rsidR="003D4353" w:rsidRPr="000D5F0A">
          <w:rPr>
            <w:rFonts w:ascii="Arial" w:eastAsia="Arial" w:hAnsi="Arial" w:cs="Arial"/>
            <w:color w:val="0000FF"/>
            <w:sz w:val="24"/>
            <w:szCs w:val="24"/>
            <w:u w:val="single"/>
          </w:rPr>
          <w:t>https://commonslibrary.parliament.uk/research-briefings/cbp-9111/</w:t>
        </w:r>
      </w:hyperlink>
      <w:r w:rsidRPr="000D5F0A">
        <w:rPr>
          <w:rFonts w:ascii="Arial" w:eastAsia="Arial" w:hAnsi="Arial" w:cs="Arial"/>
          <w:color w:val="000000"/>
          <w:sz w:val="24"/>
          <w:szCs w:val="24"/>
        </w:rPr>
        <w:t xml:space="preserve"> </w:t>
      </w:r>
    </w:p>
    <w:p w14:paraId="00000045"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FF"/>
          <w:sz w:val="24"/>
          <w:szCs w:val="24"/>
          <w:u w:val="single"/>
        </w:rPr>
      </w:pPr>
      <w:r w:rsidRPr="000D5F0A">
        <w:rPr>
          <w:rFonts w:ascii="Arial" w:eastAsia="Arial" w:hAnsi="Arial" w:cs="Arial"/>
          <w:color w:val="000000"/>
          <w:sz w:val="24"/>
          <w:szCs w:val="24"/>
        </w:rPr>
        <w:t xml:space="preserve">InterContinental Hotels Group PLC. (2023). </w:t>
      </w:r>
      <w:r w:rsidRPr="000D5F0A">
        <w:rPr>
          <w:rFonts w:ascii="Arial" w:eastAsia="Arial" w:hAnsi="Arial" w:cs="Arial"/>
          <w:i/>
          <w:color w:val="000000"/>
          <w:sz w:val="24"/>
          <w:szCs w:val="24"/>
        </w:rPr>
        <w:t>Annual Reports and Responsible Business Reports</w:t>
      </w:r>
      <w:r w:rsidRPr="000D5F0A">
        <w:rPr>
          <w:rFonts w:ascii="Arial" w:eastAsia="Arial" w:hAnsi="Arial" w:cs="Arial"/>
          <w:color w:val="000000"/>
          <w:sz w:val="24"/>
          <w:szCs w:val="24"/>
        </w:rPr>
        <w:t xml:space="preserve">. [online] Available at: </w:t>
      </w:r>
      <w:hyperlink r:id="rId11">
        <w:r w:rsidR="003D4353" w:rsidRPr="000D5F0A">
          <w:rPr>
            <w:rFonts w:ascii="Arial" w:eastAsia="Arial" w:hAnsi="Arial" w:cs="Arial"/>
            <w:color w:val="0000FF"/>
            <w:sz w:val="24"/>
            <w:szCs w:val="24"/>
            <w:u w:val="single"/>
          </w:rPr>
          <w:t>https://www.ihgplc.com/en/investors/shareholder-centre/annual-reports-and-responsible-business-reports</w:t>
        </w:r>
      </w:hyperlink>
    </w:p>
    <w:p w14:paraId="00000046"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InterContinental Hotels Group PLC. (2019). IHG Human Rights Policy. [online] Available at: </w:t>
      </w:r>
      <w:bookmarkStart w:id="5" w:name="_Hlk180159705"/>
      <w:r w:rsidRPr="000D5F0A">
        <w:rPr>
          <w:rFonts w:ascii="Arial" w:hAnsi="Arial" w:cs="Arial"/>
          <w:sz w:val="24"/>
          <w:szCs w:val="24"/>
        </w:rPr>
        <w:fldChar w:fldCharType="begin"/>
      </w:r>
      <w:r w:rsidRPr="000D5F0A">
        <w:rPr>
          <w:rFonts w:ascii="Arial" w:hAnsi="Arial" w:cs="Arial"/>
          <w:sz w:val="24"/>
          <w:szCs w:val="24"/>
        </w:rPr>
        <w:instrText>HYPERLINK "https://www.ihgplc.com/~/media/Files/I/Ihg-Plc/responsible-business/policy-documents/english/en-ihg-human-rights-policy-september-2019.pdf" \h</w:instrText>
      </w:r>
      <w:r w:rsidRPr="000D5F0A">
        <w:rPr>
          <w:rFonts w:ascii="Arial" w:hAnsi="Arial" w:cs="Arial"/>
          <w:sz w:val="24"/>
          <w:szCs w:val="24"/>
        </w:rPr>
      </w:r>
      <w:r w:rsidRPr="000D5F0A">
        <w:rPr>
          <w:rFonts w:ascii="Arial" w:hAnsi="Arial" w:cs="Arial"/>
          <w:sz w:val="24"/>
          <w:szCs w:val="24"/>
        </w:rPr>
        <w:fldChar w:fldCharType="separate"/>
      </w:r>
      <w:r w:rsidRPr="000D5F0A">
        <w:rPr>
          <w:rFonts w:ascii="Arial" w:eastAsia="Arial" w:hAnsi="Arial" w:cs="Arial"/>
          <w:color w:val="0000FF"/>
          <w:sz w:val="24"/>
          <w:szCs w:val="24"/>
          <w:u w:val="single"/>
        </w:rPr>
        <w:t>https://www.ihgplc.com/~/media/Files/I/Ihg-Plc/responsible-business/policy-documents/english/en-ihg-human-rights-policy-september-2019.pdf</w:t>
      </w:r>
      <w:r w:rsidRPr="000D5F0A">
        <w:rPr>
          <w:rFonts w:ascii="Arial" w:eastAsia="Arial" w:hAnsi="Arial" w:cs="Arial"/>
          <w:color w:val="0000FF"/>
          <w:sz w:val="24"/>
          <w:szCs w:val="24"/>
          <w:u w:val="single"/>
        </w:rPr>
        <w:fldChar w:fldCharType="end"/>
      </w:r>
      <w:r w:rsidRPr="000D5F0A">
        <w:rPr>
          <w:rFonts w:ascii="Arial" w:eastAsia="Arial" w:hAnsi="Arial" w:cs="Arial"/>
          <w:color w:val="000000"/>
          <w:sz w:val="24"/>
          <w:szCs w:val="24"/>
        </w:rPr>
        <w:t xml:space="preserve"> </w:t>
      </w:r>
    </w:p>
    <w:bookmarkEnd w:id="5"/>
    <w:p w14:paraId="00000047" w14:textId="77777777" w:rsidR="003D4353" w:rsidRPr="000D5F0A" w:rsidRDefault="00000000" w:rsidP="000D5F0A">
      <w:pPr>
        <w:pBdr>
          <w:top w:val="nil"/>
          <w:left w:val="nil"/>
          <w:bottom w:val="nil"/>
          <w:right w:val="nil"/>
          <w:between w:val="nil"/>
        </w:pBdr>
        <w:spacing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InterContinental Hotels Group PLC. (n.d.). IGH Hotels &amp; Resort’s Skills Academy goes global. [online] Available at:   </w:t>
      </w:r>
    </w:p>
    <w:p w14:paraId="00000048" w14:textId="77777777" w:rsidR="003D4353" w:rsidRPr="000D5F0A" w:rsidRDefault="003D4353" w:rsidP="000D5F0A">
      <w:pPr>
        <w:pBdr>
          <w:top w:val="nil"/>
          <w:left w:val="nil"/>
          <w:bottom w:val="nil"/>
          <w:right w:val="nil"/>
          <w:between w:val="nil"/>
        </w:pBdr>
        <w:spacing w:line="360" w:lineRule="auto"/>
        <w:rPr>
          <w:rFonts w:ascii="Arial" w:eastAsia="Arial" w:hAnsi="Arial" w:cs="Arial"/>
          <w:sz w:val="24"/>
          <w:szCs w:val="24"/>
        </w:rPr>
      </w:pPr>
      <w:hyperlink r:id="rId12">
        <w:r w:rsidRPr="000D5F0A">
          <w:rPr>
            <w:rFonts w:ascii="Arial" w:eastAsia="Arial" w:hAnsi="Arial" w:cs="Arial"/>
            <w:color w:val="0000FF"/>
            <w:sz w:val="24"/>
            <w:szCs w:val="24"/>
            <w:u w:val="single"/>
          </w:rPr>
          <w:t>https://www.ihgplc.com/en/news-and-media/news-releases/2022/ihg-hotels-and-resorts-skills-academy-goes-global</w:t>
        </w:r>
      </w:hyperlink>
      <w:r w:rsidRPr="000D5F0A">
        <w:rPr>
          <w:rFonts w:ascii="Arial" w:eastAsia="Arial" w:hAnsi="Arial" w:cs="Arial"/>
          <w:sz w:val="24"/>
          <w:szCs w:val="24"/>
        </w:rPr>
        <w:t xml:space="preserve"> </w:t>
      </w:r>
    </w:p>
    <w:p w14:paraId="00000049"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sz w:val="24"/>
          <w:szCs w:val="24"/>
        </w:rPr>
      </w:pPr>
      <w:r w:rsidRPr="000D5F0A">
        <w:rPr>
          <w:rFonts w:ascii="Arial" w:eastAsia="Arial" w:hAnsi="Arial" w:cs="Arial"/>
          <w:color w:val="000000"/>
          <w:sz w:val="24"/>
          <w:szCs w:val="24"/>
        </w:rPr>
        <w:t xml:space="preserve">InterContinental Hotels Group PLC. (n.d.). IHG Green Engage System. [online] Available at:   </w:t>
      </w:r>
      <w:hyperlink r:id="rId13">
        <w:r w:rsidR="003D4353" w:rsidRPr="000D5F0A">
          <w:rPr>
            <w:rFonts w:ascii="Arial" w:eastAsia="Arial" w:hAnsi="Arial" w:cs="Arial"/>
            <w:color w:val="0000FF"/>
            <w:sz w:val="24"/>
            <w:szCs w:val="24"/>
            <w:u w:val="single"/>
          </w:rPr>
          <w:t>https://www.ihg.com/content/gb/en/support/green-engage</w:t>
        </w:r>
      </w:hyperlink>
      <w:r w:rsidRPr="000D5F0A">
        <w:rPr>
          <w:rFonts w:ascii="Arial" w:eastAsia="Arial" w:hAnsi="Arial" w:cs="Arial"/>
          <w:sz w:val="24"/>
          <w:szCs w:val="24"/>
        </w:rPr>
        <w:t xml:space="preserve"> </w:t>
      </w:r>
    </w:p>
    <w:p w14:paraId="0000004A"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InterContinental Hotels Group PLC. (n.d.). </w:t>
      </w:r>
      <w:r w:rsidRPr="000D5F0A">
        <w:rPr>
          <w:rFonts w:ascii="Arial" w:eastAsia="Arial" w:hAnsi="Arial" w:cs="Arial"/>
          <w:i/>
          <w:color w:val="000000"/>
          <w:sz w:val="24"/>
          <w:szCs w:val="24"/>
        </w:rPr>
        <w:t>IHG’s Green Engage® Program Advances Water Conservation Efforts in California</w:t>
      </w:r>
      <w:r w:rsidRPr="000D5F0A">
        <w:rPr>
          <w:rFonts w:ascii="Arial" w:eastAsia="Arial" w:hAnsi="Arial" w:cs="Arial"/>
          <w:color w:val="000000"/>
          <w:sz w:val="24"/>
          <w:szCs w:val="24"/>
        </w:rPr>
        <w:t xml:space="preserve">. [online] Available at: </w:t>
      </w:r>
      <w:hyperlink r:id="rId14">
        <w:r w:rsidR="003D4353" w:rsidRPr="000D5F0A">
          <w:rPr>
            <w:rFonts w:ascii="Arial" w:eastAsia="Arial" w:hAnsi="Arial" w:cs="Arial"/>
            <w:color w:val="0000FF"/>
            <w:sz w:val="24"/>
            <w:szCs w:val="24"/>
            <w:u w:val="single"/>
          </w:rPr>
          <w:t>https://www.ihgplc.com/en/news-and-media/news-releases/2014/ihgs-green-engage-program-advances-water-conservation-efforts-in-california</w:t>
        </w:r>
      </w:hyperlink>
      <w:r w:rsidRPr="000D5F0A">
        <w:rPr>
          <w:rFonts w:ascii="Arial" w:eastAsia="Arial" w:hAnsi="Arial" w:cs="Arial"/>
          <w:color w:val="000000"/>
          <w:sz w:val="24"/>
          <w:szCs w:val="24"/>
        </w:rPr>
        <w:t xml:space="preserve"> </w:t>
      </w:r>
    </w:p>
    <w:p w14:paraId="0000004B"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InterContinental Hotels Group PLC. (n.d.). </w:t>
      </w:r>
      <w:r w:rsidRPr="000D5F0A">
        <w:rPr>
          <w:rFonts w:ascii="Arial" w:eastAsia="Arial" w:hAnsi="Arial" w:cs="Arial"/>
          <w:i/>
          <w:color w:val="000000"/>
          <w:sz w:val="24"/>
          <w:szCs w:val="24"/>
        </w:rPr>
        <w:t>Journey to Tomorrow</w:t>
      </w:r>
      <w:r w:rsidRPr="000D5F0A">
        <w:rPr>
          <w:rFonts w:ascii="Arial" w:eastAsia="Arial" w:hAnsi="Arial" w:cs="Arial"/>
          <w:color w:val="000000"/>
          <w:sz w:val="24"/>
          <w:szCs w:val="24"/>
        </w:rPr>
        <w:t xml:space="preserve">. [online] Available at: </w:t>
      </w:r>
      <w:hyperlink r:id="rId15">
        <w:r w:rsidR="003D4353" w:rsidRPr="000D5F0A">
          <w:rPr>
            <w:rFonts w:ascii="Arial" w:eastAsia="Arial" w:hAnsi="Arial" w:cs="Arial"/>
            <w:color w:val="0000FF"/>
            <w:sz w:val="24"/>
            <w:szCs w:val="24"/>
            <w:u w:val="single"/>
          </w:rPr>
          <w:t>https://www.ihgplc.com/en/responsible-business/journey-to-tomorrow</w:t>
        </w:r>
      </w:hyperlink>
      <w:r w:rsidRPr="000D5F0A">
        <w:rPr>
          <w:rFonts w:ascii="Arial" w:eastAsia="Arial" w:hAnsi="Arial" w:cs="Arial"/>
          <w:color w:val="000000"/>
          <w:sz w:val="24"/>
          <w:szCs w:val="24"/>
        </w:rPr>
        <w:t xml:space="preserve"> </w:t>
      </w:r>
    </w:p>
    <w:p w14:paraId="0000004C"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InterContinental Hotels Group PLC. (n.d.). </w:t>
      </w:r>
      <w:r w:rsidRPr="000D5F0A">
        <w:rPr>
          <w:rFonts w:ascii="Arial" w:eastAsia="Arial" w:hAnsi="Arial" w:cs="Arial"/>
          <w:i/>
          <w:color w:val="000000"/>
          <w:sz w:val="24"/>
          <w:szCs w:val="24"/>
        </w:rPr>
        <w:t>Responsible Business Report 2021</w:t>
      </w:r>
      <w:r w:rsidRPr="000D5F0A">
        <w:rPr>
          <w:rFonts w:ascii="Arial" w:eastAsia="Arial" w:hAnsi="Arial" w:cs="Arial"/>
          <w:color w:val="000000"/>
          <w:sz w:val="24"/>
          <w:szCs w:val="24"/>
        </w:rPr>
        <w:t xml:space="preserve">. [online] IHG Development. [online] Available at: </w:t>
      </w:r>
      <w:hyperlink r:id="rId16">
        <w:r w:rsidR="003D4353" w:rsidRPr="000D5F0A">
          <w:rPr>
            <w:rFonts w:ascii="Arial" w:eastAsia="Arial" w:hAnsi="Arial" w:cs="Arial"/>
            <w:color w:val="0000FF"/>
            <w:sz w:val="24"/>
            <w:szCs w:val="24"/>
            <w:u w:val="single"/>
          </w:rPr>
          <w:t>https://development.ihg.com/sites/ihgplc/files/IHG/A%20sustainable%20business/I-H-G-R-B-R-Interactive-280222.pdf</w:t>
        </w:r>
      </w:hyperlink>
      <w:r w:rsidRPr="000D5F0A">
        <w:rPr>
          <w:rFonts w:ascii="Arial" w:eastAsia="Arial" w:hAnsi="Arial" w:cs="Arial"/>
          <w:color w:val="000000"/>
          <w:sz w:val="24"/>
          <w:szCs w:val="24"/>
        </w:rPr>
        <w:t xml:space="preserve"> </w:t>
      </w:r>
    </w:p>
    <w:p w14:paraId="0000004D"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FF"/>
          <w:sz w:val="24"/>
          <w:szCs w:val="24"/>
          <w:u w:val="single"/>
        </w:rPr>
      </w:pPr>
      <w:r w:rsidRPr="000D5F0A">
        <w:rPr>
          <w:rFonts w:ascii="Arial" w:eastAsia="Arial" w:hAnsi="Arial" w:cs="Arial"/>
          <w:color w:val="000000"/>
          <w:sz w:val="24"/>
          <w:szCs w:val="24"/>
        </w:rPr>
        <w:t xml:space="preserve">InterContinental Hotels Group PLC. (n.d.). The Hospitality for Good. [online] Available at:   </w:t>
      </w:r>
      <w:hyperlink r:id="rId17">
        <w:r w:rsidR="003D4353" w:rsidRPr="000D5F0A">
          <w:rPr>
            <w:rFonts w:ascii="Arial" w:eastAsia="Arial" w:hAnsi="Arial" w:cs="Arial"/>
            <w:color w:val="0000FF"/>
            <w:sz w:val="24"/>
            <w:szCs w:val="24"/>
            <w:u w:val="single"/>
          </w:rPr>
          <w:t>https://www.ihg.com/content/gb/en/sustainability-low-carbon</w:t>
        </w:r>
      </w:hyperlink>
    </w:p>
    <w:p w14:paraId="0000004E"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proofErr w:type="spellStart"/>
      <w:r w:rsidRPr="000D5F0A">
        <w:rPr>
          <w:rFonts w:ascii="Arial" w:eastAsia="Arial" w:hAnsi="Arial" w:cs="Arial"/>
          <w:color w:val="000000"/>
          <w:sz w:val="24"/>
          <w:szCs w:val="24"/>
        </w:rPr>
        <w:t>IvyPanda</w:t>
      </w:r>
      <w:proofErr w:type="spellEnd"/>
      <w:r w:rsidRPr="000D5F0A">
        <w:rPr>
          <w:rFonts w:ascii="Arial" w:eastAsia="Arial" w:hAnsi="Arial" w:cs="Arial"/>
          <w:color w:val="000000"/>
          <w:sz w:val="24"/>
          <w:szCs w:val="24"/>
        </w:rPr>
        <w:t xml:space="preserve">. (2023). </w:t>
      </w:r>
      <w:r w:rsidRPr="000D5F0A">
        <w:rPr>
          <w:rFonts w:ascii="Arial" w:eastAsia="Arial" w:hAnsi="Arial" w:cs="Arial"/>
          <w:i/>
          <w:color w:val="000000"/>
          <w:sz w:val="24"/>
          <w:szCs w:val="24"/>
        </w:rPr>
        <w:t>Intercontinental Hotels Group - Green Engage sustainability system - 1352 Words | Report Example</w:t>
      </w:r>
      <w:r w:rsidRPr="000D5F0A">
        <w:rPr>
          <w:rFonts w:ascii="Arial" w:eastAsia="Arial" w:hAnsi="Arial" w:cs="Arial"/>
          <w:color w:val="000000"/>
          <w:sz w:val="24"/>
          <w:szCs w:val="24"/>
        </w:rPr>
        <w:t xml:space="preserve">. [online] Available at: </w:t>
      </w:r>
      <w:hyperlink r:id="rId18">
        <w:r w:rsidR="003D4353" w:rsidRPr="000D5F0A">
          <w:rPr>
            <w:rFonts w:ascii="Arial" w:eastAsia="Arial" w:hAnsi="Arial" w:cs="Arial"/>
            <w:color w:val="0000FF"/>
            <w:sz w:val="24"/>
            <w:szCs w:val="24"/>
            <w:u w:val="single"/>
          </w:rPr>
          <w:t>https://ivypanda.com/essays/intercontinental-hotels-group-green-engage-sustainability-system/</w:t>
        </w:r>
      </w:hyperlink>
      <w:r w:rsidRPr="000D5F0A">
        <w:rPr>
          <w:rFonts w:ascii="Arial" w:eastAsia="Arial" w:hAnsi="Arial" w:cs="Arial"/>
          <w:color w:val="000000"/>
          <w:sz w:val="24"/>
          <w:szCs w:val="24"/>
        </w:rPr>
        <w:t xml:space="preserve">  [Accessed 17 Oct. 2024] </w:t>
      </w:r>
    </w:p>
    <w:p w14:paraId="0000004F"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McGrath, A. and Jonker, A. (2023). </w:t>
      </w:r>
      <w:r w:rsidRPr="000D5F0A">
        <w:rPr>
          <w:rFonts w:ascii="Arial" w:eastAsia="Arial" w:hAnsi="Arial" w:cs="Arial"/>
          <w:i/>
          <w:color w:val="000000"/>
          <w:sz w:val="24"/>
          <w:szCs w:val="24"/>
        </w:rPr>
        <w:t>What is corporate social responsibility (CSR)? | IBM</w:t>
      </w:r>
      <w:r w:rsidRPr="000D5F0A">
        <w:rPr>
          <w:rFonts w:ascii="Arial" w:eastAsia="Arial" w:hAnsi="Arial" w:cs="Arial"/>
          <w:color w:val="000000"/>
          <w:sz w:val="24"/>
          <w:szCs w:val="24"/>
        </w:rPr>
        <w:t xml:space="preserve">. [online] www.ibm.com. Available at: </w:t>
      </w:r>
      <w:hyperlink r:id="rId19">
        <w:r w:rsidR="003D4353" w:rsidRPr="000D5F0A">
          <w:rPr>
            <w:rFonts w:ascii="Arial" w:eastAsia="Arial" w:hAnsi="Arial" w:cs="Arial"/>
            <w:color w:val="0000FF"/>
            <w:sz w:val="24"/>
            <w:szCs w:val="24"/>
            <w:u w:val="single"/>
          </w:rPr>
          <w:t>https://www.ibm.com/topics/corporate-social-responsibility</w:t>
        </w:r>
      </w:hyperlink>
      <w:r w:rsidRPr="000D5F0A">
        <w:rPr>
          <w:rFonts w:ascii="Arial" w:eastAsia="Arial" w:hAnsi="Arial" w:cs="Arial"/>
          <w:color w:val="000000"/>
          <w:sz w:val="24"/>
          <w:szCs w:val="24"/>
        </w:rPr>
        <w:t xml:space="preserve"> </w:t>
      </w:r>
    </w:p>
    <w:p w14:paraId="00000050"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proofErr w:type="spellStart"/>
      <w:r w:rsidRPr="000D5F0A">
        <w:rPr>
          <w:rFonts w:ascii="Arial" w:eastAsia="Arial" w:hAnsi="Arial" w:cs="Arial"/>
          <w:color w:val="000000"/>
          <w:sz w:val="24"/>
          <w:szCs w:val="24"/>
        </w:rPr>
        <w:t>Mohyletska</w:t>
      </w:r>
      <w:proofErr w:type="spellEnd"/>
      <w:r w:rsidRPr="000D5F0A">
        <w:rPr>
          <w:rFonts w:ascii="Arial" w:eastAsia="Arial" w:hAnsi="Arial" w:cs="Arial"/>
          <w:color w:val="000000"/>
          <w:sz w:val="24"/>
          <w:szCs w:val="24"/>
        </w:rPr>
        <w:t xml:space="preserve">, U. (2023). </w:t>
      </w:r>
      <w:r w:rsidRPr="000D5F0A">
        <w:rPr>
          <w:rFonts w:ascii="Arial" w:eastAsia="Arial" w:hAnsi="Arial" w:cs="Arial"/>
          <w:i/>
          <w:color w:val="000000"/>
          <w:sz w:val="24"/>
          <w:szCs w:val="24"/>
        </w:rPr>
        <w:t>How does CSR affect companies’ financial performance?</w:t>
      </w:r>
      <w:r w:rsidRPr="000D5F0A">
        <w:rPr>
          <w:rFonts w:ascii="Arial" w:eastAsia="Arial" w:hAnsi="Arial" w:cs="Arial"/>
          <w:color w:val="000000"/>
          <w:sz w:val="24"/>
          <w:szCs w:val="24"/>
        </w:rPr>
        <w:t xml:space="preserve"> [online] www.ecohz.com. Available at: </w:t>
      </w:r>
      <w:hyperlink r:id="rId20">
        <w:r w:rsidR="003D4353" w:rsidRPr="000D5F0A">
          <w:rPr>
            <w:rFonts w:ascii="Arial" w:eastAsia="Arial" w:hAnsi="Arial" w:cs="Arial"/>
            <w:color w:val="0000FF"/>
            <w:sz w:val="24"/>
            <w:szCs w:val="24"/>
            <w:u w:val="single"/>
          </w:rPr>
          <w:t>https://www.ecohz.com/blog/how-does-csr-affect-companies-financial-performance</w:t>
        </w:r>
      </w:hyperlink>
      <w:r w:rsidRPr="000D5F0A">
        <w:rPr>
          <w:rFonts w:ascii="Arial" w:eastAsia="Arial" w:hAnsi="Arial" w:cs="Arial"/>
          <w:color w:val="000000"/>
          <w:sz w:val="24"/>
          <w:szCs w:val="24"/>
        </w:rPr>
        <w:t xml:space="preserve"> </w:t>
      </w:r>
    </w:p>
    <w:p w14:paraId="00000051"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PricewaterhouseCoopers (2023a). </w:t>
      </w:r>
      <w:r w:rsidRPr="000D5F0A">
        <w:rPr>
          <w:rFonts w:ascii="Arial" w:eastAsia="Arial" w:hAnsi="Arial" w:cs="Arial"/>
          <w:i/>
          <w:color w:val="000000"/>
          <w:sz w:val="24"/>
          <w:szCs w:val="24"/>
        </w:rPr>
        <w:t>Hotels Must Accelerate Transformation as Cost Pressures Hit the Bottom Line</w:t>
      </w:r>
      <w:r w:rsidRPr="000D5F0A">
        <w:rPr>
          <w:rFonts w:ascii="Arial" w:eastAsia="Arial" w:hAnsi="Arial" w:cs="Arial"/>
          <w:color w:val="000000"/>
          <w:sz w:val="24"/>
          <w:szCs w:val="24"/>
        </w:rPr>
        <w:t xml:space="preserve">. [online] PwC. Available at: </w:t>
      </w:r>
      <w:hyperlink r:id="rId21">
        <w:r w:rsidR="003D4353" w:rsidRPr="000D5F0A">
          <w:rPr>
            <w:rFonts w:ascii="Arial" w:eastAsia="Arial" w:hAnsi="Arial" w:cs="Arial"/>
            <w:color w:val="0000FF"/>
            <w:sz w:val="24"/>
            <w:szCs w:val="24"/>
            <w:u w:val="single"/>
          </w:rPr>
          <w:t>https://www.pwc.co.uk/industries/hospitality-leisure/insights/hotel-operating-efficiency-in-spotlight-with-rising-costs-on-track-to-outstrip-revenue-growth.html</w:t>
        </w:r>
      </w:hyperlink>
      <w:r w:rsidRPr="000D5F0A">
        <w:rPr>
          <w:rFonts w:ascii="Arial" w:eastAsia="Arial" w:hAnsi="Arial" w:cs="Arial"/>
          <w:color w:val="000000"/>
          <w:sz w:val="24"/>
          <w:szCs w:val="24"/>
        </w:rPr>
        <w:t xml:space="preserve"> </w:t>
      </w:r>
    </w:p>
    <w:p w14:paraId="00000052"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PricewaterhouseCoopers (2024). </w:t>
      </w:r>
      <w:r w:rsidRPr="000D5F0A">
        <w:rPr>
          <w:rFonts w:ascii="Arial" w:eastAsia="Arial" w:hAnsi="Arial" w:cs="Arial"/>
          <w:i/>
          <w:color w:val="000000"/>
          <w:sz w:val="24"/>
          <w:szCs w:val="24"/>
        </w:rPr>
        <w:t xml:space="preserve">Consumers Willing to Pay 9.7% Sustainability premium, Even as cost-of-living and Inflationary Concerns weigh: PwC 2024 Voice of </w:t>
      </w:r>
      <w:r w:rsidRPr="000D5F0A">
        <w:rPr>
          <w:rFonts w:ascii="Arial" w:eastAsia="Arial" w:hAnsi="Arial" w:cs="Arial"/>
          <w:i/>
          <w:color w:val="000000"/>
          <w:sz w:val="24"/>
          <w:szCs w:val="24"/>
        </w:rPr>
        <w:lastRenderedPageBreak/>
        <w:t>the Consumer Survey</w:t>
      </w:r>
      <w:r w:rsidRPr="000D5F0A">
        <w:rPr>
          <w:rFonts w:ascii="Arial" w:eastAsia="Arial" w:hAnsi="Arial" w:cs="Arial"/>
          <w:color w:val="000000"/>
          <w:sz w:val="24"/>
          <w:szCs w:val="24"/>
        </w:rPr>
        <w:t xml:space="preserve">. [online] PwC. Available at: </w:t>
      </w:r>
      <w:hyperlink r:id="rId22">
        <w:r w:rsidR="003D4353" w:rsidRPr="000D5F0A">
          <w:rPr>
            <w:rFonts w:ascii="Arial" w:eastAsia="Arial" w:hAnsi="Arial" w:cs="Arial"/>
            <w:color w:val="0000FF"/>
            <w:sz w:val="24"/>
            <w:szCs w:val="24"/>
            <w:u w:val="single"/>
          </w:rPr>
          <w:t>https://www.pwc.com/gx/en/news-room/press-releases/2024/pwc-2024-voice-of-consumer-survey.html</w:t>
        </w:r>
      </w:hyperlink>
      <w:r w:rsidRPr="000D5F0A">
        <w:rPr>
          <w:rFonts w:ascii="Arial" w:eastAsia="Arial" w:hAnsi="Arial" w:cs="Arial"/>
          <w:color w:val="000000"/>
          <w:sz w:val="24"/>
          <w:szCs w:val="24"/>
        </w:rPr>
        <w:t xml:space="preserve"> </w:t>
      </w:r>
    </w:p>
    <w:p w14:paraId="00000053"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PricewaterhouseCoopers (2023). </w:t>
      </w:r>
      <w:r w:rsidRPr="000D5F0A">
        <w:rPr>
          <w:rFonts w:ascii="Arial" w:eastAsia="Arial" w:hAnsi="Arial" w:cs="Arial"/>
          <w:i/>
          <w:color w:val="000000"/>
          <w:sz w:val="24"/>
          <w:szCs w:val="24"/>
        </w:rPr>
        <w:t>How to measure your ESG performance</w:t>
      </w:r>
      <w:r w:rsidRPr="000D5F0A">
        <w:rPr>
          <w:rFonts w:ascii="Arial" w:eastAsia="Arial" w:hAnsi="Arial" w:cs="Arial"/>
          <w:color w:val="000000"/>
          <w:sz w:val="24"/>
          <w:szCs w:val="24"/>
        </w:rPr>
        <w:t xml:space="preserve">. [online] PwC. Available at: </w:t>
      </w:r>
      <w:hyperlink r:id="rId23">
        <w:r w:rsidR="003D4353" w:rsidRPr="000D5F0A">
          <w:rPr>
            <w:rFonts w:ascii="Arial" w:eastAsia="Arial" w:hAnsi="Arial" w:cs="Arial"/>
            <w:color w:val="0000FF"/>
            <w:sz w:val="24"/>
            <w:szCs w:val="24"/>
            <w:u w:val="single"/>
          </w:rPr>
          <w:t>https://www.pwc.com/ca/en/today-s-issues/environmental-social-and-governance/measure-esg-performance.html</w:t>
        </w:r>
      </w:hyperlink>
      <w:r w:rsidRPr="000D5F0A">
        <w:rPr>
          <w:rFonts w:ascii="Arial" w:eastAsia="Arial" w:hAnsi="Arial" w:cs="Arial"/>
          <w:color w:val="000000"/>
          <w:sz w:val="24"/>
          <w:szCs w:val="24"/>
        </w:rPr>
        <w:t xml:space="preserve"> </w:t>
      </w:r>
    </w:p>
    <w:p w14:paraId="00000054" w14:textId="77777777" w:rsidR="003D4353" w:rsidRPr="000D5F0A" w:rsidRDefault="00000000" w:rsidP="000D5F0A">
      <w:pPr>
        <w:pBdr>
          <w:top w:val="nil"/>
          <w:left w:val="nil"/>
          <w:bottom w:val="nil"/>
          <w:right w:val="nil"/>
          <w:between w:val="nil"/>
        </w:pBdr>
        <w:spacing w:line="360" w:lineRule="auto"/>
        <w:rPr>
          <w:rFonts w:ascii="Arial" w:eastAsia="Arial" w:hAnsi="Arial" w:cs="Arial"/>
          <w:sz w:val="24"/>
          <w:szCs w:val="24"/>
        </w:rPr>
      </w:pPr>
      <w:r w:rsidRPr="000D5F0A">
        <w:rPr>
          <w:rFonts w:ascii="Arial" w:eastAsia="Arial" w:hAnsi="Arial" w:cs="Arial"/>
          <w:sz w:val="24"/>
          <w:szCs w:val="24"/>
        </w:rPr>
        <w:t xml:space="preserve">The Hotel Conversation (2022) </w:t>
      </w:r>
      <w:r w:rsidRPr="000D5F0A">
        <w:rPr>
          <w:rFonts w:ascii="Arial" w:eastAsia="Arial" w:hAnsi="Arial" w:cs="Arial"/>
          <w:i/>
          <w:sz w:val="24"/>
          <w:szCs w:val="24"/>
        </w:rPr>
        <w:t>IHG Hotels &amp; Resorts’ Skills Academy goes global</w:t>
      </w:r>
      <w:r w:rsidRPr="000D5F0A">
        <w:rPr>
          <w:rFonts w:ascii="Arial" w:eastAsia="Arial" w:hAnsi="Arial" w:cs="Arial"/>
          <w:sz w:val="24"/>
          <w:szCs w:val="24"/>
        </w:rPr>
        <w:t xml:space="preserve"> [online] Available at: </w:t>
      </w:r>
      <w:bookmarkStart w:id="6" w:name="_Hlk180160306"/>
      <w:r w:rsidRPr="000D5F0A">
        <w:rPr>
          <w:rFonts w:ascii="Arial" w:hAnsi="Arial" w:cs="Arial"/>
          <w:sz w:val="24"/>
          <w:szCs w:val="24"/>
        </w:rPr>
        <w:fldChar w:fldCharType="begin"/>
      </w:r>
      <w:r w:rsidRPr="000D5F0A">
        <w:rPr>
          <w:rFonts w:ascii="Arial" w:hAnsi="Arial" w:cs="Arial"/>
          <w:sz w:val="24"/>
          <w:szCs w:val="24"/>
        </w:rPr>
        <w:instrText>HYPERLINK "https://www.thehotelconversation.com.au/profiles/2022/12/15/ihg-hotels-resorts%E2%80%99-skills-academy-goes-global/1671057903" \h</w:instrText>
      </w:r>
      <w:r w:rsidRPr="000D5F0A">
        <w:rPr>
          <w:rFonts w:ascii="Arial" w:hAnsi="Arial" w:cs="Arial"/>
          <w:sz w:val="24"/>
          <w:szCs w:val="24"/>
        </w:rPr>
      </w:r>
      <w:r w:rsidRPr="000D5F0A">
        <w:rPr>
          <w:rFonts w:ascii="Arial" w:hAnsi="Arial" w:cs="Arial"/>
          <w:sz w:val="24"/>
          <w:szCs w:val="24"/>
        </w:rPr>
        <w:fldChar w:fldCharType="separate"/>
      </w:r>
      <w:r w:rsidRPr="000D5F0A">
        <w:rPr>
          <w:rFonts w:ascii="Arial" w:eastAsia="Arial" w:hAnsi="Arial" w:cs="Arial"/>
          <w:color w:val="0000FF"/>
          <w:sz w:val="24"/>
          <w:szCs w:val="24"/>
          <w:u w:val="single"/>
        </w:rPr>
        <w:t>https://www.thehotelconversation.com.au/profiles/2022/12/15/ihg-hotels-resorts%E2%80%99-skills-academy-goes-global/1671057903</w:t>
      </w:r>
      <w:r w:rsidRPr="000D5F0A">
        <w:rPr>
          <w:rFonts w:ascii="Arial" w:eastAsia="Arial" w:hAnsi="Arial" w:cs="Arial"/>
          <w:color w:val="0000FF"/>
          <w:sz w:val="24"/>
          <w:szCs w:val="24"/>
          <w:u w:val="single"/>
        </w:rPr>
        <w:fldChar w:fldCharType="end"/>
      </w:r>
      <w:r w:rsidRPr="000D5F0A">
        <w:rPr>
          <w:rFonts w:ascii="Arial" w:eastAsia="Arial" w:hAnsi="Arial" w:cs="Arial"/>
          <w:sz w:val="24"/>
          <w:szCs w:val="24"/>
        </w:rPr>
        <w:t xml:space="preserve"> </w:t>
      </w:r>
    </w:p>
    <w:bookmarkEnd w:id="6"/>
    <w:p w14:paraId="00000055"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www.diginex.com. (2023). </w:t>
      </w:r>
      <w:r w:rsidRPr="000D5F0A">
        <w:rPr>
          <w:rFonts w:ascii="Arial" w:eastAsia="Arial" w:hAnsi="Arial" w:cs="Arial"/>
          <w:i/>
          <w:color w:val="000000"/>
          <w:sz w:val="24"/>
          <w:szCs w:val="24"/>
        </w:rPr>
        <w:t>Methods for Measuring ESG</w:t>
      </w:r>
      <w:r w:rsidRPr="000D5F0A">
        <w:rPr>
          <w:rFonts w:ascii="Arial" w:eastAsia="Arial" w:hAnsi="Arial" w:cs="Arial"/>
          <w:color w:val="000000"/>
          <w:sz w:val="24"/>
          <w:szCs w:val="24"/>
        </w:rPr>
        <w:t xml:space="preserve">. [online] Available at: </w:t>
      </w:r>
      <w:hyperlink r:id="rId24">
        <w:r w:rsidR="003D4353" w:rsidRPr="000D5F0A">
          <w:rPr>
            <w:rFonts w:ascii="Arial" w:eastAsia="Arial" w:hAnsi="Arial" w:cs="Arial"/>
            <w:color w:val="0000FF"/>
            <w:sz w:val="24"/>
            <w:szCs w:val="24"/>
            <w:u w:val="single"/>
          </w:rPr>
          <w:t>https://www.diginex.com/insights/what-are-the-common-methods-for-measuring-esg-in-a-company</w:t>
        </w:r>
      </w:hyperlink>
      <w:r w:rsidRPr="000D5F0A">
        <w:rPr>
          <w:rFonts w:ascii="Arial" w:eastAsia="Arial" w:hAnsi="Arial" w:cs="Arial"/>
          <w:color w:val="000000"/>
          <w:sz w:val="24"/>
          <w:szCs w:val="24"/>
        </w:rPr>
        <w:t xml:space="preserve"> </w:t>
      </w:r>
    </w:p>
    <w:p w14:paraId="00000056"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www.dsworkfit.org.uk. (n.d.). </w:t>
      </w:r>
      <w:r w:rsidRPr="000D5F0A">
        <w:rPr>
          <w:rFonts w:ascii="Arial" w:eastAsia="Arial" w:hAnsi="Arial" w:cs="Arial"/>
          <w:i/>
          <w:color w:val="000000"/>
          <w:sz w:val="24"/>
          <w:szCs w:val="24"/>
        </w:rPr>
        <w:t xml:space="preserve">IHG Academy offer work-based learning opportunities | </w:t>
      </w:r>
      <w:proofErr w:type="spellStart"/>
      <w:r w:rsidRPr="000D5F0A">
        <w:rPr>
          <w:rFonts w:ascii="Arial" w:eastAsia="Arial" w:hAnsi="Arial" w:cs="Arial"/>
          <w:i/>
          <w:color w:val="000000"/>
          <w:sz w:val="24"/>
          <w:szCs w:val="24"/>
        </w:rPr>
        <w:t>WorkFit</w:t>
      </w:r>
      <w:proofErr w:type="spellEnd"/>
      <w:r w:rsidRPr="000D5F0A">
        <w:rPr>
          <w:rFonts w:ascii="Arial" w:eastAsia="Arial" w:hAnsi="Arial" w:cs="Arial"/>
          <w:color w:val="000000"/>
          <w:sz w:val="24"/>
          <w:szCs w:val="24"/>
        </w:rPr>
        <w:t xml:space="preserve">. [online] Available at: </w:t>
      </w:r>
      <w:hyperlink r:id="rId25">
        <w:r w:rsidR="003D4353" w:rsidRPr="000D5F0A">
          <w:rPr>
            <w:rFonts w:ascii="Arial" w:eastAsia="Arial" w:hAnsi="Arial" w:cs="Arial"/>
            <w:color w:val="0000FF"/>
            <w:sz w:val="24"/>
            <w:szCs w:val="24"/>
            <w:u w:val="single"/>
          </w:rPr>
          <w:t>https://www.dsworkfit.org.uk/2016/01/21/ihg-academy-offer-work-based-learning-opportunities/</w:t>
        </w:r>
      </w:hyperlink>
      <w:r w:rsidRPr="000D5F0A">
        <w:rPr>
          <w:rFonts w:ascii="Arial" w:eastAsia="Arial" w:hAnsi="Arial" w:cs="Arial"/>
          <w:color w:val="000000"/>
          <w:sz w:val="24"/>
          <w:szCs w:val="24"/>
        </w:rPr>
        <w:t xml:space="preserve"> </w:t>
      </w:r>
    </w:p>
    <w:p w14:paraId="00000057" w14:textId="77777777" w:rsidR="003D4353" w:rsidRPr="000D5F0A" w:rsidRDefault="00000000" w:rsidP="000D5F0A">
      <w:pPr>
        <w:pBdr>
          <w:top w:val="nil"/>
          <w:left w:val="nil"/>
          <w:bottom w:val="nil"/>
          <w:right w:val="nil"/>
          <w:between w:val="nil"/>
        </w:pBdr>
        <w:spacing w:after="240" w:line="360" w:lineRule="auto"/>
        <w:rPr>
          <w:rFonts w:ascii="Arial" w:eastAsia="Arial" w:hAnsi="Arial" w:cs="Arial"/>
          <w:color w:val="000000"/>
          <w:sz w:val="24"/>
          <w:szCs w:val="24"/>
        </w:rPr>
      </w:pPr>
      <w:r w:rsidRPr="000D5F0A">
        <w:rPr>
          <w:rFonts w:ascii="Arial" w:eastAsia="Arial" w:hAnsi="Arial" w:cs="Arial"/>
          <w:color w:val="000000"/>
          <w:sz w:val="24"/>
          <w:szCs w:val="24"/>
        </w:rPr>
        <w:t xml:space="preserve">www.leumiuk.com. (2023). </w:t>
      </w:r>
      <w:r w:rsidRPr="000D5F0A">
        <w:rPr>
          <w:rFonts w:ascii="Arial" w:eastAsia="Arial" w:hAnsi="Arial" w:cs="Arial"/>
          <w:i/>
          <w:color w:val="000000"/>
          <w:sz w:val="24"/>
          <w:szCs w:val="24"/>
        </w:rPr>
        <w:t>Leumi UK - Environmental regulations are a way off for hotels – but owners should act on ESG now</w:t>
      </w:r>
      <w:r w:rsidRPr="000D5F0A">
        <w:rPr>
          <w:rFonts w:ascii="Arial" w:eastAsia="Arial" w:hAnsi="Arial" w:cs="Arial"/>
          <w:color w:val="000000"/>
          <w:sz w:val="24"/>
          <w:szCs w:val="24"/>
        </w:rPr>
        <w:t xml:space="preserve">. [online] Available at: </w:t>
      </w:r>
      <w:hyperlink r:id="rId26">
        <w:r w:rsidR="003D4353" w:rsidRPr="000D5F0A">
          <w:rPr>
            <w:rFonts w:ascii="Arial" w:eastAsia="Arial" w:hAnsi="Arial" w:cs="Arial"/>
            <w:color w:val="1155CC"/>
            <w:sz w:val="24"/>
            <w:szCs w:val="24"/>
            <w:u w:val="single"/>
          </w:rPr>
          <w:t>https://www.leumiuk.com/news/environmental-regulations-are-a-way-off-for-hotels-but-owners-should-act-on-esg-now</w:t>
        </w:r>
      </w:hyperlink>
      <w:r w:rsidRPr="000D5F0A">
        <w:rPr>
          <w:rFonts w:ascii="Arial" w:eastAsia="Arial" w:hAnsi="Arial" w:cs="Arial"/>
          <w:color w:val="000000"/>
          <w:sz w:val="24"/>
          <w:szCs w:val="24"/>
        </w:rPr>
        <w:t xml:space="preserve"> </w:t>
      </w:r>
    </w:p>
    <w:p w14:paraId="00000058" w14:textId="77777777" w:rsidR="003D4353" w:rsidRPr="000D5F0A" w:rsidRDefault="00000000" w:rsidP="000D5F0A">
      <w:pPr>
        <w:pBdr>
          <w:top w:val="nil"/>
          <w:left w:val="nil"/>
          <w:bottom w:val="nil"/>
          <w:right w:val="nil"/>
          <w:between w:val="nil"/>
        </w:pBdr>
        <w:spacing w:line="360" w:lineRule="auto"/>
        <w:rPr>
          <w:rFonts w:ascii="Arial" w:eastAsia="Arial" w:hAnsi="Arial" w:cs="Arial"/>
          <w:sz w:val="24"/>
          <w:szCs w:val="24"/>
        </w:rPr>
      </w:pPr>
      <w:r w:rsidRPr="000D5F0A">
        <w:rPr>
          <w:rFonts w:ascii="Arial" w:eastAsia="Arial" w:hAnsi="Arial" w:cs="Arial"/>
          <w:sz w:val="24"/>
          <w:szCs w:val="24"/>
        </w:rPr>
        <w:t xml:space="preserve"> </w:t>
      </w:r>
    </w:p>
    <w:sectPr w:rsidR="003D4353" w:rsidRPr="000D5F0A">
      <w:footerReference w:type="default" r:id="rId2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5930D" w14:textId="77777777" w:rsidR="00300B2A" w:rsidRDefault="00300B2A">
      <w:pPr>
        <w:spacing w:after="0" w:line="240" w:lineRule="auto"/>
      </w:pPr>
      <w:r>
        <w:separator/>
      </w:r>
    </w:p>
  </w:endnote>
  <w:endnote w:type="continuationSeparator" w:id="0">
    <w:p w14:paraId="64E5899F" w14:textId="77777777" w:rsidR="00300B2A" w:rsidRDefault="0030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9" w14:textId="040D87B5" w:rsidR="003D4353" w:rsidRDefault="00000000">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E932A8">
      <w:rPr>
        <w:noProof/>
        <w:color w:val="000000"/>
      </w:rPr>
      <w:t>1</w:t>
    </w:r>
    <w:r>
      <w:rPr>
        <w:color w:val="000000"/>
      </w:rPr>
      <w:fldChar w:fldCharType="end"/>
    </w:r>
  </w:p>
  <w:p w14:paraId="0000005A" w14:textId="77777777" w:rsidR="003D4353" w:rsidRDefault="003D4353">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78A1D" w14:textId="77777777" w:rsidR="00300B2A" w:rsidRDefault="00300B2A">
      <w:pPr>
        <w:spacing w:after="0" w:line="240" w:lineRule="auto"/>
      </w:pPr>
      <w:r>
        <w:separator/>
      </w:r>
    </w:p>
  </w:footnote>
  <w:footnote w:type="continuationSeparator" w:id="0">
    <w:p w14:paraId="64637668" w14:textId="77777777" w:rsidR="00300B2A" w:rsidRDefault="00300B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353"/>
    <w:rsid w:val="000D5F0A"/>
    <w:rsid w:val="00254142"/>
    <w:rsid w:val="002D1CF5"/>
    <w:rsid w:val="002F6BCA"/>
    <w:rsid w:val="00300B2A"/>
    <w:rsid w:val="00325871"/>
    <w:rsid w:val="003D4353"/>
    <w:rsid w:val="004553CC"/>
    <w:rsid w:val="004E5967"/>
    <w:rsid w:val="00667671"/>
    <w:rsid w:val="006C5D95"/>
    <w:rsid w:val="00902F48"/>
    <w:rsid w:val="0090657D"/>
    <w:rsid w:val="00B0266A"/>
    <w:rsid w:val="00B511D6"/>
    <w:rsid w:val="00E93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AEB5"/>
  <w15:docId w15:val="{2EC93D4F-C968-4E03-A5BC-80A78BE7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spacing w:before="240" w:after="60"/>
      <w:outlineLvl w:val="0"/>
    </w:pPr>
    <w:rPr>
      <w:b/>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spacing w:before="100" w:after="100"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Heading5">
    <w:name w:val="heading 5"/>
    <w:basedOn w:val="Normal"/>
    <w:next w:val="Normal"/>
    <w:uiPriority w:val="9"/>
    <w:semiHidden/>
    <w:unhideWhenUsed/>
    <w:qFormat/>
    <w:pPr>
      <w:pBdr>
        <w:top w:val="nil"/>
        <w:left w:val="nil"/>
        <w:bottom w:val="nil"/>
        <w:right w:val="nil"/>
        <w:between w:val="nil"/>
      </w:pBdr>
      <w:spacing w:before="240" w:after="60"/>
      <w:outlineLvl w:val="4"/>
    </w:pPr>
    <w:rPr>
      <w:b/>
      <w:i/>
      <w:sz w:val="26"/>
      <w:szCs w:val="26"/>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Subtitle">
    <w:name w:val="Subtitle"/>
    <w:basedOn w:val="Normal"/>
    <w:next w:val="Normal"/>
    <w:uiPriority w:val="11"/>
    <w:qFormat/>
    <w:pPr>
      <w:pBdr>
        <w:top w:val="nil"/>
        <w:left w:val="nil"/>
        <w:bottom w:val="nil"/>
        <w:right w:val="nil"/>
        <w:between w:val="nil"/>
      </w:pBd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226364">
      <w:bodyDiv w:val="1"/>
      <w:marLeft w:val="0"/>
      <w:marRight w:val="0"/>
      <w:marTop w:val="0"/>
      <w:marBottom w:val="0"/>
      <w:divBdr>
        <w:top w:val="none" w:sz="0" w:space="0" w:color="auto"/>
        <w:left w:val="none" w:sz="0" w:space="0" w:color="auto"/>
        <w:bottom w:val="none" w:sz="0" w:space="0" w:color="auto"/>
        <w:right w:val="none" w:sz="0" w:space="0" w:color="auto"/>
      </w:divBdr>
      <w:divsChild>
        <w:div w:id="161162137">
          <w:marLeft w:val="0"/>
          <w:marRight w:val="0"/>
          <w:marTop w:val="0"/>
          <w:marBottom w:val="0"/>
          <w:divBdr>
            <w:top w:val="none" w:sz="0" w:space="0" w:color="auto"/>
            <w:left w:val="none" w:sz="0" w:space="0" w:color="auto"/>
            <w:bottom w:val="none" w:sz="0" w:space="0" w:color="auto"/>
            <w:right w:val="none" w:sz="0" w:space="0" w:color="auto"/>
          </w:divBdr>
          <w:divsChild>
            <w:div w:id="1857570184">
              <w:marLeft w:val="0"/>
              <w:marRight w:val="0"/>
              <w:marTop w:val="0"/>
              <w:marBottom w:val="0"/>
              <w:divBdr>
                <w:top w:val="none" w:sz="0" w:space="0" w:color="auto"/>
                <w:left w:val="none" w:sz="0" w:space="0" w:color="auto"/>
                <w:bottom w:val="none" w:sz="0" w:space="0" w:color="auto"/>
                <w:right w:val="none" w:sz="0" w:space="0" w:color="auto"/>
              </w:divBdr>
              <w:divsChild>
                <w:div w:id="269092791">
                  <w:marLeft w:val="0"/>
                  <w:marRight w:val="0"/>
                  <w:marTop w:val="0"/>
                  <w:marBottom w:val="0"/>
                  <w:divBdr>
                    <w:top w:val="none" w:sz="0" w:space="0" w:color="auto"/>
                    <w:left w:val="none" w:sz="0" w:space="0" w:color="auto"/>
                    <w:bottom w:val="none" w:sz="0" w:space="0" w:color="auto"/>
                    <w:right w:val="none" w:sz="0" w:space="0" w:color="auto"/>
                  </w:divBdr>
                  <w:divsChild>
                    <w:div w:id="611597060">
                      <w:marLeft w:val="0"/>
                      <w:marRight w:val="0"/>
                      <w:marTop w:val="0"/>
                      <w:marBottom w:val="0"/>
                      <w:divBdr>
                        <w:top w:val="none" w:sz="0" w:space="0" w:color="auto"/>
                        <w:left w:val="none" w:sz="0" w:space="0" w:color="auto"/>
                        <w:bottom w:val="none" w:sz="0" w:space="0" w:color="auto"/>
                        <w:right w:val="none" w:sz="0" w:space="0" w:color="auto"/>
                      </w:divBdr>
                      <w:divsChild>
                        <w:div w:id="1380351906">
                          <w:marLeft w:val="0"/>
                          <w:marRight w:val="0"/>
                          <w:marTop w:val="0"/>
                          <w:marBottom w:val="0"/>
                          <w:divBdr>
                            <w:top w:val="none" w:sz="0" w:space="0" w:color="auto"/>
                            <w:left w:val="none" w:sz="0" w:space="0" w:color="auto"/>
                            <w:bottom w:val="none" w:sz="0" w:space="0" w:color="auto"/>
                            <w:right w:val="none" w:sz="0" w:space="0" w:color="auto"/>
                          </w:divBdr>
                          <w:divsChild>
                            <w:div w:id="866142105">
                              <w:marLeft w:val="0"/>
                              <w:marRight w:val="0"/>
                              <w:marTop w:val="0"/>
                              <w:marBottom w:val="0"/>
                              <w:divBdr>
                                <w:top w:val="single" w:sz="24" w:space="0" w:color="auto"/>
                                <w:left w:val="single" w:sz="24" w:space="0" w:color="auto"/>
                                <w:bottom w:val="single" w:sz="24" w:space="0" w:color="auto"/>
                                <w:right w:val="single" w:sz="24" w:space="0" w:color="auto"/>
                              </w:divBdr>
                              <w:divsChild>
                                <w:div w:id="145879224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uk/blog/hospitality/corporate-social-responsibility-hotels" TargetMode="External"/><Relationship Id="rId13" Type="http://schemas.openxmlformats.org/officeDocument/2006/relationships/hyperlink" Target="https://www.ihg.com/content/gb/en/support/green-engage" TargetMode="External"/><Relationship Id="rId18" Type="http://schemas.openxmlformats.org/officeDocument/2006/relationships/hyperlink" Target="https://ivypanda.com/essays/intercontinental-hotels-group-green-engage-sustainability-system/" TargetMode="External"/><Relationship Id="rId26" Type="http://schemas.openxmlformats.org/officeDocument/2006/relationships/hyperlink" Target="https://www.leumiuk.com/news/environmental-regulations-are-a-way-off-for-hotels-but-owners-should-act-on-esg-now" TargetMode="External"/><Relationship Id="rId3" Type="http://schemas.openxmlformats.org/officeDocument/2006/relationships/webSettings" Target="webSettings.xml"/><Relationship Id="rId21" Type="http://schemas.openxmlformats.org/officeDocument/2006/relationships/hyperlink" Target="https://www.pwc.co.uk/industries/hospitality-leisure/insights/hotel-operating-efficiency-in-spotlight-with-rising-costs-on-track-to-outstrip-revenue-growth.html" TargetMode="External"/><Relationship Id="rId7" Type="http://schemas.openxmlformats.org/officeDocument/2006/relationships/hyperlink" Target="https://www.investopedia.com/terms/c/corp-social-responsibility.asp" TargetMode="External"/><Relationship Id="rId12" Type="http://schemas.openxmlformats.org/officeDocument/2006/relationships/hyperlink" Target="https://www.ihgplc.com/en/news-and-media/news-releases/2022/ihg-hotels-and-resorts-skills-academy-goes-global" TargetMode="External"/><Relationship Id="rId17" Type="http://schemas.openxmlformats.org/officeDocument/2006/relationships/hyperlink" Target="https://www.ihg.com/content/gb/en/sustainability-low-carbon" TargetMode="External"/><Relationship Id="rId25" Type="http://schemas.openxmlformats.org/officeDocument/2006/relationships/hyperlink" Target="https://www.dsworkfit.org.uk/2016/01/21/ihg-academy-offer-work-based-learning-opportunities/" TargetMode="External"/><Relationship Id="rId2" Type="http://schemas.openxmlformats.org/officeDocument/2006/relationships/settings" Target="settings.xml"/><Relationship Id="rId16" Type="http://schemas.openxmlformats.org/officeDocument/2006/relationships/hyperlink" Target="https://development.ihg.com/sites/ihgplc/files/IHG/A%20sustainable%20business/I-H-G-R-B-R-Interactive-280222.pdf" TargetMode="External"/><Relationship Id="rId20" Type="http://schemas.openxmlformats.org/officeDocument/2006/relationships/hyperlink" Target="https://www.ecohz.com/blog/how-does-csr-affect-companies-financial-performanc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chtarget.com/sustainability/feature/ESG-metrics-Tips-and-examples-for-measuring-ESG-performance" TargetMode="External"/><Relationship Id="rId11" Type="http://schemas.openxmlformats.org/officeDocument/2006/relationships/hyperlink" Target="https://www.ihgplc.com/en/investors/shareholder-centre/annual-reports-and-responsible-business-reports" TargetMode="External"/><Relationship Id="rId24" Type="http://schemas.openxmlformats.org/officeDocument/2006/relationships/hyperlink" Target="https://www.diginex.com/insights/what-are-the-common-methods-for-measuring-esg-in-a-company" TargetMode="External"/><Relationship Id="rId5" Type="http://schemas.openxmlformats.org/officeDocument/2006/relationships/endnotes" Target="endnotes.xml"/><Relationship Id="rId15" Type="http://schemas.openxmlformats.org/officeDocument/2006/relationships/hyperlink" Target="https://www.ihgplc.com/en/responsible-business/journey-to-tomorrow" TargetMode="External"/><Relationship Id="rId23" Type="http://schemas.openxmlformats.org/officeDocument/2006/relationships/hyperlink" Target="https://www.pwc.com/ca/en/today-s-issues/environmental-social-and-governance/measure-esg-performance.html" TargetMode="External"/><Relationship Id="rId28" Type="http://schemas.openxmlformats.org/officeDocument/2006/relationships/fontTable" Target="fontTable.xml"/><Relationship Id="rId10" Type="http://schemas.openxmlformats.org/officeDocument/2006/relationships/hyperlink" Target="https://commonslibrary.parliament.uk/research-briefings/cbp-9111/" TargetMode="External"/><Relationship Id="rId19" Type="http://schemas.openxmlformats.org/officeDocument/2006/relationships/hyperlink" Target="https://www.ibm.com/topics/corporate-social-responsibility" TargetMode="External"/><Relationship Id="rId4" Type="http://schemas.openxmlformats.org/officeDocument/2006/relationships/footnotes" Target="footnotes.xml"/><Relationship Id="rId9" Type="http://schemas.openxmlformats.org/officeDocument/2006/relationships/hyperlink" Target="https://www.ihgplc.com/~/media/Files/I/Ihg-Plc/investors/annual-report-2021/ihg-2021-annual-report.pdf" TargetMode="External"/><Relationship Id="rId14" Type="http://schemas.openxmlformats.org/officeDocument/2006/relationships/hyperlink" Target="https://www.ihgplc.com/en/news-and-media/news-releases/2014/ihgs-green-engage-program-advances-water-conservation-efforts-in-california" TargetMode="External"/><Relationship Id="rId22" Type="http://schemas.openxmlformats.org/officeDocument/2006/relationships/hyperlink" Target="https://www.pwc.com/gx/en/news-room/press-releases/2024/pwc-2024-voice-of-consumer-survey.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14</Pages>
  <Words>3330</Words>
  <Characters>18983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Beuca</cp:lastModifiedBy>
  <cp:revision>6</cp:revision>
  <dcterms:created xsi:type="dcterms:W3CDTF">2024-10-18T14:52:00Z</dcterms:created>
  <dcterms:modified xsi:type="dcterms:W3CDTF">2024-10-21T18:04:00Z</dcterms:modified>
</cp:coreProperties>
</file>