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5C94B" w14:textId="3920C395" w:rsidR="0099289E" w:rsidRDefault="0099289E" w:rsidP="00ED4865">
      <w:pPr>
        <w:spacing w:line="360" w:lineRule="auto"/>
        <w:jc w:val="both"/>
        <w:rPr>
          <w:rFonts w:asciiTheme="minorBidi" w:hAnsiTheme="minorBidi"/>
          <w:b/>
          <w:bCs/>
        </w:rPr>
      </w:pPr>
    </w:p>
    <w:p w14:paraId="083C477C" w14:textId="77777777" w:rsidR="0099289E" w:rsidRDefault="0099289E" w:rsidP="00ED4865">
      <w:pPr>
        <w:spacing w:line="360" w:lineRule="auto"/>
        <w:jc w:val="both"/>
        <w:rPr>
          <w:rFonts w:asciiTheme="minorBidi" w:hAnsiTheme="minorBidi"/>
          <w:b/>
          <w:bCs/>
        </w:rPr>
      </w:pPr>
    </w:p>
    <w:p w14:paraId="17CFA121" w14:textId="77777777" w:rsidR="00444404" w:rsidRDefault="00444404" w:rsidP="005F135B">
      <w:pPr>
        <w:spacing w:line="360" w:lineRule="auto"/>
        <w:jc w:val="center"/>
        <w:rPr>
          <w:rFonts w:ascii="Helvetica Neue" w:eastAsia="Helvetica Neue" w:hAnsi="Helvetica Neue" w:cs="Helvetica Neue"/>
          <w:b/>
          <w:bCs/>
          <w:sz w:val="48"/>
          <w:szCs w:val="48"/>
        </w:rPr>
      </w:pPr>
    </w:p>
    <w:p w14:paraId="2E548DF3" w14:textId="77777777" w:rsidR="00444404" w:rsidRDefault="00444404" w:rsidP="005F135B">
      <w:pPr>
        <w:spacing w:line="360" w:lineRule="auto"/>
        <w:jc w:val="center"/>
        <w:rPr>
          <w:rFonts w:ascii="Helvetica Neue" w:eastAsia="Helvetica Neue" w:hAnsi="Helvetica Neue" w:cs="Helvetica Neue"/>
          <w:b/>
          <w:bCs/>
          <w:sz w:val="48"/>
          <w:szCs w:val="48"/>
        </w:rPr>
      </w:pPr>
    </w:p>
    <w:p w14:paraId="0CDB371C" w14:textId="13653FFD" w:rsidR="0099289E" w:rsidRPr="005F135B" w:rsidRDefault="000173FE" w:rsidP="005F135B">
      <w:pPr>
        <w:spacing w:line="360" w:lineRule="auto"/>
        <w:jc w:val="center"/>
        <w:rPr>
          <w:rFonts w:asciiTheme="minorBidi" w:hAnsiTheme="minorBidi"/>
          <w:b/>
          <w:bCs/>
          <w:sz w:val="48"/>
          <w:szCs w:val="48"/>
        </w:rPr>
      </w:pPr>
      <w:r w:rsidRPr="005F135B">
        <w:rPr>
          <w:rFonts w:ascii="Helvetica Neue" w:eastAsia="Helvetica Neue" w:hAnsi="Helvetica Neue" w:cs="Helvetica Neue"/>
          <w:b/>
          <w:bCs/>
          <w:sz w:val="48"/>
          <w:szCs w:val="48"/>
        </w:rPr>
        <w:t>Future People Management Strategy for BrightWave Services Ltd</w:t>
      </w:r>
      <w:r w:rsidRPr="005F135B">
        <w:rPr>
          <w:rFonts w:asciiTheme="minorBidi" w:hAnsiTheme="minorBidi"/>
          <w:sz w:val="48"/>
          <w:szCs w:val="48"/>
        </w:rPr>
        <w:br/>
      </w:r>
    </w:p>
    <w:p w14:paraId="6DF13017" w14:textId="77777777" w:rsidR="0099289E" w:rsidRDefault="0099289E" w:rsidP="00ED4865">
      <w:pPr>
        <w:spacing w:line="360" w:lineRule="auto"/>
        <w:jc w:val="both"/>
        <w:rPr>
          <w:rFonts w:asciiTheme="minorBidi" w:hAnsiTheme="minorBidi"/>
          <w:b/>
          <w:bCs/>
        </w:rPr>
      </w:pPr>
    </w:p>
    <w:p w14:paraId="12F0640C" w14:textId="2E020B67" w:rsidR="0099289E" w:rsidRPr="00611CDF" w:rsidRDefault="00611CDF" w:rsidP="00431E17">
      <w:pPr>
        <w:spacing w:line="360" w:lineRule="auto"/>
        <w:jc w:val="both"/>
        <w:rPr>
          <w:rFonts w:asciiTheme="minorBidi" w:hAnsiTheme="minorBidi"/>
          <w:b/>
          <w:bCs/>
          <w:sz w:val="16"/>
          <w:szCs w:val="16"/>
        </w:rPr>
      </w:pPr>
      <w:r>
        <w:rPr>
          <w:rFonts w:asciiTheme="minorBidi" w:hAnsiTheme="minorBidi"/>
          <w:b/>
          <w:bCs/>
        </w:rPr>
        <w:t xml:space="preserve">                                                                                            </w:t>
      </w:r>
      <w:r w:rsidR="00431E17" w:rsidRPr="00611CDF">
        <w:rPr>
          <w:rFonts w:asciiTheme="minorBidi" w:hAnsiTheme="minorBidi"/>
          <w:b/>
          <w:bCs/>
          <w:sz w:val="16"/>
          <w:szCs w:val="16"/>
        </w:rPr>
        <w:t xml:space="preserve"> </w:t>
      </w:r>
    </w:p>
    <w:p w14:paraId="0981BA11" w14:textId="56552DBF" w:rsidR="0099289E" w:rsidRDefault="0099289E" w:rsidP="00ED4865">
      <w:pPr>
        <w:spacing w:line="360" w:lineRule="auto"/>
        <w:jc w:val="both"/>
        <w:rPr>
          <w:rFonts w:asciiTheme="minorBidi" w:hAnsiTheme="minorBidi"/>
          <w:b/>
          <w:bCs/>
        </w:rPr>
      </w:pPr>
    </w:p>
    <w:p w14:paraId="3622A63F" w14:textId="0B1CDB7B" w:rsidR="0099289E" w:rsidRDefault="0099289E" w:rsidP="00ED4865">
      <w:pPr>
        <w:spacing w:line="360" w:lineRule="auto"/>
        <w:jc w:val="both"/>
        <w:rPr>
          <w:rFonts w:asciiTheme="minorBidi" w:hAnsiTheme="minorBidi"/>
          <w:b/>
          <w:bCs/>
        </w:rPr>
      </w:pPr>
    </w:p>
    <w:p w14:paraId="2F819A72" w14:textId="77777777" w:rsidR="0099289E" w:rsidRDefault="0099289E" w:rsidP="00ED4865">
      <w:pPr>
        <w:spacing w:line="360" w:lineRule="auto"/>
        <w:jc w:val="both"/>
        <w:rPr>
          <w:rFonts w:asciiTheme="minorBidi" w:hAnsiTheme="minorBidi"/>
          <w:b/>
          <w:bCs/>
        </w:rPr>
      </w:pPr>
    </w:p>
    <w:p w14:paraId="43B9DC44" w14:textId="77777777" w:rsidR="0099289E" w:rsidRDefault="0099289E" w:rsidP="00ED4865">
      <w:pPr>
        <w:spacing w:line="360" w:lineRule="auto"/>
        <w:jc w:val="both"/>
        <w:rPr>
          <w:rFonts w:asciiTheme="minorBidi" w:hAnsiTheme="minorBidi"/>
          <w:b/>
          <w:bCs/>
        </w:rPr>
      </w:pPr>
    </w:p>
    <w:p w14:paraId="510C0F22" w14:textId="77777777" w:rsidR="00DA60D3" w:rsidRDefault="00DA60D3" w:rsidP="009A15D5">
      <w:pPr>
        <w:spacing w:before="120" w:after="120"/>
        <w:rPr>
          <w:rFonts w:ascii="Helvetica Neue" w:eastAsia="Helvetica Neue" w:hAnsi="Helvetica Neue" w:cs="Helvetica Neue"/>
          <w:b/>
          <w:bCs/>
          <w:color w:val="10272D"/>
        </w:rPr>
      </w:pPr>
    </w:p>
    <w:p w14:paraId="54F31BC4" w14:textId="77777777" w:rsidR="00DA60D3" w:rsidRDefault="00DA60D3" w:rsidP="009A15D5">
      <w:pPr>
        <w:spacing w:before="120" w:after="120"/>
        <w:rPr>
          <w:rFonts w:ascii="Helvetica Neue" w:eastAsia="Helvetica Neue" w:hAnsi="Helvetica Neue" w:cs="Helvetica Neue"/>
          <w:b/>
          <w:bCs/>
          <w:color w:val="10272D"/>
        </w:rPr>
      </w:pPr>
    </w:p>
    <w:p w14:paraId="11065B88" w14:textId="77777777" w:rsidR="00DA60D3" w:rsidRDefault="00DA60D3" w:rsidP="009A15D5">
      <w:pPr>
        <w:spacing w:before="120" w:after="120"/>
        <w:rPr>
          <w:rFonts w:ascii="Helvetica Neue" w:eastAsia="Helvetica Neue" w:hAnsi="Helvetica Neue" w:cs="Helvetica Neue"/>
          <w:b/>
          <w:bCs/>
          <w:color w:val="10272D"/>
        </w:rPr>
      </w:pPr>
    </w:p>
    <w:p w14:paraId="5682024D" w14:textId="77777777" w:rsidR="00DA60D3" w:rsidRPr="006C391E" w:rsidRDefault="00DA60D3" w:rsidP="009A15D5">
      <w:pPr>
        <w:spacing w:before="120" w:after="120"/>
        <w:rPr>
          <w:rFonts w:ascii="Helvetica Neue" w:eastAsia="Helvetica Neue" w:hAnsi="Helvetica Neue" w:cs="Helvetica Neue"/>
          <w:b/>
          <w:bCs/>
        </w:rPr>
      </w:pPr>
    </w:p>
    <w:p w14:paraId="5F1ACD22" w14:textId="77777777" w:rsidR="005F135B" w:rsidRDefault="005F135B" w:rsidP="009A15D5">
      <w:pPr>
        <w:spacing w:before="120" w:after="120"/>
        <w:rPr>
          <w:rFonts w:ascii="Helvetica Neue" w:eastAsia="Helvetica Neue" w:hAnsi="Helvetica Neue" w:cs="Helvetica Neue"/>
          <w:b/>
          <w:bCs/>
        </w:rPr>
      </w:pPr>
      <w:bookmarkStart w:id="0" w:name="_Hlk216379136"/>
    </w:p>
    <w:p w14:paraId="07EDEEAB" w14:textId="77777777" w:rsidR="005F135B" w:rsidRDefault="005F135B" w:rsidP="009A15D5">
      <w:pPr>
        <w:spacing w:before="120" w:after="120"/>
        <w:rPr>
          <w:rFonts w:ascii="Helvetica Neue" w:eastAsia="Helvetica Neue" w:hAnsi="Helvetica Neue" w:cs="Helvetica Neue"/>
          <w:b/>
          <w:bCs/>
        </w:rPr>
      </w:pPr>
    </w:p>
    <w:bookmarkEnd w:id="0"/>
    <w:p w14:paraId="18F42481" w14:textId="06307D0D" w:rsidR="005C5660" w:rsidRDefault="005C5660" w:rsidP="009A15D5">
      <w:pPr>
        <w:spacing w:before="120" w:after="120"/>
        <w:rPr>
          <w:rFonts w:asciiTheme="minorBidi" w:hAnsiTheme="minorBidi"/>
        </w:rPr>
      </w:pPr>
      <w:r w:rsidRPr="008214B4">
        <w:rPr>
          <w:rFonts w:asciiTheme="minorBidi" w:hAnsiTheme="minorBidi"/>
          <w:b/>
          <w:bCs/>
        </w:rPr>
        <w:t>Author:</w:t>
      </w:r>
      <w:r w:rsidRPr="008214B4">
        <w:rPr>
          <w:rFonts w:asciiTheme="minorBidi" w:hAnsiTheme="minorBidi"/>
        </w:rPr>
        <w:t xml:space="preserve"> Salma Farache</w:t>
      </w:r>
      <w:r w:rsidRPr="008214B4">
        <w:rPr>
          <w:rFonts w:asciiTheme="minorBidi" w:hAnsiTheme="minorBidi"/>
        </w:rPr>
        <w:br/>
      </w:r>
      <w:r w:rsidRPr="008214B4">
        <w:rPr>
          <w:rFonts w:asciiTheme="minorBidi" w:hAnsiTheme="minorBidi"/>
          <w:b/>
          <w:bCs/>
        </w:rPr>
        <w:t>Student No.:</w:t>
      </w:r>
      <w:r w:rsidRPr="008214B4">
        <w:rPr>
          <w:rFonts w:asciiTheme="minorBidi" w:hAnsiTheme="minorBidi"/>
        </w:rPr>
        <w:t xml:space="preserve"> 2408621</w:t>
      </w:r>
      <w:r w:rsidRPr="008214B4">
        <w:rPr>
          <w:rFonts w:asciiTheme="minorBidi" w:hAnsiTheme="minorBidi"/>
        </w:rPr>
        <w:br/>
      </w:r>
      <w:r w:rsidRPr="008214B4">
        <w:rPr>
          <w:rFonts w:asciiTheme="minorBidi" w:hAnsiTheme="minorBidi"/>
          <w:b/>
          <w:bCs/>
        </w:rPr>
        <w:t>Module:</w:t>
      </w:r>
      <w:r w:rsidR="0012291D" w:rsidRPr="0012291D">
        <w:rPr>
          <w:rFonts w:ascii="Arial" w:hAnsi="Arial" w:cs="Arial"/>
          <w:b/>
          <w:bCs/>
          <w:sz w:val="22"/>
          <w:szCs w:val="22"/>
        </w:rPr>
        <w:t xml:space="preserve"> </w:t>
      </w:r>
      <w:r w:rsidR="0012291D" w:rsidRPr="009A15D5">
        <w:rPr>
          <w:rFonts w:ascii="Arial" w:hAnsi="Arial" w:cs="Arial"/>
          <w:sz w:val="22"/>
          <w:szCs w:val="22"/>
        </w:rPr>
        <w:t>BMSW5010_SWAN</w:t>
      </w:r>
      <w:r w:rsidR="000E3FF6" w:rsidRPr="009A15D5">
        <w:rPr>
          <w:rFonts w:asciiTheme="minorBidi" w:hAnsiTheme="minorBidi"/>
        </w:rPr>
        <w:t xml:space="preserve"> </w:t>
      </w:r>
      <w:r w:rsidR="00B31477" w:rsidRPr="009A15D5">
        <w:rPr>
          <w:rFonts w:ascii="Arial" w:hAnsi="Arial" w:cs="Arial"/>
          <w:sz w:val="22"/>
          <w:szCs w:val="22"/>
        </w:rPr>
        <w:t>People Management</w:t>
      </w:r>
      <w:r w:rsidRPr="008214B4">
        <w:rPr>
          <w:rFonts w:asciiTheme="minorBidi" w:hAnsiTheme="minorBidi"/>
        </w:rPr>
        <w:br/>
      </w:r>
      <w:r w:rsidRPr="008214B4">
        <w:rPr>
          <w:rFonts w:asciiTheme="minorBidi" w:hAnsiTheme="minorBidi"/>
          <w:b/>
          <w:bCs/>
        </w:rPr>
        <w:t>Tutor:</w:t>
      </w:r>
      <w:r w:rsidRPr="008214B4">
        <w:rPr>
          <w:rFonts w:asciiTheme="minorBidi" w:hAnsiTheme="minorBidi"/>
        </w:rPr>
        <w:t xml:space="preserve">  </w:t>
      </w:r>
      <w:r w:rsidR="0093477C" w:rsidRPr="000D3EA0">
        <w:rPr>
          <w:rFonts w:ascii="Arial" w:hAnsi="Arial" w:cs="Arial"/>
          <w:sz w:val="22"/>
          <w:szCs w:val="22"/>
        </w:rPr>
        <w:t>Rebecca Francis-Davies</w:t>
      </w:r>
      <w:r w:rsidR="0093477C" w:rsidRPr="008214B4">
        <w:rPr>
          <w:rFonts w:asciiTheme="minorBidi" w:hAnsiTheme="minorBidi"/>
        </w:rPr>
        <w:t xml:space="preserve"> </w:t>
      </w:r>
      <w:r w:rsidRPr="008214B4">
        <w:rPr>
          <w:rFonts w:asciiTheme="minorBidi" w:hAnsiTheme="minorBidi"/>
        </w:rPr>
        <w:br/>
      </w:r>
      <w:r w:rsidRPr="008214B4">
        <w:rPr>
          <w:rFonts w:asciiTheme="minorBidi" w:hAnsiTheme="minorBidi"/>
          <w:b/>
          <w:bCs/>
        </w:rPr>
        <w:t>Date:</w:t>
      </w:r>
      <w:r w:rsidRPr="008214B4">
        <w:rPr>
          <w:rFonts w:asciiTheme="minorBidi" w:hAnsiTheme="minorBidi"/>
        </w:rPr>
        <w:t xml:space="preserve"> </w:t>
      </w:r>
      <w:r w:rsidR="009A15D5">
        <w:rPr>
          <w:rFonts w:asciiTheme="minorBidi" w:hAnsiTheme="minorBidi"/>
        </w:rPr>
        <w:t>12 December</w:t>
      </w:r>
      <w:r w:rsidRPr="008214B4">
        <w:rPr>
          <w:rFonts w:asciiTheme="minorBidi" w:hAnsiTheme="minorBidi"/>
        </w:rPr>
        <w:t xml:space="preserve"> 2025</w:t>
      </w:r>
    </w:p>
    <w:p w14:paraId="05971E06" w14:textId="001A9476" w:rsidR="0030700D" w:rsidRDefault="0030700D" w:rsidP="009A15D5">
      <w:pPr>
        <w:spacing w:before="120" w:after="120"/>
        <w:rPr>
          <w:rFonts w:asciiTheme="minorBidi" w:hAnsiTheme="minorBidi"/>
        </w:rPr>
      </w:pPr>
      <w:r w:rsidRPr="0030700D">
        <w:rPr>
          <w:rFonts w:asciiTheme="minorBidi" w:hAnsiTheme="minorBidi"/>
          <w:b/>
          <w:bCs/>
        </w:rPr>
        <w:t>Word count</w:t>
      </w:r>
      <w:r>
        <w:rPr>
          <w:rFonts w:asciiTheme="minorBidi" w:hAnsiTheme="minorBidi"/>
        </w:rPr>
        <w:t xml:space="preserve"> :2</w:t>
      </w:r>
      <w:r w:rsidR="000D7A99">
        <w:rPr>
          <w:rFonts w:asciiTheme="minorBidi" w:hAnsiTheme="minorBidi"/>
        </w:rPr>
        <w:t>197</w:t>
      </w:r>
    </w:p>
    <w:p w14:paraId="4910022E" w14:textId="77777777" w:rsidR="0030700D" w:rsidRPr="0012291D" w:rsidRDefault="0030700D" w:rsidP="009A15D5">
      <w:pPr>
        <w:spacing w:before="120" w:after="120"/>
        <w:rPr>
          <w:rFonts w:ascii="Arial" w:hAnsi="Arial" w:cs="Arial"/>
          <w:b/>
          <w:bCs/>
          <w:sz w:val="22"/>
          <w:szCs w:val="22"/>
        </w:rPr>
      </w:pPr>
    </w:p>
    <w:p w14:paraId="605D8C09" w14:textId="77777777" w:rsidR="0099289E" w:rsidRDefault="0099289E" w:rsidP="00ED4865">
      <w:pPr>
        <w:spacing w:line="360" w:lineRule="auto"/>
        <w:jc w:val="both"/>
        <w:rPr>
          <w:rFonts w:asciiTheme="minorBidi" w:hAnsiTheme="minorBidi"/>
          <w:b/>
          <w:bCs/>
        </w:rPr>
      </w:pPr>
    </w:p>
    <w:p w14:paraId="3E910DDA" w14:textId="77777777" w:rsidR="000173FE" w:rsidRDefault="000173FE" w:rsidP="00ED4865">
      <w:pPr>
        <w:spacing w:line="360" w:lineRule="auto"/>
        <w:jc w:val="both"/>
        <w:rPr>
          <w:rFonts w:asciiTheme="minorBidi" w:hAnsiTheme="minorBidi"/>
          <w:b/>
          <w:bCs/>
        </w:rPr>
      </w:pPr>
    </w:p>
    <w:sdt>
      <w:sdtPr>
        <w:rPr>
          <w:rFonts w:asciiTheme="minorHAnsi" w:eastAsiaTheme="minorEastAsia" w:hAnsiTheme="minorHAnsi" w:cs="Times New Roman"/>
          <w:color w:val="auto"/>
          <w:kern w:val="2"/>
          <w:sz w:val="22"/>
          <w:szCs w:val="22"/>
          <w:lang w:eastAsia="en-US"/>
          <w14:ligatures w14:val="standardContextual"/>
        </w:rPr>
        <w:id w:val="-768002172"/>
        <w:docPartObj>
          <w:docPartGallery w:val="Table of Contents"/>
          <w:docPartUnique/>
        </w:docPartObj>
      </w:sdtPr>
      <w:sdtEndPr>
        <w:rPr>
          <w:rFonts w:eastAsiaTheme="minorHAnsi" w:cstheme="minorBidi"/>
          <w:sz w:val="24"/>
          <w:szCs w:val="24"/>
        </w:rPr>
      </w:sdtEndPr>
      <w:sdtContent>
        <w:p w14:paraId="6344F19F" w14:textId="77777777" w:rsidR="000173FE" w:rsidRDefault="000173FE">
          <w:pPr>
            <w:pStyle w:val="TOCHeading"/>
            <w:rPr>
              <w:rFonts w:asciiTheme="minorHAnsi" w:eastAsiaTheme="minorEastAsia" w:hAnsiTheme="minorHAnsi" w:cs="Times New Roman"/>
              <w:color w:val="auto"/>
              <w:kern w:val="2"/>
              <w:sz w:val="22"/>
              <w:szCs w:val="22"/>
              <w:lang w:eastAsia="en-US"/>
              <w14:ligatures w14:val="standardContextual"/>
            </w:rPr>
          </w:pPr>
        </w:p>
        <w:p w14:paraId="48D2386F" w14:textId="637A3B61" w:rsidR="009431C9" w:rsidRDefault="009431C9">
          <w:pPr>
            <w:pStyle w:val="TOCHeading"/>
          </w:pPr>
          <w:r>
            <w:t>Table of Contents</w:t>
          </w:r>
        </w:p>
        <w:p w14:paraId="43CBC314" w14:textId="15D27773" w:rsidR="009431C9" w:rsidRPr="003310CF" w:rsidRDefault="00B25879" w:rsidP="003310CF">
          <w:pPr>
            <w:pStyle w:val="TOC1"/>
          </w:pPr>
          <w:r w:rsidRPr="003310CF">
            <w:t>Excutive summary</w:t>
          </w:r>
          <w:r w:rsidR="009431C9" w:rsidRPr="003310CF">
            <w:ptab w:relativeTo="margin" w:alignment="right" w:leader="dot"/>
          </w:r>
          <w:r w:rsidR="00E50F8E" w:rsidRPr="003310CF">
            <w:t>3</w:t>
          </w:r>
        </w:p>
        <w:p w14:paraId="7B07BE6A" w14:textId="6179DB68" w:rsidR="009431C9" w:rsidRDefault="009E3C8D" w:rsidP="002E1F88">
          <w:pPr>
            <w:pStyle w:val="TOC2"/>
            <w:ind w:left="0"/>
          </w:pPr>
          <w:r>
            <w:t>1.</w:t>
          </w:r>
          <w:r w:rsidR="002E1F88">
            <w:t>Introduction</w:t>
          </w:r>
          <w:r w:rsidR="009431C9">
            <w:ptab w:relativeTo="margin" w:alignment="right" w:leader="dot"/>
          </w:r>
          <w:r w:rsidR="00E50F8E">
            <w:t>4</w:t>
          </w:r>
        </w:p>
        <w:p w14:paraId="7320D4C7" w14:textId="326B5E38" w:rsidR="009431C9" w:rsidRDefault="009E3C8D" w:rsidP="002360F2">
          <w:pPr>
            <w:pStyle w:val="TOC3"/>
            <w:ind w:left="0"/>
          </w:pPr>
          <w:r>
            <w:t xml:space="preserve"> 2.</w:t>
          </w:r>
          <w:r w:rsidR="002360F2">
            <w:t>Findings</w:t>
          </w:r>
          <w:r w:rsidR="009431C9">
            <w:ptab w:relativeTo="margin" w:alignment="right" w:leader="dot"/>
          </w:r>
          <w:r w:rsidR="00E50F8E">
            <w:t>5</w:t>
          </w:r>
        </w:p>
        <w:p w14:paraId="2BD0F928" w14:textId="616A4E1A" w:rsidR="00B3377D" w:rsidRDefault="009E468E" w:rsidP="00B3377D">
          <w:pPr>
            <w:spacing w:line="360" w:lineRule="auto"/>
            <w:jc w:val="both"/>
            <w:rPr>
              <w:sz w:val="22"/>
              <w:szCs w:val="22"/>
            </w:rPr>
          </w:pPr>
          <w:r>
            <w:rPr>
              <w:lang w:eastAsia="en-GB"/>
            </w:rPr>
            <w:t xml:space="preserve">       </w:t>
          </w:r>
          <w:r w:rsidRPr="009E3C8D">
            <w:rPr>
              <w:rFonts w:asciiTheme="minorBidi" w:hAnsiTheme="minorBidi"/>
              <w:sz w:val="22"/>
              <w:szCs w:val="22"/>
            </w:rPr>
            <w:t>2</w:t>
          </w:r>
          <w:r w:rsidRPr="009E3C8D">
            <w:rPr>
              <w:sz w:val="22"/>
              <w:szCs w:val="22"/>
            </w:rPr>
            <w:t>.1.1 Roles and Skills Needed in Supervisory Positions</w:t>
          </w:r>
          <w:r w:rsidR="00E50F8E">
            <w:rPr>
              <w:sz w:val="22"/>
              <w:szCs w:val="22"/>
            </w:rPr>
            <w:t>……………………………………………</w:t>
          </w:r>
          <w:r w:rsidR="005B4F00">
            <w:rPr>
              <w:sz w:val="22"/>
              <w:szCs w:val="22"/>
            </w:rPr>
            <w:t>….</w:t>
          </w:r>
          <w:r w:rsidR="00B3377D">
            <w:rPr>
              <w:sz w:val="22"/>
              <w:szCs w:val="22"/>
            </w:rPr>
            <w:t>5</w:t>
          </w:r>
        </w:p>
        <w:p w14:paraId="77EECDC7" w14:textId="7A8D0CC7" w:rsidR="005B4F00" w:rsidRDefault="00B3377D" w:rsidP="005B4F00">
          <w:pPr>
            <w:spacing w:line="360" w:lineRule="auto"/>
            <w:jc w:val="both"/>
            <w:rPr>
              <w:sz w:val="22"/>
              <w:szCs w:val="22"/>
            </w:rPr>
          </w:pPr>
          <w:r>
            <w:rPr>
              <w:sz w:val="22"/>
              <w:szCs w:val="22"/>
            </w:rPr>
            <w:t xml:space="preserve">      </w:t>
          </w:r>
          <w:r w:rsidR="00D50771">
            <w:rPr>
              <w:sz w:val="22"/>
              <w:szCs w:val="22"/>
            </w:rPr>
            <w:t xml:space="preserve"> </w:t>
          </w:r>
          <w:r>
            <w:rPr>
              <w:sz w:val="22"/>
              <w:szCs w:val="22"/>
            </w:rPr>
            <w:t xml:space="preserve"> 2.</w:t>
          </w:r>
          <w:r w:rsidR="00D50771">
            <w:rPr>
              <w:sz w:val="22"/>
              <w:szCs w:val="22"/>
            </w:rPr>
            <w:t>1.</w:t>
          </w:r>
          <w:r w:rsidR="005B4F00">
            <w:rPr>
              <w:sz w:val="22"/>
              <w:szCs w:val="22"/>
            </w:rPr>
            <w:t>2</w:t>
          </w:r>
          <w:r w:rsidR="005B4F00" w:rsidRPr="00D13B77">
            <w:rPr>
              <w:rFonts w:asciiTheme="minorBidi" w:hAnsiTheme="minorBidi"/>
              <w:b/>
              <w:bCs/>
            </w:rPr>
            <w:t xml:space="preserve"> </w:t>
          </w:r>
          <w:r w:rsidR="005B4F00" w:rsidRPr="005B4F00">
            <w:rPr>
              <w:sz w:val="22"/>
              <w:szCs w:val="22"/>
            </w:rPr>
            <w:t>Application of People-Management Theories</w:t>
          </w:r>
          <w:r w:rsidR="005B4F00">
            <w:rPr>
              <w:sz w:val="22"/>
              <w:szCs w:val="22"/>
            </w:rPr>
            <w:t>…………………………………………………….6</w:t>
          </w:r>
        </w:p>
        <w:p w14:paraId="1CA220AF" w14:textId="17AE0704" w:rsidR="005B4F00" w:rsidRDefault="005B4F00" w:rsidP="005B4F00">
          <w:pPr>
            <w:spacing w:line="360" w:lineRule="auto"/>
            <w:jc w:val="both"/>
            <w:rPr>
              <w:sz w:val="22"/>
              <w:szCs w:val="22"/>
            </w:rPr>
          </w:pPr>
          <w:r>
            <w:rPr>
              <w:sz w:val="22"/>
              <w:szCs w:val="22"/>
            </w:rPr>
            <w:t xml:space="preserve">       </w:t>
          </w:r>
          <w:r w:rsidRPr="00642250">
            <w:rPr>
              <w:sz w:val="22"/>
              <w:szCs w:val="22"/>
            </w:rPr>
            <w:t xml:space="preserve"> 2.1.3 Organisational Culture and Leadership</w:t>
          </w:r>
          <w:r w:rsidR="00642250">
            <w:rPr>
              <w:sz w:val="22"/>
              <w:szCs w:val="22"/>
            </w:rPr>
            <w:t>…………………………………………………………….8</w:t>
          </w:r>
        </w:p>
        <w:p w14:paraId="1F7EFAA6" w14:textId="19A11F3E" w:rsidR="002360F2" w:rsidRPr="00132E3B" w:rsidRDefault="00642250" w:rsidP="00132E3B">
          <w:pPr>
            <w:spacing w:line="360" w:lineRule="auto"/>
            <w:jc w:val="both"/>
            <w:rPr>
              <w:sz w:val="22"/>
              <w:szCs w:val="22"/>
            </w:rPr>
          </w:pPr>
          <w:r w:rsidRPr="00642250">
            <w:rPr>
              <w:sz w:val="22"/>
              <w:szCs w:val="22"/>
            </w:rPr>
            <w:t xml:space="preserve">        2.1.4 Performance Management, Wellbeing and Retention</w:t>
          </w:r>
          <w:r>
            <w:rPr>
              <w:sz w:val="22"/>
              <w:szCs w:val="22"/>
            </w:rPr>
            <w:t>………………………………………</w:t>
          </w:r>
          <w:r w:rsidR="00132E3B">
            <w:rPr>
              <w:sz w:val="22"/>
              <w:szCs w:val="22"/>
            </w:rPr>
            <w:t>…9</w:t>
          </w:r>
          <w:r w:rsidR="009F0027">
            <w:rPr>
              <w:lang w:eastAsia="en-GB"/>
            </w:rPr>
            <w:t xml:space="preserve">   </w:t>
          </w:r>
        </w:p>
        <w:p w14:paraId="1F1C7ACE" w14:textId="60A5B0BB" w:rsidR="009431C9" w:rsidRDefault="000E2DF1" w:rsidP="000E2DF1">
          <w:pPr>
            <w:pStyle w:val="TOC2"/>
            <w:ind w:left="0"/>
          </w:pPr>
          <w:r>
            <w:t>3.</w:t>
          </w:r>
          <w:r w:rsidR="003377A9">
            <w:t>C</w:t>
          </w:r>
          <w:r>
            <w:t>onclusion…………………………………………………………………………………………………………</w:t>
          </w:r>
          <w:r w:rsidR="006B5829">
            <w:t>.</w:t>
          </w:r>
          <w:r>
            <w:t>.11</w:t>
          </w:r>
        </w:p>
        <w:p w14:paraId="47EB501C" w14:textId="29B4C5CA" w:rsidR="000D6517" w:rsidRDefault="00744AEA" w:rsidP="006C24BF">
          <w:pPr>
            <w:pStyle w:val="TOC3"/>
            <w:ind w:left="0"/>
          </w:pPr>
          <w:r>
            <w:t>4.Recommendation</w:t>
          </w:r>
          <w:r w:rsidR="00681420">
            <w:t>………………………………………………………………………………………………….1</w:t>
          </w:r>
          <w:r w:rsidR="006B5829">
            <w:t>1</w:t>
          </w:r>
        </w:p>
        <w:p w14:paraId="0E9383C9" w14:textId="0B1341EC" w:rsidR="003377A9" w:rsidRPr="003F725F" w:rsidRDefault="006C24BF" w:rsidP="000D6517">
          <w:pPr>
            <w:spacing w:line="360" w:lineRule="auto"/>
            <w:jc w:val="both"/>
            <w:rPr>
              <w:rFonts w:asciiTheme="minorBidi" w:hAnsiTheme="minorBidi"/>
              <w:b/>
              <w:bCs/>
              <w:sz w:val="28"/>
              <w:szCs w:val="28"/>
            </w:rPr>
          </w:pPr>
          <w:r>
            <w:rPr>
              <w:sz w:val="22"/>
              <w:szCs w:val="22"/>
            </w:rPr>
            <w:t>5</w:t>
          </w:r>
          <w:r w:rsidR="003377A9">
            <w:rPr>
              <w:sz w:val="22"/>
              <w:szCs w:val="22"/>
            </w:rPr>
            <w:t>.References………………………………………………………………………………………………………</w:t>
          </w:r>
          <w:r w:rsidR="003310CF">
            <w:rPr>
              <w:sz w:val="22"/>
              <w:szCs w:val="22"/>
            </w:rPr>
            <w:t>…..</w:t>
          </w:r>
          <w:r w:rsidR="003377A9">
            <w:rPr>
              <w:sz w:val="22"/>
              <w:szCs w:val="22"/>
            </w:rPr>
            <w:t>1</w:t>
          </w:r>
          <w:r w:rsidR="006B5829">
            <w:rPr>
              <w:sz w:val="22"/>
              <w:szCs w:val="22"/>
            </w:rPr>
            <w:t>3</w:t>
          </w:r>
        </w:p>
        <w:p w14:paraId="25AFCA4C" w14:textId="296D266D" w:rsidR="00681420" w:rsidRPr="00681420" w:rsidRDefault="00681420" w:rsidP="00681420">
          <w:pPr>
            <w:rPr>
              <w:lang w:eastAsia="en-GB"/>
            </w:rPr>
          </w:pPr>
        </w:p>
        <w:p w14:paraId="229FEAFB" w14:textId="6ECA087D" w:rsidR="009431C9" w:rsidRPr="00681420" w:rsidRDefault="00000000" w:rsidP="00681420">
          <w:pPr>
            <w:rPr>
              <w:lang w:eastAsia="en-GB"/>
            </w:rPr>
          </w:pPr>
        </w:p>
      </w:sdtContent>
    </w:sdt>
    <w:p w14:paraId="024AB8B2" w14:textId="77777777" w:rsidR="000D3EA0" w:rsidRDefault="000D3EA0" w:rsidP="00ED4865">
      <w:pPr>
        <w:spacing w:line="360" w:lineRule="auto"/>
        <w:jc w:val="both"/>
        <w:rPr>
          <w:rFonts w:asciiTheme="minorBidi" w:hAnsiTheme="minorBidi"/>
          <w:b/>
          <w:bCs/>
        </w:rPr>
      </w:pPr>
    </w:p>
    <w:p w14:paraId="0FE8E5D5" w14:textId="77777777" w:rsidR="000D3EA0" w:rsidRDefault="000D3EA0" w:rsidP="00ED4865">
      <w:pPr>
        <w:spacing w:line="360" w:lineRule="auto"/>
        <w:jc w:val="both"/>
        <w:rPr>
          <w:rFonts w:asciiTheme="minorBidi" w:hAnsiTheme="minorBidi"/>
          <w:b/>
          <w:bCs/>
        </w:rPr>
      </w:pPr>
    </w:p>
    <w:p w14:paraId="64C62E9D" w14:textId="77777777" w:rsidR="000D3EA0" w:rsidRDefault="000D3EA0" w:rsidP="00ED4865">
      <w:pPr>
        <w:spacing w:line="360" w:lineRule="auto"/>
        <w:jc w:val="both"/>
        <w:rPr>
          <w:rFonts w:asciiTheme="minorBidi" w:hAnsiTheme="minorBidi"/>
          <w:b/>
          <w:bCs/>
        </w:rPr>
      </w:pPr>
    </w:p>
    <w:p w14:paraId="24262825" w14:textId="77777777" w:rsidR="000D3EA0" w:rsidRDefault="000D3EA0" w:rsidP="00ED4865">
      <w:pPr>
        <w:spacing w:line="360" w:lineRule="auto"/>
        <w:jc w:val="both"/>
        <w:rPr>
          <w:rFonts w:asciiTheme="minorBidi" w:hAnsiTheme="minorBidi"/>
          <w:b/>
          <w:bCs/>
        </w:rPr>
      </w:pPr>
    </w:p>
    <w:p w14:paraId="0FA98732" w14:textId="77777777" w:rsidR="000D3EA0" w:rsidRDefault="000D3EA0" w:rsidP="00ED4865">
      <w:pPr>
        <w:spacing w:line="360" w:lineRule="auto"/>
        <w:jc w:val="both"/>
        <w:rPr>
          <w:rFonts w:asciiTheme="minorBidi" w:hAnsiTheme="minorBidi"/>
          <w:b/>
          <w:bCs/>
        </w:rPr>
      </w:pPr>
    </w:p>
    <w:p w14:paraId="1FEBA137" w14:textId="77777777" w:rsidR="000D3EA0" w:rsidRDefault="000D3EA0" w:rsidP="00ED4865">
      <w:pPr>
        <w:spacing w:line="360" w:lineRule="auto"/>
        <w:jc w:val="both"/>
        <w:rPr>
          <w:rFonts w:asciiTheme="minorBidi" w:hAnsiTheme="minorBidi"/>
          <w:b/>
          <w:bCs/>
        </w:rPr>
      </w:pPr>
    </w:p>
    <w:p w14:paraId="363B23B0" w14:textId="77777777" w:rsidR="000D3EA0" w:rsidRDefault="000D3EA0" w:rsidP="00ED4865">
      <w:pPr>
        <w:spacing w:line="360" w:lineRule="auto"/>
        <w:jc w:val="both"/>
        <w:rPr>
          <w:rFonts w:asciiTheme="minorBidi" w:hAnsiTheme="minorBidi"/>
          <w:b/>
          <w:bCs/>
        </w:rPr>
      </w:pPr>
    </w:p>
    <w:p w14:paraId="191BFFD5" w14:textId="77777777" w:rsidR="00A56AE7" w:rsidRDefault="00A56AE7" w:rsidP="00ED4865">
      <w:pPr>
        <w:spacing w:line="360" w:lineRule="auto"/>
        <w:jc w:val="both"/>
        <w:rPr>
          <w:rFonts w:asciiTheme="minorBidi" w:hAnsiTheme="minorBidi"/>
          <w:b/>
          <w:bCs/>
        </w:rPr>
      </w:pPr>
    </w:p>
    <w:p w14:paraId="3CC7A3B9" w14:textId="77777777" w:rsidR="00A56AE7" w:rsidRDefault="00A56AE7" w:rsidP="00ED4865">
      <w:pPr>
        <w:spacing w:line="360" w:lineRule="auto"/>
        <w:jc w:val="both"/>
        <w:rPr>
          <w:rFonts w:asciiTheme="minorBidi" w:hAnsiTheme="minorBidi"/>
          <w:b/>
          <w:bCs/>
        </w:rPr>
      </w:pPr>
    </w:p>
    <w:p w14:paraId="37102767" w14:textId="77777777" w:rsidR="00A56AE7" w:rsidRDefault="00A56AE7" w:rsidP="00ED4865">
      <w:pPr>
        <w:spacing w:line="360" w:lineRule="auto"/>
        <w:jc w:val="both"/>
        <w:rPr>
          <w:rFonts w:asciiTheme="minorBidi" w:hAnsiTheme="minorBidi"/>
          <w:b/>
          <w:bCs/>
        </w:rPr>
      </w:pPr>
    </w:p>
    <w:p w14:paraId="64769968" w14:textId="58BD54CC" w:rsidR="00195CA7" w:rsidRPr="0006673A" w:rsidRDefault="00195CA7" w:rsidP="0006673A">
      <w:pPr>
        <w:spacing w:line="360" w:lineRule="auto"/>
        <w:jc w:val="both"/>
        <w:rPr>
          <w:rFonts w:asciiTheme="minorBidi" w:hAnsiTheme="minorBidi"/>
          <w:b/>
          <w:bCs/>
          <w:sz w:val="28"/>
          <w:szCs w:val="28"/>
        </w:rPr>
      </w:pPr>
      <w:r w:rsidRPr="0006673A">
        <w:rPr>
          <w:rFonts w:asciiTheme="minorBidi" w:hAnsiTheme="minorBidi"/>
          <w:b/>
          <w:bCs/>
          <w:sz w:val="28"/>
          <w:szCs w:val="28"/>
        </w:rPr>
        <w:lastRenderedPageBreak/>
        <w:t xml:space="preserve">Executive Summary </w:t>
      </w:r>
    </w:p>
    <w:p w14:paraId="34E80AB1" w14:textId="77777777" w:rsidR="00195CA7" w:rsidRPr="0006673A" w:rsidRDefault="00195CA7" w:rsidP="006617C5">
      <w:pPr>
        <w:spacing w:line="360" w:lineRule="auto"/>
        <w:jc w:val="both"/>
        <w:rPr>
          <w:rFonts w:asciiTheme="minorBidi" w:hAnsiTheme="minorBidi"/>
        </w:rPr>
      </w:pPr>
      <w:r w:rsidRPr="0006673A">
        <w:rPr>
          <w:rFonts w:asciiTheme="minorBidi" w:hAnsiTheme="minorBidi"/>
        </w:rPr>
        <w:t>This report examines people-management, leadership and cultural challenges within BrightWave Services Ltd, a rapidly growing facilities-management company in South Wales. Although the organisation has expanded through NHS and local-council contracts, its people practices have not kept pace. As a result, BrightWave experiences high staff turnover, inconsistent leadership capability, weak communication, limited recognition and a culture focused more on efficiency than employee wellbeing.</w:t>
      </w:r>
    </w:p>
    <w:p w14:paraId="44EEEEF5" w14:textId="18D2894A" w:rsidR="00195CA7" w:rsidRPr="0006673A" w:rsidRDefault="00195CA7" w:rsidP="006617C5">
      <w:pPr>
        <w:spacing w:line="360" w:lineRule="auto"/>
        <w:jc w:val="both"/>
        <w:rPr>
          <w:rFonts w:asciiTheme="minorBidi" w:hAnsiTheme="minorBidi"/>
        </w:rPr>
      </w:pPr>
      <w:r w:rsidRPr="0006673A">
        <w:rPr>
          <w:rFonts w:asciiTheme="minorBidi" w:hAnsiTheme="minorBidi"/>
        </w:rPr>
        <w:t xml:space="preserve">Using key </w:t>
      </w:r>
      <w:r w:rsidR="002827DE" w:rsidRPr="0006673A">
        <w:rPr>
          <w:rFonts w:asciiTheme="minorBidi" w:hAnsiTheme="minorBidi"/>
        </w:rPr>
        <w:t>theories, including</w:t>
      </w:r>
      <w:r w:rsidRPr="0006673A">
        <w:rPr>
          <w:rFonts w:asciiTheme="minorBidi" w:hAnsiTheme="minorBidi"/>
        </w:rPr>
        <w:t xml:space="preserve"> Emotional Intelligence, Maslow’s Hierarchy of Needs, Herzberg’s Two-Factor Theory, McGregor’s Theory X and Y, Schein’s cultural model, Handy’s culture types, the AMO Framework, Equity Theory and retention </w:t>
      </w:r>
      <w:r w:rsidR="000D7E72" w:rsidRPr="0006673A">
        <w:rPr>
          <w:rFonts w:asciiTheme="minorBidi" w:hAnsiTheme="minorBidi"/>
        </w:rPr>
        <w:t>literature, this</w:t>
      </w:r>
      <w:r w:rsidRPr="0006673A">
        <w:rPr>
          <w:rFonts w:asciiTheme="minorBidi" w:hAnsiTheme="minorBidi"/>
        </w:rPr>
        <w:t xml:space="preserve"> report critically analyses BrightWave’s situation. </w:t>
      </w:r>
    </w:p>
    <w:p w14:paraId="1D5211DC" w14:textId="77777777" w:rsidR="00195CA7" w:rsidRPr="0006673A" w:rsidRDefault="00195CA7" w:rsidP="006617C5">
      <w:pPr>
        <w:spacing w:line="360" w:lineRule="auto"/>
        <w:jc w:val="both"/>
        <w:rPr>
          <w:rFonts w:asciiTheme="minorBidi" w:hAnsiTheme="minorBidi"/>
        </w:rPr>
      </w:pPr>
      <w:r w:rsidRPr="0006673A">
        <w:rPr>
          <w:rFonts w:asciiTheme="minorBidi" w:hAnsiTheme="minorBidi"/>
        </w:rPr>
        <w:t>The findings show that BrightWave requires stronger leadership skills, clearer communication, structured induction, improved wellbeing support and fairer, more inclusive people practices. The report concludes that without a coordinated shift towards a more people-centred, feedback-rich culture, BrightWave risks continued high turnover and declining performance. Evidence-based recommendations are proposed to strengthen leadership capability, enhance performance management, support wellbeing, and build trust across the organisation.</w:t>
      </w:r>
    </w:p>
    <w:p w14:paraId="134A260F" w14:textId="77777777" w:rsidR="003B6D5C" w:rsidRPr="0006673A" w:rsidRDefault="003B6D5C" w:rsidP="006617C5">
      <w:pPr>
        <w:spacing w:line="360" w:lineRule="auto"/>
        <w:jc w:val="both"/>
        <w:rPr>
          <w:rFonts w:asciiTheme="minorBidi" w:hAnsiTheme="minorBidi"/>
        </w:rPr>
      </w:pPr>
    </w:p>
    <w:p w14:paraId="7083EB21" w14:textId="0A3A13CD" w:rsidR="00195CA7" w:rsidRPr="0006673A" w:rsidRDefault="00195CA7" w:rsidP="006617C5">
      <w:pPr>
        <w:spacing w:line="360" w:lineRule="auto"/>
        <w:jc w:val="both"/>
        <w:rPr>
          <w:rFonts w:asciiTheme="minorBidi" w:hAnsiTheme="minorBidi"/>
        </w:rPr>
      </w:pPr>
    </w:p>
    <w:p w14:paraId="24AC0F29" w14:textId="77777777" w:rsidR="0006673A" w:rsidRDefault="0006673A" w:rsidP="006617C5">
      <w:pPr>
        <w:spacing w:line="360" w:lineRule="auto"/>
        <w:jc w:val="both"/>
        <w:rPr>
          <w:rFonts w:asciiTheme="minorBidi" w:hAnsiTheme="minorBidi"/>
          <w:b/>
          <w:bCs/>
        </w:rPr>
      </w:pPr>
    </w:p>
    <w:p w14:paraId="45D9EBE0" w14:textId="77777777" w:rsidR="0006673A" w:rsidRDefault="0006673A" w:rsidP="006617C5">
      <w:pPr>
        <w:spacing w:line="360" w:lineRule="auto"/>
        <w:jc w:val="both"/>
        <w:rPr>
          <w:rFonts w:asciiTheme="minorBidi" w:hAnsiTheme="minorBidi"/>
          <w:b/>
          <w:bCs/>
        </w:rPr>
      </w:pPr>
    </w:p>
    <w:p w14:paraId="6CF102B9" w14:textId="77777777" w:rsidR="0006673A" w:rsidRDefault="0006673A" w:rsidP="006617C5">
      <w:pPr>
        <w:spacing w:line="360" w:lineRule="auto"/>
        <w:jc w:val="both"/>
        <w:rPr>
          <w:rFonts w:asciiTheme="minorBidi" w:hAnsiTheme="minorBidi"/>
          <w:b/>
          <w:bCs/>
        </w:rPr>
      </w:pPr>
    </w:p>
    <w:p w14:paraId="7549CBFB" w14:textId="77777777" w:rsidR="0006673A" w:rsidRDefault="0006673A" w:rsidP="0006673A">
      <w:pPr>
        <w:spacing w:line="360" w:lineRule="auto"/>
        <w:jc w:val="both"/>
        <w:rPr>
          <w:rFonts w:asciiTheme="minorBidi" w:hAnsiTheme="minorBidi"/>
          <w:b/>
          <w:bCs/>
        </w:rPr>
      </w:pPr>
    </w:p>
    <w:p w14:paraId="1573C981" w14:textId="77777777" w:rsidR="006E2FB1" w:rsidRDefault="006E2FB1" w:rsidP="0006673A">
      <w:pPr>
        <w:spacing w:line="360" w:lineRule="auto"/>
        <w:jc w:val="both"/>
        <w:rPr>
          <w:rFonts w:asciiTheme="minorBidi" w:hAnsiTheme="minorBidi"/>
          <w:b/>
          <w:bCs/>
          <w:sz w:val="28"/>
          <w:szCs w:val="28"/>
        </w:rPr>
      </w:pPr>
    </w:p>
    <w:p w14:paraId="08D280C6" w14:textId="77777777" w:rsidR="006C24BF" w:rsidRDefault="006C24BF" w:rsidP="0006673A">
      <w:pPr>
        <w:spacing w:line="360" w:lineRule="auto"/>
        <w:jc w:val="both"/>
        <w:rPr>
          <w:rFonts w:asciiTheme="minorBidi" w:hAnsiTheme="minorBidi"/>
          <w:b/>
          <w:bCs/>
          <w:sz w:val="28"/>
          <w:szCs w:val="28"/>
        </w:rPr>
      </w:pPr>
    </w:p>
    <w:p w14:paraId="4F0CD08E" w14:textId="77777777" w:rsidR="009F545F" w:rsidRDefault="009F545F" w:rsidP="0006673A">
      <w:pPr>
        <w:spacing w:line="360" w:lineRule="auto"/>
        <w:jc w:val="both"/>
        <w:rPr>
          <w:rFonts w:asciiTheme="minorBidi" w:hAnsiTheme="minorBidi"/>
          <w:b/>
          <w:bCs/>
          <w:sz w:val="28"/>
          <w:szCs w:val="28"/>
        </w:rPr>
      </w:pPr>
    </w:p>
    <w:p w14:paraId="0FE03266" w14:textId="0D7B5231" w:rsidR="00195CA7" w:rsidRPr="0006673A" w:rsidRDefault="00195CA7" w:rsidP="0006673A">
      <w:pPr>
        <w:spacing w:line="360" w:lineRule="auto"/>
        <w:jc w:val="both"/>
        <w:rPr>
          <w:rFonts w:asciiTheme="minorBidi" w:hAnsiTheme="minorBidi"/>
          <w:b/>
          <w:bCs/>
          <w:sz w:val="28"/>
          <w:szCs w:val="28"/>
        </w:rPr>
      </w:pPr>
      <w:r w:rsidRPr="0006673A">
        <w:rPr>
          <w:rFonts w:asciiTheme="minorBidi" w:hAnsiTheme="minorBidi"/>
          <w:b/>
          <w:bCs/>
          <w:sz w:val="28"/>
          <w:szCs w:val="28"/>
        </w:rPr>
        <w:lastRenderedPageBreak/>
        <w:t>1. Introduction</w:t>
      </w:r>
    </w:p>
    <w:p w14:paraId="31E83BB7" w14:textId="77777777" w:rsidR="00755CB6" w:rsidRPr="00755CB6" w:rsidRDefault="00755CB6" w:rsidP="0006673A">
      <w:pPr>
        <w:spacing w:line="360" w:lineRule="auto"/>
        <w:jc w:val="both"/>
        <w:rPr>
          <w:rFonts w:asciiTheme="minorBidi" w:hAnsiTheme="minorBidi"/>
        </w:rPr>
      </w:pPr>
      <w:r w:rsidRPr="00755CB6">
        <w:rPr>
          <w:rFonts w:asciiTheme="minorBidi" w:hAnsiTheme="minorBidi"/>
        </w:rPr>
        <w:t>BrightWave Services Ltd is a medium-sized facilities-management organisation employing approximately 350 staff across cleaning, maintenance and workplace-support divisions (BrightWave Case Study, 2025). Following a period of rapid growth driven by NHS and local-council contracts, the organisation has experienced increased pressure on its people-management systems. Staff surveys indicate concerns regarding unclear communication, limited recognition, workload pressure and inconsistent support from supervisors, with younger employees expressing uncertainty about progression opportunities (BrightWave Case Study, 2025).</w:t>
      </w:r>
    </w:p>
    <w:p w14:paraId="3547A5E3" w14:textId="77777777" w:rsidR="00755CB6" w:rsidRPr="00755CB6" w:rsidRDefault="00755CB6" w:rsidP="0006673A">
      <w:pPr>
        <w:spacing w:line="360" w:lineRule="auto"/>
        <w:jc w:val="both"/>
        <w:rPr>
          <w:rFonts w:asciiTheme="minorBidi" w:hAnsiTheme="minorBidi"/>
        </w:rPr>
      </w:pPr>
      <w:r w:rsidRPr="00755CB6">
        <w:rPr>
          <w:rFonts w:asciiTheme="minorBidi" w:hAnsiTheme="minorBidi"/>
        </w:rPr>
        <w:t>The organisation operates with a relatively flat structure, with senior managers based in Swansea and supervisors overseeing dispersed teams across multiple client sites (BrightWave Case Study, 2025). Many supervisors were promoted on the basis of technical strengths rather than leadership capability, a common challenge in operational environments (Torrington et al., 2020). As a result, supervisors may lack skills in communication, coaching and performance management.</w:t>
      </w:r>
    </w:p>
    <w:p w14:paraId="28398A14" w14:textId="2DD986BA" w:rsidR="00755CB6" w:rsidRPr="0006673A" w:rsidRDefault="00346897" w:rsidP="00346897">
      <w:pPr>
        <w:spacing w:line="360" w:lineRule="auto"/>
        <w:jc w:val="both"/>
        <w:rPr>
          <w:rFonts w:asciiTheme="minorBidi" w:hAnsiTheme="minorBidi"/>
        </w:rPr>
      </w:pPr>
      <w:r w:rsidRPr="00346897">
        <w:rPr>
          <w:rFonts w:asciiTheme="minorBidi" w:hAnsiTheme="minorBidi"/>
        </w:rPr>
        <w:t>Effective communication, transparency and collaboration are essential for building trust and engagement within BrightWave. These behaviours are increasingly expected by public-sector clients, who place strong emphasis on fairness, wellbeing and social value in employment practices (CIPD, 2023; ACAS, 2022). Strengthening these areas will support improved relationships, higher motivation and better service delivery. This report draws on theory and organisational evidence to analyse BrightWave’s challenges and propose recommendations to strengthen leadership, performance and culture.</w:t>
      </w:r>
    </w:p>
    <w:p w14:paraId="09878A0C" w14:textId="428C17C6" w:rsidR="00195CA7" w:rsidRPr="0006673A" w:rsidRDefault="00195CA7" w:rsidP="0006673A">
      <w:pPr>
        <w:spacing w:line="360" w:lineRule="auto"/>
        <w:jc w:val="both"/>
        <w:rPr>
          <w:rFonts w:asciiTheme="minorBidi" w:hAnsiTheme="minorBidi"/>
        </w:rPr>
      </w:pPr>
    </w:p>
    <w:p w14:paraId="75D27981" w14:textId="77777777" w:rsidR="0006673A" w:rsidRDefault="0006673A" w:rsidP="0006673A">
      <w:pPr>
        <w:spacing w:line="360" w:lineRule="auto"/>
        <w:jc w:val="both"/>
        <w:rPr>
          <w:rFonts w:asciiTheme="minorBidi" w:hAnsiTheme="minorBidi"/>
          <w:b/>
          <w:bCs/>
        </w:rPr>
      </w:pPr>
    </w:p>
    <w:p w14:paraId="6C675DEC" w14:textId="77777777" w:rsidR="0006673A" w:rsidRDefault="0006673A" w:rsidP="0006673A">
      <w:pPr>
        <w:spacing w:line="360" w:lineRule="auto"/>
        <w:jc w:val="both"/>
        <w:rPr>
          <w:rFonts w:asciiTheme="minorBidi" w:hAnsiTheme="minorBidi"/>
          <w:b/>
          <w:bCs/>
        </w:rPr>
      </w:pPr>
    </w:p>
    <w:p w14:paraId="79E8B0ED" w14:textId="77777777" w:rsidR="0006673A" w:rsidRDefault="0006673A" w:rsidP="0006673A">
      <w:pPr>
        <w:spacing w:line="360" w:lineRule="auto"/>
        <w:jc w:val="both"/>
        <w:rPr>
          <w:rFonts w:asciiTheme="minorBidi" w:hAnsiTheme="minorBidi"/>
          <w:b/>
          <w:bCs/>
        </w:rPr>
      </w:pPr>
    </w:p>
    <w:p w14:paraId="02B00BC1" w14:textId="77777777" w:rsidR="0006673A" w:rsidRDefault="0006673A" w:rsidP="0006673A">
      <w:pPr>
        <w:spacing w:line="360" w:lineRule="auto"/>
        <w:jc w:val="both"/>
        <w:rPr>
          <w:rFonts w:asciiTheme="minorBidi" w:hAnsiTheme="minorBidi"/>
          <w:b/>
          <w:bCs/>
        </w:rPr>
      </w:pPr>
    </w:p>
    <w:p w14:paraId="6E7EEC2F" w14:textId="77777777" w:rsidR="0006673A" w:rsidRDefault="0006673A" w:rsidP="0006673A">
      <w:pPr>
        <w:spacing w:line="360" w:lineRule="auto"/>
        <w:jc w:val="both"/>
        <w:rPr>
          <w:rFonts w:asciiTheme="minorBidi" w:hAnsiTheme="minorBidi"/>
          <w:b/>
          <w:bCs/>
        </w:rPr>
      </w:pPr>
    </w:p>
    <w:p w14:paraId="2FC7B0D2" w14:textId="4B382760" w:rsidR="00195CA7" w:rsidRPr="0006673A" w:rsidRDefault="00195CA7" w:rsidP="0006673A">
      <w:pPr>
        <w:spacing w:line="360" w:lineRule="auto"/>
        <w:jc w:val="both"/>
        <w:rPr>
          <w:rFonts w:asciiTheme="minorBidi" w:hAnsiTheme="minorBidi"/>
          <w:b/>
          <w:bCs/>
          <w:sz w:val="28"/>
          <w:szCs w:val="28"/>
        </w:rPr>
      </w:pPr>
      <w:r w:rsidRPr="0006673A">
        <w:rPr>
          <w:rFonts w:asciiTheme="minorBidi" w:hAnsiTheme="minorBidi"/>
          <w:b/>
          <w:bCs/>
          <w:sz w:val="28"/>
          <w:szCs w:val="28"/>
        </w:rPr>
        <w:lastRenderedPageBreak/>
        <w:t>2. Findings</w:t>
      </w:r>
      <w:r w:rsidR="0006673A">
        <w:rPr>
          <w:rFonts w:asciiTheme="minorBidi" w:hAnsiTheme="minorBidi"/>
          <w:b/>
          <w:bCs/>
          <w:sz w:val="28"/>
          <w:szCs w:val="28"/>
        </w:rPr>
        <w:t>:</w:t>
      </w:r>
    </w:p>
    <w:p w14:paraId="1AD7468D" w14:textId="77777777" w:rsidR="00195CA7" w:rsidRPr="0006673A" w:rsidRDefault="00195CA7" w:rsidP="0006673A">
      <w:pPr>
        <w:spacing w:line="360" w:lineRule="auto"/>
        <w:jc w:val="both"/>
        <w:rPr>
          <w:rFonts w:asciiTheme="minorBidi" w:hAnsiTheme="minorBidi"/>
          <w:b/>
          <w:bCs/>
        </w:rPr>
      </w:pPr>
      <w:r w:rsidRPr="0006673A">
        <w:rPr>
          <w:rFonts w:asciiTheme="minorBidi" w:hAnsiTheme="minorBidi"/>
          <w:b/>
          <w:bCs/>
        </w:rPr>
        <w:t>2.1 Discussion and Analysis</w:t>
      </w:r>
    </w:p>
    <w:p w14:paraId="4FBA5607" w14:textId="77777777" w:rsidR="00195CA7" w:rsidRPr="0006673A" w:rsidRDefault="00195CA7" w:rsidP="0006673A">
      <w:pPr>
        <w:spacing w:line="360" w:lineRule="auto"/>
        <w:jc w:val="both"/>
        <w:rPr>
          <w:rFonts w:asciiTheme="minorBidi" w:hAnsiTheme="minorBidi"/>
          <w:b/>
          <w:bCs/>
        </w:rPr>
      </w:pPr>
      <w:r w:rsidRPr="0006673A">
        <w:rPr>
          <w:rFonts w:asciiTheme="minorBidi" w:hAnsiTheme="minorBidi"/>
          <w:b/>
          <w:bCs/>
        </w:rPr>
        <w:t>2.1.1 Roles and Skills Needed in Supervisory Positions</w:t>
      </w:r>
    </w:p>
    <w:p w14:paraId="45540AD5" w14:textId="77777777" w:rsidR="001F0E4E" w:rsidRPr="001F0E4E" w:rsidRDefault="001F0E4E" w:rsidP="0006673A">
      <w:pPr>
        <w:spacing w:line="360" w:lineRule="auto"/>
        <w:jc w:val="both"/>
        <w:rPr>
          <w:rFonts w:asciiTheme="minorBidi" w:hAnsiTheme="minorBidi"/>
        </w:rPr>
      </w:pPr>
      <w:r w:rsidRPr="001F0E4E">
        <w:rPr>
          <w:rFonts w:asciiTheme="minorBidi" w:hAnsiTheme="minorBidi"/>
        </w:rPr>
        <w:t>Supervisors at BrightWave hold significant responsibility: organising daily tasks, ensuring health-and-safety compliance, liaising with clients, monitoring quality and supporting frontline staff (Goleman, 1998; Mullins, 2019). However, these technical and administrative responsibilities represent only one dimension of effective frontline leadership. True people-management requires strong communication, empathy, coaching skills, fairness and the confidence to address concerns constructively (Goleman, 1998; CIPD, 2023).</w:t>
      </w:r>
    </w:p>
    <w:p w14:paraId="44305456" w14:textId="77777777" w:rsidR="001F0E4E" w:rsidRPr="001F0E4E" w:rsidRDefault="001F0E4E" w:rsidP="0006673A">
      <w:pPr>
        <w:spacing w:line="360" w:lineRule="auto"/>
        <w:jc w:val="both"/>
        <w:rPr>
          <w:rFonts w:asciiTheme="minorBidi" w:hAnsiTheme="minorBidi"/>
        </w:rPr>
      </w:pPr>
      <w:r w:rsidRPr="001F0E4E">
        <w:rPr>
          <w:rFonts w:asciiTheme="minorBidi" w:hAnsiTheme="minorBidi"/>
        </w:rPr>
        <w:t>A major weakness is supervisors’ reluctance to give clear, constructive feedback. Many avoid addressing performance issues, particularly with long-serving employees, a behaviour commonly linked to limited managerial confidence (ACAS, 2022). This creates a cycle of persistent underperformance, increasing workload pressure and demotivating high-performing staff, who feel their efforts go unnoticed. Supervisors often compensate for unresolved issues by doing extra work themselves, which raises stress and resentment (Torrington et al., 2020). This behaviour reflects limited emotional intelligence, which Goleman (1998) highlights as essential for effective leadership. Supervisors need the ability to recognise emotions, manage their own reactions and support others sensitively.</w:t>
      </w:r>
    </w:p>
    <w:p w14:paraId="0D20419C" w14:textId="766110EE" w:rsidR="001F0E4E" w:rsidRPr="001F0E4E" w:rsidRDefault="007356EA" w:rsidP="007356EA">
      <w:pPr>
        <w:spacing w:line="360" w:lineRule="auto"/>
        <w:jc w:val="both"/>
        <w:rPr>
          <w:rFonts w:asciiTheme="minorBidi" w:hAnsiTheme="minorBidi"/>
        </w:rPr>
      </w:pPr>
      <w:r w:rsidRPr="007356EA">
        <w:rPr>
          <w:rFonts w:asciiTheme="minorBidi" w:hAnsiTheme="minorBidi"/>
        </w:rPr>
        <w:t>Research shows that many organisations promote employees based on technical expertise rather than interpersonal or leadership capability, which often results in managers who lack the skills to motivate, communicate, or manage performance effectively (Torrington et al., 2020; Armstrong &amp; Taylor, 2020). This pattern is evident at BrightWave, where several supervisors have strong operational knowledge but limited training in coaching, conflict resolution, and people management</w:t>
      </w:r>
      <w:r w:rsidR="001F0E4E" w:rsidRPr="001F0E4E">
        <w:rPr>
          <w:rFonts w:asciiTheme="minorBidi" w:hAnsiTheme="minorBidi"/>
        </w:rPr>
        <w:t xml:space="preserve">. This pattern is common in the sector, but it becomes problematic when roles require listening, coaching, conflict resolution and fair decision-making. Mullins (2019) argues that leadership involves influencing and engaging others, not just controlling tasks and resources. At BrightWave, however, many supervisors remain focused on </w:t>
      </w:r>
      <w:r w:rsidR="001F0E4E" w:rsidRPr="001F0E4E">
        <w:rPr>
          <w:rFonts w:asciiTheme="minorBidi" w:hAnsiTheme="minorBidi"/>
        </w:rPr>
        <w:lastRenderedPageBreak/>
        <w:t>administrative tasks and rarely demonstrate behaviours that inspire or empower their teams.</w:t>
      </w:r>
    </w:p>
    <w:p w14:paraId="2981B366" w14:textId="67E0763A" w:rsidR="001F0E4E" w:rsidRPr="001F0E4E" w:rsidRDefault="001F0E4E" w:rsidP="000D7740">
      <w:pPr>
        <w:spacing w:line="360" w:lineRule="auto"/>
        <w:jc w:val="both"/>
        <w:rPr>
          <w:rFonts w:asciiTheme="minorBidi" w:hAnsiTheme="minorBidi"/>
        </w:rPr>
      </w:pPr>
      <w:r w:rsidRPr="001F0E4E">
        <w:rPr>
          <w:rFonts w:asciiTheme="minorBidi" w:hAnsiTheme="minorBidi"/>
        </w:rPr>
        <w:t>Supervisors also lack clear frameworks outlining expectations for people-management behaviour. Without structured induction or guidance into their leadership roles, they rely on personal judgement, resulting in inconsistency and perceived unfairness. Ethical-leadership research emphasises that transparency, fairness and integrity are critical for trust (Brown &amp; Treviño, 2006).</w:t>
      </w:r>
      <w:r w:rsidR="000D7740" w:rsidRPr="000D7740">
        <w:t xml:space="preserve"> </w:t>
      </w:r>
      <w:r w:rsidR="000D7740" w:rsidRPr="000D7740">
        <w:rPr>
          <w:rFonts w:asciiTheme="minorBidi" w:hAnsiTheme="minorBidi"/>
        </w:rPr>
        <w:t>When employees perceive inconsistent workload allocation or recognition, their trust in the organisation weakens and motivation decreases (Adams, 1963; CIPD, 2023). Equity Theory explains that perceived unfairness in treatment directly reduces commitment and performance, reinforcing the need for transparent and consistent people practices</w:t>
      </w:r>
    </w:p>
    <w:p w14:paraId="6FCC0C98" w14:textId="3ABC8E14" w:rsidR="001F0E4E" w:rsidRPr="001F0E4E" w:rsidRDefault="001F0E4E" w:rsidP="00B513C2">
      <w:pPr>
        <w:spacing w:line="360" w:lineRule="auto"/>
        <w:jc w:val="both"/>
        <w:rPr>
          <w:rFonts w:asciiTheme="minorBidi" w:hAnsiTheme="minorBidi"/>
        </w:rPr>
      </w:pPr>
      <w:r w:rsidRPr="001F0E4E">
        <w:rPr>
          <w:rFonts w:asciiTheme="minorBidi" w:hAnsiTheme="minorBidi"/>
        </w:rPr>
        <w:t>Feedback skills are especially weak. Feedback is not simply criticism; it is guidance that supports learning, builds clarity and reduces misunderstanding (CIPD, 2023). Models such as Situation, Behaviour and Impact (SBI) offer simple structures for delivering balanced feedback.</w:t>
      </w:r>
      <w:r w:rsidR="00281F36">
        <w:rPr>
          <w:rFonts w:asciiTheme="minorBidi" w:hAnsiTheme="minorBidi"/>
        </w:rPr>
        <w:t xml:space="preserve"> </w:t>
      </w:r>
      <w:r w:rsidR="00B513C2" w:rsidRPr="00B513C2">
        <w:rPr>
          <w:rFonts w:asciiTheme="minorBidi" w:hAnsiTheme="minorBidi"/>
        </w:rPr>
        <w:t>Regular, constructive feedback increases clarity, psychological security and engagement, which in turn strengthens wellbeing and performance outcomes (CIPD, 2023; Armstrong &amp; Taylor, 2020). Effective feedback practices are shown to reduce uncertainty, improve confidence and support continuous improvement across teams.</w:t>
      </w:r>
    </w:p>
    <w:p w14:paraId="020C1A6F" w14:textId="77777777" w:rsidR="001F0E4E" w:rsidRPr="001F0E4E" w:rsidRDefault="001F0E4E" w:rsidP="0006673A">
      <w:pPr>
        <w:spacing w:line="360" w:lineRule="auto"/>
        <w:jc w:val="both"/>
        <w:rPr>
          <w:rFonts w:asciiTheme="minorBidi" w:hAnsiTheme="minorBidi"/>
        </w:rPr>
      </w:pPr>
      <w:r w:rsidRPr="001F0E4E">
        <w:rPr>
          <w:rFonts w:asciiTheme="minorBidi" w:hAnsiTheme="minorBidi"/>
        </w:rPr>
        <w:t>Overall, BrightWave must invest in developing supervisors’ emotional intelligence, communication, coaching, conflict-management and feedback skills. Without stronger people-management capability, the organisation will continue to experience disengagement, inconsistent performance and retention problems.</w:t>
      </w:r>
    </w:p>
    <w:p w14:paraId="390FC6F3" w14:textId="77777777" w:rsidR="001F0E4E" w:rsidRPr="0006673A" w:rsidRDefault="001F0E4E" w:rsidP="0006673A">
      <w:pPr>
        <w:spacing w:line="360" w:lineRule="auto"/>
        <w:jc w:val="both"/>
        <w:rPr>
          <w:rFonts w:asciiTheme="minorBidi" w:hAnsiTheme="minorBidi"/>
        </w:rPr>
      </w:pPr>
    </w:p>
    <w:p w14:paraId="09BC9504" w14:textId="494D4D76" w:rsidR="007D32E3" w:rsidRPr="00D13B77" w:rsidRDefault="007D32E3" w:rsidP="0006673A">
      <w:pPr>
        <w:spacing w:line="360" w:lineRule="auto"/>
        <w:jc w:val="both"/>
        <w:rPr>
          <w:rFonts w:asciiTheme="minorBidi" w:hAnsiTheme="minorBidi"/>
        </w:rPr>
      </w:pPr>
    </w:p>
    <w:p w14:paraId="52074628" w14:textId="77777777" w:rsidR="009B4E88" w:rsidRDefault="009B4E88" w:rsidP="0006673A">
      <w:pPr>
        <w:spacing w:line="360" w:lineRule="auto"/>
        <w:jc w:val="both"/>
        <w:rPr>
          <w:rFonts w:asciiTheme="minorBidi" w:hAnsiTheme="minorBidi"/>
          <w:b/>
          <w:bCs/>
        </w:rPr>
      </w:pPr>
    </w:p>
    <w:p w14:paraId="3EDD2B5F" w14:textId="77777777" w:rsidR="009B4E88" w:rsidRDefault="009B4E88" w:rsidP="0006673A">
      <w:pPr>
        <w:spacing w:line="360" w:lineRule="auto"/>
        <w:jc w:val="both"/>
        <w:rPr>
          <w:rFonts w:asciiTheme="minorBidi" w:hAnsiTheme="minorBidi"/>
          <w:b/>
          <w:bCs/>
        </w:rPr>
      </w:pPr>
    </w:p>
    <w:p w14:paraId="32BD8DD1" w14:textId="77777777" w:rsidR="009B4E88" w:rsidRDefault="009B4E88" w:rsidP="0006673A">
      <w:pPr>
        <w:spacing w:line="360" w:lineRule="auto"/>
        <w:jc w:val="both"/>
        <w:rPr>
          <w:rFonts w:asciiTheme="minorBidi" w:hAnsiTheme="minorBidi"/>
          <w:b/>
          <w:bCs/>
        </w:rPr>
      </w:pPr>
    </w:p>
    <w:p w14:paraId="01C9D8CC" w14:textId="77777777" w:rsidR="009B4E88" w:rsidRDefault="009B4E88" w:rsidP="0006673A">
      <w:pPr>
        <w:spacing w:line="360" w:lineRule="auto"/>
        <w:jc w:val="both"/>
        <w:rPr>
          <w:rFonts w:asciiTheme="minorBidi" w:hAnsiTheme="minorBidi"/>
          <w:b/>
          <w:bCs/>
        </w:rPr>
      </w:pPr>
    </w:p>
    <w:p w14:paraId="775A1434" w14:textId="77777777" w:rsidR="009B4E88" w:rsidRDefault="009B4E88" w:rsidP="0006673A">
      <w:pPr>
        <w:spacing w:line="360" w:lineRule="auto"/>
        <w:jc w:val="both"/>
        <w:rPr>
          <w:rFonts w:asciiTheme="minorBidi" w:hAnsiTheme="minorBidi"/>
          <w:b/>
          <w:bCs/>
        </w:rPr>
      </w:pPr>
    </w:p>
    <w:p w14:paraId="255056D7" w14:textId="378EAB9A" w:rsidR="00195CA7" w:rsidRPr="00D13B77" w:rsidRDefault="00195CA7" w:rsidP="0006673A">
      <w:pPr>
        <w:spacing w:line="360" w:lineRule="auto"/>
        <w:jc w:val="both"/>
        <w:rPr>
          <w:rFonts w:asciiTheme="minorBidi" w:hAnsiTheme="minorBidi"/>
          <w:b/>
          <w:bCs/>
        </w:rPr>
      </w:pPr>
      <w:r w:rsidRPr="00D13B77">
        <w:rPr>
          <w:rFonts w:asciiTheme="minorBidi" w:hAnsiTheme="minorBidi"/>
          <w:b/>
          <w:bCs/>
        </w:rPr>
        <w:lastRenderedPageBreak/>
        <w:t>2.1.2 Application of People-Management Theories</w:t>
      </w:r>
    </w:p>
    <w:p w14:paraId="5508C4C5" w14:textId="5AB60657" w:rsidR="00E52B66" w:rsidRPr="00E52B66" w:rsidRDefault="00E52B66" w:rsidP="0009451F">
      <w:pPr>
        <w:spacing w:line="360" w:lineRule="auto"/>
        <w:jc w:val="both"/>
        <w:rPr>
          <w:rFonts w:asciiTheme="minorBidi" w:hAnsiTheme="minorBidi"/>
        </w:rPr>
      </w:pPr>
      <w:r w:rsidRPr="00E52B66">
        <w:rPr>
          <w:rFonts w:asciiTheme="minorBidi" w:hAnsiTheme="minorBidi"/>
        </w:rPr>
        <w:t>Several theories help explain BrightWave’s difficulties and indicate potential improvements.</w:t>
      </w:r>
      <w:r w:rsidRPr="00E52B66">
        <w:rPr>
          <w:rFonts w:asciiTheme="minorBidi" w:hAnsiTheme="minorBidi"/>
        </w:rPr>
        <w:br/>
      </w:r>
      <w:r w:rsidR="0009451F" w:rsidRPr="0009451F">
        <w:rPr>
          <w:rFonts w:asciiTheme="minorBidi" w:hAnsiTheme="minorBidi"/>
        </w:rPr>
        <w:t>Maslow’s Hierarchy of Needs (Maslow, 1954) suggests that employees must have safety, belonging and esteem needs met before performing at a higher level. At BrightWave, many employees feel undervalued, unsupported and disconnected, which prevents them from achieving higher motivation. Herzberg’s Two-Factor Theory (Herzberg, 1968) further explains that when hygiene factors such as communication, workload fairness and respect are weak, dissatisfaction increases. However, more recent evidence from the CIPD Good Work Index (CIPD, 2023) shows that modern employee motivation relies heavily on job quality factors including meaningful work, fairness, voice, autonomy and wellbeing. These contemporary indicators suggest that lack of recognition, limited progression, and weak communication at BrightWave directly contribute to poor motivation, higher turnover and reduced engagement.</w:t>
      </w:r>
    </w:p>
    <w:p w14:paraId="4C71A6BD" w14:textId="77777777" w:rsidR="00E52B66" w:rsidRPr="00E52B66" w:rsidRDefault="00E52B66" w:rsidP="0006673A">
      <w:pPr>
        <w:spacing w:line="360" w:lineRule="auto"/>
        <w:jc w:val="both"/>
        <w:rPr>
          <w:rFonts w:asciiTheme="minorBidi" w:hAnsiTheme="minorBidi"/>
        </w:rPr>
      </w:pPr>
      <w:r w:rsidRPr="00E52B66">
        <w:rPr>
          <w:rFonts w:asciiTheme="minorBidi" w:hAnsiTheme="minorBidi"/>
        </w:rPr>
        <w:t>McGregor’s Theory X and Theory Y (McGregor, 1960) also appear relevant. Some BrightWave supervisors adopt a Theory X mindset, assuming staff need close supervision and cannot be trusted with autonomy. This reduces motivation and discourages initiative. A shift towards Theory Y (based on trust, responsibility and participation) would create more engagement and ownership among employees.</w:t>
      </w:r>
    </w:p>
    <w:p w14:paraId="3F166D16" w14:textId="77777777" w:rsidR="00E52B66" w:rsidRPr="00E52B66" w:rsidRDefault="00E52B66" w:rsidP="0006673A">
      <w:pPr>
        <w:spacing w:line="360" w:lineRule="auto"/>
        <w:jc w:val="both"/>
        <w:rPr>
          <w:rFonts w:asciiTheme="minorBidi" w:hAnsiTheme="minorBidi"/>
        </w:rPr>
      </w:pPr>
      <w:r w:rsidRPr="00E52B66">
        <w:rPr>
          <w:rFonts w:asciiTheme="minorBidi" w:hAnsiTheme="minorBidi"/>
        </w:rPr>
        <w:t>Expectancy Theory (Vroom, 1964) emphasises that employees are motivated when they believe their effort will lead to valued rewards. At BrightWave, employees do not see a clear link between working hard and receiving recognition, progression or other benefits. This weakens their willingness to go beyond the minimum. Equity Theory (Adams, 1963) further shows how perceptions of fairness shape motivation. When employees see inconsistent workload allocation or unequal treatment by supervisors, they feel a sense of injustice, which leads to reduced effort or a decision to leave.</w:t>
      </w:r>
    </w:p>
    <w:p w14:paraId="5A63C952" w14:textId="77777777" w:rsidR="00E52B66" w:rsidRPr="00E52B66" w:rsidRDefault="00E52B66" w:rsidP="0006673A">
      <w:pPr>
        <w:spacing w:line="360" w:lineRule="auto"/>
        <w:jc w:val="both"/>
        <w:rPr>
          <w:rFonts w:asciiTheme="minorBidi" w:hAnsiTheme="minorBidi"/>
        </w:rPr>
      </w:pPr>
      <w:r w:rsidRPr="00E52B66">
        <w:rPr>
          <w:rFonts w:asciiTheme="minorBidi" w:hAnsiTheme="minorBidi"/>
        </w:rPr>
        <w:t xml:space="preserve">The AMO Framework (Ability–Motivation–Opportunity) (Appelbaum et al., 2000) provides an integrated way to understand these issues. At BrightWave, ability is weakened because induction is limited and training is patchy, leaving employees uncertain about expectations and standards. Motivation is reduced by weak recognition, unclear communication and a culture that focuses on tasks more than people. Opportunity is restricted because staff are rarely involved in decisions, have </w:t>
      </w:r>
      <w:r w:rsidRPr="00E52B66">
        <w:rPr>
          <w:rFonts w:asciiTheme="minorBidi" w:hAnsiTheme="minorBidi"/>
        </w:rPr>
        <w:lastRenderedPageBreak/>
        <w:t>limited voice and lack visible pathways to progress. For the AMO model to work effectively, all three elements (ability, motivation and opportunity) must be strengthened together through better induction, development, recognition systems and opportunities to contribute ideas.</w:t>
      </w:r>
    </w:p>
    <w:p w14:paraId="521421D2" w14:textId="20538BBB" w:rsidR="00195CA7" w:rsidRPr="0006673A" w:rsidRDefault="00195CA7" w:rsidP="0006673A">
      <w:pPr>
        <w:spacing w:line="360" w:lineRule="auto"/>
        <w:jc w:val="both"/>
        <w:rPr>
          <w:rFonts w:asciiTheme="minorBidi" w:hAnsiTheme="minorBidi"/>
        </w:rPr>
      </w:pPr>
    </w:p>
    <w:p w14:paraId="696249CE" w14:textId="380B3D77" w:rsidR="00195CA7" w:rsidRPr="0006673A" w:rsidRDefault="00195CA7" w:rsidP="0006673A">
      <w:pPr>
        <w:spacing w:line="360" w:lineRule="auto"/>
        <w:jc w:val="both"/>
        <w:rPr>
          <w:rFonts w:asciiTheme="minorBidi" w:hAnsiTheme="minorBidi"/>
          <w:b/>
          <w:bCs/>
        </w:rPr>
      </w:pPr>
      <w:r w:rsidRPr="0006673A">
        <w:rPr>
          <w:rFonts w:asciiTheme="minorBidi" w:hAnsiTheme="minorBidi"/>
          <w:b/>
          <w:bCs/>
        </w:rPr>
        <w:t>2.1.3 Organisational Culture and Leadership</w:t>
      </w:r>
    </w:p>
    <w:p w14:paraId="68CD1003" w14:textId="1AC94DA1" w:rsidR="00A015C7" w:rsidRDefault="006A2BBB" w:rsidP="006A2BBB">
      <w:pPr>
        <w:spacing w:line="360" w:lineRule="auto"/>
        <w:jc w:val="both"/>
        <w:rPr>
          <w:rFonts w:asciiTheme="minorBidi" w:hAnsiTheme="minorBidi"/>
        </w:rPr>
      </w:pPr>
      <w:r w:rsidRPr="006A2BBB">
        <w:rPr>
          <w:rFonts w:asciiTheme="minorBidi" w:hAnsiTheme="minorBidi"/>
        </w:rPr>
        <w:t>Staff describe BrightWave’s culture as</w:t>
      </w:r>
      <w:r w:rsidRPr="002F4C23">
        <w:rPr>
          <w:rFonts w:asciiTheme="minorBidi" w:hAnsiTheme="minorBidi"/>
        </w:rPr>
        <w:t xml:space="preserve"> “task-driven, numbers-focused, and low on recognition,”</w:t>
      </w:r>
      <w:r w:rsidRPr="006A2BBB">
        <w:rPr>
          <w:rFonts w:asciiTheme="minorBidi" w:hAnsiTheme="minorBidi"/>
        </w:rPr>
        <w:t xml:space="preserve"> which aligns closely with Handy’s Role Culture, where rules and structure dominate and creativity is limited (Handy, 1981; Mullins, 2019).</w:t>
      </w:r>
      <w:r w:rsidR="00A015C7" w:rsidRPr="00A015C7">
        <w:rPr>
          <w:rFonts w:asciiTheme="minorBidi" w:hAnsiTheme="minorBidi"/>
        </w:rPr>
        <w:t>While task clarity can support consistency, an over</w:t>
      </w:r>
      <w:r w:rsidR="00A015C7" w:rsidRPr="00A015C7">
        <w:rPr>
          <w:rFonts w:asciiTheme="minorBidi" w:hAnsiTheme="minorBidi"/>
        </w:rPr>
        <w:noBreakHyphen/>
        <w:t>emphasis on efficiency can weaken belonging, purpose and engagement (Armstrong &amp; Taylor, 2020).</w:t>
      </w:r>
    </w:p>
    <w:p w14:paraId="1DEC40BF" w14:textId="77777777" w:rsidR="00A015C7" w:rsidRPr="00A015C7" w:rsidRDefault="00A015C7" w:rsidP="0006673A">
      <w:pPr>
        <w:spacing w:line="360" w:lineRule="auto"/>
        <w:jc w:val="both"/>
        <w:rPr>
          <w:rFonts w:asciiTheme="minorBidi" w:hAnsiTheme="minorBidi"/>
        </w:rPr>
      </w:pPr>
      <w:r w:rsidRPr="00A015C7">
        <w:rPr>
          <w:rFonts w:asciiTheme="minorBidi" w:hAnsiTheme="minorBidi"/>
        </w:rPr>
        <w:t>Schein’s cultural model highlights deeper issues across artefacts, espoused values and underlying assumptions (Schein, 2010). Artefacts at BrightWave emphasise compliance and productivity; espoused values emphasise fairness; yet underlying assumptions prioritise output over people. Such cultural misalignment can create cynicism and erode the psychological contract, reducing trust (Rousseau, 1995; Schein, 2010).</w:t>
      </w:r>
    </w:p>
    <w:p w14:paraId="0B7CAA52" w14:textId="168C79E4" w:rsidR="00A015C7" w:rsidRPr="00A015C7" w:rsidRDefault="00A015C7" w:rsidP="0006673A">
      <w:pPr>
        <w:spacing w:line="360" w:lineRule="auto"/>
        <w:jc w:val="both"/>
        <w:rPr>
          <w:rFonts w:asciiTheme="minorBidi" w:hAnsiTheme="minorBidi"/>
        </w:rPr>
      </w:pPr>
      <w:r w:rsidRPr="00A015C7">
        <w:rPr>
          <w:rFonts w:asciiTheme="minorBidi" w:hAnsiTheme="minorBidi"/>
        </w:rPr>
        <w:t>Leadership style contributes significantly to this culture. BrightWave’s supervisors tend to adopt a transactional approach</w:t>
      </w:r>
      <w:r w:rsidR="00104998" w:rsidRPr="0006673A">
        <w:rPr>
          <w:rFonts w:asciiTheme="minorBidi" w:hAnsiTheme="minorBidi"/>
        </w:rPr>
        <w:t xml:space="preserve"> </w:t>
      </w:r>
      <w:r w:rsidRPr="00A015C7">
        <w:rPr>
          <w:rFonts w:asciiTheme="minorBidi" w:hAnsiTheme="minorBidi"/>
        </w:rPr>
        <w:t>focused on instructions, monitoring and task completion</w:t>
      </w:r>
      <w:r w:rsidR="00104998" w:rsidRPr="0006673A">
        <w:rPr>
          <w:rFonts w:asciiTheme="minorBidi" w:hAnsiTheme="minorBidi"/>
        </w:rPr>
        <w:t>,</w:t>
      </w:r>
      <w:r w:rsidR="006215C0">
        <w:rPr>
          <w:rFonts w:asciiTheme="minorBidi" w:hAnsiTheme="minorBidi"/>
        </w:rPr>
        <w:t xml:space="preserve"> </w:t>
      </w:r>
      <w:r w:rsidRPr="00A015C7">
        <w:rPr>
          <w:rFonts w:asciiTheme="minorBidi" w:hAnsiTheme="minorBidi"/>
        </w:rPr>
        <w:t>which may support efficiency but does little to promote motivation or development (Bass, 1985; Mullins, 2019). Transformational leadership can increase engagement by creating shared purpose, trust and empowerment (Bass, 1985; Armstrong &amp; Taylor, 2020). Servant leadership further supports fairness, wellbeing and inclusion by prioritising employee needs (Greenleaf, 1977; Brown &amp; Treviño, 2006).</w:t>
      </w:r>
    </w:p>
    <w:p w14:paraId="489EB17A" w14:textId="77777777" w:rsidR="00A015C7" w:rsidRPr="00A015C7" w:rsidRDefault="00A015C7" w:rsidP="0006673A">
      <w:pPr>
        <w:spacing w:line="360" w:lineRule="auto"/>
        <w:jc w:val="both"/>
        <w:rPr>
          <w:rFonts w:asciiTheme="minorBidi" w:hAnsiTheme="minorBidi"/>
        </w:rPr>
      </w:pPr>
      <w:r w:rsidRPr="00A015C7">
        <w:rPr>
          <w:rFonts w:asciiTheme="minorBidi" w:hAnsiTheme="minorBidi"/>
        </w:rPr>
        <w:t>Psychological safety is limited, with employees hesitant to raise concerns. Edmondson (2018) emphasises that psychological safety is essential for learning, innovation and improvement. Low psychological safety often leads to silence, hidden problems and repeated mistakes (Edmondson, 2018; CIPD, 2023).</w:t>
      </w:r>
    </w:p>
    <w:p w14:paraId="52CDD162" w14:textId="70214CC1" w:rsidR="00A015C7" w:rsidRDefault="00A015C7" w:rsidP="004A520E">
      <w:pPr>
        <w:spacing w:line="360" w:lineRule="auto"/>
        <w:jc w:val="both"/>
        <w:rPr>
          <w:rFonts w:asciiTheme="minorBidi" w:hAnsiTheme="minorBidi"/>
        </w:rPr>
      </w:pPr>
      <w:r w:rsidRPr="00A015C7">
        <w:rPr>
          <w:rFonts w:asciiTheme="minorBidi" w:hAnsiTheme="minorBidi"/>
        </w:rPr>
        <w:t>.</w:t>
      </w:r>
    </w:p>
    <w:p w14:paraId="4DF23D96" w14:textId="2EFECA1A" w:rsidR="002E194E" w:rsidRPr="00A015C7" w:rsidRDefault="002E194E" w:rsidP="002E194E">
      <w:pPr>
        <w:spacing w:line="360" w:lineRule="auto"/>
        <w:jc w:val="both"/>
        <w:rPr>
          <w:rFonts w:asciiTheme="minorBidi" w:hAnsiTheme="minorBidi"/>
        </w:rPr>
      </w:pPr>
      <w:r w:rsidRPr="002E194E">
        <w:rPr>
          <w:rFonts w:asciiTheme="minorBidi" w:hAnsiTheme="minorBidi"/>
        </w:rPr>
        <w:lastRenderedPageBreak/>
        <w:t>BrightWave’s mission, vision and values provide an important foundation for understanding its culture and people-management challenges. Although the organisation states commitments to fairness, service quality and community contribution, these values are not consistently reflected in day-to-day behaviours. A lack of clear communication, limited recognition and inconsistent supervisory practice suggests a gap between the organisation’s stated values and employees’ lived experience. When mission and values are not embedded into leadership behaviour, the psychological contract weakens and trust declines (Rousseau, 1995; Schein, 2010). Strengthening alignment between BrightWave’s purpose and its people practices would help build a more coherent, values-led culture that supports motivation, engagement and service quality.</w:t>
      </w:r>
    </w:p>
    <w:p w14:paraId="0222D4F3" w14:textId="77777777" w:rsidR="00A015C7" w:rsidRPr="0006673A" w:rsidRDefault="00A015C7" w:rsidP="0006673A">
      <w:pPr>
        <w:spacing w:line="360" w:lineRule="auto"/>
        <w:jc w:val="both"/>
        <w:rPr>
          <w:rFonts w:asciiTheme="minorBidi" w:hAnsiTheme="minorBidi"/>
        </w:rPr>
      </w:pPr>
    </w:p>
    <w:p w14:paraId="6AD7732E" w14:textId="402448D2" w:rsidR="00195CA7" w:rsidRPr="0006673A" w:rsidRDefault="00195CA7" w:rsidP="0006673A">
      <w:pPr>
        <w:spacing w:line="360" w:lineRule="auto"/>
        <w:jc w:val="both"/>
        <w:rPr>
          <w:rFonts w:asciiTheme="minorBidi" w:hAnsiTheme="minorBidi"/>
        </w:rPr>
      </w:pPr>
    </w:p>
    <w:p w14:paraId="666A943C" w14:textId="77777777" w:rsidR="00195CA7" w:rsidRPr="0006673A" w:rsidRDefault="00195CA7" w:rsidP="0006673A">
      <w:pPr>
        <w:spacing w:line="360" w:lineRule="auto"/>
        <w:jc w:val="both"/>
        <w:rPr>
          <w:rFonts w:asciiTheme="minorBidi" w:hAnsiTheme="minorBidi"/>
          <w:b/>
          <w:bCs/>
        </w:rPr>
      </w:pPr>
      <w:r w:rsidRPr="0006673A">
        <w:rPr>
          <w:rFonts w:asciiTheme="minorBidi" w:hAnsiTheme="minorBidi"/>
          <w:b/>
          <w:bCs/>
        </w:rPr>
        <w:t>2.1.4 Performance Management, Wellbeing and Retention</w:t>
      </w:r>
    </w:p>
    <w:p w14:paraId="4DBAF236" w14:textId="4FF5E9FF" w:rsidR="00D93C01" w:rsidRPr="00A67BE6" w:rsidRDefault="00D93C01" w:rsidP="00A67BE6">
      <w:pPr>
        <w:spacing w:line="360" w:lineRule="auto"/>
        <w:jc w:val="both"/>
        <w:rPr>
          <w:rFonts w:asciiTheme="minorBidi" w:hAnsiTheme="minorBidi"/>
        </w:rPr>
      </w:pPr>
      <w:r w:rsidRPr="00A67BE6">
        <w:rPr>
          <w:rFonts w:asciiTheme="minorBidi" w:hAnsiTheme="minorBidi"/>
        </w:rPr>
        <w:t>Performance management at BrightWave is inconsistent because supervisors lack confidence, tools and frameworks to manage performance fairly (ACAS, 2022; Armstrong &amp; Taylor, 2020). Many avoid performance conversations altogether, which leads to unclear expectations, uneven standards and frustration among team members. Over time, this contributes to poor service quality and reduced client satisfaction. Research highlights that a structured performance-management system one</w:t>
      </w:r>
      <w:r w:rsidRPr="00A67BE6">
        <w:rPr>
          <w:rFonts w:asciiTheme="minorBidi" w:hAnsiTheme="minorBidi"/>
        </w:rPr>
        <w:noBreakHyphen/>
        <w:t>to</w:t>
      </w:r>
      <w:r w:rsidRPr="00A67BE6">
        <w:rPr>
          <w:rFonts w:asciiTheme="minorBidi" w:hAnsiTheme="minorBidi"/>
        </w:rPr>
        <w:noBreakHyphen/>
        <w:t>one meetings, achievable goals and consistent feedback</w:t>
      </w:r>
      <w:r w:rsidR="00B035E7" w:rsidRPr="00A67BE6">
        <w:rPr>
          <w:rFonts w:asciiTheme="minorBidi" w:hAnsiTheme="minorBidi"/>
        </w:rPr>
        <w:t xml:space="preserve"> </w:t>
      </w:r>
      <w:r w:rsidRPr="00A67BE6">
        <w:rPr>
          <w:rFonts w:asciiTheme="minorBidi" w:hAnsiTheme="minorBidi"/>
        </w:rPr>
        <w:t>improves clarity, fairness and accountability (CIPD, 2023; ACAS, 2022).</w:t>
      </w:r>
    </w:p>
    <w:p w14:paraId="17EADC0F" w14:textId="6C8671BA" w:rsidR="00D93C01" w:rsidRPr="00A67BE6" w:rsidRDefault="00D93C01" w:rsidP="00A67BE6">
      <w:pPr>
        <w:spacing w:line="360" w:lineRule="auto"/>
        <w:jc w:val="both"/>
        <w:rPr>
          <w:rFonts w:asciiTheme="minorBidi" w:hAnsiTheme="minorBidi"/>
        </w:rPr>
      </w:pPr>
      <w:r w:rsidRPr="00A67BE6">
        <w:rPr>
          <w:rFonts w:asciiTheme="minorBidi" w:hAnsiTheme="minorBidi"/>
        </w:rPr>
        <w:t xml:space="preserve">Feedback plays a central role within this system. When employees do not receive regular, constructive feedback, they begin to doubt whether they are meeting expectations. High performers feel unnoticed and undervalued, while others continue underperforming without guidance or support. Misunderstandings become more </w:t>
      </w:r>
      <w:r w:rsidR="00FB3F94" w:rsidRPr="00A67BE6">
        <w:rPr>
          <w:rFonts w:asciiTheme="minorBidi" w:hAnsiTheme="minorBidi"/>
        </w:rPr>
        <w:t>common;</w:t>
      </w:r>
      <w:r w:rsidRPr="00A67BE6">
        <w:rPr>
          <w:rFonts w:asciiTheme="minorBidi" w:hAnsiTheme="minorBidi"/>
        </w:rPr>
        <w:t xml:space="preserve"> conflict increases and confidence in supervisors declines. Regular check</w:t>
      </w:r>
      <w:r w:rsidRPr="00A67BE6">
        <w:rPr>
          <w:rFonts w:asciiTheme="minorBidi" w:hAnsiTheme="minorBidi"/>
        </w:rPr>
        <w:noBreakHyphen/>
        <w:t>ins support development, motivation and early intervention (CIPD, 2023; Mullins, 2019).</w:t>
      </w:r>
    </w:p>
    <w:p w14:paraId="2808E825" w14:textId="7C43B92F" w:rsidR="00D93C01" w:rsidRPr="00A67BE6" w:rsidRDefault="00D93C01" w:rsidP="00A67BE6">
      <w:pPr>
        <w:spacing w:line="360" w:lineRule="auto"/>
        <w:jc w:val="both"/>
        <w:rPr>
          <w:rFonts w:asciiTheme="minorBidi" w:hAnsiTheme="minorBidi"/>
        </w:rPr>
      </w:pPr>
      <w:r w:rsidRPr="00A67BE6">
        <w:rPr>
          <w:rFonts w:asciiTheme="minorBidi" w:hAnsiTheme="minorBidi"/>
        </w:rPr>
        <w:t>Wellbeing is closely linked to performance. Many BrightWave employees work under intense time pressure, with heavy workloads and limited rest. Without proactive wellbeing initiatives</w:t>
      </w:r>
      <w:r w:rsidR="00FB3F94" w:rsidRPr="00A67BE6">
        <w:rPr>
          <w:rFonts w:asciiTheme="minorBidi" w:hAnsiTheme="minorBidi"/>
        </w:rPr>
        <w:t xml:space="preserve"> </w:t>
      </w:r>
      <w:r w:rsidRPr="00A67BE6">
        <w:rPr>
          <w:rFonts w:asciiTheme="minorBidi" w:hAnsiTheme="minorBidi"/>
        </w:rPr>
        <w:t>such as mental</w:t>
      </w:r>
      <w:r w:rsidRPr="00A67BE6">
        <w:rPr>
          <w:rFonts w:asciiTheme="minorBidi" w:hAnsiTheme="minorBidi"/>
        </w:rPr>
        <w:noBreakHyphen/>
        <w:t xml:space="preserve">health support, balanced workloads and </w:t>
      </w:r>
      <w:r w:rsidRPr="00A67BE6">
        <w:rPr>
          <w:rFonts w:asciiTheme="minorBidi" w:hAnsiTheme="minorBidi"/>
        </w:rPr>
        <w:lastRenderedPageBreak/>
        <w:t>supportive supervision</w:t>
      </w:r>
      <w:r w:rsidR="00EB695A" w:rsidRPr="00A67BE6">
        <w:rPr>
          <w:rFonts w:asciiTheme="minorBidi" w:hAnsiTheme="minorBidi"/>
        </w:rPr>
        <w:t xml:space="preserve">, </w:t>
      </w:r>
      <w:r w:rsidRPr="00A67BE6">
        <w:rPr>
          <w:rFonts w:asciiTheme="minorBidi" w:hAnsiTheme="minorBidi"/>
        </w:rPr>
        <w:t>employees are at increased risk of stress, fatigue and burnout (CIPD, 2023; Armstrong &amp; Taylor, 2020). Currently, wellbeing is managed reactively at BrightWave. A preventative, holistic wellbeing approach would strengthen engagement and reduce absence.</w:t>
      </w:r>
    </w:p>
    <w:p w14:paraId="41086E82" w14:textId="6C0C2011" w:rsidR="00D93C01" w:rsidRPr="00A67BE6" w:rsidRDefault="00D93C01" w:rsidP="00E60FFF">
      <w:pPr>
        <w:spacing w:line="360" w:lineRule="auto"/>
        <w:jc w:val="both"/>
        <w:rPr>
          <w:rFonts w:asciiTheme="minorBidi" w:hAnsiTheme="minorBidi"/>
        </w:rPr>
      </w:pPr>
      <w:r w:rsidRPr="00A67BE6">
        <w:rPr>
          <w:rFonts w:asciiTheme="minorBidi" w:hAnsiTheme="minorBidi"/>
        </w:rPr>
        <w:t>Retention challenges arise from weak induction, inconsistent communication, lack of recognition and unclear career pathways. Research shows that appreciation, fairness and opportunities for development strongly influence retention (Torrington et al., 2020; CIPD, 2023). Ineffective onboarding reduces confidence and increases early turnover (Armstrong &amp; Taylor, 2020</w:t>
      </w:r>
      <w:r w:rsidR="00E60FFF" w:rsidRPr="00A67BE6">
        <w:rPr>
          <w:rFonts w:asciiTheme="minorBidi" w:hAnsiTheme="minorBidi"/>
        </w:rPr>
        <w:t>). Equality</w:t>
      </w:r>
      <w:r w:rsidRPr="00A67BE6">
        <w:rPr>
          <w:rFonts w:asciiTheme="minorBidi" w:hAnsiTheme="minorBidi"/>
        </w:rPr>
        <w:t>, Diversity and Inclusion (EDI) also play a key role. When employees believe workload distribution and progression opportunities are fair, they are more motivated and committed (Adams, 1963; CIPD, 2023). Inconsistent practice at BrightWave reduces trust and may contribute to feelings of exclusion.</w:t>
      </w:r>
    </w:p>
    <w:p w14:paraId="1CAB2393" w14:textId="6DB6B0D1" w:rsidR="00D93C01" w:rsidRPr="00A67BE6" w:rsidRDefault="00D93C01" w:rsidP="00671C01">
      <w:pPr>
        <w:spacing w:line="360" w:lineRule="auto"/>
        <w:jc w:val="both"/>
        <w:rPr>
          <w:rFonts w:asciiTheme="minorBidi" w:hAnsiTheme="minorBidi"/>
        </w:rPr>
      </w:pPr>
      <w:r w:rsidRPr="00A67BE6">
        <w:rPr>
          <w:rFonts w:asciiTheme="minorBidi" w:hAnsiTheme="minorBidi"/>
        </w:rPr>
        <w:t>A deeper analysis shows that BrightWave’s challenges are cultural as well as structural. Policies exist on paper, but supervisors lack capability and confidence to implement them consistently. This weakens organisational integrity, a core component of employee engagement (Engage for Success, 2012). When staff observe differences between stated values and actual practice, the psychological contract is damaged, leading to disengagement (Rousseau, 1995</w:t>
      </w:r>
      <w:r w:rsidR="00E60FFF" w:rsidRPr="00A67BE6">
        <w:rPr>
          <w:rFonts w:asciiTheme="minorBidi" w:hAnsiTheme="minorBidi"/>
        </w:rPr>
        <w:t>). Recruitment</w:t>
      </w:r>
      <w:r w:rsidRPr="00A67BE6">
        <w:rPr>
          <w:rFonts w:asciiTheme="minorBidi" w:hAnsiTheme="minorBidi"/>
        </w:rPr>
        <w:t xml:space="preserve"> and induction processes are also underused as strategic tools. They are treated largely as administrative steps rather than opportunities for building belonging and clarifying expectations. Stronger onboarding</w:t>
      </w:r>
      <w:r w:rsidR="00B3795C" w:rsidRPr="00A67BE6">
        <w:rPr>
          <w:rFonts w:asciiTheme="minorBidi" w:hAnsiTheme="minorBidi"/>
        </w:rPr>
        <w:t xml:space="preserve"> </w:t>
      </w:r>
      <w:r w:rsidRPr="00A67BE6">
        <w:rPr>
          <w:rFonts w:asciiTheme="minorBidi" w:hAnsiTheme="minorBidi"/>
        </w:rPr>
        <w:t>including mentoring, communication and early feedback</w:t>
      </w:r>
      <w:r w:rsidR="00B3795C" w:rsidRPr="00A67BE6">
        <w:rPr>
          <w:rFonts w:asciiTheme="minorBidi" w:hAnsiTheme="minorBidi"/>
        </w:rPr>
        <w:t xml:space="preserve"> </w:t>
      </w:r>
      <w:r w:rsidRPr="00A67BE6">
        <w:rPr>
          <w:rFonts w:asciiTheme="minorBidi" w:hAnsiTheme="minorBidi"/>
        </w:rPr>
        <w:t>reduces turnover and supports retention (Armstrong &amp; Taylor, 2020).</w:t>
      </w:r>
    </w:p>
    <w:p w14:paraId="0E57B659" w14:textId="6C02194F" w:rsidR="003300A1" w:rsidRPr="00A67BE6" w:rsidRDefault="003300A1" w:rsidP="003300A1">
      <w:pPr>
        <w:spacing w:line="360" w:lineRule="auto"/>
        <w:jc w:val="both"/>
        <w:rPr>
          <w:rFonts w:asciiTheme="minorBidi" w:hAnsiTheme="minorBidi"/>
        </w:rPr>
      </w:pPr>
      <w:r w:rsidRPr="003300A1">
        <w:rPr>
          <w:rFonts w:asciiTheme="minorBidi" w:hAnsiTheme="minorBidi"/>
        </w:rPr>
        <w:t>Communication across dispersed sites remains a barrier. Supervisors often operate in silos, and teams receive different levels of information and support. Encouraging cross-team collaboration and shared problem-solving strengthens unity and consistency (Tuckman, 1965; CIPD, 2023). Strengthening communication channels and ensuring consistent messaging across locations would help build trust and improve coordination in multisite environments.</w:t>
      </w:r>
    </w:p>
    <w:p w14:paraId="19F07022" w14:textId="77777777" w:rsidR="00D93C01" w:rsidRPr="00A67BE6" w:rsidRDefault="00D93C01" w:rsidP="00A67BE6">
      <w:pPr>
        <w:spacing w:line="360" w:lineRule="auto"/>
        <w:jc w:val="both"/>
        <w:rPr>
          <w:rFonts w:asciiTheme="minorBidi" w:hAnsiTheme="minorBidi"/>
        </w:rPr>
      </w:pPr>
      <w:r w:rsidRPr="00A67BE6">
        <w:rPr>
          <w:rFonts w:asciiTheme="minorBidi" w:hAnsiTheme="minorBidi"/>
        </w:rPr>
        <w:t xml:space="preserve">Overall, these findings indicate that improving BrightWave’s performance requires coordinated action across leadership development, communication, wellbeing and the entire employee lifecycle. Evidence shows that isolated interventions are insufficient; </w:t>
      </w:r>
      <w:r w:rsidRPr="00A67BE6">
        <w:rPr>
          <w:rFonts w:asciiTheme="minorBidi" w:hAnsiTheme="minorBidi"/>
        </w:rPr>
        <w:lastRenderedPageBreak/>
        <w:t>instead, a long</w:t>
      </w:r>
      <w:r w:rsidRPr="00A67BE6">
        <w:rPr>
          <w:rFonts w:asciiTheme="minorBidi" w:hAnsiTheme="minorBidi"/>
        </w:rPr>
        <w:noBreakHyphen/>
        <w:t>term, strategic and people</w:t>
      </w:r>
      <w:r w:rsidRPr="00A67BE6">
        <w:rPr>
          <w:rFonts w:asciiTheme="minorBidi" w:hAnsiTheme="minorBidi"/>
        </w:rPr>
        <w:noBreakHyphen/>
        <w:t>centred approach is necessary for sustainable improvement (Armstrong &amp; Taylor, 2020; CIPD, 2023).</w:t>
      </w:r>
    </w:p>
    <w:p w14:paraId="5625CBC0" w14:textId="24E362D5" w:rsidR="00195CA7" w:rsidRPr="0047648E" w:rsidRDefault="00195CA7" w:rsidP="00A67BE6">
      <w:pPr>
        <w:spacing w:line="360" w:lineRule="auto"/>
        <w:jc w:val="both"/>
        <w:rPr>
          <w:rFonts w:asciiTheme="minorBidi" w:hAnsiTheme="minorBidi"/>
          <w:b/>
          <w:bCs/>
          <w:sz w:val="28"/>
          <w:szCs w:val="28"/>
        </w:rPr>
      </w:pPr>
      <w:r w:rsidRPr="0047648E">
        <w:rPr>
          <w:rFonts w:asciiTheme="minorBidi" w:hAnsiTheme="minorBidi"/>
          <w:b/>
          <w:bCs/>
          <w:sz w:val="28"/>
          <w:szCs w:val="28"/>
        </w:rPr>
        <w:t>3. Conclusion</w:t>
      </w:r>
      <w:r w:rsidR="003F725F" w:rsidRPr="0047648E">
        <w:rPr>
          <w:rFonts w:asciiTheme="minorBidi" w:hAnsiTheme="minorBidi"/>
          <w:b/>
          <w:bCs/>
          <w:sz w:val="28"/>
          <w:szCs w:val="28"/>
        </w:rPr>
        <w:t xml:space="preserve"> </w:t>
      </w:r>
    </w:p>
    <w:p w14:paraId="2901272F" w14:textId="6E76D616" w:rsidR="005965BF" w:rsidRPr="006E0100" w:rsidRDefault="00975D94" w:rsidP="00F37D4B">
      <w:pPr>
        <w:spacing w:line="360" w:lineRule="auto"/>
        <w:rPr>
          <w:rFonts w:asciiTheme="minorBidi" w:hAnsiTheme="minorBidi"/>
        </w:rPr>
      </w:pPr>
      <w:r w:rsidRPr="006E0100">
        <w:rPr>
          <w:rFonts w:asciiTheme="minorBidi" w:hAnsiTheme="minorBidi"/>
        </w:rPr>
        <w:t>BrightWave’s core challenges stem from limited leadership capability, unclear communication and a task-focused culture. Supervisors promoted for technical ability often lack the confidence and people-management skills required to address performance concerns effectively, contributing to inconsistent standards, low morale and high turnover (Armstrong &amp; Taylor, 2020; Mullins, 2019). Motivation theories further clarify these issues: weak recognition and communication create dissatisfaction (Herzberg, 1968), unmet belonging and esteem needs reduce motivation (Maslow, 1954) and perceptions of unfairness undermine commitment (Adams, 1963). Leadership assumptions also shape engagement, with Theory X behaviours restricting autonomy and trust (McGregor, 1960). Cultural analysis shows that BrightWave’s emphasis on productivity over people reduces psychological safety, limits collaboration and weakens the psychological contract</w:t>
      </w:r>
      <w:r w:rsidR="00BB77F2">
        <w:rPr>
          <w:rFonts w:asciiTheme="minorBidi" w:hAnsiTheme="minorBidi"/>
        </w:rPr>
        <w:t>.</w:t>
      </w:r>
      <w:r w:rsidR="00403B72">
        <w:rPr>
          <w:rFonts w:asciiTheme="minorBidi" w:hAnsiTheme="minorBidi"/>
        </w:rPr>
        <w:t xml:space="preserve"> </w:t>
      </w:r>
      <w:r w:rsidRPr="006E0100">
        <w:rPr>
          <w:rFonts w:asciiTheme="minorBidi" w:hAnsiTheme="minorBidi"/>
        </w:rPr>
        <w:t>(Schein, 2010; Handy, 1981; Edmondson, 2018).</w:t>
      </w:r>
      <w:r w:rsidRPr="006E0100">
        <w:rPr>
          <w:rFonts w:asciiTheme="minorBidi" w:hAnsiTheme="minorBidi"/>
        </w:rPr>
        <w:br/>
        <w:t>To make sustainable improvements and support long-term organisational performance, the following evidence-based recommendations are proposed.</w:t>
      </w:r>
    </w:p>
    <w:p w14:paraId="061B6728" w14:textId="77777777" w:rsidR="006E0100" w:rsidRDefault="006E0100" w:rsidP="00975D94">
      <w:pPr>
        <w:spacing w:line="360" w:lineRule="auto"/>
        <w:jc w:val="both"/>
        <w:rPr>
          <w:rFonts w:asciiTheme="minorBidi" w:hAnsiTheme="minorBidi"/>
          <w:b/>
          <w:bCs/>
        </w:rPr>
      </w:pPr>
    </w:p>
    <w:p w14:paraId="28480563" w14:textId="77777777" w:rsidR="00EC0F15" w:rsidRDefault="00EC0F15" w:rsidP="006E0100">
      <w:pPr>
        <w:spacing w:line="360" w:lineRule="auto"/>
        <w:jc w:val="both"/>
        <w:rPr>
          <w:rFonts w:asciiTheme="minorBidi" w:hAnsiTheme="minorBidi"/>
          <w:b/>
          <w:bCs/>
          <w:sz w:val="28"/>
          <w:szCs w:val="28"/>
        </w:rPr>
      </w:pPr>
    </w:p>
    <w:p w14:paraId="13D959E5" w14:textId="77777777" w:rsidR="00EC0F15" w:rsidRDefault="00EC0F15" w:rsidP="006E0100">
      <w:pPr>
        <w:spacing w:line="360" w:lineRule="auto"/>
        <w:jc w:val="both"/>
        <w:rPr>
          <w:rFonts w:asciiTheme="minorBidi" w:hAnsiTheme="minorBidi"/>
          <w:b/>
          <w:bCs/>
          <w:sz w:val="28"/>
          <w:szCs w:val="28"/>
        </w:rPr>
      </w:pPr>
    </w:p>
    <w:p w14:paraId="6B4B2E7A" w14:textId="77777777" w:rsidR="00EC0F15" w:rsidRDefault="00EC0F15" w:rsidP="006E0100">
      <w:pPr>
        <w:spacing w:line="360" w:lineRule="auto"/>
        <w:jc w:val="both"/>
        <w:rPr>
          <w:rFonts w:asciiTheme="minorBidi" w:hAnsiTheme="minorBidi"/>
          <w:b/>
          <w:bCs/>
          <w:sz w:val="28"/>
          <w:szCs w:val="28"/>
        </w:rPr>
      </w:pPr>
    </w:p>
    <w:p w14:paraId="29FA7A23" w14:textId="77777777" w:rsidR="00EC0F15" w:rsidRDefault="00EC0F15" w:rsidP="006E0100">
      <w:pPr>
        <w:spacing w:line="360" w:lineRule="auto"/>
        <w:jc w:val="both"/>
        <w:rPr>
          <w:rFonts w:asciiTheme="minorBidi" w:hAnsiTheme="minorBidi"/>
          <w:b/>
          <w:bCs/>
          <w:sz w:val="28"/>
          <w:szCs w:val="28"/>
        </w:rPr>
      </w:pPr>
    </w:p>
    <w:p w14:paraId="0574189E" w14:textId="77777777" w:rsidR="00EC0F15" w:rsidRDefault="00EC0F15" w:rsidP="006E0100">
      <w:pPr>
        <w:spacing w:line="360" w:lineRule="auto"/>
        <w:jc w:val="both"/>
        <w:rPr>
          <w:rFonts w:asciiTheme="minorBidi" w:hAnsiTheme="minorBidi"/>
          <w:b/>
          <w:bCs/>
          <w:sz w:val="28"/>
          <w:szCs w:val="28"/>
        </w:rPr>
      </w:pPr>
    </w:p>
    <w:p w14:paraId="7A7D172B" w14:textId="77777777" w:rsidR="00794CD0" w:rsidRDefault="00794CD0" w:rsidP="006E0100">
      <w:pPr>
        <w:spacing w:line="360" w:lineRule="auto"/>
        <w:jc w:val="both"/>
        <w:rPr>
          <w:rFonts w:asciiTheme="minorBidi" w:hAnsiTheme="minorBidi"/>
          <w:b/>
          <w:bCs/>
          <w:sz w:val="28"/>
          <w:szCs w:val="28"/>
        </w:rPr>
      </w:pPr>
    </w:p>
    <w:p w14:paraId="01855FCD" w14:textId="77777777" w:rsidR="00794CD0" w:rsidRDefault="00794CD0" w:rsidP="006E0100">
      <w:pPr>
        <w:spacing w:line="360" w:lineRule="auto"/>
        <w:jc w:val="both"/>
        <w:rPr>
          <w:rFonts w:asciiTheme="minorBidi" w:hAnsiTheme="minorBidi"/>
          <w:b/>
          <w:bCs/>
          <w:sz w:val="28"/>
          <w:szCs w:val="28"/>
        </w:rPr>
      </w:pPr>
    </w:p>
    <w:p w14:paraId="77547F32" w14:textId="77777777" w:rsidR="00794CD0" w:rsidRDefault="00794CD0" w:rsidP="006E0100">
      <w:pPr>
        <w:spacing w:line="360" w:lineRule="auto"/>
        <w:jc w:val="both"/>
        <w:rPr>
          <w:rFonts w:asciiTheme="minorBidi" w:hAnsiTheme="minorBidi"/>
          <w:b/>
          <w:bCs/>
          <w:sz w:val="28"/>
          <w:szCs w:val="28"/>
        </w:rPr>
      </w:pPr>
    </w:p>
    <w:p w14:paraId="35A4FBCB" w14:textId="74B8F9CF" w:rsidR="005965BF" w:rsidRPr="005965BF" w:rsidRDefault="005965BF" w:rsidP="006E0100">
      <w:pPr>
        <w:spacing w:line="360" w:lineRule="auto"/>
        <w:jc w:val="both"/>
        <w:rPr>
          <w:rFonts w:asciiTheme="minorBidi" w:hAnsiTheme="minorBidi"/>
          <w:b/>
          <w:bCs/>
          <w:sz w:val="28"/>
          <w:szCs w:val="28"/>
        </w:rPr>
      </w:pPr>
      <w:r w:rsidRPr="00E636C8">
        <w:rPr>
          <w:rFonts w:asciiTheme="minorBidi" w:hAnsiTheme="minorBidi"/>
          <w:b/>
          <w:bCs/>
          <w:sz w:val="28"/>
          <w:szCs w:val="28"/>
        </w:rPr>
        <w:lastRenderedPageBreak/>
        <w:t>4</w:t>
      </w:r>
      <w:r w:rsidRPr="005965BF">
        <w:rPr>
          <w:rFonts w:asciiTheme="minorBidi" w:hAnsiTheme="minorBidi"/>
          <w:b/>
          <w:bCs/>
          <w:sz w:val="28"/>
          <w:szCs w:val="28"/>
        </w:rPr>
        <w:t xml:space="preserve">. Recommendations </w:t>
      </w:r>
    </w:p>
    <w:p w14:paraId="024E3ED4" w14:textId="51F20195" w:rsidR="00E914A1" w:rsidRPr="00D27C56" w:rsidRDefault="00BF3401" w:rsidP="00BF3401">
      <w:pPr>
        <w:spacing w:line="360" w:lineRule="auto"/>
        <w:jc w:val="both"/>
        <w:rPr>
          <w:rFonts w:asciiTheme="minorBidi" w:hAnsiTheme="minorBidi"/>
        </w:rPr>
      </w:pPr>
      <w:r w:rsidRPr="00D27C56">
        <w:rPr>
          <w:rFonts w:asciiTheme="minorBidi" w:hAnsiTheme="minorBidi"/>
        </w:rPr>
        <w:t>To address these challenges, BrightWave should prioritise strengthening supervisory people-management capability through targeted training in communication, emotional intelligence and constructive feedback. Success can be measured through a 20% improvement in staff-survey scores on supervisory support within 12 months. A clear performance-management framework, including regular one-to-one meetings and simple feedback tools, should be implemented, with progress tracked through completion rates and documented performance conversations. Employee wellbeing must be supported proactively through balanced workloads, mental-health resources and more supportive supervision, monitored via reductions in sickness absence and stress-related incidents. Communication across dispersed sites should be standardised to create transparency and psychological safety, measured through fewer escalated complaints and improved engagement scores. Recognition and career-development pathways should also be clarified to enhance motivation and retention, reflected in reduced turnover within key teams. Leadership behaviours should shift from a task-focused style towards a people-centred culture using transformational and servant leadership, assessed through 360-degree feedback and improved client-service ratings.</w:t>
      </w:r>
    </w:p>
    <w:p w14:paraId="1DC51411" w14:textId="77777777" w:rsidR="00195CA7" w:rsidRPr="0006673A" w:rsidRDefault="00195CA7" w:rsidP="0006673A">
      <w:pPr>
        <w:spacing w:line="360" w:lineRule="auto"/>
        <w:jc w:val="both"/>
        <w:rPr>
          <w:rFonts w:asciiTheme="minorBidi" w:hAnsiTheme="minorBidi"/>
          <w:b/>
          <w:bCs/>
        </w:rPr>
      </w:pPr>
    </w:p>
    <w:p w14:paraId="27232579" w14:textId="77777777" w:rsidR="00016FA4" w:rsidRDefault="00016FA4" w:rsidP="0006673A">
      <w:pPr>
        <w:spacing w:line="360" w:lineRule="auto"/>
        <w:jc w:val="both"/>
        <w:rPr>
          <w:rFonts w:asciiTheme="minorBidi" w:hAnsiTheme="minorBidi"/>
          <w:b/>
          <w:bCs/>
          <w:sz w:val="28"/>
          <w:szCs w:val="28"/>
        </w:rPr>
      </w:pPr>
    </w:p>
    <w:p w14:paraId="52956DF3" w14:textId="77777777" w:rsidR="00016FA4" w:rsidRDefault="00016FA4" w:rsidP="0006673A">
      <w:pPr>
        <w:spacing w:line="360" w:lineRule="auto"/>
        <w:jc w:val="both"/>
        <w:rPr>
          <w:rFonts w:asciiTheme="minorBidi" w:hAnsiTheme="minorBidi"/>
          <w:b/>
          <w:bCs/>
          <w:sz w:val="28"/>
          <w:szCs w:val="28"/>
        </w:rPr>
      </w:pPr>
    </w:p>
    <w:p w14:paraId="49CBE332" w14:textId="77777777" w:rsidR="00016FA4" w:rsidRDefault="00016FA4" w:rsidP="0006673A">
      <w:pPr>
        <w:spacing w:line="360" w:lineRule="auto"/>
        <w:jc w:val="both"/>
        <w:rPr>
          <w:rFonts w:asciiTheme="minorBidi" w:hAnsiTheme="minorBidi"/>
          <w:b/>
          <w:bCs/>
          <w:sz w:val="28"/>
          <w:szCs w:val="28"/>
        </w:rPr>
      </w:pPr>
    </w:p>
    <w:p w14:paraId="4D803044" w14:textId="77777777" w:rsidR="00016FA4" w:rsidRDefault="00016FA4" w:rsidP="0006673A">
      <w:pPr>
        <w:spacing w:line="360" w:lineRule="auto"/>
        <w:jc w:val="both"/>
        <w:rPr>
          <w:rFonts w:asciiTheme="minorBidi" w:hAnsiTheme="minorBidi"/>
          <w:b/>
          <w:bCs/>
          <w:sz w:val="28"/>
          <w:szCs w:val="28"/>
        </w:rPr>
      </w:pPr>
    </w:p>
    <w:p w14:paraId="29A4E898" w14:textId="77777777" w:rsidR="00016FA4" w:rsidRDefault="00016FA4" w:rsidP="0006673A">
      <w:pPr>
        <w:spacing w:line="360" w:lineRule="auto"/>
        <w:jc w:val="both"/>
        <w:rPr>
          <w:rFonts w:asciiTheme="minorBidi" w:hAnsiTheme="minorBidi"/>
          <w:b/>
          <w:bCs/>
          <w:sz w:val="28"/>
          <w:szCs w:val="28"/>
        </w:rPr>
      </w:pPr>
    </w:p>
    <w:p w14:paraId="48896E90" w14:textId="77777777" w:rsidR="00016FA4" w:rsidRDefault="00016FA4" w:rsidP="0006673A">
      <w:pPr>
        <w:spacing w:line="360" w:lineRule="auto"/>
        <w:jc w:val="both"/>
        <w:rPr>
          <w:rFonts w:asciiTheme="minorBidi" w:hAnsiTheme="minorBidi"/>
          <w:b/>
          <w:bCs/>
          <w:sz w:val="28"/>
          <w:szCs w:val="28"/>
        </w:rPr>
      </w:pPr>
    </w:p>
    <w:p w14:paraId="10B24A93" w14:textId="77777777" w:rsidR="00016FA4" w:rsidRDefault="00016FA4" w:rsidP="0006673A">
      <w:pPr>
        <w:spacing w:line="360" w:lineRule="auto"/>
        <w:jc w:val="both"/>
        <w:rPr>
          <w:rFonts w:asciiTheme="minorBidi" w:hAnsiTheme="minorBidi"/>
          <w:b/>
          <w:bCs/>
          <w:sz w:val="28"/>
          <w:szCs w:val="28"/>
        </w:rPr>
      </w:pPr>
    </w:p>
    <w:p w14:paraId="10EC5694" w14:textId="77777777" w:rsidR="00016FA4" w:rsidRDefault="00016FA4" w:rsidP="0006673A">
      <w:pPr>
        <w:spacing w:line="360" w:lineRule="auto"/>
        <w:jc w:val="both"/>
        <w:rPr>
          <w:rFonts w:asciiTheme="minorBidi" w:hAnsiTheme="minorBidi"/>
          <w:b/>
          <w:bCs/>
          <w:sz w:val="28"/>
          <w:szCs w:val="28"/>
        </w:rPr>
      </w:pPr>
    </w:p>
    <w:p w14:paraId="12F3422C" w14:textId="77777777" w:rsidR="00016FA4" w:rsidRDefault="00016FA4" w:rsidP="0006673A">
      <w:pPr>
        <w:spacing w:line="360" w:lineRule="auto"/>
        <w:jc w:val="both"/>
        <w:rPr>
          <w:rFonts w:asciiTheme="minorBidi" w:hAnsiTheme="minorBidi"/>
          <w:b/>
          <w:bCs/>
          <w:sz w:val="28"/>
          <w:szCs w:val="28"/>
        </w:rPr>
      </w:pPr>
    </w:p>
    <w:p w14:paraId="10D4FC11" w14:textId="45A92258" w:rsidR="00195CA7" w:rsidRPr="003F725F" w:rsidRDefault="00EC0F15" w:rsidP="0006673A">
      <w:pPr>
        <w:spacing w:line="360" w:lineRule="auto"/>
        <w:jc w:val="both"/>
        <w:rPr>
          <w:rFonts w:asciiTheme="minorBidi" w:hAnsiTheme="minorBidi"/>
          <w:b/>
          <w:bCs/>
          <w:sz w:val="28"/>
          <w:szCs w:val="28"/>
        </w:rPr>
      </w:pPr>
      <w:r>
        <w:rPr>
          <w:rFonts w:asciiTheme="minorBidi" w:hAnsiTheme="minorBidi"/>
          <w:b/>
          <w:bCs/>
          <w:sz w:val="28"/>
          <w:szCs w:val="28"/>
        </w:rPr>
        <w:lastRenderedPageBreak/>
        <w:t>5</w:t>
      </w:r>
      <w:r w:rsidR="00195CA7" w:rsidRPr="003F725F">
        <w:rPr>
          <w:rFonts w:asciiTheme="minorBidi" w:hAnsiTheme="minorBidi"/>
          <w:b/>
          <w:bCs/>
          <w:sz w:val="28"/>
          <w:szCs w:val="28"/>
        </w:rPr>
        <w:t xml:space="preserve">. References </w:t>
      </w:r>
    </w:p>
    <w:p w14:paraId="204C0B86"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ACAS (2022) </w:t>
      </w:r>
      <w:r w:rsidRPr="00732512">
        <w:rPr>
          <w:rFonts w:asciiTheme="minorBidi" w:hAnsiTheme="minorBidi"/>
          <w:i/>
          <w:iCs/>
        </w:rPr>
        <w:t>Performance management</w:t>
      </w:r>
      <w:r w:rsidRPr="00732512">
        <w:rPr>
          <w:rFonts w:asciiTheme="minorBidi" w:hAnsiTheme="minorBidi"/>
        </w:rPr>
        <w:t>. London: Advisory, Conciliation and Arbitration Service.</w:t>
      </w:r>
    </w:p>
    <w:p w14:paraId="2062CAAE"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Adams, J.S. (1963) ‘Towards an understanding of inequity’, </w:t>
      </w:r>
      <w:r w:rsidRPr="00732512">
        <w:rPr>
          <w:rFonts w:asciiTheme="minorBidi" w:hAnsiTheme="minorBidi"/>
          <w:i/>
          <w:iCs/>
        </w:rPr>
        <w:t>Journal of Abnormal and Social Psychology</w:t>
      </w:r>
      <w:r w:rsidRPr="00732512">
        <w:rPr>
          <w:rFonts w:asciiTheme="minorBidi" w:hAnsiTheme="minorBidi"/>
        </w:rPr>
        <w:t>, 67(5), pp. 422–436.</w:t>
      </w:r>
    </w:p>
    <w:p w14:paraId="09063521"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Appelbaum, E., Bailey, T., Berg, P. and Kalleberg, A. (2000) </w:t>
      </w:r>
      <w:r w:rsidRPr="00732512">
        <w:rPr>
          <w:rFonts w:asciiTheme="minorBidi" w:hAnsiTheme="minorBidi"/>
          <w:i/>
          <w:iCs/>
        </w:rPr>
        <w:t>Manufacturing advantage: Why high-performance work systems pay off</w:t>
      </w:r>
      <w:r w:rsidRPr="00732512">
        <w:rPr>
          <w:rFonts w:asciiTheme="minorBidi" w:hAnsiTheme="minorBidi"/>
        </w:rPr>
        <w:t>. Ithaca, NY: Cornell University Press.</w:t>
      </w:r>
    </w:p>
    <w:p w14:paraId="4E30E424"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Armstrong, M. and Taylor, S. (2020) </w:t>
      </w:r>
      <w:r w:rsidRPr="00732512">
        <w:rPr>
          <w:rFonts w:asciiTheme="minorBidi" w:hAnsiTheme="minorBidi"/>
          <w:i/>
          <w:iCs/>
        </w:rPr>
        <w:t>Armstrong’s handbook of human resource management practice</w:t>
      </w:r>
      <w:r w:rsidRPr="00732512">
        <w:rPr>
          <w:rFonts w:asciiTheme="minorBidi" w:hAnsiTheme="minorBidi"/>
        </w:rPr>
        <w:t>. 15th edn. London: Kogan Page.</w:t>
      </w:r>
    </w:p>
    <w:p w14:paraId="44AD18E9"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Bass, B.M. (1985) </w:t>
      </w:r>
      <w:r w:rsidRPr="00732512">
        <w:rPr>
          <w:rFonts w:asciiTheme="minorBidi" w:hAnsiTheme="minorBidi"/>
          <w:i/>
          <w:iCs/>
        </w:rPr>
        <w:t>Leadership and performance beyond expectations</w:t>
      </w:r>
      <w:r w:rsidRPr="00732512">
        <w:rPr>
          <w:rFonts w:asciiTheme="minorBidi" w:hAnsiTheme="minorBidi"/>
        </w:rPr>
        <w:t>. New York: Free Press.</w:t>
      </w:r>
    </w:p>
    <w:p w14:paraId="3FA188B2"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BrightWave Case Study (2025) </w:t>
      </w:r>
      <w:r w:rsidRPr="00732512">
        <w:rPr>
          <w:rFonts w:asciiTheme="minorBidi" w:hAnsiTheme="minorBidi"/>
          <w:i/>
          <w:iCs/>
        </w:rPr>
        <w:t>BrightWave Services Ltd: Internal HR Scenario</w:t>
      </w:r>
      <w:r w:rsidRPr="00732512">
        <w:rPr>
          <w:rFonts w:asciiTheme="minorBidi" w:hAnsiTheme="minorBidi"/>
        </w:rPr>
        <w:t>. Provided in class.</w:t>
      </w:r>
    </w:p>
    <w:p w14:paraId="3305FDA4"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Brown, M. and Treviño, L. (2006) ‘Ethical leadership: A review and future directions’, </w:t>
      </w:r>
      <w:r w:rsidRPr="00732512">
        <w:rPr>
          <w:rFonts w:asciiTheme="minorBidi" w:hAnsiTheme="minorBidi"/>
          <w:i/>
          <w:iCs/>
        </w:rPr>
        <w:t>The Leadership Quarterly</w:t>
      </w:r>
      <w:r w:rsidRPr="00732512">
        <w:rPr>
          <w:rFonts w:asciiTheme="minorBidi" w:hAnsiTheme="minorBidi"/>
        </w:rPr>
        <w:t>, 17(6), pp. 595–616.</w:t>
      </w:r>
    </w:p>
    <w:p w14:paraId="07E0426A" w14:textId="77777777" w:rsidR="00732512" w:rsidRDefault="00732512" w:rsidP="00732512">
      <w:pPr>
        <w:spacing w:line="360" w:lineRule="auto"/>
        <w:rPr>
          <w:rFonts w:asciiTheme="minorBidi" w:hAnsiTheme="minorBidi"/>
        </w:rPr>
      </w:pPr>
      <w:r w:rsidRPr="00732512">
        <w:rPr>
          <w:rFonts w:asciiTheme="minorBidi" w:hAnsiTheme="minorBidi"/>
        </w:rPr>
        <w:t xml:space="preserve">Business Wire (2025) ‘Brightwave unveils first deep research platform for deal rooms’, </w:t>
      </w:r>
      <w:r w:rsidRPr="00732512">
        <w:rPr>
          <w:rFonts w:asciiTheme="minorBidi" w:hAnsiTheme="minorBidi"/>
          <w:i/>
          <w:iCs/>
        </w:rPr>
        <w:t>Business Wire</w:t>
      </w:r>
      <w:r w:rsidRPr="00732512">
        <w:rPr>
          <w:rFonts w:asciiTheme="minorBidi" w:hAnsiTheme="minorBidi"/>
        </w:rPr>
        <w:t xml:space="preserve">, 9 April. Available at: </w:t>
      </w:r>
      <w:hyperlink r:id="rId6" w:tgtFrame="_new" w:history="1">
        <w:r w:rsidRPr="00732512">
          <w:rPr>
            <w:rStyle w:val="Hyperlink"/>
            <w:rFonts w:asciiTheme="minorBidi" w:hAnsiTheme="minorBidi"/>
          </w:rPr>
          <w:t>https://www.businesswire.com/news/home/20250409046301/en/Brightwave-Unveils-First-Deep-Research-Platform-for-Deal-Rooms</w:t>
        </w:r>
      </w:hyperlink>
      <w:r w:rsidRPr="00732512">
        <w:rPr>
          <w:rFonts w:asciiTheme="minorBidi" w:hAnsiTheme="minorBidi"/>
        </w:rPr>
        <w:t xml:space="preserve"> (Accessed: 27 November 2025).</w:t>
      </w:r>
    </w:p>
    <w:p w14:paraId="7D52ACCD" w14:textId="77777777" w:rsidR="006215C0" w:rsidRPr="00E40F58" w:rsidRDefault="006215C0" w:rsidP="006215C0">
      <w:pPr>
        <w:spacing w:line="360" w:lineRule="auto"/>
        <w:rPr>
          <w:rFonts w:asciiTheme="minorBidi" w:hAnsiTheme="minorBidi"/>
        </w:rPr>
      </w:pPr>
      <w:r w:rsidRPr="00E40F58">
        <w:rPr>
          <w:rFonts w:asciiTheme="minorBidi" w:hAnsiTheme="minorBidi"/>
        </w:rPr>
        <w:t xml:space="preserve">CIPD (2023) </w:t>
      </w:r>
      <w:r w:rsidRPr="00E40F58">
        <w:rPr>
          <w:rFonts w:asciiTheme="minorBidi" w:hAnsiTheme="minorBidi"/>
          <w:i/>
          <w:iCs/>
        </w:rPr>
        <w:t>Good Work Index 2023</w:t>
      </w:r>
      <w:r w:rsidRPr="00E40F58">
        <w:rPr>
          <w:rFonts w:asciiTheme="minorBidi" w:hAnsiTheme="minorBidi"/>
        </w:rPr>
        <w:t>. London: Chartered Institute of Personnel and Development.</w:t>
      </w:r>
    </w:p>
    <w:p w14:paraId="41609B13" w14:textId="77777777" w:rsidR="00732512" w:rsidRDefault="00732512" w:rsidP="00732512">
      <w:pPr>
        <w:spacing w:line="360" w:lineRule="auto"/>
        <w:rPr>
          <w:rFonts w:asciiTheme="minorBidi" w:hAnsiTheme="minorBidi"/>
        </w:rPr>
      </w:pPr>
      <w:r w:rsidRPr="00732512">
        <w:rPr>
          <w:rFonts w:asciiTheme="minorBidi" w:hAnsiTheme="minorBidi"/>
        </w:rPr>
        <w:t xml:space="preserve">CIPD (2023) </w:t>
      </w:r>
      <w:r w:rsidRPr="00732512">
        <w:rPr>
          <w:rFonts w:asciiTheme="minorBidi" w:hAnsiTheme="minorBidi"/>
          <w:i/>
          <w:iCs/>
        </w:rPr>
        <w:t>Health and wellbeing at work</w:t>
      </w:r>
      <w:r w:rsidRPr="00732512">
        <w:rPr>
          <w:rFonts w:asciiTheme="minorBidi" w:hAnsiTheme="minorBidi"/>
        </w:rPr>
        <w:t>. Available at:</w:t>
      </w:r>
      <w:r w:rsidRPr="00732512">
        <w:rPr>
          <w:rFonts w:asciiTheme="minorBidi" w:hAnsiTheme="minorBidi"/>
        </w:rPr>
        <w:br/>
      </w:r>
      <w:hyperlink r:id="rId7" w:tgtFrame="_new" w:history="1">
        <w:r w:rsidRPr="00732512">
          <w:rPr>
            <w:rStyle w:val="Hyperlink"/>
            <w:rFonts w:asciiTheme="minorBidi" w:hAnsiTheme="minorBidi"/>
          </w:rPr>
          <w:t>https://www.cipd.org/globalassets/media/knowledge/knowledge-hub/reports/2023-pdfs/8436-health-and-wellbeing-report-2023.pdf</w:t>
        </w:r>
      </w:hyperlink>
      <w:r w:rsidRPr="00732512">
        <w:rPr>
          <w:rFonts w:asciiTheme="minorBidi" w:hAnsiTheme="minorBidi"/>
        </w:rPr>
        <w:br/>
        <w:t>(Accessed: 20 November 2025).</w:t>
      </w:r>
    </w:p>
    <w:p w14:paraId="3229F514"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Edmondson, A. (2018) </w:t>
      </w:r>
      <w:r w:rsidRPr="00732512">
        <w:rPr>
          <w:rFonts w:asciiTheme="minorBidi" w:hAnsiTheme="minorBidi"/>
          <w:i/>
          <w:iCs/>
        </w:rPr>
        <w:t>The fearless organization: Creating psychological safety in the workplace</w:t>
      </w:r>
      <w:r w:rsidRPr="00732512">
        <w:rPr>
          <w:rFonts w:asciiTheme="minorBidi" w:hAnsiTheme="minorBidi"/>
        </w:rPr>
        <w:t>. Hoboken, NJ: Wiley.</w:t>
      </w:r>
    </w:p>
    <w:p w14:paraId="0EABDD8E" w14:textId="77777777" w:rsidR="00732512" w:rsidRPr="00732512" w:rsidRDefault="00732512" w:rsidP="00732512">
      <w:pPr>
        <w:spacing w:line="360" w:lineRule="auto"/>
        <w:rPr>
          <w:rFonts w:asciiTheme="minorBidi" w:hAnsiTheme="minorBidi"/>
        </w:rPr>
      </w:pPr>
      <w:r w:rsidRPr="00732512">
        <w:rPr>
          <w:rFonts w:asciiTheme="minorBidi" w:hAnsiTheme="minorBidi"/>
        </w:rPr>
        <w:lastRenderedPageBreak/>
        <w:t xml:space="preserve">Engage for Success (2012) </w:t>
      </w:r>
      <w:r w:rsidRPr="00732512">
        <w:rPr>
          <w:rFonts w:asciiTheme="minorBidi" w:hAnsiTheme="minorBidi"/>
          <w:i/>
          <w:iCs/>
        </w:rPr>
        <w:t>Nailing the evidence: Employee engagement – the facts</w:t>
      </w:r>
      <w:r w:rsidRPr="00732512">
        <w:rPr>
          <w:rFonts w:asciiTheme="minorBidi" w:hAnsiTheme="minorBidi"/>
        </w:rPr>
        <w:t>. London: Engage for Success.</w:t>
      </w:r>
    </w:p>
    <w:p w14:paraId="725F4987"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Goleman, D. (1998) </w:t>
      </w:r>
      <w:r w:rsidRPr="00732512">
        <w:rPr>
          <w:rFonts w:asciiTheme="minorBidi" w:hAnsiTheme="minorBidi"/>
          <w:i/>
          <w:iCs/>
        </w:rPr>
        <w:t>Working with emotional intelligence</w:t>
      </w:r>
      <w:r w:rsidRPr="00732512">
        <w:rPr>
          <w:rFonts w:asciiTheme="minorBidi" w:hAnsiTheme="minorBidi"/>
        </w:rPr>
        <w:t>. London: Bloomsbury.</w:t>
      </w:r>
    </w:p>
    <w:p w14:paraId="4C94C20B"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Greenleaf, R.K. (1977) </w:t>
      </w:r>
      <w:r w:rsidRPr="00732512">
        <w:rPr>
          <w:rFonts w:asciiTheme="minorBidi" w:hAnsiTheme="minorBidi"/>
          <w:i/>
          <w:iCs/>
        </w:rPr>
        <w:t>Servant leadership: A journey into the nature of legitimate power and greatness</w:t>
      </w:r>
      <w:r w:rsidRPr="00732512">
        <w:rPr>
          <w:rFonts w:asciiTheme="minorBidi" w:hAnsiTheme="minorBidi"/>
        </w:rPr>
        <w:t>. New York: Paulist Press.</w:t>
      </w:r>
    </w:p>
    <w:p w14:paraId="01E4FF89"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Handy, C. (1981) </w:t>
      </w:r>
      <w:r w:rsidRPr="00732512">
        <w:rPr>
          <w:rFonts w:asciiTheme="minorBidi" w:hAnsiTheme="minorBidi"/>
          <w:i/>
          <w:iCs/>
        </w:rPr>
        <w:t>Understanding organisations</w:t>
      </w:r>
      <w:r w:rsidRPr="00732512">
        <w:rPr>
          <w:rFonts w:asciiTheme="minorBidi" w:hAnsiTheme="minorBidi"/>
        </w:rPr>
        <w:t>. London: Penguin.</w:t>
      </w:r>
    </w:p>
    <w:p w14:paraId="492BCE96"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Herzberg, F. (1968) ‘One more time: How do you motivate employees?’, </w:t>
      </w:r>
      <w:r w:rsidRPr="00732512">
        <w:rPr>
          <w:rFonts w:asciiTheme="minorBidi" w:hAnsiTheme="minorBidi"/>
          <w:i/>
          <w:iCs/>
        </w:rPr>
        <w:t>Harvard Business Review</w:t>
      </w:r>
      <w:r w:rsidRPr="00732512">
        <w:rPr>
          <w:rFonts w:asciiTheme="minorBidi" w:hAnsiTheme="minorBidi"/>
        </w:rPr>
        <w:t>, 46(1), pp. 53–62.</w:t>
      </w:r>
    </w:p>
    <w:p w14:paraId="30A12397"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Maslow, A.H. (1954) </w:t>
      </w:r>
      <w:r w:rsidRPr="00732512">
        <w:rPr>
          <w:rFonts w:asciiTheme="minorBidi" w:hAnsiTheme="minorBidi"/>
          <w:i/>
          <w:iCs/>
        </w:rPr>
        <w:t>Motivation and personality</w:t>
      </w:r>
      <w:r w:rsidRPr="00732512">
        <w:rPr>
          <w:rFonts w:asciiTheme="minorBidi" w:hAnsiTheme="minorBidi"/>
        </w:rPr>
        <w:t>. New York: Harper &amp; Row.</w:t>
      </w:r>
    </w:p>
    <w:p w14:paraId="30DF3332"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McGregor, D. (1960) </w:t>
      </w:r>
      <w:r w:rsidRPr="00732512">
        <w:rPr>
          <w:rFonts w:asciiTheme="minorBidi" w:hAnsiTheme="minorBidi"/>
          <w:i/>
          <w:iCs/>
        </w:rPr>
        <w:t>The human side of enterprise</w:t>
      </w:r>
      <w:r w:rsidRPr="00732512">
        <w:rPr>
          <w:rFonts w:asciiTheme="minorBidi" w:hAnsiTheme="minorBidi"/>
        </w:rPr>
        <w:t>. New York: McGraw-Hill.</w:t>
      </w:r>
    </w:p>
    <w:p w14:paraId="7DBBC8BF"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Mullins, L.J. (2019) </w:t>
      </w:r>
      <w:r w:rsidRPr="00732512">
        <w:rPr>
          <w:rFonts w:asciiTheme="minorBidi" w:hAnsiTheme="minorBidi"/>
          <w:i/>
          <w:iCs/>
        </w:rPr>
        <w:t>Management and organisational behaviour</w:t>
      </w:r>
      <w:r w:rsidRPr="00732512">
        <w:rPr>
          <w:rFonts w:asciiTheme="minorBidi" w:hAnsiTheme="minorBidi"/>
        </w:rPr>
        <w:t>. 11th edn. Harlow: Pearson.</w:t>
      </w:r>
    </w:p>
    <w:p w14:paraId="28114172"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Rousseau, D.M. (1995) </w:t>
      </w:r>
      <w:r w:rsidRPr="00732512">
        <w:rPr>
          <w:rFonts w:asciiTheme="minorBidi" w:hAnsiTheme="minorBidi"/>
          <w:i/>
          <w:iCs/>
        </w:rPr>
        <w:t>Psychological contracts in organizations: Understanding written and unwritten agreements</w:t>
      </w:r>
      <w:r w:rsidRPr="00732512">
        <w:rPr>
          <w:rFonts w:asciiTheme="minorBidi" w:hAnsiTheme="minorBidi"/>
        </w:rPr>
        <w:t>. Thousand Oaks, CA: Sage.</w:t>
      </w:r>
    </w:p>
    <w:p w14:paraId="39088835"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Schein, E.H. (2010) </w:t>
      </w:r>
      <w:r w:rsidRPr="00732512">
        <w:rPr>
          <w:rFonts w:asciiTheme="minorBidi" w:hAnsiTheme="minorBidi"/>
          <w:i/>
          <w:iCs/>
        </w:rPr>
        <w:t>Organisational culture and leadership</w:t>
      </w:r>
      <w:r w:rsidRPr="00732512">
        <w:rPr>
          <w:rFonts w:asciiTheme="minorBidi" w:hAnsiTheme="minorBidi"/>
        </w:rPr>
        <w:t>. 4th edn. San Francisco: Jossey-Bass.</w:t>
      </w:r>
    </w:p>
    <w:p w14:paraId="175E3246"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Shannon, C. and Weaver, W. (1949) </w:t>
      </w:r>
      <w:r w:rsidRPr="00732512">
        <w:rPr>
          <w:rFonts w:asciiTheme="minorBidi" w:hAnsiTheme="minorBidi"/>
          <w:i/>
          <w:iCs/>
        </w:rPr>
        <w:t>The mathematical theory of communication</w:t>
      </w:r>
      <w:r w:rsidRPr="00732512">
        <w:rPr>
          <w:rFonts w:asciiTheme="minorBidi" w:hAnsiTheme="minorBidi"/>
        </w:rPr>
        <w:t>. Urbana, IL: University of Illinois Press.</w:t>
      </w:r>
    </w:p>
    <w:p w14:paraId="13BB52D1"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Torrington, D., Hall, L., Atkinson, C. and Taylor, S. (2020) </w:t>
      </w:r>
      <w:r w:rsidRPr="00732512">
        <w:rPr>
          <w:rFonts w:asciiTheme="minorBidi" w:hAnsiTheme="minorBidi"/>
          <w:i/>
          <w:iCs/>
        </w:rPr>
        <w:t>Human resource management</w:t>
      </w:r>
      <w:r w:rsidRPr="00732512">
        <w:rPr>
          <w:rFonts w:asciiTheme="minorBidi" w:hAnsiTheme="minorBidi"/>
        </w:rPr>
        <w:t>. 11th edn. Harlow: Pearson.</w:t>
      </w:r>
    </w:p>
    <w:p w14:paraId="1464D5EC"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Tuckman, B.W. (1965) ‘Developmental sequence in small groups’, </w:t>
      </w:r>
      <w:r w:rsidRPr="00732512">
        <w:rPr>
          <w:rFonts w:asciiTheme="minorBidi" w:hAnsiTheme="minorBidi"/>
          <w:i/>
          <w:iCs/>
        </w:rPr>
        <w:t>Psychological Bulletin</w:t>
      </w:r>
      <w:r w:rsidRPr="00732512">
        <w:rPr>
          <w:rFonts w:asciiTheme="minorBidi" w:hAnsiTheme="minorBidi"/>
        </w:rPr>
        <w:t>, 63(6), pp. 384–399.</w:t>
      </w:r>
    </w:p>
    <w:p w14:paraId="7B6F88D6" w14:textId="77777777" w:rsidR="00732512" w:rsidRPr="00732512" w:rsidRDefault="00732512" w:rsidP="00732512">
      <w:pPr>
        <w:spacing w:line="360" w:lineRule="auto"/>
        <w:rPr>
          <w:rFonts w:asciiTheme="minorBidi" w:hAnsiTheme="minorBidi"/>
        </w:rPr>
      </w:pPr>
      <w:r w:rsidRPr="00732512">
        <w:rPr>
          <w:rFonts w:asciiTheme="minorBidi" w:hAnsiTheme="minorBidi"/>
        </w:rPr>
        <w:t xml:space="preserve">Vroom, V.H. (1964) </w:t>
      </w:r>
      <w:r w:rsidRPr="00732512">
        <w:rPr>
          <w:rFonts w:asciiTheme="minorBidi" w:hAnsiTheme="minorBidi"/>
          <w:i/>
          <w:iCs/>
        </w:rPr>
        <w:t>Work and motivation</w:t>
      </w:r>
      <w:r w:rsidRPr="00732512">
        <w:rPr>
          <w:rFonts w:asciiTheme="minorBidi" w:hAnsiTheme="minorBidi"/>
        </w:rPr>
        <w:t>. New York: Wiley.</w:t>
      </w:r>
    </w:p>
    <w:p w14:paraId="3451C124" w14:textId="77777777" w:rsidR="00195CA7" w:rsidRPr="0006673A" w:rsidRDefault="00195CA7" w:rsidP="0006673A">
      <w:pPr>
        <w:spacing w:line="360" w:lineRule="auto"/>
        <w:jc w:val="both"/>
        <w:rPr>
          <w:rFonts w:asciiTheme="minorBidi" w:hAnsiTheme="minorBidi"/>
        </w:rPr>
      </w:pPr>
    </w:p>
    <w:sectPr w:rsidR="00195CA7" w:rsidRPr="0006673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CDD64" w14:textId="77777777" w:rsidR="002F40D7" w:rsidRDefault="002F40D7" w:rsidP="00A928FE">
      <w:pPr>
        <w:spacing w:after="0" w:line="240" w:lineRule="auto"/>
      </w:pPr>
      <w:r>
        <w:separator/>
      </w:r>
    </w:p>
  </w:endnote>
  <w:endnote w:type="continuationSeparator" w:id="0">
    <w:p w14:paraId="2BBC75CC" w14:textId="77777777" w:rsidR="002F40D7" w:rsidRDefault="002F40D7" w:rsidP="00A92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699615"/>
      <w:docPartObj>
        <w:docPartGallery w:val="Page Numbers (Bottom of Page)"/>
        <w:docPartUnique/>
      </w:docPartObj>
    </w:sdtPr>
    <w:sdtContent>
      <w:p w14:paraId="0CC00A32" w14:textId="77777777" w:rsidR="00A928FE" w:rsidRDefault="00A928FE">
        <w:pPr>
          <w:pStyle w:val="Footer"/>
          <w:jc w:val="center"/>
        </w:pPr>
        <w:r>
          <w:fldChar w:fldCharType="begin"/>
        </w:r>
        <w:r>
          <w:instrText>PAGE   \* MERGEFORMAT</w:instrText>
        </w:r>
        <w:r>
          <w:fldChar w:fldCharType="separate"/>
        </w:r>
        <w:r>
          <w:t>2</w:t>
        </w:r>
        <w:r>
          <w:fldChar w:fldCharType="end"/>
        </w:r>
      </w:p>
    </w:sdtContent>
  </w:sdt>
  <w:p w14:paraId="6F31482C" w14:textId="77777777" w:rsidR="00A928FE" w:rsidRDefault="00A92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77F1AF" w14:textId="77777777" w:rsidR="002F40D7" w:rsidRDefault="002F40D7" w:rsidP="00A928FE">
      <w:pPr>
        <w:spacing w:after="0" w:line="240" w:lineRule="auto"/>
      </w:pPr>
      <w:r>
        <w:separator/>
      </w:r>
    </w:p>
  </w:footnote>
  <w:footnote w:type="continuationSeparator" w:id="0">
    <w:p w14:paraId="1AAA9D2E" w14:textId="77777777" w:rsidR="002F40D7" w:rsidRDefault="002F40D7" w:rsidP="00A928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CA7"/>
    <w:rsid w:val="00016FA4"/>
    <w:rsid w:val="000173FE"/>
    <w:rsid w:val="0006673A"/>
    <w:rsid w:val="0009451F"/>
    <w:rsid w:val="000A54C0"/>
    <w:rsid w:val="000A61D8"/>
    <w:rsid w:val="000B43BC"/>
    <w:rsid w:val="000D3EA0"/>
    <w:rsid w:val="000D6517"/>
    <w:rsid w:val="000D7740"/>
    <w:rsid w:val="000D7A99"/>
    <w:rsid w:val="000D7E72"/>
    <w:rsid w:val="000E2DF1"/>
    <w:rsid w:val="000E3FF6"/>
    <w:rsid w:val="000F6254"/>
    <w:rsid w:val="00104998"/>
    <w:rsid w:val="00106311"/>
    <w:rsid w:val="0012291D"/>
    <w:rsid w:val="00132DB1"/>
    <w:rsid w:val="00132E3B"/>
    <w:rsid w:val="00171F10"/>
    <w:rsid w:val="00195CA7"/>
    <w:rsid w:val="001C73D2"/>
    <w:rsid w:val="001D5185"/>
    <w:rsid w:val="001F0E4E"/>
    <w:rsid w:val="002360F2"/>
    <w:rsid w:val="00266052"/>
    <w:rsid w:val="00281F36"/>
    <w:rsid w:val="002827DE"/>
    <w:rsid w:val="002D0306"/>
    <w:rsid w:val="002E194E"/>
    <w:rsid w:val="002E1F88"/>
    <w:rsid w:val="002E21F8"/>
    <w:rsid w:val="002F40D7"/>
    <w:rsid w:val="002F4C23"/>
    <w:rsid w:val="00302338"/>
    <w:rsid w:val="0030700D"/>
    <w:rsid w:val="003300A1"/>
    <w:rsid w:val="003310CF"/>
    <w:rsid w:val="003377A9"/>
    <w:rsid w:val="00342518"/>
    <w:rsid w:val="00346897"/>
    <w:rsid w:val="00370965"/>
    <w:rsid w:val="003B6D5C"/>
    <w:rsid w:val="003F3BFA"/>
    <w:rsid w:val="003F725F"/>
    <w:rsid w:val="00403B72"/>
    <w:rsid w:val="00407D9F"/>
    <w:rsid w:val="0042474C"/>
    <w:rsid w:val="00431E17"/>
    <w:rsid w:val="00444404"/>
    <w:rsid w:val="0047648E"/>
    <w:rsid w:val="004A520E"/>
    <w:rsid w:val="004C328B"/>
    <w:rsid w:val="004E40BE"/>
    <w:rsid w:val="00544AAD"/>
    <w:rsid w:val="00546F8E"/>
    <w:rsid w:val="005521D7"/>
    <w:rsid w:val="0056237E"/>
    <w:rsid w:val="00586F57"/>
    <w:rsid w:val="00595248"/>
    <w:rsid w:val="005965BF"/>
    <w:rsid w:val="005A384B"/>
    <w:rsid w:val="005B4F00"/>
    <w:rsid w:val="005C5660"/>
    <w:rsid w:val="005E3A8E"/>
    <w:rsid w:val="005F135B"/>
    <w:rsid w:val="00611CDF"/>
    <w:rsid w:val="006137A2"/>
    <w:rsid w:val="006215C0"/>
    <w:rsid w:val="00634A96"/>
    <w:rsid w:val="00642250"/>
    <w:rsid w:val="006617C5"/>
    <w:rsid w:val="00671C01"/>
    <w:rsid w:val="00681420"/>
    <w:rsid w:val="006A2BBB"/>
    <w:rsid w:val="006B5829"/>
    <w:rsid w:val="006C24BF"/>
    <w:rsid w:val="006C391E"/>
    <w:rsid w:val="006E0100"/>
    <w:rsid w:val="006E2FB1"/>
    <w:rsid w:val="0072709C"/>
    <w:rsid w:val="00732512"/>
    <w:rsid w:val="007356EA"/>
    <w:rsid w:val="00744AEA"/>
    <w:rsid w:val="00755CB6"/>
    <w:rsid w:val="007628FD"/>
    <w:rsid w:val="007678BF"/>
    <w:rsid w:val="00794CD0"/>
    <w:rsid w:val="007B21F7"/>
    <w:rsid w:val="007D32E3"/>
    <w:rsid w:val="007E7DF1"/>
    <w:rsid w:val="00811FA8"/>
    <w:rsid w:val="008264DE"/>
    <w:rsid w:val="00867FBA"/>
    <w:rsid w:val="008D5114"/>
    <w:rsid w:val="008D63D3"/>
    <w:rsid w:val="008D7A8D"/>
    <w:rsid w:val="009219C9"/>
    <w:rsid w:val="0093477C"/>
    <w:rsid w:val="009431C9"/>
    <w:rsid w:val="00975D94"/>
    <w:rsid w:val="0099289E"/>
    <w:rsid w:val="009A0880"/>
    <w:rsid w:val="009A15D5"/>
    <w:rsid w:val="009B4E88"/>
    <w:rsid w:val="009E3C8D"/>
    <w:rsid w:val="009E468E"/>
    <w:rsid w:val="009F0027"/>
    <w:rsid w:val="009F545F"/>
    <w:rsid w:val="00A015C7"/>
    <w:rsid w:val="00A14FB7"/>
    <w:rsid w:val="00A21210"/>
    <w:rsid w:val="00A21D9F"/>
    <w:rsid w:val="00A5465F"/>
    <w:rsid w:val="00A56AE7"/>
    <w:rsid w:val="00A67BE6"/>
    <w:rsid w:val="00A87786"/>
    <w:rsid w:val="00A928FE"/>
    <w:rsid w:val="00AA682B"/>
    <w:rsid w:val="00B035E7"/>
    <w:rsid w:val="00B133A9"/>
    <w:rsid w:val="00B25879"/>
    <w:rsid w:val="00B31477"/>
    <w:rsid w:val="00B3377D"/>
    <w:rsid w:val="00B33D9B"/>
    <w:rsid w:val="00B3795C"/>
    <w:rsid w:val="00B513C2"/>
    <w:rsid w:val="00B642D9"/>
    <w:rsid w:val="00B75552"/>
    <w:rsid w:val="00B85200"/>
    <w:rsid w:val="00BB2830"/>
    <w:rsid w:val="00BB77F2"/>
    <w:rsid w:val="00BF3401"/>
    <w:rsid w:val="00C022CA"/>
    <w:rsid w:val="00C255F6"/>
    <w:rsid w:val="00C95A05"/>
    <w:rsid w:val="00CA0C1E"/>
    <w:rsid w:val="00CD059E"/>
    <w:rsid w:val="00CD428D"/>
    <w:rsid w:val="00D01619"/>
    <w:rsid w:val="00D13B77"/>
    <w:rsid w:val="00D1413E"/>
    <w:rsid w:val="00D25DA6"/>
    <w:rsid w:val="00D27C56"/>
    <w:rsid w:val="00D305CB"/>
    <w:rsid w:val="00D420D8"/>
    <w:rsid w:val="00D50771"/>
    <w:rsid w:val="00D7454E"/>
    <w:rsid w:val="00D872C7"/>
    <w:rsid w:val="00D93C01"/>
    <w:rsid w:val="00DA60D3"/>
    <w:rsid w:val="00E011D4"/>
    <w:rsid w:val="00E40F58"/>
    <w:rsid w:val="00E41F7E"/>
    <w:rsid w:val="00E45AD7"/>
    <w:rsid w:val="00E50F8E"/>
    <w:rsid w:val="00E52B66"/>
    <w:rsid w:val="00E60FFF"/>
    <w:rsid w:val="00E636C8"/>
    <w:rsid w:val="00E66079"/>
    <w:rsid w:val="00E6670D"/>
    <w:rsid w:val="00E67991"/>
    <w:rsid w:val="00E914A1"/>
    <w:rsid w:val="00EB4715"/>
    <w:rsid w:val="00EB695A"/>
    <w:rsid w:val="00EC0F15"/>
    <w:rsid w:val="00ED195A"/>
    <w:rsid w:val="00ED4865"/>
    <w:rsid w:val="00EE48FC"/>
    <w:rsid w:val="00F03EF1"/>
    <w:rsid w:val="00F16A57"/>
    <w:rsid w:val="00F37D4B"/>
    <w:rsid w:val="00F60EEB"/>
    <w:rsid w:val="00F62A5B"/>
    <w:rsid w:val="00F66D4C"/>
    <w:rsid w:val="00F76565"/>
    <w:rsid w:val="00FB3F94"/>
    <w:rsid w:val="00FC32A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10CAF3"/>
  <w15:chartTrackingRefBased/>
  <w15:docId w15:val="{16053F77-9F65-4DD9-8DEE-2102896C0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C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5C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5C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5C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C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C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C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C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C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C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C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C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C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C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C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C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C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CA7"/>
    <w:rPr>
      <w:rFonts w:eastAsiaTheme="majorEastAsia" w:cstheme="majorBidi"/>
      <w:color w:val="272727" w:themeColor="text1" w:themeTint="D8"/>
    </w:rPr>
  </w:style>
  <w:style w:type="paragraph" w:styleId="Title">
    <w:name w:val="Title"/>
    <w:basedOn w:val="Normal"/>
    <w:next w:val="Normal"/>
    <w:link w:val="TitleChar"/>
    <w:uiPriority w:val="10"/>
    <w:qFormat/>
    <w:rsid w:val="00195C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C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C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C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CA7"/>
    <w:pPr>
      <w:spacing w:before="160"/>
      <w:jc w:val="center"/>
    </w:pPr>
    <w:rPr>
      <w:i/>
      <w:iCs/>
      <w:color w:val="404040" w:themeColor="text1" w:themeTint="BF"/>
    </w:rPr>
  </w:style>
  <w:style w:type="character" w:customStyle="1" w:styleId="QuoteChar">
    <w:name w:val="Quote Char"/>
    <w:basedOn w:val="DefaultParagraphFont"/>
    <w:link w:val="Quote"/>
    <w:uiPriority w:val="29"/>
    <w:rsid w:val="00195CA7"/>
    <w:rPr>
      <w:i/>
      <w:iCs/>
      <w:color w:val="404040" w:themeColor="text1" w:themeTint="BF"/>
    </w:rPr>
  </w:style>
  <w:style w:type="paragraph" w:styleId="ListParagraph">
    <w:name w:val="List Paragraph"/>
    <w:basedOn w:val="Normal"/>
    <w:uiPriority w:val="34"/>
    <w:qFormat/>
    <w:rsid w:val="00195CA7"/>
    <w:pPr>
      <w:ind w:left="720"/>
      <w:contextualSpacing/>
    </w:pPr>
  </w:style>
  <w:style w:type="character" w:styleId="IntenseEmphasis">
    <w:name w:val="Intense Emphasis"/>
    <w:basedOn w:val="DefaultParagraphFont"/>
    <w:uiPriority w:val="21"/>
    <w:qFormat/>
    <w:rsid w:val="00195CA7"/>
    <w:rPr>
      <w:i/>
      <w:iCs/>
      <w:color w:val="0F4761" w:themeColor="accent1" w:themeShade="BF"/>
    </w:rPr>
  </w:style>
  <w:style w:type="paragraph" w:styleId="IntenseQuote">
    <w:name w:val="Intense Quote"/>
    <w:basedOn w:val="Normal"/>
    <w:next w:val="Normal"/>
    <w:link w:val="IntenseQuoteChar"/>
    <w:uiPriority w:val="30"/>
    <w:qFormat/>
    <w:rsid w:val="00195C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CA7"/>
    <w:rPr>
      <w:i/>
      <w:iCs/>
      <w:color w:val="0F4761" w:themeColor="accent1" w:themeShade="BF"/>
    </w:rPr>
  </w:style>
  <w:style w:type="character" w:styleId="IntenseReference">
    <w:name w:val="Intense Reference"/>
    <w:basedOn w:val="DefaultParagraphFont"/>
    <w:uiPriority w:val="32"/>
    <w:qFormat/>
    <w:rsid w:val="00195CA7"/>
    <w:rPr>
      <w:b/>
      <w:bCs/>
      <w:smallCaps/>
      <w:color w:val="0F4761" w:themeColor="accent1" w:themeShade="BF"/>
      <w:spacing w:val="5"/>
    </w:rPr>
  </w:style>
  <w:style w:type="character" w:styleId="Hyperlink">
    <w:name w:val="Hyperlink"/>
    <w:basedOn w:val="DefaultParagraphFont"/>
    <w:uiPriority w:val="99"/>
    <w:unhideWhenUsed/>
    <w:rsid w:val="00195CA7"/>
    <w:rPr>
      <w:color w:val="467886" w:themeColor="hyperlink"/>
      <w:u w:val="single"/>
    </w:rPr>
  </w:style>
  <w:style w:type="character" w:styleId="UnresolvedMention">
    <w:name w:val="Unresolved Mention"/>
    <w:basedOn w:val="DefaultParagraphFont"/>
    <w:uiPriority w:val="99"/>
    <w:semiHidden/>
    <w:unhideWhenUsed/>
    <w:rsid w:val="00195CA7"/>
    <w:rPr>
      <w:color w:val="605E5C"/>
      <w:shd w:val="clear" w:color="auto" w:fill="E1DFDD"/>
    </w:rPr>
  </w:style>
  <w:style w:type="paragraph" w:styleId="TOCHeading">
    <w:name w:val="TOC Heading"/>
    <w:basedOn w:val="Heading1"/>
    <w:next w:val="Normal"/>
    <w:uiPriority w:val="39"/>
    <w:unhideWhenUsed/>
    <w:qFormat/>
    <w:rsid w:val="00A56AE7"/>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A92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8FE"/>
  </w:style>
  <w:style w:type="paragraph" w:styleId="Footer">
    <w:name w:val="footer"/>
    <w:basedOn w:val="Normal"/>
    <w:link w:val="FooterChar"/>
    <w:uiPriority w:val="99"/>
    <w:unhideWhenUsed/>
    <w:rsid w:val="00A92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8FE"/>
  </w:style>
  <w:style w:type="paragraph" w:styleId="TOC2">
    <w:name w:val="toc 2"/>
    <w:basedOn w:val="Normal"/>
    <w:next w:val="Normal"/>
    <w:autoRedefine/>
    <w:uiPriority w:val="39"/>
    <w:unhideWhenUsed/>
    <w:rsid w:val="00EB4715"/>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3310CF"/>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EB4715"/>
    <w:pPr>
      <w:spacing w:after="100" w:line="259" w:lineRule="auto"/>
      <w:ind w:left="440"/>
    </w:pPr>
    <w:rPr>
      <w:rFonts w:eastAsiaTheme="minorEastAsia" w:cs="Times New Roman"/>
      <w:kern w:val="0"/>
      <w:sz w:val="22"/>
      <w:szCs w:val="22"/>
      <w:lang w:eastAsia="en-GB"/>
      <w14:ligatures w14:val="none"/>
    </w:rPr>
  </w:style>
  <w:style w:type="character" w:styleId="FollowedHyperlink">
    <w:name w:val="FollowedHyperlink"/>
    <w:basedOn w:val="DefaultParagraphFont"/>
    <w:uiPriority w:val="99"/>
    <w:semiHidden/>
    <w:unhideWhenUsed/>
    <w:rsid w:val="008D63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cipd.org/globalassets/media/knowledge/knowledge-hub/reports/2023-pdfs/8436-health-and-wellbeing-report-2023.pdf?utm_source=chatgp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usinesswire.com/news/home/20250409046301/en/Brightwave-Unveils-First-Deep-Research-Platform-for-Deal-Rooms?utm_source=chatgpt.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2158</TotalTime>
  <Pages>14</Pages>
  <Words>3415</Words>
  <Characters>19472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Farache</dc:creator>
  <cp:keywords/>
  <dc:description/>
  <cp:lastModifiedBy>Salma Farache</cp:lastModifiedBy>
  <cp:revision>146</cp:revision>
  <dcterms:created xsi:type="dcterms:W3CDTF">2025-11-15T20:35:00Z</dcterms:created>
  <dcterms:modified xsi:type="dcterms:W3CDTF">2025-12-12T14:16:00Z</dcterms:modified>
</cp:coreProperties>
</file>