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8A55D" w14:textId="77777777" w:rsidR="00D80B96" w:rsidRPr="00D80B96" w:rsidRDefault="00D80B96" w:rsidP="00D80B96">
      <w:pPr>
        <w:rPr>
          <w:rFonts w:asciiTheme="majorHAnsi" w:hAnsiTheme="majorHAnsi" w:cstheme="majorHAnsi"/>
        </w:rPr>
      </w:pPr>
    </w:p>
    <w:p w14:paraId="718CC15D" w14:textId="77777777" w:rsidR="00D80B96" w:rsidRPr="00D80B96" w:rsidRDefault="00D80B96" w:rsidP="00D80B96">
      <w:pPr>
        <w:rPr>
          <w:rFonts w:asciiTheme="majorHAnsi" w:hAnsiTheme="majorHAnsi" w:cstheme="majorHAnsi"/>
        </w:rPr>
      </w:pPr>
      <w:r w:rsidRPr="00D80B96">
        <w:rPr>
          <w:rFonts w:asciiTheme="majorHAnsi" w:hAnsiTheme="majorHAnsi" w:cstheme="majorHAnsi"/>
        </w:rPr>
        <w:t xml:space="preserve"> </w:t>
      </w:r>
    </w:p>
    <w:p w14:paraId="3FE31228" w14:textId="79B4C690" w:rsidR="00D80B96" w:rsidRPr="00D80B96" w:rsidRDefault="00D80B96" w:rsidP="0086454E">
      <w:pPr>
        <w:jc w:val="center"/>
        <w:rPr>
          <w:rFonts w:asciiTheme="majorHAnsi" w:hAnsiTheme="majorHAnsi" w:cstheme="majorHAnsi"/>
        </w:rPr>
      </w:pPr>
      <w:r w:rsidRPr="0086454E">
        <w:rPr>
          <w:rFonts w:asciiTheme="majorHAnsi" w:hAnsiTheme="majorHAnsi" w:cstheme="majorHAnsi"/>
          <w:noProof/>
          <w:lang w:val="en-IN" w:eastAsia="en-IN"/>
        </w:rPr>
        <w:drawing>
          <wp:inline distT="0" distB="0" distL="0" distR="0" wp14:anchorId="085CBF04" wp14:editId="1BF93521">
            <wp:extent cx="1981200" cy="825500"/>
            <wp:effectExtent l="0" t="0" r="0" b="0"/>
            <wp:docPr id="166910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825500"/>
                    </a:xfrm>
                    <a:prstGeom prst="rect">
                      <a:avLst/>
                    </a:prstGeom>
                    <a:noFill/>
                    <a:ln>
                      <a:noFill/>
                    </a:ln>
                  </pic:spPr>
                </pic:pic>
              </a:graphicData>
            </a:graphic>
          </wp:inline>
        </w:drawing>
      </w:r>
    </w:p>
    <w:p w14:paraId="053C6EAA" w14:textId="27328DE8" w:rsidR="00D80B96" w:rsidRPr="00D80B96" w:rsidRDefault="00D80B96" w:rsidP="0086454E">
      <w:pPr>
        <w:jc w:val="center"/>
        <w:rPr>
          <w:rFonts w:asciiTheme="majorHAnsi" w:hAnsiTheme="majorHAnsi" w:cstheme="majorHAnsi"/>
        </w:rPr>
      </w:pPr>
    </w:p>
    <w:p w14:paraId="7A6E12F9" w14:textId="597AC00B" w:rsidR="00D80B96" w:rsidRPr="00D80B96" w:rsidRDefault="00D80B96" w:rsidP="0086454E">
      <w:pPr>
        <w:jc w:val="center"/>
        <w:rPr>
          <w:rFonts w:asciiTheme="majorHAnsi" w:hAnsiTheme="majorHAnsi" w:cstheme="majorHAnsi"/>
        </w:rPr>
      </w:pPr>
    </w:p>
    <w:p w14:paraId="6BDAC288" w14:textId="552639C4" w:rsidR="00D80B96" w:rsidRPr="00D80B96" w:rsidRDefault="00D80B96" w:rsidP="0086454E">
      <w:pPr>
        <w:jc w:val="center"/>
        <w:rPr>
          <w:rFonts w:asciiTheme="majorHAnsi" w:hAnsiTheme="majorHAnsi" w:cstheme="majorHAnsi"/>
        </w:rPr>
      </w:pPr>
      <w:r w:rsidRPr="00D80B96">
        <w:rPr>
          <w:rFonts w:asciiTheme="majorHAnsi" w:hAnsiTheme="majorHAnsi" w:cstheme="majorHAnsi"/>
        </w:rPr>
        <w:t>THE PREVALENCE, RISK FACTORS, AND PREVENTION OF URINARY</w:t>
      </w:r>
    </w:p>
    <w:p w14:paraId="4265C0C9" w14:textId="05F25655" w:rsidR="00D80B96" w:rsidRPr="00D80B96" w:rsidRDefault="00D80B96" w:rsidP="0086454E">
      <w:pPr>
        <w:jc w:val="center"/>
        <w:rPr>
          <w:rFonts w:asciiTheme="majorHAnsi" w:hAnsiTheme="majorHAnsi" w:cstheme="majorHAnsi"/>
        </w:rPr>
      </w:pPr>
      <w:r w:rsidRPr="00D80B96">
        <w:rPr>
          <w:rFonts w:asciiTheme="majorHAnsi" w:hAnsiTheme="majorHAnsi" w:cstheme="majorHAnsi"/>
        </w:rPr>
        <w:t>TRACT INFECTION (UTIS) IN ADULT WOMEN</w:t>
      </w:r>
      <w:r w:rsidR="00424A2A">
        <w:rPr>
          <w:rFonts w:asciiTheme="majorHAnsi" w:hAnsiTheme="majorHAnsi" w:cstheme="majorHAnsi"/>
        </w:rPr>
        <w:t xml:space="preserve"> IN THE UK</w:t>
      </w:r>
      <w:r w:rsidRPr="00D80B96">
        <w:rPr>
          <w:rFonts w:asciiTheme="majorHAnsi" w:hAnsiTheme="majorHAnsi" w:cstheme="majorHAnsi"/>
        </w:rPr>
        <w:t>.</w:t>
      </w:r>
    </w:p>
    <w:p w14:paraId="54A1AFB7" w14:textId="3682F0E4" w:rsidR="00D80B96" w:rsidRPr="00D80B96" w:rsidRDefault="00D80B96" w:rsidP="0086454E">
      <w:pPr>
        <w:jc w:val="center"/>
        <w:rPr>
          <w:rFonts w:asciiTheme="majorHAnsi" w:hAnsiTheme="majorHAnsi" w:cstheme="majorHAnsi"/>
        </w:rPr>
      </w:pPr>
    </w:p>
    <w:p w14:paraId="59DEF15F" w14:textId="586028C1" w:rsidR="00D80B96" w:rsidRPr="00D80B96" w:rsidRDefault="00D80B96" w:rsidP="0086454E">
      <w:pPr>
        <w:jc w:val="center"/>
        <w:rPr>
          <w:rFonts w:asciiTheme="majorHAnsi" w:hAnsiTheme="majorHAnsi" w:cstheme="majorHAnsi"/>
        </w:rPr>
      </w:pPr>
      <w:r w:rsidRPr="00D80B96">
        <w:rPr>
          <w:rFonts w:asciiTheme="majorHAnsi" w:hAnsiTheme="majorHAnsi" w:cstheme="majorHAnsi"/>
        </w:rPr>
        <w:t>by</w:t>
      </w:r>
    </w:p>
    <w:p w14:paraId="58DEA6F2" w14:textId="7C084A5A" w:rsidR="00D80B96" w:rsidRPr="00D80B96" w:rsidRDefault="00D80B96" w:rsidP="0086454E">
      <w:pPr>
        <w:jc w:val="center"/>
        <w:rPr>
          <w:rFonts w:asciiTheme="majorHAnsi" w:hAnsiTheme="majorHAnsi" w:cstheme="majorHAnsi"/>
        </w:rPr>
      </w:pPr>
    </w:p>
    <w:p w14:paraId="7560637F" w14:textId="3BFAFCBC" w:rsidR="00410B64" w:rsidRDefault="00410B64" w:rsidP="00410B64">
      <w:pPr>
        <w:jc w:val="center"/>
        <w:rPr>
          <w:rFonts w:asciiTheme="majorHAnsi" w:hAnsiTheme="majorHAnsi" w:cstheme="majorHAnsi"/>
        </w:rPr>
      </w:pPr>
      <w:r>
        <w:rPr>
          <w:rFonts w:asciiTheme="majorHAnsi" w:hAnsiTheme="majorHAnsi" w:cstheme="majorHAnsi"/>
        </w:rPr>
        <w:t xml:space="preserve">NAME = </w:t>
      </w:r>
      <w:r w:rsidR="00D80B96" w:rsidRPr="00D80B96">
        <w:rPr>
          <w:rFonts w:asciiTheme="majorHAnsi" w:hAnsiTheme="majorHAnsi" w:cstheme="majorHAnsi"/>
        </w:rPr>
        <w:t>Shivani</w:t>
      </w:r>
      <w:r w:rsidR="00207727">
        <w:rPr>
          <w:rFonts w:asciiTheme="majorHAnsi" w:hAnsiTheme="majorHAnsi" w:cstheme="majorHAnsi"/>
        </w:rPr>
        <w:t xml:space="preserve">ben kamleshbhai </w:t>
      </w:r>
      <w:bookmarkStart w:id="0" w:name="_GoBack"/>
      <w:bookmarkEnd w:id="0"/>
      <w:r w:rsidR="00D80B96" w:rsidRPr="00D80B96">
        <w:rPr>
          <w:rFonts w:asciiTheme="majorHAnsi" w:hAnsiTheme="majorHAnsi" w:cstheme="majorHAnsi"/>
        </w:rPr>
        <w:t>Patel</w:t>
      </w:r>
    </w:p>
    <w:p w14:paraId="547B1238" w14:textId="59F3B47F" w:rsidR="00DB7731" w:rsidRPr="00D80B96" w:rsidRDefault="00410B64" w:rsidP="00410B64">
      <w:pPr>
        <w:jc w:val="center"/>
        <w:rPr>
          <w:rFonts w:asciiTheme="majorHAnsi" w:hAnsiTheme="majorHAnsi" w:cstheme="majorHAnsi"/>
        </w:rPr>
      </w:pPr>
      <w:r>
        <w:rPr>
          <w:rFonts w:asciiTheme="majorHAnsi" w:hAnsiTheme="majorHAnsi" w:cstheme="majorHAnsi"/>
        </w:rPr>
        <w:t xml:space="preserve">ENROLL = </w:t>
      </w:r>
      <w:r w:rsidR="00DB7731">
        <w:rPr>
          <w:rFonts w:asciiTheme="majorHAnsi" w:hAnsiTheme="majorHAnsi" w:cstheme="majorHAnsi"/>
        </w:rPr>
        <w:t>2422549</w:t>
      </w:r>
    </w:p>
    <w:p w14:paraId="4A961B4A" w14:textId="65196185" w:rsidR="00D80B96" w:rsidRPr="00D80B96" w:rsidRDefault="00D80B96" w:rsidP="0086454E">
      <w:pPr>
        <w:jc w:val="center"/>
        <w:rPr>
          <w:rFonts w:asciiTheme="majorHAnsi" w:hAnsiTheme="majorHAnsi" w:cstheme="majorHAnsi"/>
        </w:rPr>
      </w:pPr>
    </w:p>
    <w:p w14:paraId="7BA1C62A" w14:textId="19BF0ADA" w:rsidR="00D80B96" w:rsidRPr="00D80B96" w:rsidRDefault="00D80B96" w:rsidP="0086454E">
      <w:pPr>
        <w:jc w:val="center"/>
        <w:rPr>
          <w:rFonts w:asciiTheme="majorHAnsi" w:hAnsiTheme="majorHAnsi" w:cstheme="majorHAnsi"/>
        </w:rPr>
      </w:pPr>
    </w:p>
    <w:p w14:paraId="083C22C3" w14:textId="51101760" w:rsidR="00D80B96" w:rsidRPr="00D80B96" w:rsidRDefault="00D80B96" w:rsidP="0086454E">
      <w:pPr>
        <w:jc w:val="center"/>
        <w:rPr>
          <w:rFonts w:asciiTheme="majorHAnsi" w:hAnsiTheme="majorHAnsi" w:cstheme="majorHAnsi"/>
        </w:rPr>
      </w:pPr>
    </w:p>
    <w:p w14:paraId="060E3CBB" w14:textId="715D90F8" w:rsidR="00D80B96" w:rsidRPr="00D80B96" w:rsidRDefault="00D80B96" w:rsidP="0086454E">
      <w:pPr>
        <w:jc w:val="center"/>
        <w:rPr>
          <w:rFonts w:asciiTheme="majorHAnsi" w:hAnsiTheme="majorHAnsi" w:cstheme="majorHAnsi"/>
        </w:rPr>
      </w:pPr>
    </w:p>
    <w:p w14:paraId="6B3C73A6" w14:textId="2D8F64CB" w:rsidR="00D80B96" w:rsidRPr="00D80B96" w:rsidRDefault="00D80B96" w:rsidP="0086454E">
      <w:pPr>
        <w:jc w:val="center"/>
        <w:rPr>
          <w:rFonts w:asciiTheme="majorHAnsi" w:hAnsiTheme="majorHAnsi" w:cstheme="majorHAnsi"/>
        </w:rPr>
      </w:pPr>
    </w:p>
    <w:p w14:paraId="092D9D78" w14:textId="77777777" w:rsidR="00D80B96" w:rsidRPr="00D80B96" w:rsidRDefault="00D80B96" w:rsidP="0086454E">
      <w:pPr>
        <w:jc w:val="center"/>
        <w:rPr>
          <w:rFonts w:asciiTheme="majorHAnsi" w:hAnsiTheme="majorHAnsi" w:cstheme="majorHAnsi"/>
        </w:rPr>
      </w:pPr>
      <w:r w:rsidRPr="00D80B96">
        <w:rPr>
          <w:rFonts w:asciiTheme="majorHAnsi" w:hAnsiTheme="majorHAnsi" w:cstheme="majorHAnsi"/>
        </w:rPr>
        <w:t>A Dissertation submitted in partial fulfilment of the requirements for the degree of Masters of Science in Public Health and Social Care in Practice</w:t>
      </w:r>
    </w:p>
    <w:p w14:paraId="35FEC94E" w14:textId="77777777" w:rsidR="00D80B96" w:rsidRPr="00D80B96" w:rsidRDefault="00D80B96" w:rsidP="0086454E">
      <w:pPr>
        <w:jc w:val="center"/>
        <w:rPr>
          <w:rFonts w:asciiTheme="majorHAnsi" w:hAnsiTheme="majorHAnsi" w:cstheme="majorHAnsi"/>
        </w:rPr>
      </w:pPr>
    </w:p>
    <w:p w14:paraId="0A7D7E78" w14:textId="77777777" w:rsidR="00D80B96" w:rsidRPr="00D80B96" w:rsidRDefault="00D80B96" w:rsidP="0086454E">
      <w:pPr>
        <w:jc w:val="center"/>
        <w:rPr>
          <w:rFonts w:asciiTheme="majorHAnsi" w:hAnsiTheme="majorHAnsi" w:cstheme="majorHAnsi"/>
          <w:b/>
          <w:bCs/>
        </w:rPr>
      </w:pPr>
    </w:p>
    <w:p w14:paraId="0B697FDD" w14:textId="77777777" w:rsidR="00D80B96" w:rsidRPr="00D80B96" w:rsidRDefault="00D80B96" w:rsidP="0086454E">
      <w:pPr>
        <w:jc w:val="center"/>
        <w:rPr>
          <w:rFonts w:asciiTheme="majorHAnsi" w:hAnsiTheme="majorHAnsi" w:cstheme="majorHAnsi"/>
          <w:b/>
          <w:bCs/>
        </w:rPr>
      </w:pPr>
    </w:p>
    <w:p w14:paraId="695AF296" w14:textId="77777777" w:rsidR="00D80B96" w:rsidRPr="00D80B96" w:rsidRDefault="00D80B96" w:rsidP="0086454E">
      <w:pPr>
        <w:jc w:val="center"/>
        <w:rPr>
          <w:rFonts w:asciiTheme="majorHAnsi" w:hAnsiTheme="majorHAnsi" w:cstheme="majorHAnsi"/>
          <w:b/>
          <w:bCs/>
        </w:rPr>
      </w:pPr>
      <w:r w:rsidRPr="00D80B96">
        <w:rPr>
          <w:rFonts w:asciiTheme="majorHAnsi" w:hAnsiTheme="majorHAnsi" w:cstheme="majorHAnsi"/>
          <w:b/>
          <w:bCs/>
        </w:rPr>
        <w:t>The Institute of Inner-City Learning</w:t>
      </w:r>
    </w:p>
    <w:p w14:paraId="61195243" w14:textId="77777777" w:rsidR="00D80B96" w:rsidRPr="00D80B96" w:rsidRDefault="00D80B96" w:rsidP="0086454E">
      <w:pPr>
        <w:jc w:val="center"/>
        <w:rPr>
          <w:rFonts w:asciiTheme="majorHAnsi" w:hAnsiTheme="majorHAnsi" w:cstheme="majorHAnsi"/>
          <w:b/>
          <w:bCs/>
        </w:rPr>
      </w:pPr>
      <w:r w:rsidRPr="00D80B96">
        <w:rPr>
          <w:rFonts w:asciiTheme="majorHAnsi" w:hAnsiTheme="majorHAnsi" w:cstheme="majorHAnsi"/>
          <w:b/>
          <w:bCs/>
        </w:rPr>
        <w:t>University of Wales Trinity Saint David – London Campus</w:t>
      </w:r>
    </w:p>
    <w:p w14:paraId="2375B227" w14:textId="77777777" w:rsidR="00D80B96" w:rsidRPr="00D80B96" w:rsidRDefault="00D80B96" w:rsidP="0086454E">
      <w:pPr>
        <w:jc w:val="center"/>
        <w:rPr>
          <w:rFonts w:asciiTheme="majorHAnsi" w:hAnsiTheme="majorHAnsi" w:cstheme="majorHAnsi"/>
          <w:b/>
          <w:bCs/>
        </w:rPr>
      </w:pPr>
    </w:p>
    <w:p w14:paraId="75404587" w14:textId="77777777" w:rsidR="00D80B96" w:rsidRPr="00D80B96" w:rsidRDefault="00D80B96" w:rsidP="0086454E">
      <w:pPr>
        <w:jc w:val="center"/>
        <w:rPr>
          <w:rFonts w:asciiTheme="majorHAnsi" w:hAnsiTheme="majorHAnsi" w:cstheme="majorHAnsi"/>
          <w:b/>
          <w:bCs/>
        </w:rPr>
      </w:pPr>
    </w:p>
    <w:p w14:paraId="3DB83132" w14:textId="478D9DAC" w:rsidR="00D80B96" w:rsidRPr="00D80B96" w:rsidRDefault="00D80B96" w:rsidP="0086454E">
      <w:pPr>
        <w:jc w:val="center"/>
        <w:rPr>
          <w:rFonts w:asciiTheme="majorHAnsi" w:hAnsiTheme="majorHAnsi" w:cstheme="majorHAnsi"/>
          <w:b/>
          <w:bCs/>
        </w:rPr>
      </w:pPr>
      <w:r w:rsidRPr="00D80B96">
        <w:rPr>
          <w:rFonts w:asciiTheme="majorHAnsi" w:hAnsiTheme="majorHAnsi" w:cstheme="majorHAnsi"/>
          <w:b/>
          <w:bCs/>
        </w:rPr>
        <w:t>Feb</w:t>
      </w:r>
      <w:r w:rsidR="00AC2302">
        <w:rPr>
          <w:rFonts w:asciiTheme="majorHAnsi" w:hAnsiTheme="majorHAnsi" w:cstheme="majorHAnsi"/>
          <w:b/>
          <w:bCs/>
        </w:rPr>
        <w:t xml:space="preserve"> </w:t>
      </w:r>
      <w:r w:rsidRPr="00D80B96">
        <w:rPr>
          <w:rFonts w:asciiTheme="majorHAnsi" w:hAnsiTheme="majorHAnsi" w:cstheme="majorHAnsi"/>
          <w:b/>
          <w:bCs/>
        </w:rPr>
        <w:t>2025-26</w:t>
      </w:r>
    </w:p>
    <w:p w14:paraId="5E442D65" w14:textId="77777777" w:rsidR="00D80B96" w:rsidRPr="00D80B96" w:rsidRDefault="00D80B96" w:rsidP="00D80B96">
      <w:pPr>
        <w:rPr>
          <w:rFonts w:asciiTheme="majorHAnsi" w:hAnsiTheme="majorHAnsi" w:cstheme="majorHAnsi"/>
          <w:b/>
          <w:bCs/>
        </w:rPr>
      </w:pPr>
      <w:r w:rsidRPr="00D80B96">
        <w:rPr>
          <w:rFonts w:asciiTheme="majorHAnsi" w:hAnsiTheme="majorHAnsi" w:cstheme="majorHAnsi"/>
          <w:b/>
          <w:bCs/>
        </w:rPr>
        <w:lastRenderedPageBreak/>
        <w:br w:type="page"/>
      </w:r>
    </w:p>
    <w:p w14:paraId="788E5A8C" w14:textId="77777777" w:rsidR="00D80B96" w:rsidRPr="00D80B96" w:rsidRDefault="00D80B96" w:rsidP="00D80B96">
      <w:pPr>
        <w:rPr>
          <w:rFonts w:asciiTheme="majorHAnsi" w:hAnsiTheme="majorHAnsi" w:cstheme="majorHAnsi"/>
          <w:b/>
          <w:bCs/>
          <w:lang w:val="hr-HR"/>
        </w:rPr>
      </w:pPr>
      <w:r w:rsidRPr="00D80B96">
        <w:rPr>
          <w:rFonts w:asciiTheme="majorHAnsi" w:hAnsiTheme="majorHAnsi" w:cstheme="majorHAnsi"/>
          <w:b/>
          <w:bCs/>
          <w:lang w:val="hr-HR"/>
        </w:rPr>
        <w:lastRenderedPageBreak/>
        <w:t>DECLARATION</w:t>
      </w:r>
    </w:p>
    <w:p w14:paraId="0834AB6B" w14:textId="77777777" w:rsidR="00D80B96" w:rsidRPr="00D80B96" w:rsidRDefault="00D80B96" w:rsidP="00D80B96">
      <w:pPr>
        <w:rPr>
          <w:rFonts w:asciiTheme="majorHAnsi" w:hAnsiTheme="majorHAnsi" w:cstheme="majorHAnsi"/>
          <w:lang w:val="hr-HR"/>
        </w:rPr>
      </w:pPr>
    </w:p>
    <w:p w14:paraId="67A0D367" w14:textId="05F3E57D" w:rsidR="00D80B96" w:rsidRPr="00D80B96" w:rsidRDefault="00D80B96" w:rsidP="00D80B96">
      <w:pPr>
        <w:rPr>
          <w:rFonts w:asciiTheme="majorHAnsi" w:hAnsiTheme="majorHAnsi" w:cstheme="majorHAnsi"/>
          <w:lang w:val="hr-HR"/>
        </w:rPr>
      </w:pPr>
      <w:r w:rsidRPr="00D80B96">
        <w:rPr>
          <w:rFonts w:asciiTheme="majorHAnsi" w:hAnsiTheme="majorHAnsi" w:cstheme="majorHAnsi"/>
          <w:lang w:val="hr-HR"/>
        </w:rPr>
        <w:t xml:space="preserve">I, </w:t>
      </w:r>
      <w:r w:rsidR="004F4E2F">
        <w:rPr>
          <w:rFonts w:asciiTheme="majorHAnsi" w:hAnsiTheme="majorHAnsi" w:cstheme="majorHAnsi"/>
          <w:lang w:val="hr-HR"/>
        </w:rPr>
        <w:t>Shivani Patel</w:t>
      </w:r>
      <w:r w:rsidRPr="00D80B96">
        <w:rPr>
          <w:rFonts w:asciiTheme="majorHAnsi" w:hAnsiTheme="majorHAnsi" w:cstheme="majorHAnsi"/>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FDB04B7" w14:textId="77777777" w:rsidR="00D80B96" w:rsidRPr="00D80B96" w:rsidRDefault="00D80B96" w:rsidP="00D80B96">
      <w:pPr>
        <w:rPr>
          <w:rFonts w:asciiTheme="majorHAnsi" w:hAnsiTheme="majorHAnsi" w:cstheme="majorHAnsi"/>
          <w:lang w:val="hr-HR"/>
        </w:rPr>
      </w:pPr>
    </w:p>
    <w:p w14:paraId="3050A258" w14:textId="71D40F42" w:rsidR="00D80B96" w:rsidRPr="00D80B96" w:rsidRDefault="00207727" w:rsidP="00207727">
      <w:pPr>
        <w:tabs>
          <w:tab w:val="left" w:pos="1170"/>
        </w:tabs>
        <w:rPr>
          <w:rFonts w:asciiTheme="majorHAnsi" w:hAnsiTheme="majorHAnsi" w:cstheme="majorHAnsi"/>
          <w:lang w:val="hr-HR"/>
        </w:rPr>
      </w:pPr>
      <w:r>
        <w:rPr>
          <w:rFonts w:asciiTheme="majorHAnsi" w:hAnsiTheme="majorHAnsi" w:cstheme="majorHAnsi"/>
          <w:lang w:val="hr-HR"/>
        </w:rPr>
        <w:tab/>
        <w:t>S.K.patel</w:t>
      </w:r>
    </w:p>
    <w:p w14:paraId="2070D6D9" w14:textId="77777777" w:rsidR="00D80B96" w:rsidRPr="00D80B96" w:rsidRDefault="00D80B96" w:rsidP="00D80B96">
      <w:pPr>
        <w:rPr>
          <w:rFonts w:asciiTheme="majorHAnsi" w:hAnsiTheme="majorHAnsi" w:cstheme="majorHAnsi"/>
          <w:lang w:val="hr-HR"/>
        </w:rPr>
      </w:pPr>
      <w:r w:rsidRPr="00D80B96">
        <w:rPr>
          <w:rFonts w:asciiTheme="majorHAnsi" w:hAnsiTheme="majorHAnsi" w:cstheme="majorHAnsi"/>
          <w:lang w:val="hr-HR"/>
        </w:rPr>
        <w:t>Signed:………………………………………………</w:t>
      </w:r>
    </w:p>
    <w:p w14:paraId="23EF043F" w14:textId="28C51FF7" w:rsidR="00D80B96" w:rsidRPr="00D80B96" w:rsidRDefault="00207727" w:rsidP="00D80B96">
      <w:pPr>
        <w:rPr>
          <w:rFonts w:asciiTheme="majorHAnsi" w:hAnsiTheme="majorHAnsi" w:cstheme="majorHAnsi"/>
          <w:lang w:val="hr-HR"/>
        </w:rPr>
      </w:pPr>
      <w:r>
        <w:rPr>
          <w:rFonts w:asciiTheme="majorHAnsi" w:hAnsiTheme="majorHAnsi" w:cstheme="majorHAnsi"/>
          <w:lang w:val="hr-HR"/>
        </w:rPr>
        <w:t xml:space="preserve">              2/2/2026</w:t>
      </w:r>
    </w:p>
    <w:p w14:paraId="2382AE52" w14:textId="77777777" w:rsidR="00D80B96" w:rsidRPr="00D80B96" w:rsidRDefault="00D80B96" w:rsidP="00D80B96">
      <w:pPr>
        <w:rPr>
          <w:rFonts w:asciiTheme="majorHAnsi" w:hAnsiTheme="majorHAnsi" w:cstheme="majorHAnsi"/>
          <w:lang w:val="hr-HR"/>
        </w:rPr>
      </w:pPr>
      <w:r w:rsidRPr="00D80B96">
        <w:rPr>
          <w:rFonts w:asciiTheme="majorHAnsi" w:hAnsiTheme="majorHAnsi" w:cstheme="majorHAnsi"/>
          <w:lang w:val="hr-HR"/>
        </w:rPr>
        <w:t>Date:...………………………………………………</w:t>
      </w:r>
    </w:p>
    <w:p w14:paraId="67663390" w14:textId="77777777" w:rsidR="00D80B96" w:rsidRPr="00D80B96" w:rsidRDefault="00D80B96" w:rsidP="00D80B96">
      <w:pPr>
        <w:rPr>
          <w:rFonts w:asciiTheme="majorHAnsi" w:hAnsiTheme="majorHAnsi" w:cstheme="majorHAnsi"/>
          <w:b/>
          <w:bCs/>
        </w:rPr>
      </w:pPr>
    </w:p>
    <w:p w14:paraId="56D508DB" w14:textId="77777777" w:rsidR="00D80B96" w:rsidRPr="00D80B96" w:rsidRDefault="00D80B96" w:rsidP="00D80B96">
      <w:pPr>
        <w:rPr>
          <w:rFonts w:asciiTheme="majorHAnsi" w:hAnsiTheme="majorHAnsi" w:cstheme="majorHAnsi"/>
        </w:rPr>
      </w:pPr>
      <w:r w:rsidRPr="00D80B96">
        <w:rPr>
          <w:rFonts w:asciiTheme="majorHAnsi" w:hAnsiTheme="majorHAnsi" w:cstheme="majorHAnsi"/>
        </w:rPr>
        <w:t xml:space="preserve"> </w:t>
      </w:r>
      <w:r w:rsidRPr="00D80B96">
        <w:rPr>
          <w:rFonts w:asciiTheme="majorHAnsi" w:hAnsiTheme="majorHAnsi" w:cstheme="majorHAnsi"/>
        </w:rPr>
        <w:tab/>
        <w:t xml:space="preserve"> </w:t>
      </w:r>
    </w:p>
    <w:p w14:paraId="45C1A8D4" w14:textId="77777777" w:rsidR="00D80B96" w:rsidRPr="00D80B96" w:rsidRDefault="00D80B96" w:rsidP="00D80B96">
      <w:pPr>
        <w:rPr>
          <w:rFonts w:asciiTheme="majorHAnsi" w:hAnsiTheme="majorHAnsi" w:cstheme="majorHAnsi"/>
          <w:b/>
        </w:rPr>
      </w:pPr>
      <w:r w:rsidRPr="00D80B96">
        <w:rPr>
          <w:rFonts w:asciiTheme="majorHAnsi" w:hAnsiTheme="majorHAnsi" w:cstheme="majorHAnsi"/>
        </w:rPr>
        <w:br w:type="page"/>
      </w:r>
    </w:p>
    <w:p w14:paraId="31769CBE" w14:textId="1BB38C50" w:rsidR="00D80B96" w:rsidRPr="00D80B96" w:rsidRDefault="00D80B96" w:rsidP="00FA3B28">
      <w:pPr>
        <w:jc w:val="center"/>
        <w:rPr>
          <w:rFonts w:asciiTheme="majorHAnsi" w:hAnsiTheme="majorHAnsi" w:cstheme="majorHAnsi"/>
          <w:b/>
        </w:rPr>
      </w:pPr>
      <w:r w:rsidRPr="00D80B96">
        <w:rPr>
          <w:rFonts w:asciiTheme="majorHAnsi" w:hAnsiTheme="majorHAnsi" w:cstheme="majorHAnsi"/>
          <w:b/>
        </w:rPr>
        <w:lastRenderedPageBreak/>
        <w:t>Acknowledgements</w:t>
      </w:r>
    </w:p>
    <w:p w14:paraId="2E67E2B1" w14:textId="77777777" w:rsidR="00D80B96" w:rsidRPr="00D80B96" w:rsidRDefault="00D80B96" w:rsidP="00D80B96">
      <w:pPr>
        <w:rPr>
          <w:rFonts w:asciiTheme="majorHAnsi" w:hAnsiTheme="majorHAnsi" w:cstheme="majorHAnsi"/>
        </w:rPr>
      </w:pPr>
      <w:r w:rsidRPr="00D80B96">
        <w:rPr>
          <w:rFonts w:asciiTheme="majorHAnsi" w:hAnsiTheme="majorHAnsi" w:cstheme="majorHAnsi"/>
        </w:rPr>
        <w:t xml:space="preserve"> </w:t>
      </w:r>
    </w:p>
    <w:p w14:paraId="09F38331" w14:textId="27FD9878" w:rsidR="00F1459C" w:rsidRPr="00B744F2" w:rsidRDefault="001F6C62" w:rsidP="00D80B96">
      <w:pPr>
        <w:rPr>
          <w:rFonts w:asciiTheme="majorHAnsi" w:hAnsiTheme="majorHAnsi" w:cstheme="majorHAnsi"/>
        </w:rPr>
      </w:pPr>
      <w:r w:rsidRPr="00B744F2">
        <w:rPr>
          <w:rFonts w:asciiTheme="majorHAnsi" w:hAnsiTheme="majorHAnsi" w:cstheme="majorHAnsi"/>
        </w:rPr>
        <w:t>I would like to extend my sincere thanks to my supervisor for his guidance, helpful feedback and steady support through the planning and development of the setting for this dissertation. I also thank the team in the module and academic staff for their teaching and direction, which enhanced my understanding of evidence-based research and academic writing. For my literature searching and access to relevant materials, I am grateful to the university library staff and online resources that aided me in my literature search. Finally, I would like to thank my family and friends for their encouragement, patience and support in completing this work.</w:t>
      </w:r>
    </w:p>
    <w:p w14:paraId="3E2703C5" w14:textId="77777777" w:rsidR="00F1459C" w:rsidRPr="00782D6D" w:rsidRDefault="00F1459C" w:rsidP="00F1459C">
      <w:pPr>
        <w:jc w:val="center"/>
        <w:rPr>
          <w:b/>
          <w:bCs/>
          <w:sz w:val="48"/>
          <w:szCs w:val="48"/>
        </w:rPr>
      </w:pPr>
    </w:p>
    <w:p w14:paraId="6C924174" w14:textId="77777777" w:rsidR="00D80B96" w:rsidRDefault="00D80B96">
      <w:pPr>
        <w:rPr>
          <w:b/>
          <w:bCs/>
          <w:sz w:val="48"/>
          <w:szCs w:val="48"/>
        </w:rPr>
      </w:pPr>
      <w:r>
        <w:rPr>
          <w:b/>
          <w:bCs/>
          <w:sz w:val="48"/>
          <w:szCs w:val="48"/>
        </w:rPr>
        <w:br w:type="page"/>
      </w:r>
    </w:p>
    <w:p w14:paraId="6345D0FF" w14:textId="77777777" w:rsidR="00FA3B28" w:rsidRDefault="00FA3B28" w:rsidP="00F1459C">
      <w:pPr>
        <w:jc w:val="center"/>
        <w:rPr>
          <w:b/>
          <w:bCs/>
          <w:sz w:val="48"/>
          <w:szCs w:val="48"/>
        </w:rPr>
      </w:pPr>
    </w:p>
    <w:p w14:paraId="3FE77D69" w14:textId="77777777" w:rsidR="00FA3B28" w:rsidRDefault="00FA3B28" w:rsidP="00F1459C">
      <w:pPr>
        <w:jc w:val="center"/>
        <w:rPr>
          <w:b/>
          <w:bCs/>
          <w:sz w:val="48"/>
          <w:szCs w:val="48"/>
        </w:rPr>
      </w:pPr>
    </w:p>
    <w:p w14:paraId="0B29EACC" w14:textId="77777777" w:rsidR="00FA3B28" w:rsidRDefault="00FA3B28" w:rsidP="00F1459C">
      <w:pPr>
        <w:jc w:val="center"/>
        <w:rPr>
          <w:b/>
          <w:bCs/>
          <w:sz w:val="48"/>
          <w:szCs w:val="48"/>
        </w:rPr>
      </w:pPr>
    </w:p>
    <w:p w14:paraId="33C0E046" w14:textId="77777777" w:rsidR="00FA3B28" w:rsidRDefault="00FA3B28" w:rsidP="00F1459C">
      <w:pPr>
        <w:jc w:val="center"/>
        <w:rPr>
          <w:b/>
          <w:bCs/>
          <w:sz w:val="48"/>
          <w:szCs w:val="48"/>
        </w:rPr>
      </w:pPr>
    </w:p>
    <w:p w14:paraId="1126456C" w14:textId="77777777" w:rsidR="00FA3B28" w:rsidRDefault="00FA3B28" w:rsidP="00F1459C">
      <w:pPr>
        <w:jc w:val="center"/>
        <w:rPr>
          <w:b/>
          <w:bCs/>
          <w:sz w:val="48"/>
          <w:szCs w:val="48"/>
        </w:rPr>
      </w:pPr>
    </w:p>
    <w:p w14:paraId="7365A54F" w14:textId="77777777" w:rsidR="00FA3B28" w:rsidRDefault="00FA3B28" w:rsidP="00F1459C">
      <w:pPr>
        <w:jc w:val="center"/>
        <w:rPr>
          <w:b/>
          <w:bCs/>
          <w:sz w:val="48"/>
          <w:szCs w:val="48"/>
        </w:rPr>
      </w:pPr>
    </w:p>
    <w:p w14:paraId="6298E63F" w14:textId="77777777" w:rsidR="00FA3B28" w:rsidRDefault="00FA3B28" w:rsidP="00F1459C">
      <w:pPr>
        <w:jc w:val="center"/>
        <w:rPr>
          <w:b/>
          <w:bCs/>
          <w:sz w:val="48"/>
          <w:szCs w:val="48"/>
        </w:rPr>
      </w:pPr>
    </w:p>
    <w:p w14:paraId="341B0A01" w14:textId="1D83C13C" w:rsidR="00457C5C" w:rsidRDefault="0009149D" w:rsidP="00F1459C">
      <w:pPr>
        <w:jc w:val="center"/>
        <w:rPr>
          <w:b/>
          <w:bCs/>
          <w:sz w:val="48"/>
          <w:szCs w:val="48"/>
        </w:rPr>
      </w:pPr>
      <w:r w:rsidRPr="00782D6D">
        <w:rPr>
          <w:b/>
          <w:bCs/>
          <w:sz w:val="48"/>
          <w:szCs w:val="48"/>
        </w:rPr>
        <w:t>The prevalence, risk factors, and prevention of Urinary Tract Infections (UTIs) in adult women in UK</w:t>
      </w:r>
    </w:p>
    <w:p w14:paraId="31ABABFF" w14:textId="31251FC8" w:rsidR="00457C5C" w:rsidRPr="00457C5C" w:rsidRDefault="00457C5C" w:rsidP="00457C5C">
      <w:pPr>
        <w:jc w:val="center"/>
        <w:rPr>
          <w:b/>
          <w:bCs/>
        </w:rPr>
      </w:pPr>
      <w:r>
        <w:br w:type="page"/>
      </w:r>
      <w:r w:rsidRPr="00457C5C">
        <w:rPr>
          <w:b/>
          <w:bCs/>
          <w:sz w:val="28"/>
          <w:szCs w:val="28"/>
        </w:rPr>
        <w:lastRenderedPageBreak/>
        <w:t>Abstract</w:t>
      </w:r>
    </w:p>
    <w:p w14:paraId="45390BFF" w14:textId="1AA7F162" w:rsidR="0009149D" w:rsidRPr="00457C5C" w:rsidRDefault="00457C5C" w:rsidP="00457C5C">
      <w:r w:rsidRPr="00457C5C">
        <w:t>Urinary tract infections (UTIs) are one of the most common types of bacterial infection in women and are a major reason for prescribing antibiotics in UK primary and community care. This dissertation focused on exploring the prevalence and burden of UTI in adult women, the major risk factors for UTI's first and recurrent infection, and prevention and management strategies within an antimicrobial stewardship framework. A systematic literature review was performed using the methods described in the PRISMA guidelines. Searches revealed 1,246 records; after de-duplication and screening, 10 UK-based studies were included (routine electronic health record cohorts, microbiology-linked datasets, surveys, qualitative research and commissioning-level evidence). Due to heterogeneity in study designs and outcome definition, synthesis of findings was conducted using structured narrative thematic synthesis and supported by tabulation of study characteristics and a formal quality appraisal. Results showed that the burden of UTIs is high but disproportionate throughout the life course. Working-age women were responsible for high absolute consultation volumes, while clinical complexity, repeat contacts and escalation of care were higher amongst older women, who contributed disproportionately to repeat antibiotic exposure. Across studies, recurrent infection was clustered in individuals, and there was a close association with ongoing healthcare utilisation. Risk factors were multifactorial and included biological transitions (including peri-/post-menopausal transitions), multimorbidity and iatrogenic exposures (e.g. catheterisation), behavioural factors (including sexual activity and contraceptive practices) and social determinants of care-seeking and prevention uptake. System-level drivers were also prominent: diagnostic uncertainty, reliance on urine dipsticks and pressures for empiric prescribing were identified as mechanisms that can reinforce cycles of reattendance, repeat treatment and stewardship challenges. Overall, the study concludes that the reduction of recurrent UTI and avoidable exposure to antibiotics will need integrated, stewardship-sensitive approaches involving prevention and education at the patient level with improvements in the diagnostic and prescribing pathways. Limitations included heterogeneous definitions of UTI, varying risk of bias between types of evidence and limited validation for causal inference, thus emphasising the need for standardised outcomes and strong UK evaluations of preventive and diagnostic stewardship interventions.</w:t>
      </w:r>
      <w:r w:rsidR="0009149D" w:rsidRPr="00782D6D">
        <w:br w:type="page"/>
      </w:r>
    </w:p>
    <w:sdt>
      <w:sdtPr>
        <w:rPr>
          <w:rFonts w:ascii="Times New Roman" w:eastAsia="Times New Roman" w:hAnsi="Times New Roman" w:cs="Times New Roman"/>
          <w:b/>
          <w:bCs/>
          <w:color w:val="auto"/>
          <w:sz w:val="28"/>
          <w:szCs w:val="28"/>
          <w:lang w:val="en-GB"/>
        </w:rPr>
        <w:id w:val="-871297926"/>
        <w:docPartObj>
          <w:docPartGallery w:val="Table of Contents"/>
          <w:docPartUnique/>
        </w:docPartObj>
      </w:sdtPr>
      <w:sdtEndPr>
        <w:rPr>
          <w:sz w:val="24"/>
          <w:szCs w:val="24"/>
        </w:rPr>
      </w:sdtEndPr>
      <w:sdtContent>
        <w:p w14:paraId="0B7A2EEE" w14:textId="654A14B4" w:rsidR="00726982" w:rsidRPr="00782D6D" w:rsidRDefault="00726982" w:rsidP="00726982">
          <w:pPr>
            <w:pStyle w:val="TOCHeading"/>
            <w:spacing w:line="360" w:lineRule="auto"/>
            <w:jc w:val="center"/>
            <w:rPr>
              <w:rFonts w:ascii="Times New Roman" w:hAnsi="Times New Roman" w:cs="Times New Roman"/>
              <w:b/>
              <w:bCs/>
              <w:color w:val="auto"/>
              <w:sz w:val="28"/>
              <w:szCs w:val="28"/>
              <w:lang w:val="en-GB"/>
            </w:rPr>
          </w:pPr>
          <w:r w:rsidRPr="00782D6D">
            <w:rPr>
              <w:rFonts w:ascii="Times New Roman" w:hAnsi="Times New Roman" w:cs="Times New Roman"/>
              <w:b/>
              <w:bCs/>
              <w:color w:val="auto"/>
              <w:sz w:val="28"/>
              <w:szCs w:val="28"/>
              <w:lang w:val="en-GB"/>
            </w:rPr>
            <w:t>Table of Contents</w:t>
          </w:r>
        </w:p>
        <w:p w14:paraId="4100FCB3" w14:textId="0828D426" w:rsidR="00046BF0" w:rsidRDefault="00726982">
          <w:pPr>
            <w:pStyle w:val="TOC1"/>
            <w:tabs>
              <w:tab w:val="right" w:leader="dot" w:pos="9350"/>
            </w:tabs>
            <w:rPr>
              <w:rFonts w:asciiTheme="minorHAnsi" w:eastAsiaTheme="minorEastAsia" w:hAnsiTheme="minorHAnsi" w:cstheme="minorBidi"/>
              <w:noProof/>
              <w:kern w:val="2"/>
              <w:lang w:val="en-US"/>
              <w14:ligatures w14:val="standardContextual"/>
            </w:rPr>
          </w:pPr>
          <w:r w:rsidRPr="00782D6D">
            <w:fldChar w:fldCharType="begin"/>
          </w:r>
          <w:r w:rsidRPr="00782D6D">
            <w:instrText xml:space="preserve"> TOC \o "1-3" \h \z \u </w:instrText>
          </w:r>
          <w:r w:rsidRPr="00782D6D">
            <w:fldChar w:fldCharType="separate"/>
          </w:r>
          <w:hyperlink w:anchor="_Toc220833769" w:history="1">
            <w:r w:rsidR="00046BF0" w:rsidRPr="00EA5B36">
              <w:rPr>
                <w:rStyle w:val="Hyperlink"/>
                <w:noProof/>
              </w:rPr>
              <w:t>CHAPTER 1: INTRODUCTION</w:t>
            </w:r>
            <w:r w:rsidR="00046BF0">
              <w:rPr>
                <w:noProof/>
                <w:webHidden/>
              </w:rPr>
              <w:tab/>
            </w:r>
            <w:r w:rsidR="00046BF0">
              <w:rPr>
                <w:noProof/>
                <w:webHidden/>
              </w:rPr>
              <w:fldChar w:fldCharType="begin"/>
            </w:r>
            <w:r w:rsidR="00046BF0">
              <w:rPr>
                <w:noProof/>
                <w:webHidden/>
              </w:rPr>
              <w:instrText xml:space="preserve"> PAGEREF _Toc220833769 \h </w:instrText>
            </w:r>
            <w:r w:rsidR="00046BF0">
              <w:rPr>
                <w:noProof/>
                <w:webHidden/>
              </w:rPr>
            </w:r>
            <w:r w:rsidR="00046BF0">
              <w:rPr>
                <w:noProof/>
                <w:webHidden/>
              </w:rPr>
              <w:fldChar w:fldCharType="separate"/>
            </w:r>
            <w:r w:rsidR="00046BF0">
              <w:rPr>
                <w:noProof/>
                <w:webHidden/>
              </w:rPr>
              <w:t>10</w:t>
            </w:r>
            <w:r w:rsidR="00046BF0">
              <w:rPr>
                <w:noProof/>
                <w:webHidden/>
              </w:rPr>
              <w:fldChar w:fldCharType="end"/>
            </w:r>
          </w:hyperlink>
        </w:p>
        <w:p w14:paraId="5DEB34E5" w14:textId="6311EF71"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0" w:history="1">
            <w:r w:rsidR="00046BF0" w:rsidRPr="00EA5B36">
              <w:rPr>
                <w:rStyle w:val="Hyperlink"/>
                <w:noProof/>
              </w:rPr>
              <w:t>1.1 Background to the Study</w:t>
            </w:r>
            <w:r w:rsidR="00046BF0">
              <w:rPr>
                <w:noProof/>
                <w:webHidden/>
              </w:rPr>
              <w:tab/>
            </w:r>
            <w:r w:rsidR="00046BF0">
              <w:rPr>
                <w:noProof/>
                <w:webHidden/>
              </w:rPr>
              <w:fldChar w:fldCharType="begin"/>
            </w:r>
            <w:r w:rsidR="00046BF0">
              <w:rPr>
                <w:noProof/>
                <w:webHidden/>
              </w:rPr>
              <w:instrText xml:space="preserve"> PAGEREF _Toc220833770 \h </w:instrText>
            </w:r>
            <w:r w:rsidR="00046BF0">
              <w:rPr>
                <w:noProof/>
                <w:webHidden/>
              </w:rPr>
            </w:r>
            <w:r w:rsidR="00046BF0">
              <w:rPr>
                <w:noProof/>
                <w:webHidden/>
              </w:rPr>
              <w:fldChar w:fldCharType="separate"/>
            </w:r>
            <w:r w:rsidR="00046BF0">
              <w:rPr>
                <w:noProof/>
                <w:webHidden/>
              </w:rPr>
              <w:t>10</w:t>
            </w:r>
            <w:r w:rsidR="00046BF0">
              <w:rPr>
                <w:noProof/>
                <w:webHidden/>
              </w:rPr>
              <w:fldChar w:fldCharType="end"/>
            </w:r>
          </w:hyperlink>
        </w:p>
        <w:p w14:paraId="2359152D" w14:textId="38F32318"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1" w:history="1">
            <w:r w:rsidR="00046BF0" w:rsidRPr="00EA5B36">
              <w:rPr>
                <w:rStyle w:val="Hyperlink"/>
                <w:noProof/>
              </w:rPr>
              <w:t>1.2 Problem Statement</w:t>
            </w:r>
            <w:r w:rsidR="00046BF0">
              <w:rPr>
                <w:noProof/>
                <w:webHidden/>
              </w:rPr>
              <w:tab/>
            </w:r>
            <w:r w:rsidR="00046BF0">
              <w:rPr>
                <w:noProof/>
                <w:webHidden/>
              </w:rPr>
              <w:fldChar w:fldCharType="begin"/>
            </w:r>
            <w:r w:rsidR="00046BF0">
              <w:rPr>
                <w:noProof/>
                <w:webHidden/>
              </w:rPr>
              <w:instrText xml:space="preserve"> PAGEREF _Toc220833771 \h </w:instrText>
            </w:r>
            <w:r w:rsidR="00046BF0">
              <w:rPr>
                <w:noProof/>
                <w:webHidden/>
              </w:rPr>
            </w:r>
            <w:r w:rsidR="00046BF0">
              <w:rPr>
                <w:noProof/>
                <w:webHidden/>
              </w:rPr>
              <w:fldChar w:fldCharType="separate"/>
            </w:r>
            <w:r w:rsidR="00046BF0">
              <w:rPr>
                <w:noProof/>
                <w:webHidden/>
              </w:rPr>
              <w:t>10</w:t>
            </w:r>
            <w:r w:rsidR="00046BF0">
              <w:rPr>
                <w:noProof/>
                <w:webHidden/>
              </w:rPr>
              <w:fldChar w:fldCharType="end"/>
            </w:r>
          </w:hyperlink>
        </w:p>
        <w:p w14:paraId="2B8E2CFA" w14:textId="35CDC43C"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2" w:history="1">
            <w:r w:rsidR="00046BF0" w:rsidRPr="00EA5B36">
              <w:rPr>
                <w:rStyle w:val="Hyperlink"/>
                <w:noProof/>
              </w:rPr>
              <w:t>1.3 Prevalence of the Problem in Health and Social Care</w:t>
            </w:r>
            <w:r w:rsidR="00046BF0">
              <w:rPr>
                <w:noProof/>
                <w:webHidden/>
              </w:rPr>
              <w:tab/>
            </w:r>
            <w:r w:rsidR="00046BF0">
              <w:rPr>
                <w:noProof/>
                <w:webHidden/>
              </w:rPr>
              <w:fldChar w:fldCharType="begin"/>
            </w:r>
            <w:r w:rsidR="00046BF0">
              <w:rPr>
                <w:noProof/>
                <w:webHidden/>
              </w:rPr>
              <w:instrText xml:space="preserve"> PAGEREF _Toc220833772 \h </w:instrText>
            </w:r>
            <w:r w:rsidR="00046BF0">
              <w:rPr>
                <w:noProof/>
                <w:webHidden/>
              </w:rPr>
            </w:r>
            <w:r w:rsidR="00046BF0">
              <w:rPr>
                <w:noProof/>
                <w:webHidden/>
              </w:rPr>
              <w:fldChar w:fldCharType="separate"/>
            </w:r>
            <w:r w:rsidR="00046BF0">
              <w:rPr>
                <w:noProof/>
                <w:webHidden/>
              </w:rPr>
              <w:t>11</w:t>
            </w:r>
            <w:r w:rsidR="00046BF0">
              <w:rPr>
                <w:noProof/>
                <w:webHidden/>
              </w:rPr>
              <w:fldChar w:fldCharType="end"/>
            </w:r>
          </w:hyperlink>
        </w:p>
        <w:p w14:paraId="08602D31" w14:textId="1255B401"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3" w:history="1">
            <w:r w:rsidR="00046BF0" w:rsidRPr="00EA5B36">
              <w:rPr>
                <w:rStyle w:val="Hyperlink"/>
                <w:noProof/>
              </w:rPr>
              <w:t>1.4 Rationale for the Study</w:t>
            </w:r>
            <w:r w:rsidR="00046BF0">
              <w:rPr>
                <w:noProof/>
                <w:webHidden/>
              </w:rPr>
              <w:tab/>
            </w:r>
            <w:r w:rsidR="00046BF0">
              <w:rPr>
                <w:noProof/>
                <w:webHidden/>
              </w:rPr>
              <w:fldChar w:fldCharType="begin"/>
            </w:r>
            <w:r w:rsidR="00046BF0">
              <w:rPr>
                <w:noProof/>
                <w:webHidden/>
              </w:rPr>
              <w:instrText xml:space="preserve"> PAGEREF _Toc220833773 \h </w:instrText>
            </w:r>
            <w:r w:rsidR="00046BF0">
              <w:rPr>
                <w:noProof/>
                <w:webHidden/>
              </w:rPr>
            </w:r>
            <w:r w:rsidR="00046BF0">
              <w:rPr>
                <w:noProof/>
                <w:webHidden/>
              </w:rPr>
              <w:fldChar w:fldCharType="separate"/>
            </w:r>
            <w:r w:rsidR="00046BF0">
              <w:rPr>
                <w:noProof/>
                <w:webHidden/>
              </w:rPr>
              <w:t>11</w:t>
            </w:r>
            <w:r w:rsidR="00046BF0">
              <w:rPr>
                <w:noProof/>
                <w:webHidden/>
              </w:rPr>
              <w:fldChar w:fldCharType="end"/>
            </w:r>
          </w:hyperlink>
        </w:p>
        <w:p w14:paraId="6CB27761" w14:textId="504A3B1C"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4" w:history="1">
            <w:r w:rsidR="00046BF0" w:rsidRPr="00EA5B36">
              <w:rPr>
                <w:rStyle w:val="Hyperlink"/>
                <w:noProof/>
              </w:rPr>
              <w:t>1.5 Research Aim</w:t>
            </w:r>
            <w:r w:rsidR="00046BF0">
              <w:rPr>
                <w:noProof/>
                <w:webHidden/>
              </w:rPr>
              <w:tab/>
            </w:r>
            <w:r w:rsidR="00046BF0">
              <w:rPr>
                <w:noProof/>
                <w:webHidden/>
              </w:rPr>
              <w:fldChar w:fldCharType="begin"/>
            </w:r>
            <w:r w:rsidR="00046BF0">
              <w:rPr>
                <w:noProof/>
                <w:webHidden/>
              </w:rPr>
              <w:instrText xml:space="preserve"> PAGEREF _Toc220833774 \h </w:instrText>
            </w:r>
            <w:r w:rsidR="00046BF0">
              <w:rPr>
                <w:noProof/>
                <w:webHidden/>
              </w:rPr>
            </w:r>
            <w:r w:rsidR="00046BF0">
              <w:rPr>
                <w:noProof/>
                <w:webHidden/>
              </w:rPr>
              <w:fldChar w:fldCharType="separate"/>
            </w:r>
            <w:r w:rsidR="00046BF0">
              <w:rPr>
                <w:noProof/>
                <w:webHidden/>
              </w:rPr>
              <w:t>12</w:t>
            </w:r>
            <w:r w:rsidR="00046BF0">
              <w:rPr>
                <w:noProof/>
                <w:webHidden/>
              </w:rPr>
              <w:fldChar w:fldCharType="end"/>
            </w:r>
          </w:hyperlink>
        </w:p>
        <w:p w14:paraId="159AC87D" w14:textId="56C69DC6"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5" w:history="1">
            <w:r w:rsidR="00046BF0" w:rsidRPr="00EA5B36">
              <w:rPr>
                <w:rStyle w:val="Hyperlink"/>
                <w:noProof/>
              </w:rPr>
              <w:t>1.6 Research Question</w:t>
            </w:r>
            <w:r w:rsidR="00046BF0">
              <w:rPr>
                <w:noProof/>
                <w:webHidden/>
              </w:rPr>
              <w:tab/>
            </w:r>
            <w:r w:rsidR="00046BF0">
              <w:rPr>
                <w:noProof/>
                <w:webHidden/>
              </w:rPr>
              <w:fldChar w:fldCharType="begin"/>
            </w:r>
            <w:r w:rsidR="00046BF0">
              <w:rPr>
                <w:noProof/>
                <w:webHidden/>
              </w:rPr>
              <w:instrText xml:space="preserve"> PAGEREF _Toc220833775 \h </w:instrText>
            </w:r>
            <w:r w:rsidR="00046BF0">
              <w:rPr>
                <w:noProof/>
                <w:webHidden/>
              </w:rPr>
            </w:r>
            <w:r w:rsidR="00046BF0">
              <w:rPr>
                <w:noProof/>
                <w:webHidden/>
              </w:rPr>
              <w:fldChar w:fldCharType="separate"/>
            </w:r>
            <w:r w:rsidR="00046BF0">
              <w:rPr>
                <w:noProof/>
                <w:webHidden/>
              </w:rPr>
              <w:t>12</w:t>
            </w:r>
            <w:r w:rsidR="00046BF0">
              <w:rPr>
                <w:noProof/>
                <w:webHidden/>
              </w:rPr>
              <w:fldChar w:fldCharType="end"/>
            </w:r>
          </w:hyperlink>
        </w:p>
        <w:p w14:paraId="6E0A2DD0" w14:textId="34623D21"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6" w:history="1">
            <w:r w:rsidR="00046BF0" w:rsidRPr="00EA5B36">
              <w:rPr>
                <w:rStyle w:val="Hyperlink"/>
                <w:noProof/>
              </w:rPr>
              <w:t>1.7 Research Objectives</w:t>
            </w:r>
            <w:r w:rsidR="00046BF0">
              <w:rPr>
                <w:noProof/>
                <w:webHidden/>
              </w:rPr>
              <w:tab/>
            </w:r>
            <w:r w:rsidR="00046BF0">
              <w:rPr>
                <w:noProof/>
                <w:webHidden/>
              </w:rPr>
              <w:fldChar w:fldCharType="begin"/>
            </w:r>
            <w:r w:rsidR="00046BF0">
              <w:rPr>
                <w:noProof/>
                <w:webHidden/>
              </w:rPr>
              <w:instrText xml:space="preserve"> PAGEREF _Toc220833776 \h </w:instrText>
            </w:r>
            <w:r w:rsidR="00046BF0">
              <w:rPr>
                <w:noProof/>
                <w:webHidden/>
              </w:rPr>
            </w:r>
            <w:r w:rsidR="00046BF0">
              <w:rPr>
                <w:noProof/>
                <w:webHidden/>
              </w:rPr>
              <w:fldChar w:fldCharType="separate"/>
            </w:r>
            <w:r w:rsidR="00046BF0">
              <w:rPr>
                <w:noProof/>
                <w:webHidden/>
              </w:rPr>
              <w:t>12</w:t>
            </w:r>
            <w:r w:rsidR="00046BF0">
              <w:rPr>
                <w:noProof/>
                <w:webHidden/>
              </w:rPr>
              <w:fldChar w:fldCharType="end"/>
            </w:r>
          </w:hyperlink>
        </w:p>
        <w:p w14:paraId="178C6C91" w14:textId="401878E1"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7" w:history="1">
            <w:r w:rsidR="00046BF0" w:rsidRPr="00EA5B36">
              <w:rPr>
                <w:rStyle w:val="Hyperlink"/>
                <w:noProof/>
              </w:rPr>
              <w:t>1.8 Scope of the Study</w:t>
            </w:r>
            <w:r w:rsidR="00046BF0">
              <w:rPr>
                <w:noProof/>
                <w:webHidden/>
              </w:rPr>
              <w:tab/>
            </w:r>
            <w:r w:rsidR="00046BF0">
              <w:rPr>
                <w:noProof/>
                <w:webHidden/>
              </w:rPr>
              <w:fldChar w:fldCharType="begin"/>
            </w:r>
            <w:r w:rsidR="00046BF0">
              <w:rPr>
                <w:noProof/>
                <w:webHidden/>
              </w:rPr>
              <w:instrText xml:space="preserve"> PAGEREF _Toc220833777 \h </w:instrText>
            </w:r>
            <w:r w:rsidR="00046BF0">
              <w:rPr>
                <w:noProof/>
                <w:webHidden/>
              </w:rPr>
            </w:r>
            <w:r w:rsidR="00046BF0">
              <w:rPr>
                <w:noProof/>
                <w:webHidden/>
              </w:rPr>
              <w:fldChar w:fldCharType="separate"/>
            </w:r>
            <w:r w:rsidR="00046BF0">
              <w:rPr>
                <w:noProof/>
                <w:webHidden/>
              </w:rPr>
              <w:t>12</w:t>
            </w:r>
            <w:r w:rsidR="00046BF0">
              <w:rPr>
                <w:noProof/>
                <w:webHidden/>
              </w:rPr>
              <w:fldChar w:fldCharType="end"/>
            </w:r>
          </w:hyperlink>
        </w:p>
        <w:p w14:paraId="012DAEA7" w14:textId="4D6B0694"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78" w:history="1">
            <w:r w:rsidR="00046BF0" w:rsidRPr="00EA5B36">
              <w:rPr>
                <w:rStyle w:val="Hyperlink"/>
                <w:noProof/>
              </w:rPr>
              <w:t>1.9 Overview of Dissertation Structure</w:t>
            </w:r>
            <w:r w:rsidR="00046BF0">
              <w:rPr>
                <w:noProof/>
                <w:webHidden/>
              </w:rPr>
              <w:tab/>
            </w:r>
            <w:r w:rsidR="00046BF0">
              <w:rPr>
                <w:noProof/>
                <w:webHidden/>
              </w:rPr>
              <w:fldChar w:fldCharType="begin"/>
            </w:r>
            <w:r w:rsidR="00046BF0">
              <w:rPr>
                <w:noProof/>
                <w:webHidden/>
              </w:rPr>
              <w:instrText xml:space="preserve"> PAGEREF _Toc220833778 \h </w:instrText>
            </w:r>
            <w:r w:rsidR="00046BF0">
              <w:rPr>
                <w:noProof/>
                <w:webHidden/>
              </w:rPr>
            </w:r>
            <w:r w:rsidR="00046BF0">
              <w:rPr>
                <w:noProof/>
                <w:webHidden/>
              </w:rPr>
              <w:fldChar w:fldCharType="separate"/>
            </w:r>
            <w:r w:rsidR="00046BF0">
              <w:rPr>
                <w:noProof/>
                <w:webHidden/>
              </w:rPr>
              <w:t>13</w:t>
            </w:r>
            <w:r w:rsidR="00046BF0">
              <w:rPr>
                <w:noProof/>
                <w:webHidden/>
              </w:rPr>
              <w:fldChar w:fldCharType="end"/>
            </w:r>
          </w:hyperlink>
        </w:p>
        <w:p w14:paraId="5091E414" w14:textId="725CF5F5" w:rsidR="00046BF0" w:rsidRDefault="00410B6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0833779" w:history="1">
            <w:r w:rsidR="00046BF0" w:rsidRPr="00EA5B36">
              <w:rPr>
                <w:rStyle w:val="Hyperlink"/>
                <w:noProof/>
              </w:rPr>
              <w:t>CHAPTER 2: LITERATURE REVIEW</w:t>
            </w:r>
            <w:r w:rsidR="00046BF0">
              <w:rPr>
                <w:noProof/>
                <w:webHidden/>
              </w:rPr>
              <w:tab/>
            </w:r>
            <w:r w:rsidR="00046BF0">
              <w:rPr>
                <w:noProof/>
                <w:webHidden/>
              </w:rPr>
              <w:fldChar w:fldCharType="begin"/>
            </w:r>
            <w:r w:rsidR="00046BF0">
              <w:rPr>
                <w:noProof/>
                <w:webHidden/>
              </w:rPr>
              <w:instrText xml:space="preserve"> PAGEREF _Toc220833779 \h </w:instrText>
            </w:r>
            <w:r w:rsidR="00046BF0">
              <w:rPr>
                <w:noProof/>
                <w:webHidden/>
              </w:rPr>
            </w:r>
            <w:r w:rsidR="00046BF0">
              <w:rPr>
                <w:noProof/>
                <w:webHidden/>
              </w:rPr>
              <w:fldChar w:fldCharType="separate"/>
            </w:r>
            <w:r w:rsidR="00046BF0">
              <w:rPr>
                <w:noProof/>
                <w:webHidden/>
              </w:rPr>
              <w:t>13</w:t>
            </w:r>
            <w:r w:rsidR="00046BF0">
              <w:rPr>
                <w:noProof/>
                <w:webHidden/>
              </w:rPr>
              <w:fldChar w:fldCharType="end"/>
            </w:r>
          </w:hyperlink>
        </w:p>
        <w:p w14:paraId="07E7C1F1" w14:textId="136823CC"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80" w:history="1">
            <w:r w:rsidR="00046BF0" w:rsidRPr="00EA5B36">
              <w:rPr>
                <w:rStyle w:val="Hyperlink"/>
                <w:noProof/>
              </w:rPr>
              <w:t>2.1 Introduction to the Literature Review</w:t>
            </w:r>
            <w:r w:rsidR="00046BF0">
              <w:rPr>
                <w:noProof/>
                <w:webHidden/>
              </w:rPr>
              <w:tab/>
            </w:r>
            <w:r w:rsidR="00046BF0">
              <w:rPr>
                <w:noProof/>
                <w:webHidden/>
              </w:rPr>
              <w:fldChar w:fldCharType="begin"/>
            </w:r>
            <w:r w:rsidR="00046BF0">
              <w:rPr>
                <w:noProof/>
                <w:webHidden/>
              </w:rPr>
              <w:instrText xml:space="preserve"> PAGEREF _Toc220833780 \h </w:instrText>
            </w:r>
            <w:r w:rsidR="00046BF0">
              <w:rPr>
                <w:noProof/>
                <w:webHidden/>
              </w:rPr>
            </w:r>
            <w:r w:rsidR="00046BF0">
              <w:rPr>
                <w:noProof/>
                <w:webHidden/>
              </w:rPr>
              <w:fldChar w:fldCharType="separate"/>
            </w:r>
            <w:r w:rsidR="00046BF0">
              <w:rPr>
                <w:noProof/>
                <w:webHidden/>
              </w:rPr>
              <w:t>13</w:t>
            </w:r>
            <w:r w:rsidR="00046BF0">
              <w:rPr>
                <w:noProof/>
                <w:webHidden/>
              </w:rPr>
              <w:fldChar w:fldCharType="end"/>
            </w:r>
          </w:hyperlink>
        </w:p>
        <w:p w14:paraId="6107DDFD" w14:textId="2471389C"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81" w:history="1">
            <w:r w:rsidR="00046BF0" w:rsidRPr="00EA5B36">
              <w:rPr>
                <w:rStyle w:val="Hyperlink"/>
                <w:noProof/>
              </w:rPr>
              <w:t>2.2 Epidemiology of UTIs in Adult Women</w:t>
            </w:r>
            <w:r w:rsidR="00046BF0">
              <w:rPr>
                <w:noProof/>
                <w:webHidden/>
              </w:rPr>
              <w:tab/>
            </w:r>
            <w:r w:rsidR="00046BF0">
              <w:rPr>
                <w:noProof/>
                <w:webHidden/>
              </w:rPr>
              <w:fldChar w:fldCharType="begin"/>
            </w:r>
            <w:r w:rsidR="00046BF0">
              <w:rPr>
                <w:noProof/>
                <w:webHidden/>
              </w:rPr>
              <w:instrText xml:space="preserve"> PAGEREF _Toc220833781 \h </w:instrText>
            </w:r>
            <w:r w:rsidR="00046BF0">
              <w:rPr>
                <w:noProof/>
                <w:webHidden/>
              </w:rPr>
            </w:r>
            <w:r w:rsidR="00046BF0">
              <w:rPr>
                <w:noProof/>
                <w:webHidden/>
              </w:rPr>
              <w:fldChar w:fldCharType="separate"/>
            </w:r>
            <w:r w:rsidR="00046BF0">
              <w:rPr>
                <w:noProof/>
                <w:webHidden/>
              </w:rPr>
              <w:t>13</w:t>
            </w:r>
            <w:r w:rsidR="00046BF0">
              <w:rPr>
                <w:noProof/>
                <w:webHidden/>
              </w:rPr>
              <w:fldChar w:fldCharType="end"/>
            </w:r>
          </w:hyperlink>
        </w:p>
        <w:p w14:paraId="05DC2FE5" w14:textId="51DACC01"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82" w:history="1">
            <w:r w:rsidR="00046BF0" w:rsidRPr="00EA5B36">
              <w:rPr>
                <w:rStyle w:val="Hyperlink"/>
                <w:noProof/>
              </w:rPr>
              <w:t>2.3 Risk Factors for UTIs in Adult Women</w:t>
            </w:r>
            <w:r w:rsidR="00046BF0">
              <w:rPr>
                <w:noProof/>
                <w:webHidden/>
              </w:rPr>
              <w:tab/>
            </w:r>
            <w:r w:rsidR="00046BF0">
              <w:rPr>
                <w:noProof/>
                <w:webHidden/>
              </w:rPr>
              <w:fldChar w:fldCharType="begin"/>
            </w:r>
            <w:r w:rsidR="00046BF0">
              <w:rPr>
                <w:noProof/>
                <w:webHidden/>
              </w:rPr>
              <w:instrText xml:space="preserve"> PAGEREF _Toc220833782 \h </w:instrText>
            </w:r>
            <w:r w:rsidR="00046BF0">
              <w:rPr>
                <w:noProof/>
                <w:webHidden/>
              </w:rPr>
            </w:r>
            <w:r w:rsidR="00046BF0">
              <w:rPr>
                <w:noProof/>
                <w:webHidden/>
              </w:rPr>
              <w:fldChar w:fldCharType="separate"/>
            </w:r>
            <w:r w:rsidR="00046BF0">
              <w:rPr>
                <w:noProof/>
                <w:webHidden/>
              </w:rPr>
              <w:t>16</w:t>
            </w:r>
            <w:r w:rsidR="00046BF0">
              <w:rPr>
                <w:noProof/>
                <w:webHidden/>
              </w:rPr>
              <w:fldChar w:fldCharType="end"/>
            </w:r>
          </w:hyperlink>
        </w:p>
        <w:p w14:paraId="6B2616C4" w14:textId="5F8CB90B"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83" w:history="1">
            <w:r w:rsidR="00046BF0" w:rsidRPr="00EA5B36">
              <w:rPr>
                <w:rStyle w:val="Hyperlink"/>
                <w:noProof/>
              </w:rPr>
              <w:t>2.3.1 Biological/Physiological Risk Factors</w:t>
            </w:r>
            <w:r w:rsidR="00046BF0">
              <w:rPr>
                <w:noProof/>
                <w:webHidden/>
              </w:rPr>
              <w:tab/>
            </w:r>
            <w:r w:rsidR="00046BF0">
              <w:rPr>
                <w:noProof/>
                <w:webHidden/>
              </w:rPr>
              <w:fldChar w:fldCharType="begin"/>
            </w:r>
            <w:r w:rsidR="00046BF0">
              <w:rPr>
                <w:noProof/>
                <w:webHidden/>
              </w:rPr>
              <w:instrText xml:space="preserve"> PAGEREF _Toc220833783 \h </w:instrText>
            </w:r>
            <w:r w:rsidR="00046BF0">
              <w:rPr>
                <w:noProof/>
                <w:webHidden/>
              </w:rPr>
            </w:r>
            <w:r w:rsidR="00046BF0">
              <w:rPr>
                <w:noProof/>
                <w:webHidden/>
              </w:rPr>
              <w:fldChar w:fldCharType="separate"/>
            </w:r>
            <w:r w:rsidR="00046BF0">
              <w:rPr>
                <w:noProof/>
                <w:webHidden/>
              </w:rPr>
              <w:t>16</w:t>
            </w:r>
            <w:r w:rsidR="00046BF0">
              <w:rPr>
                <w:noProof/>
                <w:webHidden/>
              </w:rPr>
              <w:fldChar w:fldCharType="end"/>
            </w:r>
          </w:hyperlink>
        </w:p>
        <w:p w14:paraId="2F444E59" w14:textId="07ED00F4"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84" w:history="1">
            <w:r w:rsidR="00046BF0" w:rsidRPr="00EA5B36">
              <w:rPr>
                <w:rStyle w:val="Hyperlink"/>
                <w:noProof/>
              </w:rPr>
              <w:t>2.3.2 Behavioural and Lifestyle Factors</w:t>
            </w:r>
            <w:r w:rsidR="00046BF0">
              <w:rPr>
                <w:noProof/>
                <w:webHidden/>
              </w:rPr>
              <w:tab/>
            </w:r>
            <w:r w:rsidR="00046BF0">
              <w:rPr>
                <w:noProof/>
                <w:webHidden/>
              </w:rPr>
              <w:fldChar w:fldCharType="begin"/>
            </w:r>
            <w:r w:rsidR="00046BF0">
              <w:rPr>
                <w:noProof/>
                <w:webHidden/>
              </w:rPr>
              <w:instrText xml:space="preserve"> PAGEREF _Toc220833784 \h </w:instrText>
            </w:r>
            <w:r w:rsidR="00046BF0">
              <w:rPr>
                <w:noProof/>
                <w:webHidden/>
              </w:rPr>
            </w:r>
            <w:r w:rsidR="00046BF0">
              <w:rPr>
                <w:noProof/>
                <w:webHidden/>
              </w:rPr>
              <w:fldChar w:fldCharType="separate"/>
            </w:r>
            <w:r w:rsidR="00046BF0">
              <w:rPr>
                <w:noProof/>
                <w:webHidden/>
              </w:rPr>
              <w:t>17</w:t>
            </w:r>
            <w:r w:rsidR="00046BF0">
              <w:rPr>
                <w:noProof/>
                <w:webHidden/>
              </w:rPr>
              <w:fldChar w:fldCharType="end"/>
            </w:r>
          </w:hyperlink>
        </w:p>
        <w:p w14:paraId="6A7E6A98" w14:textId="7BF09DEA"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85" w:history="1">
            <w:r w:rsidR="00046BF0" w:rsidRPr="00EA5B36">
              <w:rPr>
                <w:rStyle w:val="Hyperlink"/>
                <w:noProof/>
              </w:rPr>
              <w:t>2.3.3 Clinical and Medical Risk Factors</w:t>
            </w:r>
            <w:r w:rsidR="00046BF0">
              <w:rPr>
                <w:noProof/>
                <w:webHidden/>
              </w:rPr>
              <w:tab/>
            </w:r>
            <w:r w:rsidR="00046BF0">
              <w:rPr>
                <w:noProof/>
                <w:webHidden/>
              </w:rPr>
              <w:fldChar w:fldCharType="begin"/>
            </w:r>
            <w:r w:rsidR="00046BF0">
              <w:rPr>
                <w:noProof/>
                <w:webHidden/>
              </w:rPr>
              <w:instrText xml:space="preserve"> PAGEREF _Toc220833785 \h </w:instrText>
            </w:r>
            <w:r w:rsidR="00046BF0">
              <w:rPr>
                <w:noProof/>
                <w:webHidden/>
              </w:rPr>
            </w:r>
            <w:r w:rsidR="00046BF0">
              <w:rPr>
                <w:noProof/>
                <w:webHidden/>
              </w:rPr>
              <w:fldChar w:fldCharType="separate"/>
            </w:r>
            <w:r w:rsidR="00046BF0">
              <w:rPr>
                <w:noProof/>
                <w:webHidden/>
              </w:rPr>
              <w:t>19</w:t>
            </w:r>
            <w:r w:rsidR="00046BF0">
              <w:rPr>
                <w:noProof/>
                <w:webHidden/>
              </w:rPr>
              <w:fldChar w:fldCharType="end"/>
            </w:r>
          </w:hyperlink>
        </w:p>
        <w:p w14:paraId="0ECC4740" w14:textId="35249885"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86" w:history="1">
            <w:r w:rsidR="00046BF0" w:rsidRPr="00EA5B36">
              <w:rPr>
                <w:rStyle w:val="Hyperlink"/>
                <w:noProof/>
              </w:rPr>
              <w:t>2.3.4 Social Determinants of Health</w:t>
            </w:r>
            <w:r w:rsidR="00046BF0">
              <w:rPr>
                <w:noProof/>
                <w:webHidden/>
              </w:rPr>
              <w:tab/>
            </w:r>
            <w:r w:rsidR="00046BF0">
              <w:rPr>
                <w:noProof/>
                <w:webHidden/>
              </w:rPr>
              <w:fldChar w:fldCharType="begin"/>
            </w:r>
            <w:r w:rsidR="00046BF0">
              <w:rPr>
                <w:noProof/>
                <w:webHidden/>
              </w:rPr>
              <w:instrText xml:space="preserve"> PAGEREF _Toc220833786 \h </w:instrText>
            </w:r>
            <w:r w:rsidR="00046BF0">
              <w:rPr>
                <w:noProof/>
                <w:webHidden/>
              </w:rPr>
            </w:r>
            <w:r w:rsidR="00046BF0">
              <w:rPr>
                <w:noProof/>
                <w:webHidden/>
              </w:rPr>
              <w:fldChar w:fldCharType="separate"/>
            </w:r>
            <w:r w:rsidR="00046BF0">
              <w:rPr>
                <w:noProof/>
                <w:webHidden/>
              </w:rPr>
              <w:t>19</w:t>
            </w:r>
            <w:r w:rsidR="00046BF0">
              <w:rPr>
                <w:noProof/>
                <w:webHidden/>
              </w:rPr>
              <w:fldChar w:fldCharType="end"/>
            </w:r>
          </w:hyperlink>
        </w:p>
        <w:p w14:paraId="4DD629A8" w14:textId="78823D01"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87" w:history="1">
            <w:r w:rsidR="00046BF0" w:rsidRPr="00EA5B36">
              <w:rPr>
                <w:rStyle w:val="Hyperlink"/>
                <w:noProof/>
              </w:rPr>
              <w:t>2.4 Prevention Strategies for UTIs in Adult Women</w:t>
            </w:r>
            <w:r w:rsidR="00046BF0">
              <w:rPr>
                <w:noProof/>
                <w:webHidden/>
              </w:rPr>
              <w:tab/>
            </w:r>
            <w:r w:rsidR="00046BF0">
              <w:rPr>
                <w:noProof/>
                <w:webHidden/>
              </w:rPr>
              <w:fldChar w:fldCharType="begin"/>
            </w:r>
            <w:r w:rsidR="00046BF0">
              <w:rPr>
                <w:noProof/>
                <w:webHidden/>
              </w:rPr>
              <w:instrText xml:space="preserve"> PAGEREF _Toc220833787 \h </w:instrText>
            </w:r>
            <w:r w:rsidR="00046BF0">
              <w:rPr>
                <w:noProof/>
                <w:webHidden/>
              </w:rPr>
            </w:r>
            <w:r w:rsidR="00046BF0">
              <w:rPr>
                <w:noProof/>
                <w:webHidden/>
              </w:rPr>
              <w:fldChar w:fldCharType="separate"/>
            </w:r>
            <w:r w:rsidR="00046BF0">
              <w:rPr>
                <w:noProof/>
                <w:webHidden/>
              </w:rPr>
              <w:t>20</w:t>
            </w:r>
            <w:r w:rsidR="00046BF0">
              <w:rPr>
                <w:noProof/>
                <w:webHidden/>
              </w:rPr>
              <w:fldChar w:fldCharType="end"/>
            </w:r>
          </w:hyperlink>
        </w:p>
        <w:p w14:paraId="2C08EFD8" w14:textId="28AD7876"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88" w:history="1">
            <w:r w:rsidR="00046BF0" w:rsidRPr="00EA5B36">
              <w:rPr>
                <w:rStyle w:val="Hyperlink"/>
                <w:noProof/>
              </w:rPr>
              <w:t>2.4.1 Antibiotic Prophylaxis</w:t>
            </w:r>
            <w:r w:rsidR="00046BF0">
              <w:rPr>
                <w:noProof/>
                <w:webHidden/>
              </w:rPr>
              <w:tab/>
            </w:r>
            <w:r w:rsidR="00046BF0">
              <w:rPr>
                <w:noProof/>
                <w:webHidden/>
              </w:rPr>
              <w:fldChar w:fldCharType="begin"/>
            </w:r>
            <w:r w:rsidR="00046BF0">
              <w:rPr>
                <w:noProof/>
                <w:webHidden/>
              </w:rPr>
              <w:instrText xml:space="preserve"> PAGEREF _Toc220833788 \h </w:instrText>
            </w:r>
            <w:r w:rsidR="00046BF0">
              <w:rPr>
                <w:noProof/>
                <w:webHidden/>
              </w:rPr>
            </w:r>
            <w:r w:rsidR="00046BF0">
              <w:rPr>
                <w:noProof/>
                <w:webHidden/>
              </w:rPr>
              <w:fldChar w:fldCharType="separate"/>
            </w:r>
            <w:r w:rsidR="00046BF0">
              <w:rPr>
                <w:noProof/>
                <w:webHidden/>
              </w:rPr>
              <w:t>20</w:t>
            </w:r>
            <w:r w:rsidR="00046BF0">
              <w:rPr>
                <w:noProof/>
                <w:webHidden/>
              </w:rPr>
              <w:fldChar w:fldCharType="end"/>
            </w:r>
          </w:hyperlink>
        </w:p>
        <w:p w14:paraId="6DE5F4D4" w14:textId="01F66E15"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89" w:history="1">
            <w:r w:rsidR="00046BF0" w:rsidRPr="00EA5B36">
              <w:rPr>
                <w:rStyle w:val="Hyperlink"/>
                <w:noProof/>
              </w:rPr>
              <w:t>2.4.2 Non-Antibiotic Pharmacological Strategies</w:t>
            </w:r>
            <w:r w:rsidR="00046BF0">
              <w:rPr>
                <w:noProof/>
                <w:webHidden/>
              </w:rPr>
              <w:tab/>
            </w:r>
            <w:r w:rsidR="00046BF0">
              <w:rPr>
                <w:noProof/>
                <w:webHidden/>
              </w:rPr>
              <w:fldChar w:fldCharType="begin"/>
            </w:r>
            <w:r w:rsidR="00046BF0">
              <w:rPr>
                <w:noProof/>
                <w:webHidden/>
              </w:rPr>
              <w:instrText xml:space="preserve"> PAGEREF _Toc220833789 \h </w:instrText>
            </w:r>
            <w:r w:rsidR="00046BF0">
              <w:rPr>
                <w:noProof/>
                <w:webHidden/>
              </w:rPr>
            </w:r>
            <w:r w:rsidR="00046BF0">
              <w:rPr>
                <w:noProof/>
                <w:webHidden/>
              </w:rPr>
              <w:fldChar w:fldCharType="separate"/>
            </w:r>
            <w:r w:rsidR="00046BF0">
              <w:rPr>
                <w:noProof/>
                <w:webHidden/>
              </w:rPr>
              <w:t>20</w:t>
            </w:r>
            <w:r w:rsidR="00046BF0">
              <w:rPr>
                <w:noProof/>
                <w:webHidden/>
              </w:rPr>
              <w:fldChar w:fldCharType="end"/>
            </w:r>
          </w:hyperlink>
        </w:p>
        <w:p w14:paraId="29EE4E2C" w14:textId="57DA580A"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0" w:history="1">
            <w:r w:rsidR="00046BF0" w:rsidRPr="00EA5B36">
              <w:rPr>
                <w:rStyle w:val="Hyperlink"/>
                <w:noProof/>
              </w:rPr>
              <w:t>2.4.3 Behavioural and Lifestyle Interventions</w:t>
            </w:r>
            <w:r w:rsidR="00046BF0">
              <w:rPr>
                <w:noProof/>
                <w:webHidden/>
              </w:rPr>
              <w:tab/>
            </w:r>
            <w:r w:rsidR="00046BF0">
              <w:rPr>
                <w:noProof/>
                <w:webHidden/>
              </w:rPr>
              <w:fldChar w:fldCharType="begin"/>
            </w:r>
            <w:r w:rsidR="00046BF0">
              <w:rPr>
                <w:noProof/>
                <w:webHidden/>
              </w:rPr>
              <w:instrText xml:space="preserve"> PAGEREF _Toc220833790 \h </w:instrText>
            </w:r>
            <w:r w:rsidR="00046BF0">
              <w:rPr>
                <w:noProof/>
                <w:webHidden/>
              </w:rPr>
            </w:r>
            <w:r w:rsidR="00046BF0">
              <w:rPr>
                <w:noProof/>
                <w:webHidden/>
              </w:rPr>
              <w:fldChar w:fldCharType="separate"/>
            </w:r>
            <w:r w:rsidR="00046BF0">
              <w:rPr>
                <w:noProof/>
                <w:webHidden/>
              </w:rPr>
              <w:t>21</w:t>
            </w:r>
            <w:r w:rsidR="00046BF0">
              <w:rPr>
                <w:noProof/>
                <w:webHidden/>
              </w:rPr>
              <w:fldChar w:fldCharType="end"/>
            </w:r>
          </w:hyperlink>
        </w:p>
        <w:p w14:paraId="3639A9DA" w14:textId="67960DBF"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1" w:history="1">
            <w:r w:rsidR="00046BF0" w:rsidRPr="00EA5B36">
              <w:rPr>
                <w:rStyle w:val="Hyperlink"/>
                <w:noProof/>
              </w:rPr>
              <w:t>2.4.4 Public Health Interventions</w:t>
            </w:r>
            <w:r w:rsidR="00046BF0">
              <w:rPr>
                <w:noProof/>
                <w:webHidden/>
              </w:rPr>
              <w:tab/>
            </w:r>
            <w:r w:rsidR="00046BF0">
              <w:rPr>
                <w:noProof/>
                <w:webHidden/>
              </w:rPr>
              <w:fldChar w:fldCharType="begin"/>
            </w:r>
            <w:r w:rsidR="00046BF0">
              <w:rPr>
                <w:noProof/>
                <w:webHidden/>
              </w:rPr>
              <w:instrText xml:space="preserve"> PAGEREF _Toc220833791 \h </w:instrText>
            </w:r>
            <w:r w:rsidR="00046BF0">
              <w:rPr>
                <w:noProof/>
                <w:webHidden/>
              </w:rPr>
            </w:r>
            <w:r w:rsidR="00046BF0">
              <w:rPr>
                <w:noProof/>
                <w:webHidden/>
              </w:rPr>
              <w:fldChar w:fldCharType="separate"/>
            </w:r>
            <w:r w:rsidR="00046BF0">
              <w:rPr>
                <w:noProof/>
                <w:webHidden/>
              </w:rPr>
              <w:t>22</w:t>
            </w:r>
            <w:r w:rsidR="00046BF0">
              <w:rPr>
                <w:noProof/>
                <w:webHidden/>
              </w:rPr>
              <w:fldChar w:fldCharType="end"/>
            </w:r>
          </w:hyperlink>
        </w:p>
        <w:p w14:paraId="5D35EF0E" w14:textId="72461891"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92" w:history="1">
            <w:r w:rsidR="00046BF0" w:rsidRPr="00EA5B36">
              <w:rPr>
                <w:rStyle w:val="Hyperlink"/>
                <w:noProof/>
              </w:rPr>
              <w:t>2.5 Critical Evaluation of the Literature</w:t>
            </w:r>
            <w:r w:rsidR="00046BF0">
              <w:rPr>
                <w:noProof/>
                <w:webHidden/>
              </w:rPr>
              <w:tab/>
            </w:r>
            <w:r w:rsidR="00046BF0">
              <w:rPr>
                <w:noProof/>
                <w:webHidden/>
              </w:rPr>
              <w:fldChar w:fldCharType="begin"/>
            </w:r>
            <w:r w:rsidR="00046BF0">
              <w:rPr>
                <w:noProof/>
                <w:webHidden/>
              </w:rPr>
              <w:instrText xml:space="preserve"> PAGEREF _Toc220833792 \h </w:instrText>
            </w:r>
            <w:r w:rsidR="00046BF0">
              <w:rPr>
                <w:noProof/>
                <w:webHidden/>
              </w:rPr>
            </w:r>
            <w:r w:rsidR="00046BF0">
              <w:rPr>
                <w:noProof/>
                <w:webHidden/>
              </w:rPr>
              <w:fldChar w:fldCharType="separate"/>
            </w:r>
            <w:r w:rsidR="00046BF0">
              <w:rPr>
                <w:noProof/>
                <w:webHidden/>
              </w:rPr>
              <w:t>22</w:t>
            </w:r>
            <w:r w:rsidR="00046BF0">
              <w:rPr>
                <w:noProof/>
                <w:webHidden/>
              </w:rPr>
              <w:fldChar w:fldCharType="end"/>
            </w:r>
          </w:hyperlink>
        </w:p>
        <w:p w14:paraId="7920C446" w14:textId="7ABC7D5D"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3" w:history="1">
            <w:r w:rsidR="00046BF0" w:rsidRPr="00EA5B36">
              <w:rPr>
                <w:rStyle w:val="Hyperlink"/>
                <w:noProof/>
              </w:rPr>
              <w:t>2.5.1 Inconsistencies and heterogeneity</w:t>
            </w:r>
            <w:r w:rsidR="00046BF0">
              <w:rPr>
                <w:noProof/>
                <w:webHidden/>
              </w:rPr>
              <w:tab/>
            </w:r>
            <w:r w:rsidR="00046BF0">
              <w:rPr>
                <w:noProof/>
                <w:webHidden/>
              </w:rPr>
              <w:fldChar w:fldCharType="begin"/>
            </w:r>
            <w:r w:rsidR="00046BF0">
              <w:rPr>
                <w:noProof/>
                <w:webHidden/>
              </w:rPr>
              <w:instrText xml:space="preserve"> PAGEREF _Toc220833793 \h </w:instrText>
            </w:r>
            <w:r w:rsidR="00046BF0">
              <w:rPr>
                <w:noProof/>
                <w:webHidden/>
              </w:rPr>
            </w:r>
            <w:r w:rsidR="00046BF0">
              <w:rPr>
                <w:noProof/>
                <w:webHidden/>
              </w:rPr>
              <w:fldChar w:fldCharType="separate"/>
            </w:r>
            <w:r w:rsidR="00046BF0">
              <w:rPr>
                <w:noProof/>
                <w:webHidden/>
              </w:rPr>
              <w:t>22</w:t>
            </w:r>
            <w:r w:rsidR="00046BF0">
              <w:rPr>
                <w:noProof/>
                <w:webHidden/>
              </w:rPr>
              <w:fldChar w:fldCharType="end"/>
            </w:r>
          </w:hyperlink>
        </w:p>
        <w:p w14:paraId="7916A99D" w14:textId="3D2CCEB0"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4" w:history="1">
            <w:r w:rsidR="00046BF0" w:rsidRPr="00EA5B36">
              <w:rPr>
                <w:rStyle w:val="Hyperlink"/>
                <w:noProof/>
              </w:rPr>
              <w:t>2.5.2 Gaps in modifiable risk-factor evidence</w:t>
            </w:r>
            <w:r w:rsidR="00046BF0">
              <w:rPr>
                <w:noProof/>
                <w:webHidden/>
              </w:rPr>
              <w:tab/>
            </w:r>
            <w:r w:rsidR="00046BF0">
              <w:rPr>
                <w:noProof/>
                <w:webHidden/>
              </w:rPr>
              <w:fldChar w:fldCharType="begin"/>
            </w:r>
            <w:r w:rsidR="00046BF0">
              <w:rPr>
                <w:noProof/>
                <w:webHidden/>
              </w:rPr>
              <w:instrText xml:space="preserve"> PAGEREF _Toc220833794 \h </w:instrText>
            </w:r>
            <w:r w:rsidR="00046BF0">
              <w:rPr>
                <w:noProof/>
                <w:webHidden/>
              </w:rPr>
            </w:r>
            <w:r w:rsidR="00046BF0">
              <w:rPr>
                <w:noProof/>
                <w:webHidden/>
              </w:rPr>
              <w:fldChar w:fldCharType="separate"/>
            </w:r>
            <w:r w:rsidR="00046BF0">
              <w:rPr>
                <w:noProof/>
                <w:webHidden/>
              </w:rPr>
              <w:t>23</w:t>
            </w:r>
            <w:r w:rsidR="00046BF0">
              <w:rPr>
                <w:noProof/>
                <w:webHidden/>
              </w:rPr>
              <w:fldChar w:fldCharType="end"/>
            </w:r>
          </w:hyperlink>
        </w:p>
        <w:p w14:paraId="7575D35C" w14:textId="1A12AC3C"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5" w:history="1">
            <w:r w:rsidR="00046BF0" w:rsidRPr="00EA5B36">
              <w:rPr>
                <w:rStyle w:val="Hyperlink"/>
                <w:noProof/>
              </w:rPr>
              <w:t>2.5.3 Geographic and implementation limitations</w:t>
            </w:r>
            <w:r w:rsidR="00046BF0">
              <w:rPr>
                <w:noProof/>
                <w:webHidden/>
              </w:rPr>
              <w:tab/>
            </w:r>
            <w:r w:rsidR="00046BF0">
              <w:rPr>
                <w:noProof/>
                <w:webHidden/>
              </w:rPr>
              <w:fldChar w:fldCharType="begin"/>
            </w:r>
            <w:r w:rsidR="00046BF0">
              <w:rPr>
                <w:noProof/>
                <w:webHidden/>
              </w:rPr>
              <w:instrText xml:space="preserve"> PAGEREF _Toc220833795 \h </w:instrText>
            </w:r>
            <w:r w:rsidR="00046BF0">
              <w:rPr>
                <w:noProof/>
                <w:webHidden/>
              </w:rPr>
            </w:r>
            <w:r w:rsidR="00046BF0">
              <w:rPr>
                <w:noProof/>
                <w:webHidden/>
              </w:rPr>
              <w:fldChar w:fldCharType="separate"/>
            </w:r>
            <w:r w:rsidR="00046BF0">
              <w:rPr>
                <w:noProof/>
                <w:webHidden/>
              </w:rPr>
              <w:t>23</w:t>
            </w:r>
            <w:r w:rsidR="00046BF0">
              <w:rPr>
                <w:noProof/>
                <w:webHidden/>
              </w:rPr>
              <w:fldChar w:fldCharType="end"/>
            </w:r>
          </w:hyperlink>
        </w:p>
        <w:p w14:paraId="443A5CD8" w14:textId="4050E330"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6" w:history="1">
            <w:r w:rsidR="00046BF0" w:rsidRPr="00EA5B36">
              <w:rPr>
                <w:rStyle w:val="Hyperlink"/>
                <w:noProof/>
              </w:rPr>
              <w:t>2.5.4 Lack of long-term, comparative data</w:t>
            </w:r>
            <w:r w:rsidR="00046BF0">
              <w:rPr>
                <w:noProof/>
                <w:webHidden/>
              </w:rPr>
              <w:tab/>
            </w:r>
            <w:r w:rsidR="00046BF0">
              <w:rPr>
                <w:noProof/>
                <w:webHidden/>
              </w:rPr>
              <w:fldChar w:fldCharType="begin"/>
            </w:r>
            <w:r w:rsidR="00046BF0">
              <w:rPr>
                <w:noProof/>
                <w:webHidden/>
              </w:rPr>
              <w:instrText xml:space="preserve"> PAGEREF _Toc220833796 \h </w:instrText>
            </w:r>
            <w:r w:rsidR="00046BF0">
              <w:rPr>
                <w:noProof/>
                <w:webHidden/>
              </w:rPr>
            </w:r>
            <w:r w:rsidR="00046BF0">
              <w:rPr>
                <w:noProof/>
                <w:webHidden/>
              </w:rPr>
              <w:fldChar w:fldCharType="separate"/>
            </w:r>
            <w:r w:rsidR="00046BF0">
              <w:rPr>
                <w:noProof/>
                <w:webHidden/>
              </w:rPr>
              <w:t>23</w:t>
            </w:r>
            <w:r w:rsidR="00046BF0">
              <w:rPr>
                <w:noProof/>
                <w:webHidden/>
              </w:rPr>
              <w:fldChar w:fldCharType="end"/>
            </w:r>
          </w:hyperlink>
        </w:p>
        <w:p w14:paraId="0E089E04" w14:textId="7E90B5AB"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7" w:history="1">
            <w:r w:rsidR="00046BF0" w:rsidRPr="00EA5B36">
              <w:rPr>
                <w:rStyle w:val="Hyperlink"/>
                <w:noProof/>
              </w:rPr>
              <w:t>2.5.5 Underrepresentation of social determinants</w:t>
            </w:r>
            <w:r w:rsidR="00046BF0">
              <w:rPr>
                <w:noProof/>
                <w:webHidden/>
              </w:rPr>
              <w:tab/>
            </w:r>
            <w:r w:rsidR="00046BF0">
              <w:rPr>
                <w:noProof/>
                <w:webHidden/>
              </w:rPr>
              <w:fldChar w:fldCharType="begin"/>
            </w:r>
            <w:r w:rsidR="00046BF0">
              <w:rPr>
                <w:noProof/>
                <w:webHidden/>
              </w:rPr>
              <w:instrText xml:space="preserve"> PAGEREF _Toc220833797 \h </w:instrText>
            </w:r>
            <w:r w:rsidR="00046BF0">
              <w:rPr>
                <w:noProof/>
                <w:webHidden/>
              </w:rPr>
            </w:r>
            <w:r w:rsidR="00046BF0">
              <w:rPr>
                <w:noProof/>
                <w:webHidden/>
              </w:rPr>
              <w:fldChar w:fldCharType="separate"/>
            </w:r>
            <w:r w:rsidR="00046BF0">
              <w:rPr>
                <w:noProof/>
                <w:webHidden/>
              </w:rPr>
              <w:t>23</w:t>
            </w:r>
            <w:r w:rsidR="00046BF0">
              <w:rPr>
                <w:noProof/>
                <w:webHidden/>
              </w:rPr>
              <w:fldChar w:fldCharType="end"/>
            </w:r>
          </w:hyperlink>
        </w:p>
        <w:p w14:paraId="7BA2C73B" w14:textId="74FAF511"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798" w:history="1">
            <w:r w:rsidR="00046BF0" w:rsidRPr="00EA5B36">
              <w:rPr>
                <w:rStyle w:val="Hyperlink"/>
                <w:noProof/>
              </w:rPr>
              <w:t>2.5.6 Methodological limitations</w:t>
            </w:r>
            <w:r w:rsidR="00046BF0">
              <w:rPr>
                <w:noProof/>
                <w:webHidden/>
              </w:rPr>
              <w:tab/>
            </w:r>
            <w:r w:rsidR="00046BF0">
              <w:rPr>
                <w:noProof/>
                <w:webHidden/>
              </w:rPr>
              <w:fldChar w:fldCharType="begin"/>
            </w:r>
            <w:r w:rsidR="00046BF0">
              <w:rPr>
                <w:noProof/>
                <w:webHidden/>
              </w:rPr>
              <w:instrText xml:space="preserve"> PAGEREF _Toc220833798 \h </w:instrText>
            </w:r>
            <w:r w:rsidR="00046BF0">
              <w:rPr>
                <w:noProof/>
                <w:webHidden/>
              </w:rPr>
            </w:r>
            <w:r w:rsidR="00046BF0">
              <w:rPr>
                <w:noProof/>
                <w:webHidden/>
              </w:rPr>
              <w:fldChar w:fldCharType="separate"/>
            </w:r>
            <w:r w:rsidR="00046BF0">
              <w:rPr>
                <w:noProof/>
                <w:webHidden/>
              </w:rPr>
              <w:t>23</w:t>
            </w:r>
            <w:r w:rsidR="00046BF0">
              <w:rPr>
                <w:noProof/>
                <w:webHidden/>
              </w:rPr>
              <w:fldChar w:fldCharType="end"/>
            </w:r>
          </w:hyperlink>
        </w:p>
        <w:p w14:paraId="2EC22316" w14:textId="297D33AC"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799" w:history="1">
            <w:r w:rsidR="00046BF0" w:rsidRPr="00EA5B36">
              <w:rPr>
                <w:rStyle w:val="Hyperlink"/>
                <w:noProof/>
              </w:rPr>
              <w:t>2.6 Theoretical Framework</w:t>
            </w:r>
            <w:r w:rsidR="00046BF0">
              <w:rPr>
                <w:noProof/>
                <w:webHidden/>
              </w:rPr>
              <w:tab/>
            </w:r>
            <w:r w:rsidR="00046BF0">
              <w:rPr>
                <w:noProof/>
                <w:webHidden/>
              </w:rPr>
              <w:fldChar w:fldCharType="begin"/>
            </w:r>
            <w:r w:rsidR="00046BF0">
              <w:rPr>
                <w:noProof/>
                <w:webHidden/>
              </w:rPr>
              <w:instrText xml:space="preserve"> PAGEREF _Toc220833799 \h </w:instrText>
            </w:r>
            <w:r w:rsidR="00046BF0">
              <w:rPr>
                <w:noProof/>
                <w:webHidden/>
              </w:rPr>
            </w:r>
            <w:r w:rsidR="00046BF0">
              <w:rPr>
                <w:noProof/>
                <w:webHidden/>
              </w:rPr>
              <w:fldChar w:fldCharType="separate"/>
            </w:r>
            <w:r w:rsidR="00046BF0">
              <w:rPr>
                <w:noProof/>
                <w:webHidden/>
              </w:rPr>
              <w:t>24</w:t>
            </w:r>
            <w:r w:rsidR="00046BF0">
              <w:rPr>
                <w:noProof/>
                <w:webHidden/>
              </w:rPr>
              <w:fldChar w:fldCharType="end"/>
            </w:r>
          </w:hyperlink>
        </w:p>
        <w:p w14:paraId="68C8D82F" w14:textId="43008AE2"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00" w:history="1">
            <w:r w:rsidR="00046BF0" w:rsidRPr="00EA5B36">
              <w:rPr>
                <w:rStyle w:val="Hyperlink"/>
                <w:noProof/>
              </w:rPr>
              <w:t>2.6.1 The Biopsychosocial Model</w:t>
            </w:r>
            <w:r w:rsidR="00046BF0">
              <w:rPr>
                <w:noProof/>
                <w:webHidden/>
              </w:rPr>
              <w:tab/>
            </w:r>
            <w:r w:rsidR="00046BF0">
              <w:rPr>
                <w:noProof/>
                <w:webHidden/>
              </w:rPr>
              <w:fldChar w:fldCharType="begin"/>
            </w:r>
            <w:r w:rsidR="00046BF0">
              <w:rPr>
                <w:noProof/>
                <w:webHidden/>
              </w:rPr>
              <w:instrText xml:space="preserve"> PAGEREF _Toc220833800 \h </w:instrText>
            </w:r>
            <w:r w:rsidR="00046BF0">
              <w:rPr>
                <w:noProof/>
                <w:webHidden/>
              </w:rPr>
            </w:r>
            <w:r w:rsidR="00046BF0">
              <w:rPr>
                <w:noProof/>
                <w:webHidden/>
              </w:rPr>
              <w:fldChar w:fldCharType="separate"/>
            </w:r>
            <w:r w:rsidR="00046BF0">
              <w:rPr>
                <w:noProof/>
                <w:webHidden/>
              </w:rPr>
              <w:t>24</w:t>
            </w:r>
            <w:r w:rsidR="00046BF0">
              <w:rPr>
                <w:noProof/>
                <w:webHidden/>
              </w:rPr>
              <w:fldChar w:fldCharType="end"/>
            </w:r>
          </w:hyperlink>
        </w:p>
        <w:p w14:paraId="7C1A7111" w14:textId="63CC8B43"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01" w:history="1">
            <w:r w:rsidR="00046BF0" w:rsidRPr="00EA5B36">
              <w:rPr>
                <w:rStyle w:val="Hyperlink"/>
                <w:noProof/>
              </w:rPr>
              <w:t>2.6.2 The Health Belief Model</w:t>
            </w:r>
            <w:r w:rsidR="00046BF0">
              <w:rPr>
                <w:noProof/>
                <w:webHidden/>
              </w:rPr>
              <w:tab/>
            </w:r>
            <w:r w:rsidR="00046BF0">
              <w:rPr>
                <w:noProof/>
                <w:webHidden/>
              </w:rPr>
              <w:fldChar w:fldCharType="begin"/>
            </w:r>
            <w:r w:rsidR="00046BF0">
              <w:rPr>
                <w:noProof/>
                <w:webHidden/>
              </w:rPr>
              <w:instrText xml:space="preserve"> PAGEREF _Toc220833801 \h </w:instrText>
            </w:r>
            <w:r w:rsidR="00046BF0">
              <w:rPr>
                <w:noProof/>
                <w:webHidden/>
              </w:rPr>
            </w:r>
            <w:r w:rsidR="00046BF0">
              <w:rPr>
                <w:noProof/>
                <w:webHidden/>
              </w:rPr>
              <w:fldChar w:fldCharType="separate"/>
            </w:r>
            <w:r w:rsidR="00046BF0">
              <w:rPr>
                <w:noProof/>
                <w:webHidden/>
              </w:rPr>
              <w:t>25</w:t>
            </w:r>
            <w:r w:rsidR="00046BF0">
              <w:rPr>
                <w:noProof/>
                <w:webHidden/>
              </w:rPr>
              <w:fldChar w:fldCharType="end"/>
            </w:r>
          </w:hyperlink>
        </w:p>
        <w:p w14:paraId="1D708BE5" w14:textId="6CED3C70"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02" w:history="1">
            <w:r w:rsidR="00046BF0" w:rsidRPr="00EA5B36">
              <w:rPr>
                <w:rStyle w:val="Hyperlink"/>
                <w:noProof/>
              </w:rPr>
              <w:t>2.6.3 The Ecological Model</w:t>
            </w:r>
            <w:r w:rsidR="00046BF0">
              <w:rPr>
                <w:noProof/>
                <w:webHidden/>
              </w:rPr>
              <w:tab/>
            </w:r>
            <w:r w:rsidR="00046BF0">
              <w:rPr>
                <w:noProof/>
                <w:webHidden/>
              </w:rPr>
              <w:fldChar w:fldCharType="begin"/>
            </w:r>
            <w:r w:rsidR="00046BF0">
              <w:rPr>
                <w:noProof/>
                <w:webHidden/>
              </w:rPr>
              <w:instrText xml:space="preserve"> PAGEREF _Toc220833802 \h </w:instrText>
            </w:r>
            <w:r w:rsidR="00046BF0">
              <w:rPr>
                <w:noProof/>
                <w:webHidden/>
              </w:rPr>
            </w:r>
            <w:r w:rsidR="00046BF0">
              <w:rPr>
                <w:noProof/>
                <w:webHidden/>
              </w:rPr>
              <w:fldChar w:fldCharType="separate"/>
            </w:r>
            <w:r w:rsidR="00046BF0">
              <w:rPr>
                <w:noProof/>
                <w:webHidden/>
              </w:rPr>
              <w:t>26</w:t>
            </w:r>
            <w:r w:rsidR="00046BF0">
              <w:rPr>
                <w:noProof/>
                <w:webHidden/>
              </w:rPr>
              <w:fldChar w:fldCharType="end"/>
            </w:r>
          </w:hyperlink>
        </w:p>
        <w:p w14:paraId="01B38745" w14:textId="4FC5260F"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03" w:history="1">
            <w:r w:rsidR="00046BF0" w:rsidRPr="00EA5B36">
              <w:rPr>
                <w:rStyle w:val="Hyperlink"/>
                <w:noProof/>
              </w:rPr>
              <w:t>2.7 Conceptual Framework</w:t>
            </w:r>
            <w:r w:rsidR="00046BF0">
              <w:rPr>
                <w:noProof/>
                <w:webHidden/>
              </w:rPr>
              <w:tab/>
            </w:r>
            <w:r w:rsidR="00046BF0">
              <w:rPr>
                <w:noProof/>
                <w:webHidden/>
              </w:rPr>
              <w:fldChar w:fldCharType="begin"/>
            </w:r>
            <w:r w:rsidR="00046BF0">
              <w:rPr>
                <w:noProof/>
                <w:webHidden/>
              </w:rPr>
              <w:instrText xml:space="preserve"> PAGEREF _Toc220833803 \h </w:instrText>
            </w:r>
            <w:r w:rsidR="00046BF0">
              <w:rPr>
                <w:noProof/>
                <w:webHidden/>
              </w:rPr>
            </w:r>
            <w:r w:rsidR="00046BF0">
              <w:rPr>
                <w:noProof/>
                <w:webHidden/>
              </w:rPr>
              <w:fldChar w:fldCharType="separate"/>
            </w:r>
            <w:r w:rsidR="00046BF0">
              <w:rPr>
                <w:noProof/>
                <w:webHidden/>
              </w:rPr>
              <w:t>27</w:t>
            </w:r>
            <w:r w:rsidR="00046BF0">
              <w:rPr>
                <w:noProof/>
                <w:webHidden/>
              </w:rPr>
              <w:fldChar w:fldCharType="end"/>
            </w:r>
          </w:hyperlink>
        </w:p>
        <w:p w14:paraId="5F590295" w14:textId="39A0CB56"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04" w:history="1">
            <w:r w:rsidR="00046BF0" w:rsidRPr="00EA5B36">
              <w:rPr>
                <w:rStyle w:val="Hyperlink"/>
                <w:noProof/>
              </w:rPr>
              <w:t>2.7.1 Purpose</w:t>
            </w:r>
            <w:r w:rsidR="00046BF0">
              <w:rPr>
                <w:noProof/>
                <w:webHidden/>
              </w:rPr>
              <w:tab/>
            </w:r>
            <w:r w:rsidR="00046BF0">
              <w:rPr>
                <w:noProof/>
                <w:webHidden/>
              </w:rPr>
              <w:fldChar w:fldCharType="begin"/>
            </w:r>
            <w:r w:rsidR="00046BF0">
              <w:rPr>
                <w:noProof/>
                <w:webHidden/>
              </w:rPr>
              <w:instrText xml:space="preserve"> PAGEREF _Toc220833804 \h </w:instrText>
            </w:r>
            <w:r w:rsidR="00046BF0">
              <w:rPr>
                <w:noProof/>
                <w:webHidden/>
              </w:rPr>
            </w:r>
            <w:r w:rsidR="00046BF0">
              <w:rPr>
                <w:noProof/>
                <w:webHidden/>
              </w:rPr>
              <w:fldChar w:fldCharType="separate"/>
            </w:r>
            <w:r w:rsidR="00046BF0">
              <w:rPr>
                <w:noProof/>
                <w:webHidden/>
              </w:rPr>
              <w:t>27</w:t>
            </w:r>
            <w:r w:rsidR="00046BF0">
              <w:rPr>
                <w:noProof/>
                <w:webHidden/>
              </w:rPr>
              <w:fldChar w:fldCharType="end"/>
            </w:r>
          </w:hyperlink>
        </w:p>
        <w:p w14:paraId="74C507E3" w14:textId="2D2BFF1B"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05" w:history="1">
            <w:r w:rsidR="00046BF0" w:rsidRPr="00EA5B36">
              <w:rPr>
                <w:rStyle w:val="Hyperlink"/>
                <w:noProof/>
                <w:lang w:val="en-US"/>
              </w:rPr>
              <w:t>2.7.2 Framework components and levels</w:t>
            </w:r>
            <w:r w:rsidR="00046BF0">
              <w:rPr>
                <w:noProof/>
                <w:webHidden/>
              </w:rPr>
              <w:tab/>
            </w:r>
            <w:r w:rsidR="00046BF0">
              <w:rPr>
                <w:noProof/>
                <w:webHidden/>
              </w:rPr>
              <w:fldChar w:fldCharType="begin"/>
            </w:r>
            <w:r w:rsidR="00046BF0">
              <w:rPr>
                <w:noProof/>
                <w:webHidden/>
              </w:rPr>
              <w:instrText xml:space="preserve"> PAGEREF _Toc220833805 \h </w:instrText>
            </w:r>
            <w:r w:rsidR="00046BF0">
              <w:rPr>
                <w:noProof/>
                <w:webHidden/>
              </w:rPr>
            </w:r>
            <w:r w:rsidR="00046BF0">
              <w:rPr>
                <w:noProof/>
                <w:webHidden/>
              </w:rPr>
              <w:fldChar w:fldCharType="separate"/>
            </w:r>
            <w:r w:rsidR="00046BF0">
              <w:rPr>
                <w:noProof/>
                <w:webHidden/>
              </w:rPr>
              <w:t>27</w:t>
            </w:r>
            <w:r w:rsidR="00046BF0">
              <w:rPr>
                <w:noProof/>
                <w:webHidden/>
              </w:rPr>
              <w:fldChar w:fldCharType="end"/>
            </w:r>
          </w:hyperlink>
        </w:p>
        <w:p w14:paraId="45CC86AD" w14:textId="2690B46B"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06" w:history="1">
            <w:r w:rsidR="00046BF0" w:rsidRPr="00EA5B36">
              <w:rPr>
                <w:rStyle w:val="Hyperlink"/>
                <w:noProof/>
                <w:lang w:val="en-US"/>
              </w:rPr>
              <w:t>2.7.3 Pathways to feedback loops</w:t>
            </w:r>
            <w:r w:rsidR="00046BF0">
              <w:rPr>
                <w:noProof/>
                <w:webHidden/>
              </w:rPr>
              <w:tab/>
            </w:r>
            <w:r w:rsidR="00046BF0">
              <w:rPr>
                <w:noProof/>
                <w:webHidden/>
              </w:rPr>
              <w:fldChar w:fldCharType="begin"/>
            </w:r>
            <w:r w:rsidR="00046BF0">
              <w:rPr>
                <w:noProof/>
                <w:webHidden/>
              </w:rPr>
              <w:instrText xml:space="preserve"> PAGEREF _Toc220833806 \h </w:instrText>
            </w:r>
            <w:r w:rsidR="00046BF0">
              <w:rPr>
                <w:noProof/>
                <w:webHidden/>
              </w:rPr>
            </w:r>
            <w:r w:rsidR="00046BF0">
              <w:rPr>
                <w:noProof/>
                <w:webHidden/>
              </w:rPr>
              <w:fldChar w:fldCharType="separate"/>
            </w:r>
            <w:r w:rsidR="00046BF0">
              <w:rPr>
                <w:noProof/>
                <w:webHidden/>
              </w:rPr>
              <w:t>28</w:t>
            </w:r>
            <w:r w:rsidR="00046BF0">
              <w:rPr>
                <w:noProof/>
                <w:webHidden/>
              </w:rPr>
              <w:fldChar w:fldCharType="end"/>
            </w:r>
          </w:hyperlink>
        </w:p>
        <w:p w14:paraId="52577463" w14:textId="23130F90"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07" w:history="1">
            <w:r w:rsidR="00046BF0" w:rsidRPr="00EA5B36">
              <w:rPr>
                <w:rStyle w:val="Hyperlink"/>
                <w:noProof/>
              </w:rPr>
              <w:t>2.8 Summary of the Literature Review</w:t>
            </w:r>
            <w:r w:rsidR="00046BF0">
              <w:rPr>
                <w:noProof/>
                <w:webHidden/>
              </w:rPr>
              <w:tab/>
            </w:r>
            <w:r w:rsidR="00046BF0">
              <w:rPr>
                <w:noProof/>
                <w:webHidden/>
              </w:rPr>
              <w:fldChar w:fldCharType="begin"/>
            </w:r>
            <w:r w:rsidR="00046BF0">
              <w:rPr>
                <w:noProof/>
                <w:webHidden/>
              </w:rPr>
              <w:instrText xml:space="preserve"> PAGEREF _Toc220833807 \h </w:instrText>
            </w:r>
            <w:r w:rsidR="00046BF0">
              <w:rPr>
                <w:noProof/>
                <w:webHidden/>
              </w:rPr>
            </w:r>
            <w:r w:rsidR="00046BF0">
              <w:rPr>
                <w:noProof/>
                <w:webHidden/>
              </w:rPr>
              <w:fldChar w:fldCharType="separate"/>
            </w:r>
            <w:r w:rsidR="00046BF0">
              <w:rPr>
                <w:noProof/>
                <w:webHidden/>
              </w:rPr>
              <w:t>29</w:t>
            </w:r>
            <w:r w:rsidR="00046BF0">
              <w:rPr>
                <w:noProof/>
                <w:webHidden/>
              </w:rPr>
              <w:fldChar w:fldCharType="end"/>
            </w:r>
          </w:hyperlink>
        </w:p>
        <w:p w14:paraId="0018D622" w14:textId="5E239BA9" w:rsidR="00046BF0" w:rsidRDefault="00410B6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0833808" w:history="1">
            <w:r w:rsidR="00046BF0" w:rsidRPr="00EA5B36">
              <w:rPr>
                <w:rStyle w:val="Hyperlink"/>
                <w:noProof/>
              </w:rPr>
              <w:t>CHAPTER 3: METHODOLOGY</w:t>
            </w:r>
            <w:r w:rsidR="00046BF0">
              <w:rPr>
                <w:noProof/>
                <w:webHidden/>
              </w:rPr>
              <w:tab/>
            </w:r>
            <w:r w:rsidR="00046BF0">
              <w:rPr>
                <w:noProof/>
                <w:webHidden/>
              </w:rPr>
              <w:fldChar w:fldCharType="begin"/>
            </w:r>
            <w:r w:rsidR="00046BF0">
              <w:rPr>
                <w:noProof/>
                <w:webHidden/>
              </w:rPr>
              <w:instrText xml:space="preserve"> PAGEREF _Toc220833808 \h </w:instrText>
            </w:r>
            <w:r w:rsidR="00046BF0">
              <w:rPr>
                <w:noProof/>
                <w:webHidden/>
              </w:rPr>
            </w:r>
            <w:r w:rsidR="00046BF0">
              <w:rPr>
                <w:noProof/>
                <w:webHidden/>
              </w:rPr>
              <w:fldChar w:fldCharType="separate"/>
            </w:r>
            <w:r w:rsidR="00046BF0">
              <w:rPr>
                <w:noProof/>
                <w:webHidden/>
              </w:rPr>
              <w:t>29</w:t>
            </w:r>
            <w:r w:rsidR="00046BF0">
              <w:rPr>
                <w:noProof/>
                <w:webHidden/>
              </w:rPr>
              <w:fldChar w:fldCharType="end"/>
            </w:r>
          </w:hyperlink>
        </w:p>
        <w:p w14:paraId="53DB737F" w14:textId="7CA6A8B7"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09" w:history="1">
            <w:r w:rsidR="00046BF0" w:rsidRPr="00EA5B36">
              <w:rPr>
                <w:rStyle w:val="Hyperlink"/>
                <w:noProof/>
              </w:rPr>
              <w:t>3.1 Introduction to the Methodology</w:t>
            </w:r>
            <w:r w:rsidR="00046BF0">
              <w:rPr>
                <w:noProof/>
                <w:webHidden/>
              </w:rPr>
              <w:tab/>
            </w:r>
            <w:r w:rsidR="00046BF0">
              <w:rPr>
                <w:noProof/>
                <w:webHidden/>
              </w:rPr>
              <w:fldChar w:fldCharType="begin"/>
            </w:r>
            <w:r w:rsidR="00046BF0">
              <w:rPr>
                <w:noProof/>
                <w:webHidden/>
              </w:rPr>
              <w:instrText xml:space="preserve"> PAGEREF _Toc220833809 \h </w:instrText>
            </w:r>
            <w:r w:rsidR="00046BF0">
              <w:rPr>
                <w:noProof/>
                <w:webHidden/>
              </w:rPr>
            </w:r>
            <w:r w:rsidR="00046BF0">
              <w:rPr>
                <w:noProof/>
                <w:webHidden/>
              </w:rPr>
              <w:fldChar w:fldCharType="separate"/>
            </w:r>
            <w:r w:rsidR="00046BF0">
              <w:rPr>
                <w:noProof/>
                <w:webHidden/>
              </w:rPr>
              <w:t>29</w:t>
            </w:r>
            <w:r w:rsidR="00046BF0">
              <w:rPr>
                <w:noProof/>
                <w:webHidden/>
              </w:rPr>
              <w:fldChar w:fldCharType="end"/>
            </w:r>
          </w:hyperlink>
        </w:p>
        <w:p w14:paraId="24EAC23B" w14:textId="365EF653"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10" w:history="1">
            <w:r w:rsidR="00046BF0" w:rsidRPr="00EA5B36">
              <w:rPr>
                <w:rStyle w:val="Hyperlink"/>
                <w:noProof/>
              </w:rPr>
              <w:t>3.2 Research Design</w:t>
            </w:r>
            <w:r w:rsidR="00046BF0">
              <w:rPr>
                <w:noProof/>
                <w:webHidden/>
              </w:rPr>
              <w:tab/>
            </w:r>
            <w:r w:rsidR="00046BF0">
              <w:rPr>
                <w:noProof/>
                <w:webHidden/>
              </w:rPr>
              <w:fldChar w:fldCharType="begin"/>
            </w:r>
            <w:r w:rsidR="00046BF0">
              <w:rPr>
                <w:noProof/>
                <w:webHidden/>
              </w:rPr>
              <w:instrText xml:space="preserve"> PAGEREF _Toc220833810 \h </w:instrText>
            </w:r>
            <w:r w:rsidR="00046BF0">
              <w:rPr>
                <w:noProof/>
                <w:webHidden/>
              </w:rPr>
            </w:r>
            <w:r w:rsidR="00046BF0">
              <w:rPr>
                <w:noProof/>
                <w:webHidden/>
              </w:rPr>
              <w:fldChar w:fldCharType="separate"/>
            </w:r>
            <w:r w:rsidR="00046BF0">
              <w:rPr>
                <w:noProof/>
                <w:webHidden/>
              </w:rPr>
              <w:t>30</w:t>
            </w:r>
            <w:r w:rsidR="00046BF0">
              <w:rPr>
                <w:noProof/>
                <w:webHidden/>
              </w:rPr>
              <w:fldChar w:fldCharType="end"/>
            </w:r>
          </w:hyperlink>
        </w:p>
        <w:p w14:paraId="5D2A128B" w14:textId="0896C1C5"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11" w:history="1">
            <w:r w:rsidR="00046BF0" w:rsidRPr="00EA5B36">
              <w:rPr>
                <w:rStyle w:val="Hyperlink"/>
                <w:noProof/>
              </w:rPr>
              <w:t>3.3 Review Protocol and Registration</w:t>
            </w:r>
            <w:r w:rsidR="00046BF0">
              <w:rPr>
                <w:noProof/>
                <w:webHidden/>
              </w:rPr>
              <w:tab/>
            </w:r>
            <w:r w:rsidR="00046BF0">
              <w:rPr>
                <w:noProof/>
                <w:webHidden/>
              </w:rPr>
              <w:fldChar w:fldCharType="begin"/>
            </w:r>
            <w:r w:rsidR="00046BF0">
              <w:rPr>
                <w:noProof/>
                <w:webHidden/>
              </w:rPr>
              <w:instrText xml:space="preserve"> PAGEREF _Toc220833811 \h </w:instrText>
            </w:r>
            <w:r w:rsidR="00046BF0">
              <w:rPr>
                <w:noProof/>
                <w:webHidden/>
              </w:rPr>
            </w:r>
            <w:r w:rsidR="00046BF0">
              <w:rPr>
                <w:noProof/>
                <w:webHidden/>
              </w:rPr>
              <w:fldChar w:fldCharType="separate"/>
            </w:r>
            <w:r w:rsidR="00046BF0">
              <w:rPr>
                <w:noProof/>
                <w:webHidden/>
              </w:rPr>
              <w:t>30</w:t>
            </w:r>
            <w:r w:rsidR="00046BF0">
              <w:rPr>
                <w:noProof/>
                <w:webHidden/>
              </w:rPr>
              <w:fldChar w:fldCharType="end"/>
            </w:r>
          </w:hyperlink>
        </w:p>
        <w:p w14:paraId="321658C8" w14:textId="495962C9"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12" w:history="1">
            <w:r w:rsidR="00046BF0" w:rsidRPr="00EA5B36">
              <w:rPr>
                <w:rStyle w:val="Hyperlink"/>
                <w:noProof/>
              </w:rPr>
              <w:t>3.4 Eligibility Criteria</w:t>
            </w:r>
            <w:r w:rsidR="00046BF0">
              <w:rPr>
                <w:noProof/>
                <w:webHidden/>
              </w:rPr>
              <w:tab/>
            </w:r>
            <w:r w:rsidR="00046BF0">
              <w:rPr>
                <w:noProof/>
                <w:webHidden/>
              </w:rPr>
              <w:fldChar w:fldCharType="begin"/>
            </w:r>
            <w:r w:rsidR="00046BF0">
              <w:rPr>
                <w:noProof/>
                <w:webHidden/>
              </w:rPr>
              <w:instrText xml:space="preserve"> PAGEREF _Toc220833812 \h </w:instrText>
            </w:r>
            <w:r w:rsidR="00046BF0">
              <w:rPr>
                <w:noProof/>
                <w:webHidden/>
              </w:rPr>
            </w:r>
            <w:r w:rsidR="00046BF0">
              <w:rPr>
                <w:noProof/>
                <w:webHidden/>
              </w:rPr>
              <w:fldChar w:fldCharType="separate"/>
            </w:r>
            <w:r w:rsidR="00046BF0">
              <w:rPr>
                <w:noProof/>
                <w:webHidden/>
              </w:rPr>
              <w:t>31</w:t>
            </w:r>
            <w:r w:rsidR="00046BF0">
              <w:rPr>
                <w:noProof/>
                <w:webHidden/>
              </w:rPr>
              <w:fldChar w:fldCharType="end"/>
            </w:r>
          </w:hyperlink>
        </w:p>
        <w:p w14:paraId="1E58B4EB" w14:textId="0EE23F6C"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13" w:history="1">
            <w:r w:rsidR="00046BF0" w:rsidRPr="00EA5B36">
              <w:rPr>
                <w:rStyle w:val="Hyperlink"/>
                <w:noProof/>
              </w:rPr>
              <w:t>3.5 Data Sources</w:t>
            </w:r>
            <w:r w:rsidR="00046BF0">
              <w:rPr>
                <w:noProof/>
                <w:webHidden/>
              </w:rPr>
              <w:tab/>
            </w:r>
            <w:r w:rsidR="00046BF0">
              <w:rPr>
                <w:noProof/>
                <w:webHidden/>
              </w:rPr>
              <w:fldChar w:fldCharType="begin"/>
            </w:r>
            <w:r w:rsidR="00046BF0">
              <w:rPr>
                <w:noProof/>
                <w:webHidden/>
              </w:rPr>
              <w:instrText xml:space="preserve"> PAGEREF _Toc220833813 \h </w:instrText>
            </w:r>
            <w:r w:rsidR="00046BF0">
              <w:rPr>
                <w:noProof/>
                <w:webHidden/>
              </w:rPr>
            </w:r>
            <w:r w:rsidR="00046BF0">
              <w:rPr>
                <w:noProof/>
                <w:webHidden/>
              </w:rPr>
              <w:fldChar w:fldCharType="separate"/>
            </w:r>
            <w:r w:rsidR="00046BF0">
              <w:rPr>
                <w:noProof/>
                <w:webHidden/>
              </w:rPr>
              <w:t>31</w:t>
            </w:r>
            <w:r w:rsidR="00046BF0">
              <w:rPr>
                <w:noProof/>
                <w:webHidden/>
              </w:rPr>
              <w:fldChar w:fldCharType="end"/>
            </w:r>
          </w:hyperlink>
        </w:p>
        <w:p w14:paraId="4C21610E" w14:textId="78ABD987"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14" w:history="1">
            <w:r w:rsidR="00046BF0" w:rsidRPr="00EA5B36">
              <w:rPr>
                <w:rStyle w:val="Hyperlink"/>
                <w:noProof/>
              </w:rPr>
              <w:t>3.6 Search Strategy</w:t>
            </w:r>
            <w:r w:rsidR="00046BF0">
              <w:rPr>
                <w:noProof/>
                <w:webHidden/>
              </w:rPr>
              <w:tab/>
            </w:r>
            <w:r w:rsidR="00046BF0">
              <w:rPr>
                <w:noProof/>
                <w:webHidden/>
              </w:rPr>
              <w:fldChar w:fldCharType="begin"/>
            </w:r>
            <w:r w:rsidR="00046BF0">
              <w:rPr>
                <w:noProof/>
                <w:webHidden/>
              </w:rPr>
              <w:instrText xml:space="preserve"> PAGEREF _Toc220833814 \h </w:instrText>
            </w:r>
            <w:r w:rsidR="00046BF0">
              <w:rPr>
                <w:noProof/>
                <w:webHidden/>
              </w:rPr>
            </w:r>
            <w:r w:rsidR="00046BF0">
              <w:rPr>
                <w:noProof/>
                <w:webHidden/>
              </w:rPr>
              <w:fldChar w:fldCharType="separate"/>
            </w:r>
            <w:r w:rsidR="00046BF0">
              <w:rPr>
                <w:noProof/>
                <w:webHidden/>
              </w:rPr>
              <w:t>33</w:t>
            </w:r>
            <w:r w:rsidR="00046BF0">
              <w:rPr>
                <w:noProof/>
                <w:webHidden/>
              </w:rPr>
              <w:fldChar w:fldCharType="end"/>
            </w:r>
          </w:hyperlink>
        </w:p>
        <w:p w14:paraId="37952D14" w14:textId="66194027"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15" w:history="1">
            <w:r w:rsidR="00046BF0" w:rsidRPr="00EA5B36">
              <w:rPr>
                <w:rStyle w:val="Hyperlink"/>
                <w:noProof/>
              </w:rPr>
              <w:t>3.6.1 Search blocks and vocabulary usage</w:t>
            </w:r>
            <w:r w:rsidR="00046BF0">
              <w:rPr>
                <w:noProof/>
                <w:webHidden/>
              </w:rPr>
              <w:tab/>
            </w:r>
            <w:r w:rsidR="00046BF0">
              <w:rPr>
                <w:noProof/>
                <w:webHidden/>
              </w:rPr>
              <w:fldChar w:fldCharType="begin"/>
            </w:r>
            <w:r w:rsidR="00046BF0">
              <w:rPr>
                <w:noProof/>
                <w:webHidden/>
              </w:rPr>
              <w:instrText xml:space="preserve"> PAGEREF _Toc220833815 \h </w:instrText>
            </w:r>
            <w:r w:rsidR="00046BF0">
              <w:rPr>
                <w:noProof/>
                <w:webHidden/>
              </w:rPr>
            </w:r>
            <w:r w:rsidR="00046BF0">
              <w:rPr>
                <w:noProof/>
                <w:webHidden/>
              </w:rPr>
              <w:fldChar w:fldCharType="separate"/>
            </w:r>
            <w:r w:rsidR="00046BF0">
              <w:rPr>
                <w:noProof/>
                <w:webHidden/>
              </w:rPr>
              <w:t>33</w:t>
            </w:r>
            <w:r w:rsidR="00046BF0">
              <w:rPr>
                <w:noProof/>
                <w:webHidden/>
              </w:rPr>
              <w:fldChar w:fldCharType="end"/>
            </w:r>
          </w:hyperlink>
        </w:p>
        <w:p w14:paraId="70EF2DAE" w14:textId="4AFFC738"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16" w:history="1">
            <w:r w:rsidR="00046BF0" w:rsidRPr="00EA5B36">
              <w:rPr>
                <w:rStyle w:val="Hyperlink"/>
                <w:noProof/>
                <w:lang w:val="en-US"/>
              </w:rPr>
              <w:t>3.6.2 Examples of search string</w:t>
            </w:r>
            <w:r w:rsidR="00046BF0">
              <w:rPr>
                <w:noProof/>
                <w:webHidden/>
              </w:rPr>
              <w:tab/>
            </w:r>
            <w:r w:rsidR="00046BF0">
              <w:rPr>
                <w:noProof/>
                <w:webHidden/>
              </w:rPr>
              <w:fldChar w:fldCharType="begin"/>
            </w:r>
            <w:r w:rsidR="00046BF0">
              <w:rPr>
                <w:noProof/>
                <w:webHidden/>
              </w:rPr>
              <w:instrText xml:space="preserve"> PAGEREF _Toc220833816 \h </w:instrText>
            </w:r>
            <w:r w:rsidR="00046BF0">
              <w:rPr>
                <w:noProof/>
                <w:webHidden/>
              </w:rPr>
            </w:r>
            <w:r w:rsidR="00046BF0">
              <w:rPr>
                <w:noProof/>
                <w:webHidden/>
              </w:rPr>
              <w:fldChar w:fldCharType="separate"/>
            </w:r>
            <w:r w:rsidR="00046BF0">
              <w:rPr>
                <w:noProof/>
                <w:webHidden/>
              </w:rPr>
              <w:t>34</w:t>
            </w:r>
            <w:r w:rsidR="00046BF0">
              <w:rPr>
                <w:noProof/>
                <w:webHidden/>
              </w:rPr>
              <w:fldChar w:fldCharType="end"/>
            </w:r>
          </w:hyperlink>
        </w:p>
        <w:p w14:paraId="22B86F1D" w14:textId="49E32B93"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17" w:history="1">
            <w:r w:rsidR="00046BF0" w:rsidRPr="00EA5B36">
              <w:rPr>
                <w:rStyle w:val="Hyperlink"/>
                <w:noProof/>
                <w:lang w:val="en-US"/>
              </w:rPr>
              <w:t xml:space="preserve">3.6.3 </w:t>
            </w:r>
            <w:r w:rsidR="00046BF0" w:rsidRPr="00EA5B36">
              <w:rPr>
                <w:rStyle w:val="Hyperlink"/>
                <w:noProof/>
              </w:rPr>
              <w:t>Grey literature and supplementary searching</w:t>
            </w:r>
            <w:r w:rsidR="00046BF0">
              <w:rPr>
                <w:noProof/>
                <w:webHidden/>
              </w:rPr>
              <w:tab/>
            </w:r>
            <w:r w:rsidR="00046BF0">
              <w:rPr>
                <w:noProof/>
                <w:webHidden/>
              </w:rPr>
              <w:fldChar w:fldCharType="begin"/>
            </w:r>
            <w:r w:rsidR="00046BF0">
              <w:rPr>
                <w:noProof/>
                <w:webHidden/>
              </w:rPr>
              <w:instrText xml:space="preserve"> PAGEREF _Toc220833817 \h </w:instrText>
            </w:r>
            <w:r w:rsidR="00046BF0">
              <w:rPr>
                <w:noProof/>
                <w:webHidden/>
              </w:rPr>
            </w:r>
            <w:r w:rsidR="00046BF0">
              <w:rPr>
                <w:noProof/>
                <w:webHidden/>
              </w:rPr>
              <w:fldChar w:fldCharType="separate"/>
            </w:r>
            <w:r w:rsidR="00046BF0">
              <w:rPr>
                <w:noProof/>
                <w:webHidden/>
              </w:rPr>
              <w:t>34</w:t>
            </w:r>
            <w:r w:rsidR="00046BF0">
              <w:rPr>
                <w:noProof/>
                <w:webHidden/>
              </w:rPr>
              <w:fldChar w:fldCharType="end"/>
            </w:r>
          </w:hyperlink>
        </w:p>
        <w:p w14:paraId="188B6B9A" w14:textId="7423D21B"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18" w:history="1">
            <w:r w:rsidR="00046BF0" w:rsidRPr="00EA5B36">
              <w:rPr>
                <w:rStyle w:val="Hyperlink"/>
                <w:noProof/>
              </w:rPr>
              <w:t>3.7 Study Selection Process</w:t>
            </w:r>
            <w:r w:rsidR="00046BF0">
              <w:rPr>
                <w:noProof/>
                <w:webHidden/>
              </w:rPr>
              <w:tab/>
            </w:r>
            <w:r w:rsidR="00046BF0">
              <w:rPr>
                <w:noProof/>
                <w:webHidden/>
              </w:rPr>
              <w:fldChar w:fldCharType="begin"/>
            </w:r>
            <w:r w:rsidR="00046BF0">
              <w:rPr>
                <w:noProof/>
                <w:webHidden/>
              </w:rPr>
              <w:instrText xml:space="preserve"> PAGEREF _Toc220833818 \h </w:instrText>
            </w:r>
            <w:r w:rsidR="00046BF0">
              <w:rPr>
                <w:noProof/>
                <w:webHidden/>
              </w:rPr>
            </w:r>
            <w:r w:rsidR="00046BF0">
              <w:rPr>
                <w:noProof/>
                <w:webHidden/>
              </w:rPr>
              <w:fldChar w:fldCharType="separate"/>
            </w:r>
            <w:r w:rsidR="00046BF0">
              <w:rPr>
                <w:noProof/>
                <w:webHidden/>
              </w:rPr>
              <w:t>35</w:t>
            </w:r>
            <w:r w:rsidR="00046BF0">
              <w:rPr>
                <w:noProof/>
                <w:webHidden/>
              </w:rPr>
              <w:fldChar w:fldCharType="end"/>
            </w:r>
          </w:hyperlink>
        </w:p>
        <w:p w14:paraId="37ABB209" w14:textId="45F19CB4"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19" w:history="1">
            <w:r w:rsidR="00046BF0" w:rsidRPr="00EA5B36">
              <w:rPr>
                <w:rStyle w:val="Hyperlink"/>
                <w:noProof/>
              </w:rPr>
              <w:t>3.7.1 Screening workflow</w:t>
            </w:r>
            <w:r w:rsidR="00046BF0">
              <w:rPr>
                <w:noProof/>
                <w:webHidden/>
              </w:rPr>
              <w:tab/>
            </w:r>
            <w:r w:rsidR="00046BF0">
              <w:rPr>
                <w:noProof/>
                <w:webHidden/>
              </w:rPr>
              <w:fldChar w:fldCharType="begin"/>
            </w:r>
            <w:r w:rsidR="00046BF0">
              <w:rPr>
                <w:noProof/>
                <w:webHidden/>
              </w:rPr>
              <w:instrText xml:space="preserve"> PAGEREF _Toc220833819 \h </w:instrText>
            </w:r>
            <w:r w:rsidR="00046BF0">
              <w:rPr>
                <w:noProof/>
                <w:webHidden/>
              </w:rPr>
            </w:r>
            <w:r w:rsidR="00046BF0">
              <w:rPr>
                <w:noProof/>
                <w:webHidden/>
              </w:rPr>
              <w:fldChar w:fldCharType="separate"/>
            </w:r>
            <w:r w:rsidR="00046BF0">
              <w:rPr>
                <w:noProof/>
                <w:webHidden/>
              </w:rPr>
              <w:t>35</w:t>
            </w:r>
            <w:r w:rsidR="00046BF0">
              <w:rPr>
                <w:noProof/>
                <w:webHidden/>
              </w:rPr>
              <w:fldChar w:fldCharType="end"/>
            </w:r>
          </w:hyperlink>
        </w:p>
        <w:p w14:paraId="50D9DADC" w14:textId="0EC20300"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20" w:history="1">
            <w:r w:rsidR="00046BF0" w:rsidRPr="00EA5B36">
              <w:rPr>
                <w:rStyle w:val="Hyperlink"/>
                <w:noProof/>
                <w:lang w:val="en-US"/>
              </w:rPr>
              <w:t xml:space="preserve">3.7.2 </w:t>
            </w:r>
            <w:r w:rsidR="00046BF0" w:rsidRPr="00EA5B36">
              <w:rPr>
                <w:rStyle w:val="Hyperlink"/>
                <w:noProof/>
              </w:rPr>
              <w:t>PRISMA flow diagram overview</w:t>
            </w:r>
            <w:r w:rsidR="00046BF0">
              <w:rPr>
                <w:noProof/>
                <w:webHidden/>
              </w:rPr>
              <w:tab/>
            </w:r>
            <w:r w:rsidR="00046BF0">
              <w:rPr>
                <w:noProof/>
                <w:webHidden/>
              </w:rPr>
              <w:fldChar w:fldCharType="begin"/>
            </w:r>
            <w:r w:rsidR="00046BF0">
              <w:rPr>
                <w:noProof/>
                <w:webHidden/>
              </w:rPr>
              <w:instrText xml:space="preserve"> PAGEREF _Toc220833820 \h </w:instrText>
            </w:r>
            <w:r w:rsidR="00046BF0">
              <w:rPr>
                <w:noProof/>
                <w:webHidden/>
              </w:rPr>
            </w:r>
            <w:r w:rsidR="00046BF0">
              <w:rPr>
                <w:noProof/>
                <w:webHidden/>
              </w:rPr>
              <w:fldChar w:fldCharType="separate"/>
            </w:r>
            <w:r w:rsidR="00046BF0">
              <w:rPr>
                <w:noProof/>
                <w:webHidden/>
              </w:rPr>
              <w:t>35</w:t>
            </w:r>
            <w:r w:rsidR="00046BF0">
              <w:rPr>
                <w:noProof/>
                <w:webHidden/>
              </w:rPr>
              <w:fldChar w:fldCharType="end"/>
            </w:r>
          </w:hyperlink>
        </w:p>
        <w:p w14:paraId="50AE10B9" w14:textId="60DC5BDC"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21" w:history="1">
            <w:r w:rsidR="00046BF0" w:rsidRPr="00EA5B36">
              <w:rPr>
                <w:rStyle w:val="Hyperlink"/>
                <w:noProof/>
                <w:lang w:val="en-US"/>
              </w:rPr>
              <w:t xml:space="preserve">3.7.3 </w:t>
            </w:r>
            <w:r w:rsidR="00046BF0" w:rsidRPr="00EA5B36">
              <w:rPr>
                <w:rStyle w:val="Hyperlink"/>
                <w:noProof/>
              </w:rPr>
              <w:t>Inclusion/exclusion decision</w:t>
            </w:r>
            <w:r w:rsidR="00046BF0">
              <w:rPr>
                <w:noProof/>
                <w:webHidden/>
              </w:rPr>
              <w:tab/>
            </w:r>
            <w:r w:rsidR="00046BF0">
              <w:rPr>
                <w:noProof/>
                <w:webHidden/>
              </w:rPr>
              <w:fldChar w:fldCharType="begin"/>
            </w:r>
            <w:r w:rsidR="00046BF0">
              <w:rPr>
                <w:noProof/>
                <w:webHidden/>
              </w:rPr>
              <w:instrText xml:space="preserve"> PAGEREF _Toc220833821 \h </w:instrText>
            </w:r>
            <w:r w:rsidR="00046BF0">
              <w:rPr>
                <w:noProof/>
                <w:webHidden/>
              </w:rPr>
            </w:r>
            <w:r w:rsidR="00046BF0">
              <w:rPr>
                <w:noProof/>
                <w:webHidden/>
              </w:rPr>
              <w:fldChar w:fldCharType="separate"/>
            </w:r>
            <w:r w:rsidR="00046BF0">
              <w:rPr>
                <w:noProof/>
                <w:webHidden/>
              </w:rPr>
              <w:t>36</w:t>
            </w:r>
            <w:r w:rsidR="00046BF0">
              <w:rPr>
                <w:noProof/>
                <w:webHidden/>
              </w:rPr>
              <w:fldChar w:fldCharType="end"/>
            </w:r>
          </w:hyperlink>
        </w:p>
        <w:p w14:paraId="40C46B23" w14:textId="6E17D02F"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22" w:history="1">
            <w:r w:rsidR="00046BF0" w:rsidRPr="00EA5B36">
              <w:rPr>
                <w:rStyle w:val="Hyperlink"/>
                <w:noProof/>
              </w:rPr>
              <w:t>3.8 Data Extraction and Management</w:t>
            </w:r>
            <w:r w:rsidR="00046BF0">
              <w:rPr>
                <w:noProof/>
                <w:webHidden/>
              </w:rPr>
              <w:tab/>
            </w:r>
            <w:r w:rsidR="00046BF0">
              <w:rPr>
                <w:noProof/>
                <w:webHidden/>
              </w:rPr>
              <w:fldChar w:fldCharType="begin"/>
            </w:r>
            <w:r w:rsidR="00046BF0">
              <w:rPr>
                <w:noProof/>
                <w:webHidden/>
              </w:rPr>
              <w:instrText xml:space="preserve"> PAGEREF _Toc220833822 \h </w:instrText>
            </w:r>
            <w:r w:rsidR="00046BF0">
              <w:rPr>
                <w:noProof/>
                <w:webHidden/>
              </w:rPr>
            </w:r>
            <w:r w:rsidR="00046BF0">
              <w:rPr>
                <w:noProof/>
                <w:webHidden/>
              </w:rPr>
              <w:fldChar w:fldCharType="separate"/>
            </w:r>
            <w:r w:rsidR="00046BF0">
              <w:rPr>
                <w:noProof/>
                <w:webHidden/>
              </w:rPr>
              <w:t>37</w:t>
            </w:r>
            <w:r w:rsidR="00046BF0">
              <w:rPr>
                <w:noProof/>
                <w:webHidden/>
              </w:rPr>
              <w:fldChar w:fldCharType="end"/>
            </w:r>
          </w:hyperlink>
        </w:p>
        <w:p w14:paraId="4A4F0710" w14:textId="1DA04E66"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23" w:history="1">
            <w:r w:rsidR="00046BF0" w:rsidRPr="00EA5B36">
              <w:rPr>
                <w:rStyle w:val="Hyperlink"/>
                <w:noProof/>
              </w:rPr>
              <w:t>3.9 Quality Appraisal and Risk of Bias Assessment</w:t>
            </w:r>
            <w:r w:rsidR="00046BF0">
              <w:rPr>
                <w:noProof/>
                <w:webHidden/>
              </w:rPr>
              <w:tab/>
            </w:r>
            <w:r w:rsidR="00046BF0">
              <w:rPr>
                <w:noProof/>
                <w:webHidden/>
              </w:rPr>
              <w:fldChar w:fldCharType="begin"/>
            </w:r>
            <w:r w:rsidR="00046BF0">
              <w:rPr>
                <w:noProof/>
                <w:webHidden/>
              </w:rPr>
              <w:instrText xml:space="preserve"> PAGEREF _Toc220833823 \h </w:instrText>
            </w:r>
            <w:r w:rsidR="00046BF0">
              <w:rPr>
                <w:noProof/>
                <w:webHidden/>
              </w:rPr>
            </w:r>
            <w:r w:rsidR="00046BF0">
              <w:rPr>
                <w:noProof/>
                <w:webHidden/>
              </w:rPr>
              <w:fldChar w:fldCharType="separate"/>
            </w:r>
            <w:r w:rsidR="00046BF0">
              <w:rPr>
                <w:noProof/>
                <w:webHidden/>
              </w:rPr>
              <w:t>38</w:t>
            </w:r>
            <w:r w:rsidR="00046BF0">
              <w:rPr>
                <w:noProof/>
                <w:webHidden/>
              </w:rPr>
              <w:fldChar w:fldCharType="end"/>
            </w:r>
          </w:hyperlink>
        </w:p>
        <w:p w14:paraId="54CED97D" w14:textId="6B54CF7F"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24" w:history="1">
            <w:r w:rsidR="00046BF0" w:rsidRPr="00EA5B36">
              <w:rPr>
                <w:rStyle w:val="Hyperlink"/>
                <w:noProof/>
              </w:rPr>
              <w:t>3.10 Data Synthesis and Analysis</w:t>
            </w:r>
            <w:r w:rsidR="00046BF0">
              <w:rPr>
                <w:noProof/>
                <w:webHidden/>
              </w:rPr>
              <w:tab/>
            </w:r>
            <w:r w:rsidR="00046BF0">
              <w:rPr>
                <w:noProof/>
                <w:webHidden/>
              </w:rPr>
              <w:fldChar w:fldCharType="begin"/>
            </w:r>
            <w:r w:rsidR="00046BF0">
              <w:rPr>
                <w:noProof/>
                <w:webHidden/>
              </w:rPr>
              <w:instrText xml:space="preserve"> PAGEREF _Toc220833824 \h </w:instrText>
            </w:r>
            <w:r w:rsidR="00046BF0">
              <w:rPr>
                <w:noProof/>
                <w:webHidden/>
              </w:rPr>
            </w:r>
            <w:r w:rsidR="00046BF0">
              <w:rPr>
                <w:noProof/>
                <w:webHidden/>
              </w:rPr>
              <w:fldChar w:fldCharType="separate"/>
            </w:r>
            <w:r w:rsidR="00046BF0">
              <w:rPr>
                <w:noProof/>
                <w:webHidden/>
              </w:rPr>
              <w:t>39</w:t>
            </w:r>
            <w:r w:rsidR="00046BF0">
              <w:rPr>
                <w:noProof/>
                <w:webHidden/>
              </w:rPr>
              <w:fldChar w:fldCharType="end"/>
            </w:r>
          </w:hyperlink>
        </w:p>
        <w:p w14:paraId="1E7A60BC" w14:textId="08A9FDB3"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25" w:history="1">
            <w:r w:rsidR="00046BF0" w:rsidRPr="00EA5B36">
              <w:rPr>
                <w:rStyle w:val="Hyperlink"/>
                <w:noProof/>
              </w:rPr>
              <w:t>3.11 Ethical Considerations</w:t>
            </w:r>
            <w:r w:rsidR="00046BF0">
              <w:rPr>
                <w:noProof/>
                <w:webHidden/>
              </w:rPr>
              <w:tab/>
            </w:r>
            <w:r w:rsidR="00046BF0">
              <w:rPr>
                <w:noProof/>
                <w:webHidden/>
              </w:rPr>
              <w:fldChar w:fldCharType="begin"/>
            </w:r>
            <w:r w:rsidR="00046BF0">
              <w:rPr>
                <w:noProof/>
                <w:webHidden/>
              </w:rPr>
              <w:instrText xml:space="preserve"> PAGEREF _Toc220833825 \h </w:instrText>
            </w:r>
            <w:r w:rsidR="00046BF0">
              <w:rPr>
                <w:noProof/>
                <w:webHidden/>
              </w:rPr>
            </w:r>
            <w:r w:rsidR="00046BF0">
              <w:rPr>
                <w:noProof/>
                <w:webHidden/>
              </w:rPr>
              <w:fldChar w:fldCharType="separate"/>
            </w:r>
            <w:r w:rsidR="00046BF0">
              <w:rPr>
                <w:noProof/>
                <w:webHidden/>
              </w:rPr>
              <w:t>41</w:t>
            </w:r>
            <w:r w:rsidR="00046BF0">
              <w:rPr>
                <w:noProof/>
                <w:webHidden/>
              </w:rPr>
              <w:fldChar w:fldCharType="end"/>
            </w:r>
          </w:hyperlink>
        </w:p>
        <w:p w14:paraId="57DDDB58" w14:textId="68AE81DE"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26" w:history="1">
            <w:r w:rsidR="00046BF0" w:rsidRPr="00EA5B36">
              <w:rPr>
                <w:rStyle w:val="Hyperlink"/>
                <w:noProof/>
              </w:rPr>
              <w:t>3.12 Chapter Summary</w:t>
            </w:r>
            <w:r w:rsidR="00046BF0">
              <w:rPr>
                <w:noProof/>
                <w:webHidden/>
              </w:rPr>
              <w:tab/>
            </w:r>
            <w:r w:rsidR="00046BF0">
              <w:rPr>
                <w:noProof/>
                <w:webHidden/>
              </w:rPr>
              <w:fldChar w:fldCharType="begin"/>
            </w:r>
            <w:r w:rsidR="00046BF0">
              <w:rPr>
                <w:noProof/>
                <w:webHidden/>
              </w:rPr>
              <w:instrText xml:space="preserve"> PAGEREF _Toc220833826 \h </w:instrText>
            </w:r>
            <w:r w:rsidR="00046BF0">
              <w:rPr>
                <w:noProof/>
                <w:webHidden/>
              </w:rPr>
            </w:r>
            <w:r w:rsidR="00046BF0">
              <w:rPr>
                <w:noProof/>
                <w:webHidden/>
              </w:rPr>
              <w:fldChar w:fldCharType="separate"/>
            </w:r>
            <w:r w:rsidR="00046BF0">
              <w:rPr>
                <w:noProof/>
                <w:webHidden/>
              </w:rPr>
              <w:t>41</w:t>
            </w:r>
            <w:r w:rsidR="00046BF0">
              <w:rPr>
                <w:noProof/>
                <w:webHidden/>
              </w:rPr>
              <w:fldChar w:fldCharType="end"/>
            </w:r>
          </w:hyperlink>
        </w:p>
        <w:p w14:paraId="7534B102" w14:textId="1A7D6619" w:rsidR="00046BF0" w:rsidRDefault="00410B6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0833827" w:history="1">
            <w:r w:rsidR="00046BF0" w:rsidRPr="00EA5B36">
              <w:rPr>
                <w:rStyle w:val="Hyperlink"/>
                <w:noProof/>
              </w:rPr>
              <w:t>CHAPTER 4: RESULTS</w:t>
            </w:r>
            <w:r w:rsidR="00046BF0">
              <w:rPr>
                <w:noProof/>
                <w:webHidden/>
              </w:rPr>
              <w:tab/>
            </w:r>
            <w:r w:rsidR="00046BF0">
              <w:rPr>
                <w:noProof/>
                <w:webHidden/>
              </w:rPr>
              <w:fldChar w:fldCharType="begin"/>
            </w:r>
            <w:r w:rsidR="00046BF0">
              <w:rPr>
                <w:noProof/>
                <w:webHidden/>
              </w:rPr>
              <w:instrText xml:space="preserve"> PAGEREF _Toc220833827 \h </w:instrText>
            </w:r>
            <w:r w:rsidR="00046BF0">
              <w:rPr>
                <w:noProof/>
                <w:webHidden/>
              </w:rPr>
            </w:r>
            <w:r w:rsidR="00046BF0">
              <w:rPr>
                <w:noProof/>
                <w:webHidden/>
              </w:rPr>
              <w:fldChar w:fldCharType="separate"/>
            </w:r>
            <w:r w:rsidR="00046BF0">
              <w:rPr>
                <w:noProof/>
                <w:webHidden/>
              </w:rPr>
              <w:t>42</w:t>
            </w:r>
            <w:r w:rsidR="00046BF0">
              <w:rPr>
                <w:noProof/>
                <w:webHidden/>
              </w:rPr>
              <w:fldChar w:fldCharType="end"/>
            </w:r>
          </w:hyperlink>
        </w:p>
        <w:p w14:paraId="0177851A" w14:textId="5FF80F83"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28" w:history="1">
            <w:r w:rsidR="00046BF0" w:rsidRPr="00EA5B36">
              <w:rPr>
                <w:rStyle w:val="Hyperlink"/>
                <w:noProof/>
              </w:rPr>
              <w:t>4.1 Introduction</w:t>
            </w:r>
            <w:r w:rsidR="00046BF0">
              <w:rPr>
                <w:noProof/>
                <w:webHidden/>
              </w:rPr>
              <w:tab/>
            </w:r>
            <w:r w:rsidR="00046BF0">
              <w:rPr>
                <w:noProof/>
                <w:webHidden/>
              </w:rPr>
              <w:fldChar w:fldCharType="begin"/>
            </w:r>
            <w:r w:rsidR="00046BF0">
              <w:rPr>
                <w:noProof/>
                <w:webHidden/>
              </w:rPr>
              <w:instrText xml:space="preserve"> PAGEREF _Toc220833828 \h </w:instrText>
            </w:r>
            <w:r w:rsidR="00046BF0">
              <w:rPr>
                <w:noProof/>
                <w:webHidden/>
              </w:rPr>
            </w:r>
            <w:r w:rsidR="00046BF0">
              <w:rPr>
                <w:noProof/>
                <w:webHidden/>
              </w:rPr>
              <w:fldChar w:fldCharType="separate"/>
            </w:r>
            <w:r w:rsidR="00046BF0">
              <w:rPr>
                <w:noProof/>
                <w:webHidden/>
              </w:rPr>
              <w:t>42</w:t>
            </w:r>
            <w:r w:rsidR="00046BF0">
              <w:rPr>
                <w:noProof/>
                <w:webHidden/>
              </w:rPr>
              <w:fldChar w:fldCharType="end"/>
            </w:r>
          </w:hyperlink>
        </w:p>
        <w:p w14:paraId="6139F529" w14:textId="762B01D2"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29" w:history="1">
            <w:r w:rsidR="00046BF0" w:rsidRPr="00EA5B36">
              <w:rPr>
                <w:rStyle w:val="Hyperlink"/>
                <w:noProof/>
              </w:rPr>
              <w:t>4.2 Findings</w:t>
            </w:r>
            <w:r w:rsidR="00046BF0">
              <w:rPr>
                <w:noProof/>
                <w:webHidden/>
              </w:rPr>
              <w:tab/>
            </w:r>
            <w:r w:rsidR="00046BF0">
              <w:rPr>
                <w:noProof/>
                <w:webHidden/>
              </w:rPr>
              <w:fldChar w:fldCharType="begin"/>
            </w:r>
            <w:r w:rsidR="00046BF0">
              <w:rPr>
                <w:noProof/>
                <w:webHidden/>
              </w:rPr>
              <w:instrText xml:space="preserve"> PAGEREF _Toc220833829 \h </w:instrText>
            </w:r>
            <w:r w:rsidR="00046BF0">
              <w:rPr>
                <w:noProof/>
                <w:webHidden/>
              </w:rPr>
            </w:r>
            <w:r w:rsidR="00046BF0">
              <w:rPr>
                <w:noProof/>
                <w:webHidden/>
              </w:rPr>
              <w:fldChar w:fldCharType="separate"/>
            </w:r>
            <w:r w:rsidR="00046BF0">
              <w:rPr>
                <w:noProof/>
                <w:webHidden/>
              </w:rPr>
              <w:t>42</w:t>
            </w:r>
            <w:r w:rsidR="00046BF0">
              <w:rPr>
                <w:noProof/>
                <w:webHidden/>
              </w:rPr>
              <w:fldChar w:fldCharType="end"/>
            </w:r>
          </w:hyperlink>
        </w:p>
        <w:p w14:paraId="077F0103" w14:textId="57A136A9"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30" w:history="1">
            <w:r w:rsidR="00046BF0" w:rsidRPr="00EA5B36">
              <w:rPr>
                <w:rStyle w:val="Hyperlink"/>
                <w:noProof/>
              </w:rPr>
              <w:t>4.2.1 Study findings</w:t>
            </w:r>
            <w:r w:rsidR="00046BF0">
              <w:rPr>
                <w:noProof/>
                <w:webHidden/>
              </w:rPr>
              <w:tab/>
            </w:r>
            <w:r w:rsidR="00046BF0">
              <w:rPr>
                <w:noProof/>
                <w:webHidden/>
              </w:rPr>
              <w:fldChar w:fldCharType="begin"/>
            </w:r>
            <w:r w:rsidR="00046BF0">
              <w:rPr>
                <w:noProof/>
                <w:webHidden/>
              </w:rPr>
              <w:instrText xml:space="preserve"> PAGEREF _Toc220833830 \h </w:instrText>
            </w:r>
            <w:r w:rsidR="00046BF0">
              <w:rPr>
                <w:noProof/>
                <w:webHidden/>
              </w:rPr>
            </w:r>
            <w:r w:rsidR="00046BF0">
              <w:rPr>
                <w:noProof/>
                <w:webHidden/>
              </w:rPr>
              <w:fldChar w:fldCharType="separate"/>
            </w:r>
            <w:r w:rsidR="00046BF0">
              <w:rPr>
                <w:noProof/>
                <w:webHidden/>
              </w:rPr>
              <w:t>42</w:t>
            </w:r>
            <w:r w:rsidR="00046BF0">
              <w:rPr>
                <w:noProof/>
                <w:webHidden/>
              </w:rPr>
              <w:fldChar w:fldCharType="end"/>
            </w:r>
          </w:hyperlink>
        </w:p>
        <w:p w14:paraId="2E568A3C" w14:textId="42216B4B"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31" w:history="1">
            <w:r w:rsidR="00046BF0" w:rsidRPr="00EA5B36">
              <w:rPr>
                <w:rStyle w:val="Hyperlink"/>
                <w:noProof/>
              </w:rPr>
              <w:t>4.2.2 Quality Appraisal</w:t>
            </w:r>
            <w:r w:rsidR="00046BF0">
              <w:rPr>
                <w:noProof/>
                <w:webHidden/>
              </w:rPr>
              <w:tab/>
            </w:r>
            <w:r w:rsidR="00046BF0">
              <w:rPr>
                <w:noProof/>
                <w:webHidden/>
              </w:rPr>
              <w:fldChar w:fldCharType="begin"/>
            </w:r>
            <w:r w:rsidR="00046BF0">
              <w:rPr>
                <w:noProof/>
                <w:webHidden/>
              </w:rPr>
              <w:instrText xml:space="preserve"> PAGEREF _Toc220833831 \h </w:instrText>
            </w:r>
            <w:r w:rsidR="00046BF0">
              <w:rPr>
                <w:noProof/>
                <w:webHidden/>
              </w:rPr>
            </w:r>
            <w:r w:rsidR="00046BF0">
              <w:rPr>
                <w:noProof/>
                <w:webHidden/>
              </w:rPr>
              <w:fldChar w:fldCharType="separate"/>
            </w:r>
            <w:r w:rsidR="00046BF0">
              <w:rPr>
                <w:noProof/>
                <w:webHidden/>
              </w:rPr>
              <w:t>51</w:t>
            </w:r>
            <w:r w:rsidR="00046BF0">
              <w:rPr>
                <w:noProof/>
                <w:webHidden/>
              </w:rPr>
              <w:fldChar w:fldCharType="end"/>
            </w:r>
          </w:hyperlink>
        </w:p>
        <w:p w14:paraId="4901F7D6" w14:textId="72234AEC"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32" w:history="1">
            <w:r w:rsidR="00046BF0" w:rsidRPr="00EA5B36">
              <w:rPr>
                <w:rStyle w:val="Hyperlink"/>
                <w:noProof/>
              </w:rPr>
              <w:t>4.2.3 Structured descriptive synthesis of included studies</w:t>
            </w:r>
            <w:r w:rsidR="00046BF0">
              <w:rPr>
                <w:noProof/>
                <w:webHidden/>
              </w:rPr>
              <w:tab/>
            </w:r>
            <w:r w:rsidR="00046BF0">
              <w:rPr>
                <w:noProof/>
                <w:webHidden/>
              </w:rPr>
              <w:fldChar w:fldCharType="begin"/>
            </w:r>
            <w:r w:rsidR="00046BF0">
              <w:rPr>
                <w:noProof/>
                <w:webHidden/>
              </w:rPr>
              <w:instrText xml:space="preserve"> PAGEREF _Toc220833832 \h </w:instrText>
            </w:r>
            <w:r w:rsidR="00046BF0">
              <w:rPr>
                <w:noProof/>
                <w:webHidden/>
              </w:rPr>
            </w:r>
            <w:r w:rsidR="00046BF0">
              <w:rPr>
                <w:noProof/>
                <w:webHidden/>
              </w:rPr>
              <w:fldChar w:fldCharType="separate"/>
            </w:r>
            <w:r w:rsidR="00046BF0">
              <w:rPr>
                <w:noProof/>
                <w:webHidden/>
              </w:rPr>
              <w:t>55</w:t>
            </w:r>
            <w:r w:rsidR="00046BF0">
              <w:rPr>
                <w:noProof/>
                <w:webHidden/>
              </w:rPr>
              <w:fldChar w:fldCharType="end"/>
            </w:r>
          </w:hyperlink>
        </w:p>
        <w:p w14:paraId="6B8DB6FD" w14:textId="08F9422F"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33" w:history="1">
            <w:r w:rsidR="00046BF0" w:rsidRPr="00EA5B36">
              <w:rPr>
                <w:rStyle w:val="Hyperlink"/>
                <w:noProof/>
              </w:rPr>
              <w:t>4.3 Thematic synthesis of findings</w:t>
            </w:r>
            <w:r w:rsidR="00046BF0">
              <w:rPr>
                <w:noProof/>
                <w:webHidden/>
              </w:rPr>
              <w:tab/>
            </w:r>
            <w:r w:rsidR="00046BF0">
              <w:rPr>
                <w:noProof/>
                <w:webHidden/>
              </w:rPr>
              <w:fldChar w:fldCharType="begin"/>
            </w:r>
            <w:r w:rsidR="00046BF0">
              <w:rPr>
                <w:noProof/>
                <w:webHidden/>
              </w:rPr>
              <w:instrText xml:space="preserve"> PAGEREF _Toc220833833 \h </w:instrText>
            </w:r>
            <w:r w:rsidR="00046BF0">
              <w:rPr>
                <w:noProof/>
                <w:webHidden/>
              </w:rPr>
            </w:r>
            <w:r w:rsidR="00046BF0">
              <w:rPr>
                <w:noProof/>
                <w:webHidden/>
              </w:rPr>
              <w:fldChar w:fldCharType="separate"/>
            </w:r>
            <w:r w:rsidR="00046BF0">
              <w:rPr>
                <w:noProof/>
                <w:webHidden/>
              </w:rPr>
              <w:t>56</w:t>
            </w:r>
            <w:r w:rsidR="00046BF0">
              <w:rPr>
                <w:noProof/>
                <w:webHidden/>
              </w:rPr>
              <w:fldChar w:fldCharType="end"/>
            </w:r>
          </w:hyperlink>
        </w:p>
        <w:p w14:paraId="36B1F77B" w14:textId="2CE8824E"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34" w:history="1">
            <w:r w:rsidR="00046BF0" w:rsidRPr="00EA5B36">
              <w:rPr>
                <w:rStyle w:val="Hyperlink"/>
                <w:noProof/>
              </w:rPr>
              <w:t>Theme 1: Multifactorial biological, behavioural and social risk factors shaping susceptibility to first and recurrent UTIs</w:t>
            </w:r>
            <w:r w:rsidR="00046BF0">
              <w:rPr>
                <w:noProof/>
                <w:webHidden/>
              </w:rPr>
              <w:tab/>
            </w:r>
            <w:r w:rsidR="00046BF0">
              <w:rPr>
                <w:noProof/>
                <w:webHidden/>
              </w:rPr>
              <w:fldChar w:fldCharType="begin"/>
            </w:r>
            <w:r w:rsidR="00046BF0">
              <w:rPr>
                <w:noProof/>
                <w:webHidden/>
              </w:rPr>
              <w:instrText xml:space="preserve"> PAGEREF _Toc220833834 \h </w:instrText>
            </w:r>
            <w:r w:rsidR="00046BF0">
              <w:rPr>
                <w:noProof/>
                <w:webHidden/>
              </w:rPr>
            </w:r>
            <w:r w:rsidR="00046BF0">
              <w:rPr>
                <w:noProof/>
                <w:webHidden/>
              </w:rPr>
              <w:fldChar w:fldCharType="separate"/>
            </w:r>
            <w:r w:rsidR="00046BF0">
              <w:rPr>
                <w:noProof/>
                <w:webHidden/>
              </w:rPr>
              <w:t>56</w:t>
            </w:r>
            <w:r w:rsidR="00046BF0">
              <w:rPr>
                <w:noProof/>
                <w:webHidden/>
              </w:rPr>
              <w:fldChar w:fldCharType="end"/>
            </w:r>
          </w:hyperlink>
        </w:p>
        <w:p w14:paraId="646FEEFE" w14:textId="7CBD49A6"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35" w:history="1">
            <w:r w:rsidR="00046BF0" w:rsidRPr="00EA5B36">
              <w:rPr>
                <w:rStyle w:val="Hyperlink"/>
                <w:noProof/>
              </w:rPr>
              <w:t>Theme 2: High and age-stratified burden of acute and recurrent UTIs and concentrated healthcare utilisation</w:t>
            </w:r>
            <w:r w:rsidR="00046BF0">
              <w:rPr>
                <w:noProof/>
                <w:webHidden/>
              </w:rPr>
              <w:tab/>
            </w:r>
            <w:r w:rsidR="00046BF0">
              <w:rPr>
                <w:noProof/>
                <w:webHidden/>
              </w:rPr>
              <w:fldChar w:fldCharType="begin"/>
            </w:r>
            <w:r w:rsidR="00046BF0">
              <w:rPr>
                <w:noProof/>
                <w:webHidden/>
              </w:rPr>
              <w:instrText xml:space="preserve"> PAGEREF _Toc220833835 \h </w:instrText>
            </w:r>
            <w:r w:rsidR="00046BF0">
              <w:rPr>
                <w:noProof/>
                <w:webHidden/>
              </w:rPr>
            </w:r>
            <w:r w:rsidR="00046BF0">
              <w:rPr>
                <w:noProof/>
                <w:webHidden/>
              </w:rPr>
              <w:fldChar w:fldCharType="separate"/>
            </w:r>
            <w:r w:rsidR="00046BF0">
              <w:rPr>
                <w:noProof/>
                <w:webHidden/>
              </w:rPr>
              <w:t>58</w:t>
            </w:r>
            <w:r w:rsidR="00046BF0">
              <w:rPr>
                <w:noProof/>
                <w:webHidden/>
              </w:rPr>
              <w:fldChar w:fldCharType="end"/>
            </w:r>
          </w:hyperlink>
        </w:p>
        <w:p w14:paraId="353060CA" w14:textId="3F15ED6C"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36" w:history="1">
            <w:r w:rsidR="00046BF0" w:rsidRPr="00EA5B36">
              <w:rPr>
                <w:rStyle w:val="Hyperlink"/>
                <w:noProof/>
              </w:rPr>
              <w:t>Theme 3: Prevention/management strategies—effectiveness, limitations and implementation challenges within stewardship-focused care</w:t>
            </w:r>
            <w:r w:rsidR="00046BF0">
              <w:rPr>
                <w:noProof/>
                <w:webHidden/>
              </w:rPr>
              <w:tab/>
            </w:r>
            <w:r w:rsidR="00046BF0">
              <w:rPr>
                <w:noProof/>
                <w:webHidden/>
              </w:rPr>
              <w:fldChar w:fldCharType="begin"/>
            </w:r>
            <w:r w:rsidR="00046BF0">
              <w:rPr>
                <w:noProof/>
                <w:webHidden/>
              </w:rPr>
              <w:instrText xml:space="preserve"> PAGEREF _Toc220833836 \h </w:instrText>
            </w:r>
            <w:r w:rsidR="00046BF0">
              <w:rPr>
                <w:noProof/>
                <w:webHidden/>
              </w:rPr>
            </w:r>
            <w:r w:rsidR="00046BF0">
              <w:rPr>
                <w:noProof/>
                <w:webHidden/>
              </w:rPr>
              <w:fldChar w:fldCharType="separate"/>
            </w:r>
            <w:r w:rsidR="00046BF0">
              <w:rPr>
                <w:noProof/>
                <w:webHidden/>
              </w:rPr>
              <w:t>59</w:t>
            </w:r>
            <w:r w:rsidR="00046BF0">
              <w:rPr>
                <w:noProof/>
                <w:webHidden/>
              </w:rPr>
              <w:fldChar w:fldCharType="end"/>
            </w:r>
          </w:hyperlink>
        </w:p>
        <w:p w14:paraId="1BFDE90C" w14:textId="4BCC4AFC"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37" w:history="1">
            <w:r w:rsidR="00046BF0" w:rsidRPr="00EA5B36">
              <w:rPr>
                <w:rStyle w:val="Hyperlink"/>
                <w:noProof/>
              </w:rPr>
              <w:t>4.4 Summary</w:t>
            </w:r>
            <w:r w:rsidR="00046BF0">
              <w:rPr>
                <w:noProof/>
                <w:webHidden/>
              </w:rPr>
              <w:tab/>
            </w:r>
            <w:r w:rsidR="00046BF0">
              <w:rPr>
                <w:noProof/>
                <w:webHidden/>
              </w:rPr>
              <w:fldChar w:fldCharType="begin"/>
            </w:r>
            <w:r w:rsidR="00046BF0">
              <w:rPr>
                <w:noProof/>
                <w:webHidden/>
              </w:rPr>
              <w:instrText xml:space="preserve"> PAGEREF _Toc220833837 \h </w:instrText>
            </w:r>
            <w:r w:rsidR="00046BF0">
              <w:rPr>
                <w:noProof/>
                <w:webHidden/>
              </w:rPr>
            </w:r>
            <w:r w:rsidR="00046BF0">
              <w:rPr>
                <w:noProof/>
                <w:webHidden/>
              </w:rPr>
              <w:fldChar w:fldCharType="separate"/>
            </w:r>
            <w:r w:rsidR="00046BF0">
              <w:rPr>
                <w:noProof/>
                <w:webHidden/>
              </w:rPr>
              <w:t>60</w:t>
            </w:r>
            <w:r w:rsidR="00046BF0">
              <w:rPr>
                <w:noProof/>
                <w:webHidden/>
              </w:rPr>
              <w:fldChar w:fldCharType="end"/>
            </w:r>
          </w:hyperlink>
        </w:p>
        <w:p w14:paraId="76E225A8" w14:textId="0B36B1C1" w:rsidR="00046BF0" w:rsidRDefault="00410B6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0833838" w:history="1">
            <w:r w:rsidR="00046BF0" w:rsidRPr="00EA5B36">
              <w:rPr>
                <w:rStyle w:val="Hyperlink"/>
                <w:noProof/>
              </w:rPr>
              <w:t>CHAPTER 5: DISCUSSION</w:t>
            </w:r>
            <w:r w:rsidR="00046BF0">
              <w:rPr>
                <w:noProof/>
                <w:webHidden/>
              </w:rPr>
              <w:tab/>
            </w:r>
            <w:r w:rsidR="00046BF0">
              <w:rPr>
                <w:noProof/>
                <w:webHidden/>
              </w:rPr>
              <w:fldChar w:fldCharType="begin"/>
            </w:r>
            <w:r w:rsidR="00046BF0">
              <w:rPr>
                <w:noProof/>
                <w:webHidden/>
              </w:rPr>
              <w:instrText xml:space="preserve"> PAGEREF _Toc220833838 \h </w:instrText>
            </w:r>
            <w:r w:rsidR="00046BF0">
              <w:rPr>
                <w:noProof/>
                <w:webHidden/>
              </w:rPr>
            </w:r>
            <w:r w:rsidR="00046BF0">
              <w:rPr>
                <w:noProof/>
                <w:webHidden/>
              </w:rPr>
              <w:fldChar w:fldCharType="separate"/>
            </w:r>
            <w:r w:rsidR="00046BF0">
              <w:rPr>
                <w:noProof/>
                <w:webHidden/>
              </w:rPr>
              <w:t>62</w:t>
            </w:r>
            <w:r w:rsidR="00046BF0">
              <w:rPr>
                <w:noProof/>
                <w:webHidden/>
              </w:rPr>
              <w:fldChar w:fldCharType="end"/>
            </w:r>
          </w:hyperlink>
        </w:p>
        <w:p w14:paraId="5CCB95FD" w14:textId="63E4B540"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39" w:history="1">
            <w:r w:rsidR="00046BF0" w:rsidRPr="00EA5B36">
              <w:rPr>
                <w:rStyle w:val="Hyperlink"/>
                <w:noProof/>
              </w:rPr>
              <w:t>5.1 Chapter overview</w:t>
            </w:r>
            <w:r w:rsidR="00046BF0">
              <w:rPr>
                <w:noProof/>
                <w:webHidden/>
              </w:rPr>
              <w:tab/>
            </w:r>
            <w:r w:rsidR="00046BF0">
              <w:rPr>
                <w:noProof/>
                <w:webHidden/>
              </w:rPr>
              <w:fldChar w:fldCharType="begin"/>
            </w:r>
            <w:r w:rsidR="00046BF0">
              <w:rPr>
                <w:noProof/>
                <w:webHidden/>
              </w:rPr>
              <w:instrText xml:space="preserve"> PAGEREF _Toc220833839 \h </w:instrText>
            </w:r>
            <w:r w:rsidR="00046BF0">
              <w:rPr>
                <w:noProof/>
                <w:webHidden/>
              </w:rPr>
            </w:r>
            <w:r w:rsidR="00046BF0">
              <w:rPr>
                <w:noProof/>
                <w:webHidden/>
              </w:rPr>
              <w:fldChar w:fldCharType="separate"/>
            </w:r>
            <w:r w:rsidR="00046BF0">
              <w:rPr>
                <w:noProof/>
                <w:webHidden/>
              </w:rPr>
              <w:t>62</w:t>
            </w:r>
            <w:r w:rsidR="00046BF0">
              <w:rPr>
                <w:noProof/>
                <w:webHidden/>
              </w:rPr>
              <w:fldChar w:fldCharType="end"/>
            </w:r>
          </w:hyperlink>
        </w:p>
        <w:p w14:paraId="094603C6" w14:textId="1D7D8802"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40" w:history="1">
            <w:r w:rsidR="00046BF0" w:rsidRPr="00EA5B36">
              <w:rPr>
                <w:rStyle w:val="Hyperlink"/>
                <w:noProof/>
              </w:rPr>
              <w:t>5.2 Interpretation of key findings</w:t>
            </w:r>
            <w:r w:rsidR="00046BF0">
              <w:rPr>
                <w:noProof/>
                <w:webHidden/>
              </w:rPr>
              <w:tab/>
            </w:r>
            <w:r w:rsidR="00046BF0">
              <w:rPr>
                <w:noProof/>
                <w:webHidden/>
              </w:rPr>
              <w:fldChar w:fldCharType="begin"/>
            </w:r>
            <w:r w:rsidR="00046BF0">
              <w:rPr>
                <w:noProof/>
                <w:webHidden/>
              </w:rPr>
              <w:instrText xml:space="preserve"> PAGEREF _Toc220833840 \h </w:instrText>
            </w:r>
            <w:r w:rsidR="00046BF0">
              <w:rPr>
                <w:noProof/>
                <w:webHidden/>
              </w:rPr>
            </w:r>
            <w:r w:rsidR="00046BF0">
              <w:rPr>
                <w:noProof/>
                <w:webHidden/>
              </w:rPr>
              <w:fldChar w:fldCharType="separate"/>
            </w:r>
            <w:r w:rsidR="00046BF0">
              <w:rPr>
                <w:noProof/>
                <w:webHidden/>
              </w:rPr>
              <w:t>62</w:t>
            </w:r>
            <w:r w:rsidR="00046BF0">
              <w:rPr>
                <w:noProof/>
                <w:webHidden/>
              </w:rPr>
              <w:fldChar w:fldCharType="end"/>
            </w:r>
          </w:hyperlink>
        </w:p>
        <w:p w14:paraId="5E0B75E1" w14:textId="2C1B49AA"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41" w:history="1">
            <w:r w:rsidR="00046BF0" w:rsidRPr="00EA5B36">
              <w:rPr>
                <w:rStyle w:val="Hyperlink"/>
                <w:noProof/>
              </w:rPr>
              <w:t>5.2.1 Theme 1 interpretation</w:t>
            </w:r>
            <w:r w:rsidR="00046BF0">
              <w:rPr>
                <w:noProof/>
                <w:webHidden/>
              </w:rPr>
              <w:tab/>
            </w:r>
            <w:r w:rsidR="00046BF0">
              <w:rPr>
                <w:noProof/>
                <w:webHidden/>
              </w:rPr>
              <w:fldChar w:fldCharType="begin"/>
            </w:r>
            <w:r w:rsidR="00046BF0">
              <w:rPr>
                <w:noProof/>
                <w:webHidden/>
              </w:rPr>
              <w:instrText xml:space="preserve"> PAGEREF _Toc220833841 \h </w:instrText>
            </w:r>
            <w:r w:rsidR="00046BF0">
              <w:rPr>
                <w:noProof/>
                <w:webHidden/>
              </w:rPr>
            </w:r>
            <w:r w:rsidR="00046BF0">
              <w:rPr>
                <w:noProof/>
                <w:webHidden/>
              </w:rPr>
              <w:fldChar w:fldCharType="separate"/>
            </w:r>
            <w:r w:rsidR="00046BF0">
              <w:rPr>
                <w:noProof/>
                <w:webHidden/>
              </w:rPr>
              <w:t>62</w:t>
            </w:r>
            <w:r w:rsidR="00046BF0">
              <w:rPr>
                <w:noProof/>
                <w:webHidden/>
              </w:rPr>
              <w:fldChar w:fldCharType="end"/>
            </w:r>
          </w:hyperlink>
        </w:p>
        <w:p w14:paraId="78B6265B" w14:textId="63ADCE88"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42" w:history="1">
            <w:r w:rsidR="00046BF0" w:rsidRPr="00EA5B36">
              <w:rPr>
                <w:rStyle w:val="Hyperlink"/>
                <w:noProof/>
              </w:rPr>
              <w:t>5.2.2 Theme 2 interpretation</w:t>
            </w:r>
            <w:r w:rsidR="00046BF0">
              <w:rPr>
                <w:noProof/>
                <w:webHidden/>
              </w:rPr>
              <w:tab/>
            </w:r>
            <w:r w:rsidR="00046BF0">
              <w:rPr>
                <w:noProof/>
                <w:webHidden/>
              </w:rPr>
              <w:fldChar w:fldCharType="begin"/>
            </w:r>
            <w:r w:rsidR="00046BF0">
              <w:rPr>
                <w:noProof/>
                <w:webHidden/>
              </w:rPr>
              <w:instrText xml:space="preserve"> PAGEREF _Toc220833842 \h </w:instrText>
            </w:r>
            <w:r w:rsidR="00046BF0">
              <w:rPr>
                <w:noProof/>
                <w:webHidden/>
              </w:rPr>
            </w:r>
            <w:r w:rsidR="00046BF0">
              <w:rPr>
                <w:noProof/>
                <w:webHidden/>
              </w:rPr>
              <w:fldChar w:fldCharType="separate"/>
            </w:r>
            <w:r w:rsidR="00046BF0">
              <w:rPr>
                <w:noProof/>
                <w:webHidden/>
              </w:rPr>
              <w:t>64</w:t>
            </w:r>
            <w:r w:rsidR="00046BF0">
              <w:rPr>
                <w:noProof/>
                <w:webHidden/>
              </w:rPr>
              <w:fldChar w:fldCharType="end"/>
            </w:r>
          </w:hyperlink>
        </w:p>
        <w:p w14:paraId="7EEA674B" w14:textId="2D549A18"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43" w:history="1">
            <w:r w:rsidR="00046BF0" w:rsidRPr="00EA5B36">
              <w:rPr>
                <w:rStyle w:val="Hyperlink"/>
                <w:noProof/>
              </w:rPr>
              <w:t>5.2.3 Theme 3 interpretation</w:t>
            </w:r>
            <w:r w:rsidR="00046BF0">
              <w:rPr>
                <w:noProof/>
                <w:webHidden/>
              </w:rPr>
              <w:tab/>
            </w:r>
            <w:r w:rsidR="00046BF0">
              <w:rPr>
                <w:noProof/>
                <w:webHidden/>
              </w:rPr>
              <w:fldChar w:fldCharType="begin"/>
            </w:r>
            <w:r w:rsidR="00046BF0">
              <w:rPr>
                <w:noProof/>
                <w:webHidden/>
              </w:rPr>
              <w:instrText xml:space="preserve"> PAGEREF _Toc220833843 \h </w:instrText>
            </w:r>
            <w:r w:rsidR="00046BF0">
              <w:rPr>
                <w:noProof/>
                <w:webHidden/>
              </w:rPr>
            </w:r>
            <w:r w:rsidR="00046BF0">
              <w:rPr>
                <w:noProof/>
                <w:webHidden/>
              </w:rPr>
              <w:fldChar w:fldCharType="separate"/>
            </w:r>
            <w:r w:rsidR="00046BF0">
              <w:rPr>
                <w:noProof/>
                <w:webHidden/>
              </w:rPr>
              <w:t>65</w:t>
            </w:r>
            <w:r w:rsidR="00046BF0">
              <w:rPr>
                <w:noProof/>
                <w:webHidden/>
              </w:rPr>
              <w:fldChar w:fldCharType="end"/>
            </w:r>
          </w:hyperlink>
        </w:p>
        <w:p w14:paraId="01899A5E" w14:textId="4F4CCB7D"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44" w:history="1">
            <w:r w:rsidR="00046BF0" w:rsidRPr="00EA5B36">
              <w:rPr>
                <w:rStyle w:val="Hyperlink"/>
                <w:noProof/>
              </w:rPr>
              <w:t>5.3 Comparison with existing literature</w:t>
            </w:r>
            <w:r w:rsidR="00046BF0">
              <w:rPr>
                <w:noProof/>
                <w:webHidden/>
              </w:rPr>
              <w:tab/>
            </w:r>
            <w:r w:rsidR="00046BF0">
              <w:rPr>
                <w:noProof/>
                <w:webHidden/>
              </w:rPr>
              <w:fldChar w:fldCharType="begin"/>
            </w:r>
            <w:r w:rsidR="00046BF0">
              <w:rPr>
                <w:noProof/>
                <w:webHidden/>
              </w:rPr>
              <w:instrText xml:space="preserve"> PAGEREF _Toc220833844 \h </w:instrText>
            </w:r>
            <w:r w:rsidR="00046BF0">
              <w:rPr>
                <w:noProof/>
                <w:webHidden/>
              </w:rPr>
            </w:r>
            <w:r w:rsidR="00046BF0">
              <w:rPr>
                <w:noProof/>
                <w:webHidden/>
              </w:rPr>
              <w:fldChar w:fldCharType="separate"/>
            </w:r>
            <w:r w:rsidR="00046BF0">
              <w:rPr>
                <w:noProof/>
                <w:webHidden/>
              </w:rPr>
              <w:t>67</w:t>
            </w:r>
            <w:r w:rsidR="00046BF0">
              <w:rPr>
                <w:noProof/>
                <w:webHidden/>
              </w:rPr>
              <w:fldChar w:fldCharType="end"/>
            </w:r>
          </w:hyperlink>
        </w:p>
        <w:p w14:paraId="16F3ADD7" w14:textId="121C92CD"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45" w:history="1">
            <w:r w:rsidR="00046BF0" w:rsidRPr="00EA5B36">
              <w:rPr>
                <w:rStyle w:val="Hyperlink"/>
                <w:noProof/>
              </w:rPr>
              <w:t>5.4 Strengths of this review</w:t>
            </w:r>
            <w:r w:rsidR="00046BF0">
              <w:rPr>
                <w:noProof/>
                <w:webHidden/>
              </w:rPr>
              <w:tab/>
            </w:r>
            <w:r w:rsidR="00046BF0">
              <w:rPr>
                <w:noProof/>
                <w:webHidden/>
              </w:rPr>
              <w:fldChar w:fldCharType="begin"/>
            </w:r>
            <w:r w:rsidR="00046BF0">
              <w:rPr>
                <w:noProof/>
                <w:webHidden/>
              </w:rPr>
              <w:instrText xml:space="preserve"> PAGEREF _Toc220833845 \h </w:instrText>
            </w:r>
            <w:r w:rsidR="00046BF0">
              <w:rPr>
                <w:noProof/>
                <w:webHidden/>
              </w:rPr>
            </w:r>
            <w:r w:rsidR="00046BF0">
              <w:rPr>
                <w:noProof/>
                <w:webHidden/>
              </w:rPr>
              <w:fldChar w:fldCharType="separate"/>
            </w:r>
            <w:r w:rsidR="00046BF0">
              <w:rPr>
                <w:noProof/>
                <w:webHidden/>
              </w:rPr>
              <w:t>68</w:t>
            </w:r>
            <w:r w:rsidR="00046BF0">
              <w:rPr>
                <w:noProof/>
                <w:webHidden/>
              </w:rPr>
              <w:fldChar w:fldCharType="end"/>
            </w:r>
          </w:hyperlink>
        </w:p>
        <w:p w14:paraId="1D60D299" w14:textId="2BBB29CF"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46" w:history="1">
            <w:r w:rsidR="00046BF0" w:rsidRPr="00EA5B36">
              <w:rPr>
                <w:rStyle w:val="Hyperlink"/>
                <w:noProof/>
              </w:rPr>
              <w:t>5.5 Limitations and sources of uncertainty</w:t>
            </w:r>
            <w:r w:rsidR="00046BF0">
              <w:rPr>
                <w:noProof/>
                <w:webHidden/>
              </w:rPr>
              <w:tab/>
            </w:r>
            <w:r w:rsidR="00046BF0">
              <w:rPr>
                <w:noProof/>
                <w:webHidden/>
              </w:rPr>
              <w:fldChar w:fldCharType="begin"/>
            </w:r>
            <w:r w:rsidR="00046BF0">
              <w:rPr>
                <w:noProof/>
                <w:webHidden/>
              </w:rPr>
              <w:instrText xml:space="preserve"> PAGEREF _Toc220833846 \h </w:instrText>
            </w:r>
            <w:r w:rsidR="00046BF0">
              <w:rPr>
                <w:noProof/>
                <w:webHidden/>
              </w:rPr>
            </w:r>
            <w:r w:rsidR="00046BF0">
              <w:rPr>
                <w:noProof/>
                <w:webHidden/>
              </w:rPr>
              <w:fldChar w:fldCharType="separate"/>
            </w:r>
            <w:r w:rsidR="00046BF0">
              <w:rPr>
                <w:noProof/>
                <w:webHidden/>
              </w:rPr>
              <w:t>69</w:t>
            </w:r>
            <w:r w:rsidR="00046BF0">
              <w:rPr>
                <w:noProof/>
                <w:webHidden/>
              </w:rPr>
              <w:fldChar w:fldCharType="end"/>
            </w:r>
          </w:hyperlink>
        </w:p>
        <w:p w14:paraId="267BED1F" w14:textId="17DA7F1A"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47" w:history="1">
            <w:r w:rsidR="00046BF0" w:rsidRPr="00EA5B36">
              <w:rPr>
                <w:rStyle w:val="Hyperlink"/>
                <w:noProof/>
              </w:rPr>
              <w:t>5.6 Implications for practice and policy</w:t>
            </w:r>
            <w:r w:rsidR="00046BF0">
              <w:rPr>
                <w:noProof/>
                <w:webHidden/>
              </w:rPr>
              <w:tab/>
            </w:r>
            <w:r w:rsidR="00046BF0">
              <w:rPr>
                <w:noProof/>
                <w:webHidden/>
              </w:rPr>
              <w:fldChar w:fldCharType="begin"/>
            </w:r>
            <w:r w:rsidR="00046BF0">
              <w:rPr>
                <w:noProof/>
                <w:webHidden/>
              </w:rPr>
              <w:instrText xml:space="preserve"> PAGEREF _Toc220833847 \h </w:instrText>
            </w:r>
            <w:r w:rsidR="00046BF0">
              <w:rPr>
                <w:noProof/>
                <w:webHidden/>
              </w:rPr>
            </w:r>
            <w:r w:rsidR="00046BF0">
              <w:rPr>
                <w:noProof/>
                <w:webHidden/>
              </w:rPr>
              <w:fldChar w:fldCharType="separate"/>
            </w:r>
            <w:r w:rsidR="00046BF0">
              <w:rPr>
                <w:noProof/>
                <w:webHidden/>
              </w:rPr>
              <w:t>69</w:t>
            </w:r>
            <w:r w:rsidR="00046BF0">
              <w:rPr>
                <w:noProof/>
                <w:webHidden/>
              </w:rPr>
              <w:fldChar w:fldCharType="end"/>
            </w:r>
          </w:hyperlink>
        </w:p>
        <w:p w14:paraId="7B447C90" w14:textId="3120E988"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48" w:history="1">
            <w:r w:rsidR="00046BF0" w:rsidRPr="00EA5B36">
              <w:rPr>
                <w:rStyle w:val="Hyperlink"/>
                <w:noProof/>
              </w:rPr>
              <w:t>5.7 Recommendations for future research</w:t>
            </w:r>
            <w:r w:rsidR="00046BF0">
              <w:rPr>
                <w:noProof/>
                <w:webHidden/>
              </w:rPr>
              <w:tab/>
            </w:r>
            <w:r w:rsidR="00046BF0">
              <w:rPr>
                <w:noProof/>
                <w:webHidden/>
              </w:rPr>
              <w:fldChar w:fldCharType="begin"/>
            </w:r>
            <w:r w:rsidR="00046BF0">
              <w:rPr>
                <w:noProof/>
                <w:webHidden/>
              </w:rPr>
              <w:instrText xml:space="preserve"> PAGEREF _Toc220833848 \h </w:instrText>
            </w:r>
            <w:r w:rsidR="00046BF0">
              <w:rPr>
                <w:noProof/>
                <w:webHidden/>
              </w:rPr>
            </w:r>
            <w:r w:rsidR="00046BF0">
              <w:rPr>
                <w:noProof/>
                <w:webHidden/>
              </w:rPr>
              <w:fldChar w:fldCharType="separate"/>
            </w:r>
            <w:r w:rsidR="00046BF0">
              <w:rPr>
                <w:noProof/>
                <w:webHidden/>
              </w:rPr>
              <w:t>70</w:t>
            </w:r>
            <w:r w:rsidR="00046BF0">
              <w:rPr>
                <w:noProof/>
                <w:webHidden/>
              </w:rPr>
              <w:fldChar w:fldCharType="end"/>
            </w:r>
          </w:hyperlink>
        </w:p>
        <w:p w14:paraId="0D6B8EA6" w14:textId="165455C6"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49" w:history="1">
            <w:r w:rsidR="00046BF0" w:rsidRPr="00EA5B36">
              <w:rPr>
                <w:rStyle w:val="Hyperlink"/>
                <w:noProof/>
              </w:rPr>
              <w:t>5.8 Chapter summary</w:t>
            </w:r>
            <w:r w:rsidR="00046BF0">
              <w:rPr>
                <w:noProof/>
                <w:webHidden/>
              </w:rPr>
              <w:tab/>
            </w:r>
            <w:r w:rsidR="00046BF0">
              <w:rPr>
                <w:noProof/>
                <w:webHidden/>
              </w:rPr>
              <w:fldChar w:fldCharType="begin"/>
            </w:r>
            <w:r w:rsidR="00046BF0">
              <w:rPr>
                <w:noProof/>
                <w:webHidden/>
              </w:rPr>
              <w:instrText xml:space="preserve"> PAGEREF _Toc220833849 \h </w:instrText>
            </w:r>
            <w:r w:rsidR="00046BF0">
              <w:rPr>
                <w:noProof/>
                <w:webHidden/>
              </w:rPr>
            </w:r>
            <w:r w:rsidR="00046BF0">
              <w:rPr>
                <w:noProof/>
                <w:webHidden/>
              </w:rPr>
              <w:fldChar w:fldCharType="separate"/>
            </w:r>
            <w:r w:rsidR="00046BF0">
              <w:rPr>
                <w:noProof/>
                <w:webHidden/>
              </w:rPr>
              <w:t>71</w:t>
            </w:r>
            <w:r w:rsidR="00046BF0">
              <w:rPr>
                <w:noProof/>
                <w:webHidden/>
              </w:rPr>
              <w:fldChar w:fldCharType="end"/>
            </w:r>
          </w:hyperlink>
        </w:p>
        <w:p w14:paraId="724C2894" w14:textId="7C9AC488" w:rsidR="00046BF0" w:rsidRDefault="00410B6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0833850" w:history="1">
            <w:r w:rsidR="00046BF0" w:rsidRPr="00EA5B36">
              <w:rPr>
                <w:rStyle w:val="Hyperlink"/>
                <w:noProof/>
              </w:rPr>
              <w:t>CHAPTER 6: CONCLUSION</w:t>
            </w:r>
            <w:r w:rsidR="00046BF0">
              <w:rPr>
                <w:noProof/>
                <w:webHidden/>
              </w:rPr>
              <w:tab/>
            </w:r>
            <w:r w:rsidR="00046BF0">
              <w:rPr>
                <w:noProof/>
                <w:webHidden/>
              </w:rPr>
              <w:fldChar w:fldCharType="begin"/>
            </w:r>
            <w:r w:rsidR="00046BF0">
              <w:rPr>
                <w:noProof/>
                <w:webHidden/>
              </w:rPr>
              <w:instrText xml:space="preserve"> PAGEREF _Toc220833850 \h </w:instrText>
            </w:r>
            <w:r w:rsidR="00046BF0">
              <w:rPr>
                <w:noProof/>
                <w:webHidden/>
              </w:rPr>
            </w:r>
            <w:r w:rsidR="00046BF0">
              <w:rPr>
                <w:noProof/>
                <w:webHidden/>
              </w:rPr>
              <w:fldChar w:fldCharType="separate"/>
            </w:r>
            <w:r w:rsidR="00046BF0">
              <w:rPr>
                <w:noProof/>
                <w:webHidden/>
              </w:rPr>
              <w:t>71</w:t>
            </w:r>
            <w:r w:rsidR="00046BF0">
              <w:rPr>
                <w:noProof/>
                <w:webHidden/>
              </w:rPr>
              <w:fldChar w:fldCharType="end"/>
            </w:r>
          </w:hyperlink>
        </w:p>
        <w:p w14:paraId="6EBDB165" w14:textId="3ECB5474"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51" w:history="1">
            <w:r w:rsidR="00046BF0" w:rsidRPr="00EA5B36">
              <w:rPr>
                <w:rStyle w:val="Hyperlink"/>
                <w:noProof/>
              </w:rPr>
              <w:t>6.1 Conclusion overview</w:t>
            </w:r>
            <w:r w:rsidR="00046BF0">
              <w:rPr>
                <w:noProof/>
                <w:webHidden/>
              </w:rPr>
              <w:tab/>
            </w:r>
            <w:r w:rsidR="00046BF0">
              <w:rPr>
                <w:noProof/>
                <w:webHidden/>
              </w:rPr>
              <w:fldChar w:fldCharType="begin"/>
            </w:r>
            <w:r w:rsidR="00046BF0">
              <w:rPr>
                <w:noProof/>
                <w:webHidden/>
              </w:rPr>
              <w:instrText xml:space="preserve"> PAGEREF _Toc220833851 \h </w:instrText>
            </w:r>
            <w:r w:rsidR="00046BF0">
              <w:rPr>
                <w:noProof/>
                <w:webHidden/>
              </w:rPr>
            </w:r>
            <w:r w:rsidR="00046BF0">
              <w:rPr>
                <w:noProof/>
                <w:webHidden/>
              </w:rPr>
              <w:fldChar w:fldCharType="separate"/>
            </w:r>
            <w:r w:rsidR="00046BF0">
              <w:rPr>
                <w:noProof/>
                <w:webHidden/>
              </w:rPr>
              <w:t>71</w:t>
            </w:r>
            <w:r w:rsidR="00046BF0">
              <w:rPr>
                <w:noProof/>
                <w:webHidden/>
              </w:rPr>
              <w:fldChar w:fldCharType="end"/>
            </w:r>
          </w:hyperlink>
        </w:p>
        <w:p w14:paraId="7E4B64CD" w14:textId="08C3EFEB"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52" w:history="1">
            <w:r w:rsidR="00046BF0" w:rsidRPr="00EA5B36">
              <w:rPr>
                <w:rStyle w:val="Hyperlink"/>
                <w:noProof/>
              </w:rPr>
              <w:t>6.2 Linking to the study objectives</w:t>
            </w:r>
            <w:r w:rsidR="00046BF0">
              <w:rPr>
                <w:noProof/>
                <w:webHidden/>
              </w:rPr>
              <w:tab/>
            </w:r>
            <w:r w:rsidR="00046BF0">
              <w:rPr>
                <w:noProof/>
                <w:webHidden/>
              </w:rPr>
              <w:fldChar w:fldCharType="begin"/>
            </w:r>
            <w:r w:rsidR="00046BF0">
              <w:rPr>
                <w:noProof/>
                <w:webHidden/>
              </w:rPr>
              <w:instrText xml:space="preserve"> PAGEREF _Toc220833852 \h </w:instrText>
            </w:r>
            <w:r w:rsidR="00046BF0">
              <w:rPr>
                <w:noProof/>
                <w:webHidden/>
              </w:rPr>
            </w:r>
            <w:r w:rsidR="00046BF0">
              <w:rPr>
                <w:noProof/>
                <w:webHidden/>
              </w:rPr>
              <w:fldChar w:fldCharType="separate"/>
            </w:r>
            <w:r w:rsidR="00046BF0">
              <w:rPr>
                <w:noProof/>
                <w:webHidden/>
              </w:rPr>
              <w:t>71</w:t>
            </w:r>
            <w:r w:rsidR="00046BF0">
              <w:rPr>
                <w:noProof/>
                <w:webHidden/>
              </w:rPr>
              <w:fldChar w:fldCharType="end"/>
            </w:r>
          </w:hyperlink>
        </w:p>
        <w:p w14:paraId="2D670914" w14:textId="74C5C68B"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53" w:history="1">
            <w:r w:rsidR="00046BF0" w:rsidRPr="00EA5B36">
              <w:rPr>
                <w:rStyle w:val="Hyperlink"/>
                <w:noProof/>
              </w:rPr>
              <w:t>6.3 Key findings</w:t>
            </w:r>
            <w:r w:rsidR="00046BF0">
              <w:rPr>
                <w:noProof/>
                <w:webHidden/>
              </w:rPr>
              <w:tab/>
            </w:r>
            <w:r w:rsidR="00046BF0">
              <w:rPr>
                <w:noProof/>
                <w:webHidden/>
              </w:rPr>
              <w:fldChar w:fldCharType="begin"/>
            </w:r>
            <w:r w:rsidR="00046BF0">
              <w:rPr>
                <w:noProof/>
                <w:webHidden/>
              </w:rPr>
              <w:instrText xml:space="preserve"> PAGEREF _Toc220833853 \h </w:instrText>
            </w:r>
            <w:r w:rsidR="00046BF0">
              <w:rPr>
                <w:noProof/>
                <w:webHidden/>
              </w:rPr>
            </w:r>
            <w:r w:rsidR="00046BF0">
              <w:rPr>
                <w:noProof/>
                <w:webHidden/>
              </w:rPr>
              <w:fldChar w:fldCharType="separate"/>
            </w:r>
            <w:r w:rsidR="00046BF0">
              <w:rPr>
                <w:noProof/>
                <w:webHidden/>
              </w:rPr>
              <w:t>72</w:t>
            </w:r>
            <w:r w:rsidR="00046BF0">
              <w:rPr>
                <w:noProof/>
                <w:webHidden/>
              </w:rPr>
              <w:fldChar w:fldCharType="end"/>
            </w:r>
          </w:hyperlink>
        </w:p>
        <w:p w14:paraId="64D420CD" w14:textId="6418F01F"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54" w:history="1">
            <w:r w:rsidR="00046BF0" w:rsidRPr="00EA5B36">
              <w:rPr>
                <w:rStyle w:val="Hyperlink"/>
                <w:noProof/>
              </w:rPr>
              <w:t>Theme 1</w:t>
            </w:r>
            <w:r w:rsidR="00046BF0">
              <w:rPr>
                <w:noProof/>
                <w:webHidden/>
              </w:rPr>
              <w:tab/>
            </w:r>
            <w:r w:rsidR="00046BF0">
              <w:rPr>
                <w:noProof/>
                <w:webHidden/>
              </w:rPr>
              <w:fldChar w:fldCharType="begin"/>
            </w:r>
            <w:r w:rsidR="00046BF0">
              <w:rPr>
                <w:noProof/>
                <w:webHidden/>
              </w:rPr>
              <w:instrText xml:space="preserve"> PAGEREF _Toc220833854 \h </w:instrText>
            </w:r>
            <w:r w:rsidR="00046BF0">
              <w:rPr>
                <w:noProof/>
                <w:webHidden/>
              </w:rPr>
            </w:r>
            <w:r w:rsidR="00046BF0">
              <w:rPr>
                <w:noProof/>
                <w:webHidden/>
              </w:rPr>
              <w:fldChar w:fldCharType="separate"/>
            </w:r>
            <w:r w:rsidR="00046BF0">
              <w:rPr>
                <w:noProof/>
                <w:webHidden/>
              </w:rPr>
              <w:t>72</w:t>
            </w:r>
            <w:r w:rsidR="00046BF0">
              <w:rPr>
                <w:noProof/>
                <w:webHidden/>
              </w:rPr>
              <w:fldChar w:fldCharType="end"/>
            </w:r>
          </w:hyperlink>
        </w:p>
        <w:p w14:paraId="38FB3ED3" w14:textId="1BA557A0"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55" w:history="1">
            <w:r w:rsidR="00046BF0" w:rsidRPr="00EA5B36">
              <w:rPr>
                <w:rStyle w:val="Hyperlink"/>
                <w:noProof/>
              </w:rPr>
              <w:t>Theme 2</w:t>
            </w:r>
            <w:r w:rsidR="00046BF0">
              <w:rPr>
                <w:noProof/>
                <w:webHidden/>
              </w:rPr>
              <w:tab/>
            </w:r>
            <w:r w:rsidR="00046BF0">
              <w:rPr>
                <w:noProof/>
                <w:webHidden/>
              </w:rPr>
              <w:fldChar w:fldCharType="begin"/>
            </w:r>
            <w:r w:rsidR="00046BF0">
              <w:rPr>
                <w:noProof/>
                <w:webHidden/>
              </w:rPr>
              <w:instrText xml:space="preserve"> PAGEREF _Toc220833855 \h </w:instrText>
            </w:r>
            <w:r w:rsidR="00046BF0">
              <w:rPr>
                <w:noProof/>
                <w:webHidden/>
              </w:rPr>
            </w:r>
            <w:r w:rsidR="00046BF0">
              <w:rPr>
                <w:noProof/>
                <w:webHidden/>
              </w:rPr>
              <w:fldChar w:fldCharType="separate"/>
            </w:r>
            <w:r w:rsidR="00046BF0">
              <w:rPr>
                <w:noProof/>
                <w:webHidden/>
              </w:rPr>
              <w:t>73</w:t>
            </w:r>
            <w:r w:rsidR="00046BF0">
              <w:rPr>
                <w:noProof/>
                <w:webHidden/>
              </w:rPr>
              <w:fldChar w:fldCharType="end"/>
            </w:r>
          </w:hyperlink>
        </w:p>
        <w:p w14:paraId="19A60324" w14:textId="1BCBC41B" w:rsidR="00046BF0" w:rsidRDefault="00410B6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0833856" w:history="1">
            <w:r w:rsidR="00046BF0" w:rsidRPr="00EA5B36">
              <w:rPr>
                <w:rStyle w:val="Hyperlink"/>
                <w:noProof/>
              </w:rPr>
              <w:t>Theme 3</w:t>
            </w:r>
            <w:r w:rsidR="00046BF0">
              <w:rPr>
                <w:noProof/>
                <w:webHidden/>
              </w:rPr>
              <w:tab/>
            </w:r>
            <w:r w:rsidR="00046BF0">
              <w:rPr>
                <w:noProof/>
                <w:webHidden/>
              </w:rPr>
              <w:fldChar w:fldCharType="begin"/>
            </w:r>
            <w:r w:rsidR="00046BF0">
              <w:rPr>
                <w:noProof/>
                <w:webHidden/>
              </w:rPr>
              <w:instrText xml:space="preserve"> PAGEREF _Toc220833856 \h </w:instrText>
            </w:r>
            <w:r w:rsidR="00046BF0">
              <w:rPr>
                <w:noProof/>
                <w:webHidden/>
              </w:rPr>
            </w:r>
            <w:r w:rsidR="00046BF0">
              <w:rPr>
                <w:noProof/>
                <w:webHidden/>
              </w:rPr>
              <w:fldChar w:fldCharType="separate"/>
            </w:r>
            <w:r w:rsidR="00046BF0">
              <w:rPr>
                <w:noProof/>
                <w:webHidden/>
              </w:rPr>
              <w:t>73</w:t>
            </w:r>
            <w:r w:rsidR="00046BF0">
              <w:rPr>
                <w:noProof/>
                <w:webHidden/>
              </w:rPr>
              <w:fldChar w:fldCharType="end"/>
            </w:r>
          </w:hyperlink>
        </w:p>
        <w:p w14:paraId="10D3316E" w14:textId="6E2087B2"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57" w:history="1">
            <w:r w:rsidR="00046BF0" w:rsidRPr="00EA5B36">
              <w:rPr>
                <w:rStyle w:val="Hyperlink"/>
                <w:noProof/>
              </w:rPr>
              <w:t>6.4 Reflection on the review approach</w:t>
            </w:r>
            <w:r w:rsidR="00046BF0">
              <w:rPr>
                <w:noProof/>
                <w:webHidden/>
              </w:rPr>
              <w:tab/>
            </w:r>
            <w:r w:rsidR="00046BF0">
              <w:rPr>
                <w:noProof/>
                <w:webHidden/>
              </w:rPr>
              <w:fldChar w:fldCharType="begin"/>
            </w:r>
            <w:r w:rsidR="00046BF0">
              <w:rPr>
                <w:noProof/>
                <w:webHidden/>
              </w:rPr>
              <w:instrText xml:space="preserve"> PAGEREF _Toc220833857 \h </w:instrText>
            </w:r>
            <w:r w:rsidR="00046BF0">
              <w:rPr>
                <w:noProof/>
                <w:webHidden/>
              </w:rPr>
            </w:r>
            <w:r w:rsidR="00046BF0">
              <w:rPr>
                <w:noProof/>
                <w:webHidden/>
              </w:rPr>
              <w:fldChar w:fldCharType="separate"/>
            </w:r>
            <w:r w:rsidR="00046BF0">
              <w:rPr>
                <w:noProof/>
                <w:webHidden/>
              </w:rPr>
              <w:t>73</w:t>
            </w:r>
            <w:r w:rsidR="00046BF0">
              <w:rPr>
                <w:noProof/>
                <w:webHidden/>
              </w:rPr>
              <w:fldChar w:fldCharType="end"/>
            </w:r>
          </w:hyperlink>
        </w:p>
        <w:p w14:paraId="111C0907" w14:textId="0B8C087E"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58" w:history="1">
            <w:r w:rsidR="00046BF0" w:rsidRPr="00EA5B36">
              <w:rPr>
                <w:rStyle w:val="Hyperlink"/>
                <w:noProof/>
              </w:rPr>
              <w:t>6.5 Policy recommendations</w:t>
            </w:r>
            <w:r w:rsidR="00046BF0">
              <w:rPr>
                <w:noProof/>
                <w:webHidden/>
              </w:rPr>
              <w:tab/>
            </w:r>
            <w:r w:rsidR="00046BF0">
              <w:rPr>
                <w:noProof/>
                <w:webHidden/>
              </w:rPr>
              <w:fldChar w:fldCharType="begin"/>
            </w:r>
            <w:r w:rsidR="00046BF0">
              <w:rPr>
                <w:noProof/>
                <w:webHidden/>
              </w:rPr>
              <w:instrText xml:space="preserve"> PAGEREF _Toc220833858 \h </w:instrText>
            </w:r>
            <w:r w:rsidR="00046BF0">
              <w:rPr>
                <w:noProof/>
                <w:webHidden/>
              </w:rPr>
            </w:r>
            <w:r w:rsidR="00046BF0">
              <w:rPr>
                <w:noProof/>
                <w:webHidden/>
              </w:rPr>
              <w:fldChar w:fldCharType="separate"/>
            </w:r>
            <w:r w:rsidR="00046BF0">
              <w:rPr>
                <w:noProof/>
                <w:webHidden/>
              </w:rPr>
              <w:t>74</w:t>
            </w:r>
            <w:r w:rsidR="00046BF0">
              <w:rPr>
                <w:noProof/>
                <w:webHidden/>
              </w:rPr>
              <w:fldChar w:fldCharType="end"/>
            </w:r>
          </w:hyperlink>
        </w:p>
        <w:p w14:paraId="7B9310A1" w14:textId="10261652"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59" w:history="1">
            <w:r w:rsidR="00046BF0" w:rsidRPr="00EA5B36">
              <w:rPr>
                <w:rStyle w:val="Hyperlink"/>
                <w:noProof/>
              </w:rPr>
              <w:t>6.6 Recommendations for further studies</w:t>
            </w:r>
            <w:r w:rsidR="00046BF0">
              <w:rPr>
                <w:noProof/>
                <w:webHidden/>
              </w:rPr>
              <w:tab/>
            </w:r>
            <w:r w:rsidR="00046BF0">
              <w:rPr>
                <w:noProof/>
                <w:webHidden/>
              </w:rPr>
              <w:fldChar w:fldCharType="begin"/>
            </w:r>
            <w:r w:rsidR="00046BF0">
              <w:rPr>
                <w:noProof/>
                <w:webHidden/>
              </w:rPr>
              <w:instrText xml:space="preserve"> PAGEREF _Toc220833859 \h </w:instrText>
            </w:r>
            <w:r w:rsidR="00046BF0">
              <w:rPr>
                <w:noProof/>
                <w:webHidden/>
              </w:rPr>
            </w:r>
            <w:r w:rsidR="00046BF0">
              <w:rPr>
                <w:noProof/>
                <w:webHidden/>
              </w:rPr>
              <w:fldChar w:fldCharType="separate"/>
            </w:r>
            <w:r w:rsidR="00046BF0">
              <w:rPr>
                <w:noProof/>
                <w:webHidden/>
              </w:rPr>
              <w:t>75</w:t>
            </w:r>
            <w:r w:rsidR="00046BF0">
              <w:rPr>
                <w:noProof/>
                <w:webHidden/>
              </w:rPr>
              <w:fldChar w:fldCharType="end"/>
            </w:r>
          </w:hyperlink>
        </w:p>
        <w:p w14:paraId="53F1EE71" w14:textId="628D06F4" w:rsidR="00046BF0" w:rsidRDefault="00410B6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0833860" w:history="1">
            <w:r w:rsidR="00046BF0" w:rsidRPr="00EA5B36">
              <w:rPr>
                <w:rStyle w:val="Hyperlink"/>
                <w:noProof/>
              </w:rPr>
              <w:t>6.7 Conclusion</w:t>
            </w:r>
            <w:r w:rsidR="00046BF0">
              <w:rPr>
                <w:noProof/>
                <w:webHidden/>
              </w:rPr>
              <w:tab/>
            </w:r>
            <w:r w:rsidR="00046BF0">
              <w:rPr>
                <w:noProof/>
                <w:webHidden/>
              </w:rPr>
              <w:fldChar w:fldCharType="begin"/>
            </w:r>
            <w:r w:rsidR="00046BF0">
              <w:rPr>
                <w:noProof/>
                <w:webHidden/>
              </w:rPr>
              <w:instrText xml:space="preserve"> PAGEREF _Toc220833860 \h </w:instrText>
            </w:r>
            <w:r w:rsidR="00046BF0">
              <w:rPr>
                <w:noProof/>
                <w:webHidden/>
              </w:rPr>
            </w:r>
            <w:r w:rsidR="00046BF0">
              <w:rPr>
                <w:noProof/>
                <w:webHidden/>
              </w:rPr>
              <w:fldChar w:fldCharType="separate"/>
            </w:r>
            <w:r w:rsidR="00046BF0">
              <w:rPr>
                <w:noProof/>
                <w:webHidden/>
              </w:rPr>
              <w:t>75</w:t>
            </w:r>
            <w:r w:rsidR="00046BF0">
              <w:rPr>
                <w:noProof/>
                <w:webHidden/>
              </w:rPr>
              <w:fldChar w:fldCharType="end"/>
            </w:r>
          </w:hyperlink>
        </w:p>
        <w:p w14:paraId="03554BEE" w14:textId="4E4C066F" w:rsidR="00046BF0" w:rsidRDefault="00410B6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0833861" w:history="1">
            <w:r w:rsidR="00046BF0" w:rsidRPr="00EA5B36">
              <w:rPr>
                <w:rStyle w:val="Hyperlink"/>
                <w:noProof/>
              </w:rPr>
              <w:t>References</w:t>
            </w:r>
            <w:r w:rsidR="00046BF0">
              <w:rPr>
                <w:noProof/>
                <w:webHidden/>
              </w:rPr>
              <w:tab/>
            </w:r>
            <w:r w:rsidR="00046BF0">
              <w:rPr>
                <w:noProof/>
                <w:webHidden/>
              </w:rPr>
              <w:fldChar w:fldCharType="begin"/>
            </w:r>
            <w:r w:rsidR="00046BF0">
              <w:rPr>
                <w:noProof/>
                <w:webHidden/>
              </w:rPr>
              <w:instrText xml:space="preserve"> PAGEREF _Toc220833861 \h </w:instrText>
            </w:r>
            <w:r w:rsidR="00046BF0">
              <w:rPr>
                <w:noProof/>
                <w:webHidden/>
              </w:rPr>
            </w:r>
            <w:r w:rsidR="00046BF0">
              <w:rPr>
                <w:noProof/>
                <w:webHidden/>
              </w:rPr>
              <w:fldChar w:fldCharType="separate"/>
            </w:r>
            <w:r w:rsidR="00046BF0">
              <w:rPr>
                <w:noProof/>
                <w:webHidden/>
              </w:rPr>
              <w:t>76</w:t>
            </w:r>
            <w:r w:rsidR="00046BF0">
              <w:rPr>
                <w:noProof/>
                <w:webHidden/>
              </w:rPr>
              <w:fldChar w:fldCharType="end"/>
            </w:r>
          </w:hyperlink>
        </w:p>
        <w:p w14:paraId="69671CDA" w14:textId="7A4EABFE" w:rsidR="00726982" w:rsidRPr="00782D6D" w:rsidRDefault="00726982">
          <w:r w:rsidRPr="00782D6D">
            <w:rPr>
              <w:b/>
              <w:bCs/>
            </w:rPr>
            <w:fldChar w:fldCharType="end"/>
          </w:r>
        </w:p>
      </w:sdtContent>
    </w:sdt>
    <w:p w14:paraId="2E585C10" w14:textId="77777777" w:rsidR="00726982" w:rsidRPr="00782D6D" w:rsidRDefault="00726982">
      <w:pPr>
        <w:rPr>
          <w:b/>
          <w:bCs/>
          <w:sz w:val="32"/>
          <w:szCs w:val="32"/>
        </w:rPr>
      </w:pPr>
      <w:r w:rsidRPr="00782D6D">
        <w:br w:type="page"/>
      </w:r>
    </w:p>
    <w:p w14:paraId="71DA728E" w14:textId="64C9D760" w:rsidR="0034369D" w:rsidRPr="00782D6D" w:rsidRDefault="00726982">
      <w:pPr>
        <w:pStyle w:val="Heading1"/>
      </w:pPr>
      <w:bookmarkStart w:id="1" w:name="_Toc220833769"/>
      <w:r w:rsidRPr="00782D6D">
        <w:lastRenderedPageBreak/>
        <w:t>CHAPTER 1: INTRODUCTION</w:t>
      </w:r>
      <w:bookmarkEnd w:id="1"/>
      <w:r w:rsidRPr="00782D6D">
        <w:t xml:space="preserve"> </w:t>
      </w:r>
    </w:p>
    <w:p w14:paraId="71DA728F" w14:textId="77777777" w:rsidR="0034369D" w:rsidRPr="00782D6D" w:rsidRDefault="00726982">
      <w:pPr>
        <w:pStyle w:val="Heading2"/>
      </w:pPr>
      <w:bookmarkStart w:id="2" w:name="_h2eootjv2djz" w:colFirst="0" w:colLast="0"/>
      <w:bookmarkStart w:id="3" w:name="_Toc220833770"/>
      <w:bookmarkEnd w:id="2"/>
      <w:r w:rsidRPr="00782D6D">
        <w:t>1.1 Background to the Study</w:t>
      </w:r>
      <w:bookmarkEnd w:id="3"/>
    </w:p>
    <w:p w14:paraId="71DA7290" w14:textId="77777777" w:rsidR="0034369D" w:rsidRPr="00782D6D" w:rsidRDefault="00726982">
      <w:r w:rsidRPr="00782D6D">
        <w:t>Urinary tract infections (UTIs) are among the leading bacterial infections in women worldwide, the diagnosis of which is most often associated with the ascent of the uropathogens, including Escherichia coli, into the urethra and bladder (Flores-Mireles et al., 2015). UTIs can be acute infections that are usually cystitis or recurrent UTIs that are clinically defined as having at least two infections in 6 months or 3 in a year (Nicolle, 2008). Recurrent UTIs are a major challenge because of persistent symptoms and poor quality of life, as well as increased healthcare utilisation. Globally, more than 50-60% of women experience at least one UTI in their lifetime, and about 20-30% develop recurrent infections (WHO, 2023; Medina &amp; Castillo-Pino, 2019). In the United Kingdom, millions of primary care consultations each year are due to UTIs, and it is a leading cause for antibiotic prescriptions in adult women (NICE, 2018). Women are disproportionately affected because of the anatomical factors (i.e. shorter urethra, proximity of the urethral meatus to the anus) and hormonal changes that affect the vaginal microbiota (especially after menopause) (Hooton, 2012). Healthcare utilisation continues to increase, with rising general practitioners (GPs) visits, diagnostic testing and hospital admissions for complicated UTIs, in particular in older women (UKHSA, 2014). Importantly, UTIs greatly contribute to the burden of antimicrobial resistance (AMR), as they are one of the most frequent reasons for community antibiotic prescriptions (Costelloe et al., 2010). Consequently, the strengthening of preventive strategies and the promotion of early management in the adult female population is a critical public health priority.</w:t>
      </w:r>
    </w:p>
    <w:p w14:paraId="71DA7291" w14:textId="77777777" w:rsidR="0034369D" w:rsidRPr="00782D6D" w:rsidRDefault="00726982">
      <w:pPr>
        <w:pStyle w:val="Heading2"/>
      </w:pPr>
      <w:bookmarkStart w:id="4" w:name="_ceml48fqln61" w:colFirst="0" w:colLast="0"/>
      <w:bookmarkStart w:id="5" w:name="_Toc220833771"/>
      <w:bookmarkEnd w:id="4"/>
      <w:r w:rsidRPr="00782D6D">
        <w:t>1.2 Problem Statement</w:t>
      </w:r>
      <w:bookmarkEnd w:id="5"/>
    </w:p>
    <w:p w14:paraId="71DA7292" w14:textId="77777777" w:rsidR="0034369D" w:rsidRPr="00782D6D" w:rsidRDefault="00726982">
      <w:r w:rsidRPr="00782D6D">
        <w:t xml:space="preserve">UTIs in adult women continue to be a persistent public health issue because of their high prevalence, high recurrence rates and inconsistent results for prevention in different studies (Nicolle, 2008). There remain evidence gaps as to the relative importance of modifiable and non-modifiable risk factors to enable targeted interventions. Additionally, the guidelines for prevention are not uniform, with variations in clinical recommendations and limited consensus on the use of non-antibiotic strategies (NICE, 2018). The burden of this is significant on healthcare systems, </w:t>
      </w:r>
      <w:r w:rsidRPr="00782D6D">
        <w:lastRenderedPageBreak/>
        <w:t>which contributes towards increased costs, workforce burden and high antibiotic prescribing (Costelloe et al., 2010). Social care impacts include lower quality of life, reduced productivity and increased vulnerability for older women (Hooton, 2012).</w:t>
      </w:r>
    </w:p>
    <w:p w14:paraId="71DA7293" w14:textId="77777777" w:rsidR="0034369D" w:rsidRPr="00782D6D" w:rsidRDefault="00726982">
      <w:pPr>
        <w:pStyle w:val="Heading2"/>
      </w:pPr>
      <w:bookmarkStart w:id="6" w:name="_4tqj1gkt6z6f" w:colFirst="0" w:colLast="0"/>
      <w:bookmarkStart w:id="7" w:name="_Toc220833772"/>
      <w:bookmarkEnd w:id="6"/>
      <w:r w:rsidRPr="00782D6D">
        <w:t>1.3 Prevalence of the Problem in Health and Social Care</w:t>
      </w:r>
      <w:bookmarkEnd w:id="7"/>
    </w:p>
    <w:p w14:paraId="71DA7294" w14:textId="77777777" w:rsidR="0034369D" w:rsidRPr="00782D6D" w:rsidRDefault="00726982">
      <w:r w:rsidRPr="00782D6D">
        <w:t>UTIs affect the global female population of 50-60% at least once in their lifetime, of which 20-30% are recurrent (WHO, 2023; Medina &amp; Castillo-Pino, 2019). In the UK, UTIs represent millions of consultations annually with the NHS and significant antibiotic usage (NHS, 2022). Prevalence is highest in adult women and is considerably higher in post-menopausal and older populations due to hormonal and physiological changes (Hooton, 2012). Socioeconomic inequalities also influence susceptibility and access to care in a timely manner. Frequent antibiotic prescribing is a factor in the increasing antimicrobial resistance (UKHSA, 2014). Among older people, UTIs are associated with increased morbidity, such as delirium and the risk of hospitalisation, which have serious public health implications.</w:t>
      </w:r>
    </w:p>
    <w:p w14:paraId="71DA7295" w14:textId="77777777" w:rsidR="0034369D" w:rsidRPr="00782D6D" w:rsidRDefault="00726982">
      <w:pPr>
        <w:jc w:val="center"/>
      </w:pPr>
      <w:r w:rsidRPr="00782D6D">
        <w:rPr>
          <w:noProof/>
          <w:lang w:val="en-IN" w:eastAsia="en-IN"/>
        </w:rPr>
        <w:drawing>
          <wp:inline distT="114300" distB="114300" distL="114300" distR="114300" wp14:anchorId="71DA72F2" wp14:editId="71DA72F3">
            <wp:extent cx="5943600" cy="24384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943600" cy="2438400"/>
                    </a:xfrm>
                    <a:prstGeom prst="rect">
                      <a:avLst/>
                    </a:prstGeom>
                    <a:ln/>
                  </pic:spPr>
                </pic:pic>
              </a:graphicData>
            </a:graphic>
          </wp:inline>
        </w:drawing>
      </w:r>
    </w:p>
    <w:p w14:paraId="71DA7296" w14:textId="77777777" w:rsidR="0034369D" w:rsidRPr="00782D6D" w:rsidRDefault="00726982">
      <w:pPr>
        <w:jc w:val="center"/>
      </w:pPr>
      <w:r w:rsidRPr="00782D6D">
        <w:t>Figure 1: Global age-standardised rates of urinary tract infections by age and sex in 2021</w:t>
      </w:r>
    </w:p>
    <w:p w14:paraId="71DA7297" w14:textId="77777777" w:rsidR="0034369D" w:rsidRPr="00782D6D" w:rsidRDefault="00726982">
      <w:pPr>
        <w:jc w:val="center"/>
      </w:pPr>
      <w:r w:rsidRPr="00782D6D">
        <w:t>(He et al., 2025)</w:t>
      </w:r>
    </w:p>
    <w:p w14:paraId="71DA7298" w14:textId="77777777" w:rsidR="0034369D" w:rsidRPr="00782D6D" w:rsidRDefault="00726982">
      <w:pPr>
        <w:pStyle w:val="Heading2"/>
      </w:pPr>
      <w:bookmarkStart w:id="8" w:name="_daha58f0ilzi" w:colFirst="0" w:colLast="0"/>
      <w:bookmarkStart w:id="9" w:name="_Toc220833773"/>
      <w:bookmarkEnd w:id="8"/>
      <w:r w:rsidRPr="00782D6D">
        <w:t>1.4 Rationale for the Study</w:t>
      </w:r>
      <w:bookmarkEnd w:id="9"/>
    </w:p>
    <w:p w14:paraId="71DA7299" w14:textId="77777777" w:rsidR="0034369D" w:rsidRPr="00782D6D" w:rsidRDefault="00726982">
      <w:r w:rsidRPr="00782D6D">
        <w:t xml:space="preserve">Adult women are at greater risk for UTI because of anatomical vulnerability, hormonal variations and behavioural exposures (Gupta et al., 2017). Recurrent UTIs need to be further investigated as they cause persistent symptoms, poor quality of life and increasing healthcare utilisation (Nicolle, </w:t>
      </w:r>
      <w:r w:rsidRPr="00782D6D">
        <w:lastRenderedPageBreak/>
        <w:t>2008). The increasing threat of antimicrobial resistance has heightened the interest in the effective use of non-antibiotic preventative strategies (UKHSA, 2014). Existing literature is currently not consistent, with uncertainty regarding the comparative contribution of modifiable and biological risk factors, and mixed evidence regarding the outcomes of prevention. A systematic review is a rigorous and transparent way of synthesising the findings, identifying gaps in knowledge and evidence-based practice.</w:t>
      </w:r>
    </w:p>
    <w:p w14:paraId="71DA729A" w14:textId="77777777" w:rsidR="0034369D" w:rsidRPr="00782D6D" w:rsidRDefault="00726982">
      <w:pPr>
        <w:pStyle w:val="Heading2"/>
      </w:pPr>
      <w:bookmarkStart w:id="10" w:name="_6abusudb5d1c" w:colFirst="0" w:colLast="0"/>
      <w:bookmarkStart w:id="11" w:name="_Toc220833774"/>
      <w:bookmarkEnd w:id="10"/>
      <w:r w:rsidRPr="00782D6D">
        <w:t>1.5 Research Aim</w:t>
      </w:r>
      <w:bookmarkEnd w:id="11"/>
    </w:p>
    <w:p w14:paraId="71DA729B" w14:textId="77777777" w:rsidR="0034369D" w:rsidRPr="00782D6D" w:rsidRDefault="00726982">
      <w:r w:rsidRPr="00782D6D">
        <w:t>The aim of the study is to investigate the key risk factors associated with UTIs in adult women and explore effective prevention methods to reduce their occurrence.</w:t>
      </w:r>
    </w:p>
    <w:p w14:paraId="71DA729C" w14:textId="77777777" w:rsidR="0034369D" w:rsidRPr="00782D6D" w:rsidRDefault="00726982">
      <w:pPr>
        <w:pStyle w:val="Heading2"/>
      </w:pPr>
      <w:bookmarkStart w:id="12" w:name="_i9s5le696r1i" w:colFirst="0" w:colLast="0"/>
      <w:bookmarkStart w:id="13" w:name="_Toc220833775"/>
      <w:bookmarkEnd w:id="12"/>
      <w:r w:rsidRPr="00782D6D">
        <w:t>1.6 Research Question</w:t>
      </w:r>
      <w:bookmarkEnd w:id="13"/>
    </w:p>
    <w:p w14:paraId="71DA729D" w14:textId="77777777" w:rsidR="0034369D" w:rsidRPr="00782D6D" w:rsidRDefault="00726982">
      <w:r w:rsidRPr="00782D6D">
        <w:t>What are the common risk factors contributing to urinary tract infections (UTIs) in adult women, and what prevention strategies are most effective?</w:t>
      </w:r>
    </w:p>
    <w:p w14:paraId="71DA729E" w14:textId="77777777" w:rsidR="0034369D" w:rsidRPr="00782D6D" w:rsidRDefault="00726982">
      <w:pPr>
        <w:pStyle w:val="Heading2"/>
      </w:pPr>
      <w:bookmarkStart w:id="14" w:name="_ylkzwam322ho" w:colFirst="0" w:colLast="0"/>
      <w:bookmarkStart w:id="15" w:name="_Toc220833776"/>
      <w:bookmarkEnd w:id="14"/>
      <w:r w:rsidRPr="00782D6D">
        <w:t>1.7 Research Objectives</w:t>
      </w:r>
      <w:bookmarkEnd w:id="15"/>
    </w:p>
    <w:p w14:paraId="71DA729F" w14:textId="77777777" w:rsidR="0034369D" w:rsidRPr="00782D6D" w:rsidRDefault="00726982">
      <w:pPr>
        <w:numPr>
          <w:ilvl w:val="0"/>
          <w:numId w:val="1"/>
        </w:numPr>
      </w:pPr>
      <w:r w:rsidRPr="00782D6D">
        <w:t>To identify the most common risk factors leading to UTIs in adult women.</w:t>
      </w:r>
    </w:p>
    <w:p w14:paraId="71DA72A0" w14:textId="77777777" w:rsidR="0034369D" w:rsidRPr="00782D6D" w:rsidRDefault="00726982">
      <w:pPr>
        <w:numPr>
          <w:ilvl w:val="0"/>
          <w:numId w:val="1"/>
        </w:numPr>
      </w:pPr>
      <w:r w:rsidRPr="00782D6D">
        <w:t>To assess the prevalence of UTIs among adult women within a defined population or setting.</w:t>
      </w:r>
    </w:p>
    <w:p w14:paraId="71DA72A1" w14:textId="77777777" w:rsidR="0034369D" w:rsidRPr="00782D6D" w:rsidRDefault="00726982">
      <w:pPr>
        <w:numPr>
          <w:ilvl w:val="0"/>
          <w:numId w:val="1"/>
        </w:numPr>
      </w:pPr>
      <w:r w:rsidRPr="00782D6D">
        <w:t>To evaluate the effectiveness of current prevention and management strategies for UTIs in adult women.</w:t>
      </w:r>
    </w:p>
    <w:p w14:paraId="71DA72A2" w14:textId="77777777" w:rsidR="0034369D" w:rsidRPr="00782D6D" w:rsidRDefault="00726982">
      <w:pPr>
        <w:pStyle w:val="Heading2"/>
      </w:pPr>
      <w:bookmarkStart w:id="16" w:name="_jarnmlimctr4" w:colFirst="0" w:colLast="0"/>
      <w:bookmarkStart w:id="17" w:name="_Toc220833777"/>
      <w:bookmarkEnd w:id="16"/>
      <w:r w:rsidRPr="00782D6D">
        <w:t>1.8 Scope of the Study</w:t>
      </w:r>
      <w:bookmarkEnd w:id="17"/>
    </w:p>
    <w:p w14:paraId="71DA72A3" w14:textId="77777777" w:rsidR="0034369D" w:rsidRPr="00782D6D" w:rsidRDefault="00726982">
      <w:r w:rsidRPr="00782D6D">
        <w:t xml:space="preserve">This study has targeted women in adulthood from 18 years and above with factors that affect UTI prevalence and prevention in the UK population. Although based in the United Kingdom, the review draws on global evidence to improve the context. Literature published from 2013 to 2024 is included to ensure contemporary relevance. Primary outcomes assessed are prevalence trends, risk factors and effectiveness of prevention strategies. Eligible study designs include quantitative, qualitative and mixed-methods research. This scope provides a comprehensive yet clearly defined </w:t>
      </w:r>
      <w:r w:rsidRPr="00782D6D">
        <w:lastRenderedPageBreak/>
        <w:t>evidence base for rigorous synthesis to be conducted and for the dissertation requirements to be met.</w:t>
      </w:r>
    </w:p>
    <w:p w14:paraId="71DA72A4" w14:textId="77777777" w:rsidR="0034369D" w:rsidRPr="00782D6D" w:rsidRDefault="00726982">
      <w:pPr>
        <w:pStyle w:val="Heading2"/>
      </w:pPr>
      <w:bookmarkStart w:id="18" w:name="_9y0mtci2j0ux" w:colFirst="0" w:colLast="0"/>
      <w:bookmarkStart w:id="19" w:name="_Toc220833778"/>
      <w:bookmarkEnd w:id="18"/>
      <w:r w:rsidRPr="00782D6D">
        <w:t>1.9 Overview of Dissertation Structure</w:t>
      </w:r>
      <w:bookmarkEnd w:id="19"/>
    </w:p>
    <w:p w14:paraId="71DA72A5" w14:textId="77777777" w:rsidR="0034369D" w:rsidRPr="00782D6D" w:rsidRDefault="00726982">
      <w:r w:rsidRPr="00782D6D">
        <w:t>Chapter 1 presents the introduction of the study, stating its aim and objectives, and also the background of the study. Chapter 2 is a critical review of existing literature, identifying theoretical concepts, empirical findings and research gaps. Chapter 3 describes the methodology of the systematic review process, including search strategy, eligibility criteria, and quality appraisal processes. Chapter 4 presents the synthesis of included studies and summarises key results. Chapter 5 is a detailed discussion, interpreting the findings in relation to existing evidence, theory and public health implications. Chapter 6 concludes the dissertation by summarising overall insights and making recommendations for practice and future research.</w:t>
      </w:r>
    </w:p>
    <w:p w14:paraId="71DA72A6" w14:textId="77777777" w:rsidR="0034369D" w:rsidRPr="00782D6D" w:rsidRDefault="00726982">
      <w:pPr>
        <w:pStyle w:val="Heading1"/>
      </w:pPr>
      <w:bookmarkStart w:id="20" w:name="_hpuy3zv39byh" w:colFirst="0" w:colLast="0"/>
      <w:bookmarkStart w:id="21" w:name="_Toc220833779"/>
      <w:bookmarkEnd w:id="20"/>
      <w:r w:rsidRPr="00782D6D">
        <w:t>CHAPTER 2: LITERATURE REVIEW</w:t>
      </w:r>
      <w:bookmarkEnd w:id="21"/>
      <w:r w:rsidRPr="00782D6D">
        <w:t xml:space="preserve"> </w:t>
      </w:r>
    </w:p>
    <w:p w14:paraId="71DA72A7" w14:textId="77777777" w:rsidR="0034369D" w:rsidRPr="00782D6D" w:rsidRDefault="00726982">
      <w:pPr>
        <w:pStyle w:val="Heading2"/>
      </w:pPr>
      <w:bookmarkStart w:id="22" w:name="_5ziidp5oy145" w:colFirst="0" w:colLast="0"/>
      <w:bookmarkStart w:id="23" w:name="_Toc220833780"/>
      <w:bookmarkEnd w:id="22"/>
      <w:r w:rsidRPr="00782D6D">
        <w:t>2.1 Introduction to the Literature Review</w:t>
      </w:r>
      <w:bookmarkEnd w:id="23"/>
    </w:p>
    <w:p w14:paraId="71DA72A8" w14:textId="77777777" w:rsidR="0034369D" w:rsidRPr="00782D6D" w:rsidRDefault="00726982">
      <w:r w:rsidRPr="00782D6D">
        <w:t>This chapter critically reviews the epidemiology, risk factors and prevention strategies related to urinary tract infections (UTIs) in adult women, using up-to-date academic evidence to establish the complexity and public health relevance of the condition in adult women. It synthesises biological, behavioural, clinical and social determinants to give a multidimensional understanding of susceptibility and recurrence. The chapter also examines current preventive interventions, identifying weaknesses, limitations, and inconsistencies in the literature. Through critical appraisal and engagement with already established theoretical models, the chapter develops a coherent foundation to justify the need for a systematic review to address persistent evidence gaps.</w:t>
      </w:r>
    </w:p>
    <w:p w14:paraId="71DA72A9" w14:textId="77777777" w:rsidR="0034369D" w:rsidRPr="00782D6D" w:rsidRDefault="00726982">
      <w:pPr>
        <w:pStyle w:val="Heading2"/>
      </w:pPr>
      <w:bookmarkStart w:id="24" w:name="_vlnd0pa97a4h" w:colFirst="0" w:colLast="0"/>
      <w:bookmarkStart w:id="25" w:name="_Toc220833781"/>
      <w:bookmarkEnd w:id="24"/>
      <w:r w:rsidRPr="00782D6D">
        <w:t>2.2 Epidemiology of UTIs in Adult Women</w:t>
      </w:r>
      <w:bookmarkEnd w:id="25"/>
    </w:p>
    <w:p w14:paraId="71DA72AA" w14:textId="77777777" w:rsidR="0034369D" w:rsidRPr="00782D6D" w:rsidRDefault="00726982">
      <w:r w:rsidRPr="00782D6D">
        <w:t xml:space="preserve">Urinary tract infections (UTIs) are very common: in fact, it is estimated that 50-60% of women will experience at least one UTI during their lives, with 20-30% developing recurring episodes (two or more in six months or three or more in 12 months) (WHO, 2023; Nicolle, 2008). In the UK, millions of primary care consultations are generated each year due to UTIs, and they are a </w:t>
      </w:r>
      <w:r w:rsidRPr="00782D6D">
        <w:lastRenderedPageBreak/>
        <w:t>major reason for prescribing antibiotics in the community (NHS, 2022; UKHSA, 2014). Age stratification demonstrates high incidence in sexually active younger women, a marked peak in peri-menopausal transition due to behavioural and hormonal factors and higher rates of complicated infections and hospitalisation in post-menopausal and in older women (Hooton, 2012; Medina &amp; Castillo-Pino, 2019). Reported recurrence rates are subject to heterogeneity based on study design and population due to heterogeneity in definitions and follow-up (Nicolle, 2008). Risk is concentrated in subgroups - frequent sexual activity, spermicidal contraception, diabetes, urinary incontinence, and catheter use - and is modified by socioeconomic determinants that affect health literacy and access to care (Gupta et al., 2017). Patterns of healthcare utilisation show high levels of diagnostic testing, empiric prescribing, and some referral to specialists, which contribute to antimicrobial selection pressure in the community (Costelloe et al., 2010). Interpretation of epidemiological estimates is hampered by methodological variability (self-report, administrative coding), geographic heterogeneity, and under-reporting of asymptomatic or self-treated cases.</w:t>
      </w:r>
    </w:p>
    <w:p w14:paraId="71DA72AB" w14:textId="77777777" w:rsidR="0034369D" w:rsidRPr="00782D6D" w:rsidRDefault="00726982">
      <w:pPr>
        <w:jc w:val="center"/>
      </w:pPr>
      <w:r w:rsidRPr="00782D6D">
        <w:rPr>
          <w:noProof/>
          <w:lang w:val="en-IN" w:eastAsia="en-IN"/>
        </w:rPr>
        <w:lastRenderedPageBreak/>
        <w:drawing>
          <wp:inline distT="114300" distB="114300" distL="114300" distR="114300" wp14:anchorId="71DA72F4" wp14:editId="71DA72F5">
            <wp:extent cx="5943600" cy="6400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6400800"/>
                    </a:xfrm>
                    <a:prstGeom prst="rect">
                      <a:avLst/>
                    </a:prstGeom>
                    <a:ln/>
                  </pic:spPr>
                </pic:pic>
              </a:graphicData>
            </a:graphic>
          </wp:inline>
        </w:drawing>
      </w:r>
    </w:p>
    <w:p w14:paraId="71DA72AC" w14:textId="77777777" w:rsidR="0034369D" w:rsidRPr="00782D6D" w:rsidRDefault="00726982">
      <w:pPr>
        <w:jc w:val="center"/>
      </w:pPr>
      <w:r w:rsidRPr="00782D6D">
        <w:t>Figure 2: Epidemiology of UTI</w:t>
      </w:r>
    </w:p>
    <w:p w14:paraId="71DA72AD" w14:textId="77777777" w:rsidR="0034369D" w:rsidRPr="00782D6D" w:rsidRDefault="00726982">
      <w:pPr>
        <w:jc w:val="center"/>
      </w:pPr>
      <w:r w:rsidRPr="00782D6D">
        <w:t>(Foxman, 2010)</w:t>
      </w:r>
    </w:p>
    <w:p w14:paraId="71DA72AE" w14:textId="77777777" w:rsidR="0034369D" w:rsidRPr="00782D6D" w:rsidRDefault="00726982">
      <w:pPr>
        <w:pStyle w:val="Heading2"/>
      </w:pPr>
      <w:bookmarkStart w:id="26" w:name="_2wkg97ui01gt" w:colFirst="0" w:colLast="0"/>
      <w:bookmarkStart w:id="27" w:name="_Toc220833782"/>
      <w:bookmarkEnd w:id="26"/>
      <w:r w:rsidRPr="00782D6D">
        <w:lastRenderedPageBreak/>
        <w:t>2.3 Risk Factors for UTIs in Adult Women</w:t>
      </w:r>
      <w:bookmarkEnd w:id="27"/>
    </w:p>
    <w:p w14:paraId="71DA72AF" w14:textId="77777777" w:rsidR="0034369D" w:rsidRPr="00782D6D" w:rsidRDefault="00726982">
      <w:pPr>
        <w:pStyle w:val="Heading3"/>
        <w:rPr>
          <w:color w:val="000000"/>
        </w:rPr>
      </w:pPr>
      <w:bookmarkStart w:id="28" w:name="_o8eygq2i5xhx" w:colFirst="0" w:colLast="0"/>
      <w:bookmarkStart w:id="29" w:name="_Toc220833783"/>
      <w:bookmarkEnd w:id="28"/>
      <w:r w:rsidRPr="00782D6D">
        <w:rPr>
          <w:color w:val="000000"/>
        </w:rPr>
        <w:t>2.3.1 Biological/Physiological Risk Factors</w:t>
      </w:r>
      <w:bookmarkEnd w:id="29"/>
    </w:p>
    <w:p w14:paraId="71DA72B0" w14:textId="77777777" w:rsidR="0034369D" w:rsidRPr="00782D6D" w:rsidRDefault="00726982">
      <w:r w:rsidRPr="00782D6D">
        <w:t xml:space="preserve">Anatomical factors are still a major cause of female susceptibility: the relative shortness of the urethra and its proximity to the perineum make ascending infection with enteric bacteria, most commonly </w:t>
      </w:r>
      <w:r w:rsidRPr="00782D6D">
        <w:rPr>
          <w:i/>
          <w:iCs/>
        </w:rPr>
        <w:t>E. coli</w:t>
      </w:r>
      <w:r w:rsidRPr="00782D6D">
        <w:t>, very easy (Flores-Mireles et al., 2015). Hormonal transitions - particularly the oestrogen deficiency of the peri- and post-menopausal years - result in changes to urogenital mucosa and low lactobacilli in the vaginal niche, favouring an elevated colonisation of uropathogens and predisposition to symptomatic infection (Hooton, 2012). Disruption of the vaginal and peri-urethral microbiome (loss of protective lactobacilli, overgrowth of Enterobacteriaceae) is increasingly recognised as a mechanistic mediator of susceptibility and recurrence (Flores-Mireles et al., 2015). Familial aggregation and twin studies indicate a slight genetic predisposition (host innate immunity and urothelial receptor variability), although the genetic effects are variable and incompletely characterised (Foxman, 2014).</w:t>
      </w:r>
    </w:p>
    <w:p w14:paraId="71DA72B1" w14:textId="77777777" w:rsidR="0034369D" w:rsidRPr="00782D6D" w:rsidRDefault="00726982">
      <w:pPr>
        <w:jc w:val="center"/>
      </w:pPr>
      <w:r w:rsidRPr="00782D6D">
        <w:rPr>
          <w:noProof/>
          <w:lang w:val="en-IN" w:eastAsia="en-IN"/>
        </w:rPr>
        <w:lastRenderedPageBreak/>
        <w:drawing>
          <wp:inline distT="114300" distB="114300" distL="114300" distR="114300" wp14:anchorId="71DA72F6" wp14:editId="71DA72F7">
            <wp:extent cx="5943600" cy="60960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6096000"/>
                    </a:xfrm>
                    <a:prstGeom prst="rect">
                      <a:avLst/>
                    </a:prstGeom>
                    <a:ln/>
                  </pic:spPr>
                </pic:pic>
              </a:graphicData>
            </a:graphic>
          </wp:inline>
        </w:drawing>
      </w:r>
    </w:p>
    <w:p w14:paraId="71DA72B2" w14:textId="77777777" w:rsidR="0034369D" w:rsidRPr="00782D6D" w:rsidRDefault="00726982">
      <w:pPr>
        <w:jc w:val="center"/>
      </w:pPr>
      <w:r w:rsidRPr="00782D6D">
        <w:t>Figure 3: Risk Factors and routes of infection of UTI</w:t>
      </w:r>
    </w:p>
    <w:p w14:paraId="71DA72B3" w14:textId="77777777" w:rsidR="0034369D" w:rsidRPr="00782D6D" w:rsidRDefault="00726982">
      <w:pPr>
        <w:jc w:val="center"/>
      </w:pPr>
      <w:r w:rsidRPr="00782D6D">
        <w:t>(Sujith, Solomon and Bosco, 2024)</w:t>
      </w:r>
    </w:p>
    <w:p w14:paraId="71DA72B4" w14:textId="77777777" w:rsidR="0034369D" w:rsidRPr="00782D6D" w:rsidRDefault="00726982">
      <w:pPr>
        <w:pStyle w:val="Heading3"/>
      </w:pPr>
      <w:bookmarkStart w:id="30" w:name="_lfblm0u47fin" w:colFirst="0" w:colLast="0"/>
      <w:bookmarkStart w:id="31" w:name="_Toc220833784"/>
      <w:bookmarkEnd w:id="30"/>
      <w:r w:rsidRPr="00782D6D">
        <w:t>2.3.2 Behavioural and Lifestyle Factors</w:t>
      </w:r>
      <w:bookmarkEnd w:id="31"/>
    </w:p>
    <w:p w14:paraId="71DA72B5" w14:textId="77777777" w:rsidR="0034369D" w:rsidRPr="00782D6D" w:rsidRDefault="00726982">
      <w:r w:rsidRPr="00782D6D">
        <w:t xml:space="preserve">Behavioural exposures substantially modify risk: frequency of sexual activity and new sexual partners increase the introduction of bacteria into the urethra; post-coital episodes are a well-established trigger (Foxman, 2014). Use of spermicidal agents causes changes in the vaginal microbial flora and is related to an increased risk of UTI when compared with other types of </w:t>
      </w:r>
      <w:r w:rsidRPr="00782D6D">
        <w:lastRenderedPageBreak/>
        <w:t>contraception (Gupta et al., 2017). Personal hygiene behaviour, toileting habits (e.g. wiping front to back), and fluid intake pattern influence the dilution of urine and bacterial clearance. Although many of the recommendations for behavioural change are based on observational studies of varying quality. Tight or non-breathable clothing that encourages moisture may also play an indirect role in this problem through alterations of local microenvironments (Hooton, 2012).</w:t>
      </w:r>
    </w:p>
    <w:p w14:paraId="71DA72B6" w14:textId="77777777" w:rsidR="0034369D" w:rsidRPr="00782D6D" w:rsidRDefault="00726982">
      <w:pPr>
        <w:spacing w:after="240"/>
        <w:jc w:val="center"/>
      </w:pPr>
      <w:r w:rsidRPr="00782D6D">
        <w:rPr>
          <w:noProof/>
          <w:lang w:val="en-IN" w:eastAsia="en-IN"/>
        </w:rPr>
        <w:drawing>
          <wp:inline distT="114300" distB="114300" distL="114300" distR="114300" wp14:anchorId="71DA72F8" wp14:editId="71DA72F9">
            <wp:extent cx="5943600" cy="56007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5600700"/>
                    </a:xfrm>
                    <a:prstGeom prst="rect">
                      <a:avLst/>
                    </a:prstGeom>
                    <a:ln/>
                  </pic:spPr>
                </pic:pic>
              </a:graphicData>
            </a:graphic>
          </wp:inline>
        </w:drawing>
      </w:r>
    </w:p>
    <w:p w14:paraId="71DA72B7" w14:textId="77777777" w:rsidR="0034369D" w:rsidRPr="00782D6D" w:rsidRDefault="00726982">
      <w:pPr>
        <w:jc w:val="center"/>
      </w:pPr>
      <w:r w:rsidRPr="00782D6D">
        <w:t>Figure 4: Factors that Have Defined High-risk Sexual Behavior</w:t>
      </w:r>
    </w:p>
    <w:p w14:paraId="71DA72B8" w14:textId="77777777" w:rsidR="0034369D" w:rsidRPr="00782D6D" w:rsidRDefault="00726982">
      <w:pPr>
        <w:jc w:val="center"/>
      </w:pPr>
      <w:r w:rsidRPr="00782D6D">
        <w:t>(Chawla and Sarkar, 2019)</w:t>
      </w:r>
    </w:p>
    <w:p w14:paraId="71DA72B9" w14:textId="77777777" w:rsidR="0034369D" w:rsidRPr="00782D6D" w:rsidRDefault="00726982">
      <w:pPr>
        <w:pStyle w:val="Heading3"/>
      </w:pPr>
      <w:bookmarkStart w:id="32" w:name="_9er4dyort0kk" w:colFirst="0" w:colLast="0"/>
      <w:bookmarkStart w:id="33" w:name="_Toc220833785"/>
      <w:bookmarkEnd w:id="32"/>
      <w:r w:rsidRPr="00782D6D">
        <w:lastRenderedPageBreak/>
        <w:t>2.3.3 Clinical and Medical Risk Factors</w:t>
      </w:r>
      <w:bookmarkEnd w:id="33"/>
    </w:p>
    <w:p w14:paraId="71DA72BA" w14:textId="77777777" w:rsidR="0034369D" w:rsidRPr="00782D6D" w:rsidRDefault="00726982">
      <w:r w:rsidRPr="00782D6D">
        <w:t>A prior UTI is the best predictor of recurrence, and it reflects both the host susceptibility and potential persistence of the reservoir organisms (Nicolle, 2008). Common comorbidities of diabetes mellitus, urinary incontinence, and structural abnormalities of the urinary tract contribute to a higher incidence of complications (Flores-Mireles et al., 2015). Indwelling or intermittent catheterisation is also a major iatrogenic risk for the development of complicated infection and biofilm formation. In post-menopausal women, urogenital atrophy and reduced mucosal defence further increase risk and perturb the clinical phenotype of the condition in favour of complicated or recurrent presentation (Hooton, 2012).</w:t>
      </w:r>
    </w:p>
    <w:p w14:paraId="71DA72BB" w14:textId="77777777" w:rsidR="0034369D" w:rsidRPr="00782D6D" w:rsidRDefault="00726982">
      <w:pPr>
        <w:jc w:val="center"/>
      </w:pPr>
      <w:r w:rsidRPr="00782D6D">
        <w:rPr>
          <w:noProof/>
          <w:lang w:val="en-IN" w:eastAsia="en-IN"/>
        </w:rPr>
        <w:drawing>
          <wp:inline distT="114300" distB="114300" distL="114300" distR="114300" wp14:anchorId="71DA72FA" wp14:editId="71DA72FB">
            <wp:extent cx="5238750" cy="28194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238750" cy="2819400"/>
                    </a:xfrm>
                    <a:prstGeom prst="rect">
                      <a:avLst/>
                    </a:prstGeom>
                    <a:ln/>
                  </pic:spPr>
                </pic:pic>
              </a:graphicData>
            </a:graphic>
          </wp:inline>
        </w:drawing>
      </w:r>
    </w:p>
    <w:p w14:paraId="71DA72BC" w14:textId="77777777" w:rsidR="0034369D" w:rsidRPr="00782D6D" w:rsidRDefault="00726982">
      <w:pPr>
        <w:jc w:val="center"/>
      </w:pPr>
      <w:r w:rsidRPr="00782D6D">
        <w:t>Figure 5: Pathogenesis of UTI</w:t>
      </w:r>
    </w:p>
    <w:p w14:paraId="71DA72BD" w14:textId="77777777" w:rsidR="0034369D" w:rsidRPr="00782D6D" w:rsidRDefault="00726982">
      <w:pPr>
        <w:jc w:val="center"/>
      </w:pPr>
      <w:r w:rsidRPr="00782D6D">
        <w:t>(Mancuso et al., 2023)</w:t>
      </w:r>
    </w:p>
    <w:p w14:paraId="71DA72BE" w14:textId="77777777" w:rsidR="0034369D" w:rsidRPr="00782D6D" w:rsidRDefault="00726982">
      <w:pPr>
        <w:pStyle w:val="Heading3"/>
      </w:pPr>
      <w:bookmarkStart w:id="34" w:name="_gq1ynruvu3m0" w:colFirst="0" w:colLast="0"/>
      <w:bookmarkStart w:id="35" w:name="_Toc220833786"/>
      <w:bookmarkEnd w:id="34"/>
      <w:r w:rsidRPr="00782D6D">
        <w:t>2.3.4 Social Determinants of Health</w:t>
      </w:r>
      <w:bookmarkEnd w:id="35"/>
    </w:p>
    <w:p w14:paraId="71DA72BF" w14:textId="77777777" w:rsidR="0034369D" w:rsidRPr="00782D6D" w:rsidRDefault="00726982">
      <w:r w:rsidRPr="00782D6D">
        <w:t xml:space="preserve">Age has interactions with physiology and care needs: younger sexually active women have a high incidence of uncomplicated UTI, while in older ages, the rate of complications and hospitalisation is high (Foxman, 2014). Socioeconomic status, education, and access to healthcare determine exposure, early diagnosis and treatment adherence, and disadvantaged populations may have delayed access to healthcare, higher recurrence, and poorer outcomes. Cultural practices and health beliefs affect prevention uptake (e.g. acceptance of post-menopausal topical oestrogen), but these </w:t>
      </w:r>
      <w:r w:rsidRPr="00782D6D">
        <w:lastRenderedPageBreak/>
        <w:t>social determinants are understudied and warrant focused research to guide equitable prevention strategies (Gupta et al., 2017).</w:t>
      </w:r>
    </w:p>
    <w:p w14:paraId="71DA72C0" w14:textId="77777777" w:rsidR="0034369D" w:rsidRPr="00782D6D" w:rsidRDefault="00726982">
      <w:pPr>
        <w:pStyle w:val="Heading2"/>
      </w:pPr>
      <w:bookmarkStart w:id="36" w:name="_ez2jnr9to8kg" w:colFirst="0" w:colLast="0"/>
      <w:bookmarkStart w:id="37" w:name="_Toc220833787"/>
      <w:bookmarkEnd w:id="36"/>
      <w:r w:rsidRPr="00782D6D">
        <w:t>2.4 Prevention Strategies for UTIs in Adult Women</w:t>
      </w:r>
      <w:bookmarkEnd w:id="37"/>
    </w:p>
    <w:p w14:paraId="71DA72C1" w14:textId="77777777" w:rsidR="0034369D" w:rsidRPr="00782D6D" w:rsidRDefault="00726982">
      <w:r w:rsidRPr="00782D6D">
        <w:t>Prevention strategies range from antibiotics to non-antibiotic pharmacologics, behavioural measures and public health actions; each has a different efficacy and safety profile that needs to be critically balanced against antimicrobial stewardship objectives.</w:t>
      </w:r>
    </w:p>
    <w:p w14:paraId="71DA72C2" w14:textId="77777777" w:rsidR="0034369D" w:rsidRPr="00782D6D" w:rsidRDefault="00726982">
      <w:pPr>
        <w:pStyle w:val="Heading3"/>
      </w:pPr>
      <w:bookmarkStart w:id="38" w:name="_7imq456eye7x" w:colFirst="0" w:colLast="0"/>
      <w:bookmarkStart w:id="39" w:name="_Toc220833788"/>
      <w:bookmarkEnd w:id="38"/>
      <w:r w:rsidRPr="00782D6D">
        <w:t>2.4.1 Antibiotic Prophylaxis</w:t>
      </w:r>
      <w:bookmarkEnd w:id="39"/>
    </w:p>
    <w:p w14:paraId="71DA72C3" w14:textId="77777777" w:rsidR="0034369D" w:rsidRPr="00782D6D" w:rsidRDefault="00726982">
      <w:r w:rsidRPr="00782D6D">
        <w:t>Continuous (daily low-dose) and post-coital antibiotic prophylaxis decrease symptomatic recurrence in appropriately selected women, with meta-analyses and RCTs demonstrating a decrease in UTI rate while on prophylaxis. However, benefits must be balanced against the obvious risk of selecting resistant organisms: primary-care prescribing is linked to a measurable growth in individual and population antibiotic resistance persisting for months following exposure (Costelloe et al. 2010). Current UK guidance therefore supports targeted antibiotic strategies but emphasises antibiotic stewardship and the role of non-antibiotic options where possible (NICE, 2018).</w:t>
      </w:r>
    </w:p>
    <w:p w14:paraId="71DA72C4" w14:textId="77777777" w:rsidR="0034369D" w:rsidRPr="00782D6D" w:rsidRDefault="00726982">
      <w:pPr>
        <w:pStyle w:val="Heading3"/>
      </w:pPr>
      <w:bookmarkStart w:id="40" w:name="_ir5l10kesrtv" w:colFirst="0" w:colLast="0"/>
      <w:bookmarkStart w:id="41" w:name="_Toc220833789"/>
      <w:bookmarkEnd w:id="40"/>
      <w:r w:rsidRPr="00782D6D">
        <w:t>2.4.2 Non-Antibiotic Pharmacological Strategies</w:t>
      </w:r>
      <w:bookmarkEnd w:id="41"/>
    </w:p>
    <w:p w14:paraId="71DA72C5" w14:textId="77777777" w:rsidR="0034369D" w:rsidRPr="00782D6D" w:rsidRDefault="00726982">
      <w:r w:rsidRPr="00782D6D">
        <w:t>Evidence for cranberry products has been mixed in the past, but according to a large recent Cochrane synthesis, cranberry (juice, tablets or capsules) reduces the incidence of UTIs in people who are susceptible to recurrence, but there is still heterogeneity in formulations and dosing, and effectiveness is modest. Cranberry is therefore a reasonable adjuvant for some women, especially those who do not want to be on antibiotics all the time, but quality-assured dosing and issues of long-term adherence limit the generalisability. Methenamine hippurate - urinary antiseptic that metabolises in acidic urine to formaldehyde. Non-inferiority demonstrated by the ALTAR pragmatic RCT in preventing recurrent UTI with reduced selective pressure for resistant E. coli during treatment. Cost-effective data showing an acceptable ratio of net benefit to net cost, promising, but long-term outcomes need to be monitored. Vaginal oestrogen therapy decreases recurrence in post-menopausal women by restoring lactobacilli-dominated flora and mucosal defence; systematic reviews report benefit in this subgroup, so use this as part of individualised prevention.</w:t>
      </w:r>
    </w:p>
    <w:p w14:paraId="71DA72C6" w14:textId="77777777" w:rsidR="0034369D" w:rsidRPr="00782D6D" w:rsidRDefault="00726982">
      <w:pPr>
        <w:jc w:val="center"/>
      </w:pPr>
      <w:r w:rsidRPr="00782D6D">
        <w:rPr>
          <w:noProof/>
          <w:lang w:val="en-IN" w:eastAsia="en-IN"/>
        </w:rPr>
        <w:lastRenderedPageBreak/>
        <w:drawing>
          <wp:inline distT="114300" distB="114300" distL="114300" distR="114300" wp14:anchorId="71DA72FC" wp14:editId="71DA72FD">
            <wp:extent cx="5943600" cy="33655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3365500"/>
                    </a:xfrm>
                    <a:prstGeom prst="rect">
                      <a:avLst/>
                    </a:prstGeom>
                    <a:ln/>
                  </pic:spPr>
                </pic:pic>
              </a:graphicData>
            </a:graphic>
          </wp:inline>
        </w:drawing>
      </w:r>
    </w:p>
    <w:p w14:paraId="71DA72C7" w14:textId="77777777" w:rsidR="0034369D" w:rsidRPr="00782D6D" w:rsidRDefault="00726982">
      <w:pPr>
        <w:jc w:val="center"/>
      </w:pPr>
      <w:r w:rsidRPr="00782D6D">
        <w:t>Figure 6: Cranberry bioactive compounds against urinary tract infection pathogens</w:t>
      </w:r>
    </w:p>
    <w:p w14:paraId="71DA72C8" w14:textId="77777777" w:rsidR="0034369D" w:rsidRPr="00782D6D" w:rsidRDefault="00726982">
      <w:pPr>
        <w:jc w:val="center"/>
      </w:pPr>
      <w:r w:rsidRPr="00782D6D">
        <w:t>(Jangid, Shidiki and Kumar, 2025)</w:t>
      </w:r>
    </w:p>
    <w:p w14:paraId="71DA72C9" w14:textId="77777777" w:rsidR="0034369D" w:rsidRPr="00782D6D" w:rsidRDefault="00726982">
      <w:pPr>
        <w:pStyle w:val="Heading3"/>
      </w:pPr>
      <w:bookmarkStart w:id="42" w:name="_g21zm7kq4ov0" w:colFirst="0" w:colLast="0"/>
      <w:bookmarkStart w:id="43" w:name="_Toc220833790"/>
      <w:bookmarkEnd w:id="42"/>
      <w:r w:rsidRPr="00782D6D">
        <w:t>2.4.3 Behavioural and Lifestyle Interventions</w:t>
      </w:r>
      <w:bookmarkEnd w:id="43"/>
    </w:p>
    <w:p w14:paraId="71DA72CA" w14:textId="77777777" w:rsidR="0034369D" w:rsidRPr="00782D6D" w:rsidRDefault="00726982">
      <w:r w:rsidRPr="00782D6D">
        <w:t>At the population level, patient education, increased access to women's health services and AMR-focused stewardship campaigns are needed to improve unnecessary prescribing and to promote evidence-based non-antibiotic options. Implementation research is necessary to identify the combinations of interventions (behavioural and non-antibiotic pharmacological) which elicit long-lasting reduction of recurrence without selection to increase resistance.</w:t>
      </w:r>
    </w:p>
    <w:p w14:paraId="71DA72CB" w14:textId="77777777" w:rsidR="0034369D" w:rsidRPr="00782D6D" w:rsidRDefault="00726982">
      <w:pPr>
        <w:jc w:val="center"/>
      </w:pPr>
      <w:r w:rsidRPr="00782D6D">
        <w:rPr>
          <w:noProof/>
          <w:lang w:val="en-IN" w:eastAsia="en-IN"/>
        </w:rPr>
        <w:lastRenderedPageBreak/>
        <w:drawing>
          <wp:inline distT="114300" distB="114300" distL="114300" distR="114300" wp14:anchorId="71DA72FE" wp14:editId="71DA72FF">
            <wp:extent cx="5943600" cy="32131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213100"/>
                    </a:xfrm>
                    <a:prstGeom prst="rect">
                      <a:avLst/>
                    </a:prstGeom>
                    <a:ln/>
                  </pic:spPr>
                </pic:pic>
              </a:graphicData>
            </a:graphic>
          </wp:inline>
        </w:drawing>
      </w:r>
    </w:p>
    <w:p w14:paraId="71DA72CC" w14:textId="77777777" w:rsidR="0034369D" w:rsidRPr="00782D6D" w:rsidRDefault="00726982">
      <w:pPr>
        <w:jc w:val="center"/>
      </w:pPr>
      <w:r w:rsidRPr="00782D6D">
        <w:t>Figure 7: A framework for antimicrobial resistance in the healthcare network of the 21st century</w:t>
      </w:r>
    </w:p>
    <w:p w14:paraId="71DA72CD" w14:textId="77777777" w:rsidR="0034369D" w:rsidRPr="00782D6D" w:rsidRDefault="00726982">
      <w:pPr>
        <w:jc w:val="center"/>
      </w:pPr>
      <w:r w:rsidRPr="00782D6D">
        <w:t>(Coque et al., 2023)</w:t>
      </w:r>
    </w:p>
    <w:p w14:paraId="71DA72CE" w14:textId="77777777" w:rsidR="0034369D" w:rsidRPr="00782D6D" w:rsidRDefault="00726982">
      <w:pPr>
        <w:pStyle w:val="Heading3"/>
      </w:pPr>
      <w:bookmarkStart w:id="44" w:name="_q3fx8ywyl7a2" w:colFirst="0" w:colLast="0"/>
      <w:bookmarkStart w:id="45" w:name="_Toc220833791"/>
      <w:bookmarkEnd w:id="44"/>
      <w:r w:rsidRPr="00782D6D">
        <w:t>2.4.4 Public Health Interventions</w:t>
      </w:r>
      <w:bookmarkEnd w:id="45"/>
    </w:p>
    <w:p w14:paraId="71DA72CF" w14:textId="77777777" w:rsidR="0034369D" w:rsidRPr="00782D6D" w:rsidRDefault="00726982">
      <w:r w:rsidRPr="00782D6D">
        <w:t>At population level, patient education, improved access to women’s health services, and AMR-focused stewardship campaigns are essential to reduce unnecessary prescribing and to promote evidence-based non-antibiotic options. Implementation research is needed to determine which combinations of interventions (behavioural and non-antibiotic pharmacologic) produce durable reductions in recurrence without increasing resistance.</w:t>
      </w:r>
    </w:p>
    <w:p w14:paraId="71DA72D0" w14:textId="77777777" w:rsidR="0034369D" w:rsidRPr="00782D6D" w:rsidRDefault="00726982">
      <w:pPr>
        <w:pStyle w:val="Heading2"/>
      </w:pPr>
      <w:bookmarkStart w:id="46" w:name="_106p2kvee6ko" w:colFirst="0" w:colLast="0"/>
      <w:bookmarkStart w:id="47" w:name="_Toc220833792"/>
      <w:bookmarkEnd w:id="46"/>
      <w:r w:rsidRPr="00782D6D">
        <w:t>2.5 Critical Evaluation of the Literature</w:t>
      </w:r>
      <w:bookmarkEnd w:id="47"/>
    </w:p>
    <w:p w14:paraId="71DA72D1" w14:textId="77777777" w:rsidR="0034369D" w:rsidRPr="00782D6D" w:rsidRDefault="00726982">
      <w:pPr>
        <w:pStyle w:val="Heading3"/>
      </w:pPr>
      <w:bookmarkStart w:id="48" w:name="_4t0px5m7el1c" w:colFirst="0" w:colLast="0"/>
      <w:bookmarkStart w:id="49" w:name="_Toc220833793"/>
      <w:bookmarkEnd w:id="48"/>
      <w:r w:rsidRPr="00782D6D">
        <w:t>2.5.1 Inconsistencies and heterogeneity</w:t>
      </w:r>
      <w:bookmarkEnd w:id="49"/>
    </w:p>
    <w:p w14:paraId="71DA72D2" w14:textId="77777777" w:rsidR="0034369D" w:rsidRPr="00782D6D" w:rsidRDefault="00726982">
      <w:pPr>
        <w:rPr>
          <w:color w:val="0E101A"/>
        </w:rPr>
      </w:pPr>
      <w:r w:rsidRPr="00782D6D">
        <w:rPr>
          <w:color w:val="0E101A"/>
        </w:rPr>
        <w:t xml:space="preserve">Evidence for some very popular interventions (notably cranberry products) is inconsistent: trial results are inconsistent according to formulation, dose and definition of outcome, resulting in heterogeneous meta-analytic estimates as well as uncertainty about clinical magnitude (persists across reviews) (Foxman, 2014). Reported effect sizes and confidence in findings are often </w:t>
      </w:r>
      <w:r w:rsidRPr="00782D6D">
        <w:rPr>
          <w:color w:val="0E101A"/>
        </w:rPr>
        <w:lastRenderedPageBreak/>
        <w:t>influenced by inclusion criteria and study quality, so they do not allow for direct comparability and pooled inferences (Nicolle, 2008).</w:t>
      </w:r>
    </w:p>
    <w:p w14:paraId="71DA72D3" w14:textId="77777777" w:rsidR="0034369D" w:rsidRPr="00782D6D" w:rsidRDefault="00726982">
      <w:pPr>
        <w:pStyle w:val="Heading3"/>
      </w:pPr>
      <w:bookmarkStart w:id="50" w:name="_7xlx465cqc3a" w:colFirst="0" w:colLast="0"/>
      <w:bookmarkStart w:id="51" w:name="_Toc220833794"/>
      <w:bookmarkEnd w:id="50"/>
      <w:r w:rsidRPr="00782D6D">
        <w:t>2.5.2 Gaps in modifiable risk-factor evidence</w:t>
      </w:r>
      <w:bookmarkEnd w:id="51"/>
    </w:p>
    <w:p w14:paraId="71DA72D4" w14:textId="77777777" w:rsidR="0034369D" w:rsidRPr="00782D6D" w:rsidRDefault="00726982">
      <w:pPr>
        <w:rPr>
          <w:color w:val="0E101A"/>
        </w:rPr>
      </w:pPr>
      <w:r w:rsidRPr="00782D6D">
        <w:rPr>
          <w:color w:val="0E101A"/>
        </w:rPr>
        <w:t>Whilst behavioural advice (hydration, toileting, avoidance of spermicides) is routinely recommended, high-quality experimental evidence outlining which modifiable behaviours reduce clinically important recurrence is limited; most data are observational or small non-randomised trials, and the causality and effect size are uncertain (Gupta et al., 2017).</w:t>
      </w:r>
    </w:p>
    <w:p w14:paraId="71DA72D5" w14:textId="77777777" w:rsidR="0034369D" w:rsidRPr="00782D6D" w:rsidRDefault="00726982">
      <w:pPr>
        <w:pStyle w:val="Heading3"/>
      </w:pPr>
      <w:bookmarkStart w:id="52" w:name="_swipovslh5gr" w:colFirst="0" w:colLast="0"/>
      <w:bookmarkStart w:id="53" w:name="_Toc220833795"/>
      <w:bookmarkEnd w:id="52"/>
      <w:r w:rsidRPr="00782D6D">
        <w:t>2.5.3 Geographic and implementation limitations</w:t>
      </w:r>
      <w:bookmarkEnd w:id="53"/>
    </w:p>
    <w:p w14:paraId="71DA72D6" w14:textId="77777777" w:rsidR="0034369D" w:rsidRPr="00782D6D" w:rsidRDefault="00726982">
      <w:pPr>
        <w:rPr>
          <w:color w:val="0E101A"/>
        </w:rPr>
      </w:pPr>
      <w:r w:rsidRPr="00782D6D">
        <w:rPr>
          <w:color w:val="0E101A"/>
        </w:rPr>
        <w:t>There is a relative paucity of robust, UK-specific studies testing prevention strategies and implementation models - many trials are North American or heterogeneous international samples - meaning there is limited direct transferability to NHS settings and local AMR ecology. The proposal uploaded addresses this translational gap and the need for a UK-relevant synthesis.</w:t>
      </w:r>
    </w:p>
    <w:p w14:paraId="71DA72D7" w14:textId="77777777" w:rsidR="0034369D" w:rsidRPr="00782D6D" w:rsidRDefault="00726982">
      <w:pPr>
        <w:pStyle w:val="Heading3"/>
      </w:pPr>
      <w:bookmarkStart w:id="54" w:name="_ekadslf0bz95" w:colFirst="0" w:colLast="0"/>
      <w:bookmarkStart w:id="55" w:name="_Toc220833796"/>
      <w:bookmarkEnd w:id="54"/>
      <w:r w:rsidRPr="00782D6D">
        <w:t>2.5.4 Lack of long-term, comparative data</w:t>
      </w:r>
      <w:bookmarkEnd w:id="55"/>
    </w:p>
    <w:p w14:paraId="71DA72D8" w14:textId="77777777" w:rsidR="0034369D" w:rsidRPr="00782D6D" w:rsidRDefault="00726982">
      <w:pPr>
        <w:rPr>
          <w:color w:val="0E101A"/>
        </w:rPr>
      </w:pPr>
      <w:r w:rsidRPr="00782D6D">
        <w:rPr>
          <w:color w:val="0E101A"/>
        </w:rPr>
        <w:t>Long-term head-to-head comparison (e.g. methenamine vs continuous antibiotics, behavioural programmes vs pharmacologic prophylaxis) is limited; those that exist have often had short follow-up (hard to evaluate durability, late harms (resistance emergence), real-world adherence.</w:t>
      </w:r>
    </w:p>
    <w:p w14:paraId="71DA72D9" w14:textId="77777777" w:rsidR="0034369D" w:rsidRPr="00782D6D" w:rsidRDefault="00726982">
      <w:pPr>
        <w:pStyle w:val="Heading3"/>
      </w:pPr>
      <w:bookmarkStart w:id="56" w:name="_sj81pw3oq80p" w:colFirst="0" w:colLast="0"/>
      <w:bookmarkStart w:id="57" w:name="_Toc220833797"/>
      <w:bookmarkEnd w:id="56"/>
      <w:r w:rsidRPr="00782D6D">
        <w:t>2.5.5 Underrepresentation of social determinants</w:t>
      </w:r>
      <w:bookmarkEnd w:id="57"/>
    </w:p>
    <w:p w14:paraId="71DA72DA" w14:textId="77777777" w:rsidR="0034369D" w:rsidRPr="00782D6D" w:rsidRDefault="00726982">
      <w:pPr>
        <w:rPr>
          <w:color w:val="0E101A"/>
        </w:rPr>
      </w:pPr>
      <w:r w:rsidRPr="00782D6D">
        <w:rPr>
          <w:color w:val="0E101A"/>
        </w:rPr>
        <w:t>Socioeconomic status, ethnicity, health literacy and access to care are not often discussed as key modifiers of UTI risk or prevention uptake; studies do not commonly stratify outcomes by these axes of difference, limiting recommendations to improve equity (UKHSA reports; Foxman, 2014).</w:t>
      </w:r>
    </w:p>
    <w:p w14:paraId="71DA72DB" w14:textId="77777777" w:rsidR="0034369D" w:rsidRPr="00782D6D" w:rsidRDefault="00726982">
      <w:pPr>
        <w:pStyle w:val="Heading3"/>
      </w:pPr>
      <w:bookmarkStart w:id="58" w:name="_byyyfem1o43b" w:colFirst="0" w:colLast="0"/>
      <w:bookmarkStart w:id="59" w:name="_Toc220833798"/>
      <w:bookmarkEnd w:id="58"/>
      <w:r w:rsidRPr="00782D6D">
        <w:t>2.5.6 Methodological limitations</w:t>
      </w:r>
      <w:bookmarkEnd w:id="59"/>
    </w:p>
    <w:p w14:paraId="71DA72DC" w14:textId="77777777" w:rsidR="0034369D" w:rsidRPr="00782D6D" w:rsidRDefault="00726982">
      <w:pPr>
        <w:rPr>
          <w:color w:val="0E101A"/>
        </w:rPr>
      </w:pPr>
      <w:r w:rsidRPr="00782D6D">
        <w:rPr>
          <w:color w:val="0E101A"/>
        </w:rPr>
        <w:t>Some common weaknesses are small sample sizes, variable UTI case definitions (symptom-based vs culture-confirmed), reliance on self-report, selective follow-up, and inconsistent reporting of resistance outcomes, factors that introduce bias and decrease generalisability (Costelloe et al., 2010; Hooton, 2012).</w:t>
      </w:r>
    </w:p>
    <w:p w14:paraId="71DA72DD" w14:textId="77777777" w:rsidR="0034369D" w:rsidRPr="00782D6D" w:rsidRDefault="00726982">
      <w:pPr>
        <w:rPr>
          <w:color w:val="0E101A"/>
        </w:rPr>
      </w:pPr>
      <w:r w:rsidRPr="00782D6D">
        <w:rPr>
          <w:color w:val="0E101A"/>
        </w:rPr>
        <w:lastRenderedPageBreak/>
        <w:t>Thus, it can be concluded that these inconsistencies, evidence gaps, geographical limitations and methodological weaknesses justify a contemporary, robust systematic review to clarify risk factor hierarchies, the prevention effectiveness (including non-antibiotic options) and help to inform UK appropriate practice and policy.</w:t>
      </w:r>
    </w:p>
    <w:p w14:paraId="71DA72DE" w14:textId="77777777" w:rsidR="0034369D" w:rsidRPr="00782D6D" w:rsidRDefault="00726982">
      <w:pPr>
        <w:pStyle w:val="Heading2"/>
      </w:pPr>
      <w:bookmarkStart w:id="60" w:name="_8023268zml8t" w:colFirst="0" w:colLast="0"/>
      <w:bookmarkStart w:id="61" w:name="_Toc220833799"/>
      <w:bookmarkEnd w:id="60"/>
      <w:r w:rsidRPr="00782D6D">
        <w:t>2.6 Theoretical Framework</w:t>
      </w:r>
      <w:bookmarkEnd w:id="61"/>
    </w:p>
    <w:p w14:paraId="71DA72DF" w14:textId="77777777" w:rsidR="0034369D" w:rsidRPr="00782D6D" w:rsidRDefault="00726982">
      <w:r w:rsidRPr="00782D6D">
        <w:t>The theoretical framework serves to synthesise the existing models of health in order to contextualise the multifactorial nature of urinary tract infections (UTIs) in adult women, and to guide the interpretation of prevention behaviours and outcomes.</w:t>
      </w:r>
    </w:p>
    <w:p w14:paraId="71DA72E0" w14:textId="77777777" w:rsidR="0034369D" w:rsidRPr="00782D6D" w:rsidRDefault="00726982">
      <w:pPr>
        <w:pStyle w:val="Heading3"/>
      </w:pPr>
      <w:bookmarkStart w:id="62" w:name="_yjvpva14xw52" w:colFirst="0" w:colLast="0"/>
      <w:bookmarkStart w:id="63" w:name="_Toc220833800"/>
      <w:bookmarkEnd w:id="62"/>
      <w:r w:rsidRPr="00782D6D">
        <w:t>2.6.1 The Biopsychosocial Model</w:t>
      </w:r>
      <w:bookmarkEnd w:id="63"/>
    </w:p>
    <w:p w14:paraId="71DA72E1" w14:textId="77777777" w:rsidR="0034369D" w:rsidRPr="00782D6D" w:rsidRDefault="00726982">
      <w:r w:rsidRPr="00782D6D">
        <w:t>The Biopsychosocial Model (Engel, 1977) provides a broad framework for understanding the risk of UTI by acknowledging the interplay between biological, psychological and social factors. Biological factors, such as anatomical susceptibility, hormonal changes, and microbiome composition, increase the susceptibility (Hooton, 2012). Psychologically, the perception of symptoms, health literacy, and experience with past illnesses play a role in help-seeking and adherence behaviours. Socially, socioeconomic status, access to healthcare and cultural norms determine exposure risks and treatment pathways. This model is particularly well-suited to UTIs because risk is not either biological or behaviourally based, but arises from complex interdependencies between these levels.</w:t>
      </w:r>
    </w:p>
    <w:p w14:paraId="71DA72E2" w14:textId="77777777" w:rsidR="0034369D" w:rsidRPr="00782D6D" w:rsidRDefault="00726982">
      <w:pPr>
        <w:jc w:val="center"/>
      </w:pPr>
      <w:r w:rsidRPr="00782D6D">
        <w:rPr>
          <w:noProof/>
          <w:lang w:val="en-IN" w:eastAsia="en-IN"/>
        </w:rPr>
        <w:lastRenderedPageBreak/>
        <w:drawing>
          <wp:inline distT="114300" distB="114300" distL="114300" distR="114300" wp14:anchorId="71DA7300" wp14:editId="71DA7301">
            <wp:extent cx="5943600" cy="5613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5613400"/>
                    </a:xfrm>
                    <a:prstGeom prst="rect">
                      <a:avLst/>
                    </a:prstGeom>
                    <a:ln/>
                  </pic:spPr>
                </pic:pic>
              </a:graphicData>
            </a:graphic>
          </wp:inline>
        </w:drawing>
      </w:r>
    </w:p>
    <w:p w14:paraId="71DA72E3" w14:textId="77777777" w:rsidR="0034369D" w:rsidRPr="00782D6D" w:rsidRDefault="00726982">
      <w:pPr>
        <w:jc w:val="center"/>
      </w:pPr>
      <w:r w:rsidRPr="00782D6D">
        <w:t>Figure 8: The Biopsychosocial Model</w:t>
      </w:r>
    </w:p>
    <w:p w14:paraId="71DA72E4" w14:textId="77777777" w:rsidR="0034369D" w:rsidRPr="00782D6D" w:rsidRDefault="00726982">
      <w:pPr>
        <w:jc w:val="center"/>
      </w:pPr>
      <w:r w:rsidRPr="00782D6D">
        <w:t>(Bright, Doody and Tuohy, 2022)</w:t>
      </w:r>
    </w:p>
    <w:p w14:paraId="71DA72E5" w14:textId="77777777" w:rsidR="0034369D" w:rsidRPr="00782D6D" w:rsidRDefault="00726982">
      <w:pPr>
        <w:pStyle w:val="Heading3"/>
      </w:pPr>
      <w:bookmarkStart w:id="64" w:name="_r3vab8y4pbfg" w:colFirst="0" w:colLast="0"/>
      <w:bookmarkStart w:id="65" w:name="_Toc220833801"/>
      <w:bookmarkEnd w:id="64"/>
      <w:r w:rsidRPr="00782D6D">
        <w:t>2.6.2 The Health Belief Model</w:t>
      </w:r>
      <w:bookmarkEnd w:id="65"/>
    </w:p>
    <w:p w14:paraId="71DA72E6" w14:textId="77777777" w:rsidR="0034369D" w:rsidRPr="00782D6D" w:rsidRDefault="00726982">
      <w:r w:rsidRPr="00782D6D">
        <w:t xml:space="preserve">The Health Belief Model (HBM) is relevant to understanding prevention behaviours. Its core constructs - perceived susceptibility, perceived severity, perceived benefits, perceived barriers, cues to action and self-efficacy - help to explain why women may or may not adopt preventive measures such as hydration, sexual hygiene practices, or prophylactic interventions (Rosenstock et al, 1988). For example, women with an underestimation of susceptibility or with the view that </w:t>
      </w:r>
      <w:r w:rsidRPr="00782D6D">
        <w:lastRenderedPageBreak/>
        <w:t>cranberry or methenamine is not effective may be less likely to implement these measures, even though there is a clinical indication. Conversely, increased perceptions of severity or risk of recurrence may increase those at risk of recurrence's adherence to prescribed behavioural or pharmacological prevention.</w:t>
      </w:r>
    </w:p>
    <w:p w14:paraId="71DA72E7" w14:textId="77777777" w:rsidR="0034369D" w:rsidRPr="00782D6D" w:rsidRDefault="00726982">
      <w:pPr>
        <w:jc w:val="center"/>
      </w:pPr>
      <w:r w:rsidRPr="00782D6D">
        <w:rPr>
          <w:noProof/>
          <w:lang w:val="en-IN" w:eastAsia="en-IN"/>
        </w:rPr>
        <w:drawing>
          <wp:inline distT="114300" distB="114300" distL="114300" distR="114300" wp14:anchorId="71DA7302" wp14:editId="71DA7303">
            <wp:extent cx="5943600" cy="38227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3822700"/>
                    </a:xfrm>
                    <a:prstGeom prst="rect">
                      <a:avLst/>
                    </a:prstGeom>
                    <a:ln/>
                  </pic:spPr>
                </pic:pic>
              </a:graphicData>
            </a:graphic>
          </wp:inline>
        </w:drawing>
      </w:r>
    </w:p>
    <w:p w14:paraId="71DA72E8" w14:textId="77777777" w:rsidR="0034369D" w:rsidRPr="00782D6D" w:rsidRDefault="00726982">
      <w:pPr>
        <w:jc w:val="center"/>
      </w:pPr>
      <w:r w:rsidRPr="00782D6D">
        <w:t xml:space="preserve">Figure 9: Health Benefit Model </w:t>
      </w:r>
    </w:p>
    <w:p w14:paraId="71DA72E9" w14:textId="77777777" w:rsidR="0034369D" w:rsidRPr="00782D6D" w:rsidRDefault="00726982">
      <w:pPr>
        <w:jc w:val="center"/>
      </w:pPr>
      <w:r w:rsidRPr="00782D6D">
        <w:t>(Subedi, Filho and Adedeji, 2023)</w:t>
      </w:r>
    </w:p>
    <w:p w14:paraId="71DA72EA" w14:textId="77777777" w:rsidR="0034369D" w:rsidRPr="00782D6D" w:rsidRDefault="00726982">
      <w:pPr>
        <w:pStyle w:val="Heading3"/>
      </w:pPr>
      <w:bookmarkStart w:id="66" w:name="_uag8i34bztp8" w:colFirst="0" w:colLast="0"/>
      <w:bookmarkStart w:id="67" w:name="_Toc220833802"/>
      <w:bookmarkEnd w:id="66"/>
      <w:r w:rsidRPr="00782D6D">
        <w:t>2.6.3 The Ecological Model</w:t>
      </w:r>
      <w:bookmarkEnd w:id="67"/>
    </w:p>
    <w:p w14:paraId="71DA72EB" w14:textId="77777777" w:rsidR="0034369D" w:rsidRPr="00782D6D" w:rsidRDefault="00726982">
      <w:r w:rsidRPr="00782D6D">
        <w:t>The Ecological Model places the risk and prevention of UTIs within layers of influence, including at the individual (biological predisposition), interpersonal (sexual practices, sexual partner interactions), community (availability of healthcare services), and societal levels (socioeconomic inequalities, AMR policies). This is especially relevant because UTIs are influenced by both micro-level behaviours and macro-level determiners, such as antibiotic stewardship frameworks (UKHSA, 2014).</w:t>
      </w:r>
    </w:p>
    <w:p w14:paraId="71DA72EC" w14:textId="77777777" w:rsidR="0034369D" w:rsidRPr="00782D6D" w:rsidRDefault="00726982">
      <w:r w:rsidRPr="00782D6D">
        <w:t xml:space="preserve">Relevant concepts are defined as follows: UTIs are microbial infections of the urinary tract; recurrent UTIs are repeated symptomatic episodes in defined timeframes (Nicolle, 2008); </w:t>
      </w:r>
      <w:r w:rsidRPr="00782D6D">
        <w:lastRenderedPageBreak/>
        <w:t>antimicrobial resistance (AMR) is reduced susceptibility to antibiotics following microbial adaptation; prophylaxis is the use of prophylactic pharmacological regimens.</w:t>
      </w:r>
    </w:p>
    <w:p w14:paraId="71DA72ED" w14:textId="77777777" w:rsidR="0034369D" w:rsidRPr="00782D6D" w:rsidRDefault="00726982">
      <w:pPr>
        <w:pStyle w:val="Heading2"/>
      </w:pPr>
      <w:bookmarkStart w:id="68" w:name="_iy9rfbyl1vb3" w:colFirst="0" w:colLast="0"/>
      <w:bookmarkStart w:id="69" w:name="_Toc220833803"/>
      <w:bookmarkEnd w:id="68"/>
      <w:r w:rsidRPr="00782D6D">
        <w:t>2.7 Conceptual Framework</w:t>
      </w:r>
      <w:bookmarkEnd w:id="69"/>
      <w:r w:rsidRPr="00782D6D">
        <w:t xml:space="preserve"> </w:t>
      </w:r>
    </w:p>
    <w:p w14:paraId="71DA72EE" w14:textId="77777777" w:rsidR="0034369D" w:rsidRPr="00782D6D" w:rsidRDefault="00726982">
      <w:pPr>
        <w:jc w:val="center"/>
      </w:pPr>
      <w:r w:rsidRPr="00782D6D">
        <w:rPr>
          <w:noProof/>
          <w:lang w:val="en-IN" w:eastAsia="en-IN"/>
        </w:rPr>
        <w:drawing>
          <wp:inline distT="114300" distB="114300" distL="114300" distR="114300" wp14:anchorId="71DA7304" wp14:editId="71DA7305">
            <wp:extent cx="5943600" cy="2575171"/>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t="24605" b="10478"/>
                    <a:stretch>
                      <a:fillRect/>
                    </a:stretch>
                  </pic:blipFill>
                  <pic:spPr>
                    <a:xfrm>
                      <a:off x="0" y="0"/>
                      <a:ext cx="5943600" cy="2575171"/>
                    </a:xfrm>
                    <a:prstGeom prst="rect">
                      <a:avLst/>
                    </a:prstGeom>
                    <a:ln/>
                  </pic:spPr>
                </pic:pic>
              </a:graphicData>
            </a:graphic>
          </wp:inline>
        </w:drawing>
      </w:r>
    </w:p>
    <w:p w14:paraId="71DA72EF" w14:textId="77777777" w:rsidR="0034369D" w:rsidRDefault="00726982">
      <w:pPr>
        <w:jc w:val="center"/>
      </w:pPr>
      <w:r w:rsidRPr="00782D6D">
        <w:t>Figure 10: Conceptual Framework</w:t>
      </w:r>
    </w:p>
    <w:p w14:paraId="32DFD4DE" w14:textId="18AD21AD" w:rsidR="00F346FE" w:rsidRDefault="000A6A9C" w:rsidP="000A6A9C">
      <w:pPr>
        <w:pStyle w:val="Heading3"/>
      </w:pPr>
      <w:bookmarkStart w:id="70" w:name="_Toc220833804"/>
      <w:r>
        <w:t>2.7.1 Purpose</w:t>
      </w:r>
      <w:bookmarkEnd w:id="70"/>
    </w:p>
    <w:p w14:paraId="278B23D9" w14:textId="35F5AF84" w:rsidR="000A6A9C" w:rsidRDefault="000A6A9C" w:rsidP="000A6A9C">
      <w:pPr>
        <w:rPr>
          <w:lang w:val="en-US"/>
        </w:rPr>
      </w:pPr>
      <w:r w:rsidRPr="000A6A9C">
        <w:rPr>
          <w:lang w:val="en-US"/>
        </w:rPr>
        <w:t>Recurrent UTI is not well accounted for by any single theoretical model since the recurrence of UTI develops through the combination of biological susceptibility, behaviours, clinical decision-making and broader social context during recurrent episodes. A conceptual framework is thus needed to incorporate determinants of recurrence, experienced burden and prevention pathways into an integrated explanatory framework. As Foxman (2002) demonstrates, estimates of incidence and recurrence vary materially according to case definition and data source, severely limiting simple causal inference from routine datasets. By making assumptions explicit and mapping constructs to levels and feedback loops, the framework helps to critically interpret heterogeneous evidence and identify where intervention leverage and evaluation outcomes are most defensible.</w:t>
      </w:r>
    </w:p>
    <w:p w14:paraId="4F5A46D2" w14:textId="0FCFFDE3" w:rsidR="000A6A9C" w:rsidRDefault="000A6A9C" w:rsidP="000A6A9C">
      <w:pPr>
        <w:pStyle w:val="Heading3"/>
        <w:rPr>
          <w:lang w:val="en-US"/>
        </w:rPr>
      </w:pPr>
      <w:bookmarkStart w:id="71" w:name="_Toc220833805"/>
      <w:r>
        <w:rPr>
          <w:lang w:val="en-US"/>
        </w:rPr>
        <w:t>2.7.2</w:t>
      </w:r>
      <w:r w:rsidR="008F7E1E">
        <w:rPr>
          <w:lang w:val="en-US"/>
        </w:rPr>
        <w:t xml:space="preserve"> Framework components and levels</w:t>
      </w:r>
      <w:bookmarkEnd w:id="71"/>
      <w:r w:rsidR="008F7E1E">
        <w:rPr>
          <w:lang w:val="en-US"/>
        </w:rPr>
        <w:t xml:space="preserve"> </w:t>
      </w:r>
    </w:p>
    <w:p w14:paraId="28DC8785" w14:textId="0A09B11E" w:rsidR="008F7E1E" w:rsidRPr="008F7E1E" w:rsidRDefault="008F7E1E" w:rsidP="008F7E1E">
      <w:pPr>
        <w:rPr>
          <w:lang w:val="en-US"/>
        </w:rPr>
      </w:pPr>
      <w:r w:rsidRPr="008F7E1E">
        <w:rPr>
          <w:lang w:val="en-US"/>
        </w:rPr>
        <w:t xml:space="preserve">The framework identifies multi-level determinants in order not to reduce recurrent UTI to individual behaviour change. Foxman (2002) estimates that nearly half of women have had at least one UTI in their lifetime, and around one in three have had an episode requiring antimicrobial </w:t>
      </w:r>
      <w:r w:rsidRPr="008F7E1E">
        <w:rPr>
          <w:lang w:val="en-US"/>
        </w:rPr>
        <w:lastRenderedPageBreak/>
        <w:t>therapy by the time they turn 24, and also emphasises that many outpatient diagnoses are made without the need for a culture. postmenopausal susceptibility is conceptualised as genitourinary syndrome of menopause and disruption of the microbiome because Raz and Stamm (1993) showed that intravaginal estriol reduced recurrence in a placebo-controlled trial, consistent with an ecological (rather than strictly symptomatic) mechanism. Prior UTI is treated as a potential reservoir because Rosen et al. (2007) identify intracellular bacterial communities in some women with acute cystitis, implying persistence pathways that challenge reinfection-only explanations. Behavioural exposures are placed as proximal triggers, and Hooton (2001) asserts that intercourse and spermicides are unequivocal risk factors that are supported by evidence, whereas various common-sense hygiene strategies are not. Clinical and system drivers are simulated with the diagnostic uncertainty and test limitations, and Nicolle et al. (2019) warn that diagnostic misclassification of asymptomatic bacteriuria can lead to unnecessary antibiotic consumption with little benefit in non-pregnant adults. Social determinants are included as upstream constraints on access and adherence, but the evidence base is often observational and prone to confounding, so that these pathways are treated in the framework as plausible mechanisms rather than settled causation.</w:t>
      </w:r>
    </w:p>
    <w:p w14:paraId="1CE5D9DD" w14:textId="3E2C06C5" w:rsidR="000A6A9C" w:rsidRDefault="000A6A9C" w:rsidP="000A6A9C">
      <w:pPr>
        <w:pStyle w:val="Heading3"/>
        <w:rPr>
          <w:lang w:val="en-US"/>
        </w:rPr>
      </w:pPr>
      <w:bookmarkStart w:id="72" w:name="_Toc220833806"/>
      <w:r>
        <w:rPr>
          <w:lang w:val="en-US"/>
        </w:rPr>
        <w:t>2.7.3 Pathways to feedback loops</w:t>
      </w:r>
      <w:bookmarkEnd w:id="72"/>
    </w:p>
    <w:p w14:paraId="60FA67FB" w14:textId="1FFDD40A" w:rsidR="000A6A9C" w:rsidRPr="000A6A9C" w:rsidRDefault="000A6A9C" w:rsidP="000A6A9C">
      <w:pPr>
        <w:rPr>
          <w:lang w:val="en-US"/>
        </w:rPr>
      </w:pPr>
      <w:r w:rsidRPr="000A6A9C">
        <w:rPr>
          <w:lang w:val="en-US"/>
        </w:rPr>
        <w:t xml:space="preserve">Recurrent UTI is conceptualised not as isolated infections but as a process of repeated episodes, and according to Aggarwal and Leslie (2025), recurrence is defined as at least two UTIs within 6 months or three in 12 months. It is also estimated that approximately 20-30% of women will develop a second UTI within six months of an initial episode. This framing of the situation brings the dynamic sequence by which recurrence is driving re-attendance and an increased exposure to empiric antibiotics in the setting of low diagnostic certainty to the fore. Costelloe et al (2010) demonstrate that there is selection for resistance in the individual associated with antibiotic prescribing in primary care, with the greatest effect in the first month and persistence for up to twelve months. Reduced susceptibility may create a risk of treatment failure and limited first-line treatment choices, which in turn may compound the persistence of symptoms and increase further consultations and prescriptions. Scott et al. (2015) contend that intracellular bacterial communities offer a plausible biological substrate for occult persistence that complicates simple assumptions that short-course therapy is an effective method to reset risk to baseline. The framework, therefore, </w:t>
      </w:r>
      <w:r w:rsidRPr="000A6A9C">
        <w:rPr>
          <w:lang w:val="en-US"/>
        </w:rPr>
        <w:lastRenderedPageBreak/>
        <w:t>places prevention at multiple points in the loop, and Harding et al. (2022) show in a UK non-inferiority trial that methenamine hippurate can be comparable to daily antibiotic prophylaxis for the prevention of recurrence. The model anticipates clusters of high utilisation as emergent phenomena in which biological vulnerability, diagnostic ambiguity and constrained access co-produce disproportionate burden and cumulative antimicrobial exposure</w:t>
      </w:r>
      <w:r>
        <w:rPr>
          <w:lang w:val="en-US"/>
        </w:rPr>
        <w:t>.</w:t>
      </w:r>
    </w:p>
    <w:p w14:paraId="71DA72F0" w14:textId="77777777" w:rsidR="0034369D" w:rsidRPr="00782D6D" w:rsidRDefault="00726982">
      <w:pPr>
        <w:pStyle w:val="Heading2"/>
      </w:pPr>
      <w:bookmarkStart w:id="73" w:name="_9xk4xmjuthus" w:colFirst="0" w:colLast="0"/>
      <w:bookmarkStart w:id="74" w:name="_Toc220833807"/>
      <w:bookmarkEnd w:id="73"/>
      <w:r w:rsidRPr="00782D6D">
        <w:t>2.8 Summary of the Literature Review</w:t>
      </w:r>
      <w:bookmarkEnd w:id="74"/>
    </w:p>
    <w:p w14:paraId="71DA72F1" w14:textId="042FC3C8" w:rsidR="00A04756" w:rsidRPr="00782D6D" w:rsidRDefault="00726982">
      <w:r w:rsidRPr="00782D6D">
        <w:t>This chapter has discussed the epidemiological patterns of UTIs, showing that they represent a high global burden, with recurrence rates and a high burden on adults and older women. A critical synthesis of evidence showed that risk is due to interconnected biological, behavioural, clinical, and social factors, and prevention strategies have varied considerably in terms of effectiveness and evidential robustness. Notable inconsistencies, methodological limitations and gaps, especially in relation to modifiable behaviours and UK-specific evidence, underpin the patchy nature of current knowledge. By combining health behaviour and ecological theories, the chapter provides a conceptual foundation for understanding UTI susceptibility and prevention, providing a stimulus for the need for a good systematic review.</w:t>
      </w:r>
    </w:p>
    <w:p w14:paraId="3BB0FF71" w14:textId="77777777" w:rsidR="00C26202" w:rsidRPr="00782D6D" w:rsidRDefault="00C26202" w:rsidP="00766FBD">
      <w:pPr>
        <w:pStyle w:val="Heading1"/>
      </w:pPr>
      <w:bookmarkStart w:id="75" w:name="_Toc220833808"/>
      <w:r w:rsidRPr="00782D6D">
        <w:t>CHAPTER 3: METHODOLOGY</w:t>
      </w:r>
      <w:bookmarkEnd w:id="75"/>
    </w:p>
    <w:p w14:paraId="10445723" w14:textId="77777777" w:rsidR="00C26202" w:rsidRPr="00782D6D" w:rsidRDefault="00C26202" w:rsidP="00766FBD">
      <w:pPr>
        <w:pStyle w:val="Heading2"/>
      </w:pPr>
      <w:bookmarkStart w:id="76" w:name="_Toc220833809"/>
      <w:r w:rsidRPr="00782D6D">
        <w:t>3.1 Introduction to the Methodology</w:t>
      </w:r>
      <w:bookmarkEnd w:id="76"/>
    </w:p>
    <w:p w14:paraId="28CF9F53" w14:textId="77777777" w:rsidR="00C26202" w:rsidRPr="00782D6D" w:rsidRDefault="00C26202" w:rsidP="00C26202">
      <w:r w:rsidRPr="00782D6D">
        <w:t>The chapter describes the methodological approach followed for this systematic literature review of the prevalence, risk factors and prevention strategies for urinary tract infections in adult women. It describes the overall research design, including adherence to PRISMA 2020 and the development of an a priori review protocol. The eligibility criteria, information sources and search strategy to identify relevant empirical studies are outlined in this chapter. It then describes the study selection process based on the PRISMA tool, data extraction procedures and quality appraisal methods. Finally, it describes the framework of narrative synthesis that organises the presentation of results that follows.​​</w:t>
      </w:r>
    </w:p>
    <w:p w14:paraId="4020032D" w14:textId="77777777" w:rsidR="00C26202" w:rsidRPr="00782D6D" w:rsidRDefault="00C26202" w:rsidP="00766FBD">
      <w:pPr>
        <w:pStyle w:val="Heading2"/>
      </w:pPr>
      <w:bookmarkStart w:id="77" w:name="_Toc220833810"/>
      <w:r w:rsidRPr="00782D6D">
        <w:lastRenderedPageBreak/>
        <w:t>3.2 Research Design</w:t>
      </w:r>
      <w:bookmarkEnd w:id="77"/>
    </w:p>
    <w:p w14:paraId="2726AEE4" w14:textId="77777777" w:rsidR="00C26202" w:rsidRPr="00782D6D" w:rsidRDefault="00C26202" w:rsidP="00C26202">
      <w:r w:rsidRPr="00782D6D">
        <w:t>The study follows a systematic literature review method using the PRISMA 2020 statement when reporting evidence in order to be transparent and reproducible (Moher et al., 2021)​. The review is restricted to quantitative and mixed methods studies of the prevalence, risk factors and prevention methods for urinary tract infections (UTIs) in adult women, with a focus on populations pertinent to UK public health practice (Gupta et al., 2017)​. Given anticipated clinical and methodological heterogeneity, findings are synthesised mostly by structured narrative synthesis (complemented by descriptive statistics rather than formal meta-analysis) (Page et al., 2021)​. The methodological position is broadly positivist and evidence-based, with a participatory emphasis on empirically collected data in a systematic manner to inform public health decision-making (Ioannidis, 2016)​. Within this stance, particular weight is given to observational epidemiological designs, which are well-suited to quantifying the burden of UTIs and identifying multifactorial risk profiles within real-life settings (Garg et al., 2012). The research questions and objectives - relating to prevalence, determinants and preventive interventions - therefore directly influence the selection of the systematic review design and focus on epidemiological and intervention evidence (Higgins et al., 2019)​.</w:t>
      </w:r>
    </w:p>
    <w:p w14:paraId="121016A1" w14:textId="77777777" w:rsidR="00C26202" w:rsidRPr="00782D6D" w:rsidRDefault="00C26202" w:rsidP="00766FBD">
      <w:pPr>
        <w:pStyle w:val="Heading2"/>
      </w:pPr>
      <w:bookmarkStart w:id="78" w:name="_Toc220833811"/>
      <w:r w:rsidRPr="00782D6D">
        <w:t>3.3 Review Protocol and Registration</w:t>
      </w:r>
      <w:bookmarkEnd w:id="78"/>
    </w:p>
    <w:p w14:paraId="0E40E201" w14:textId="77777777" w:rsidR="00C26202" w:rsidRPr="00782D6D" w:rsidRDefault="00C26202" w:rsidP="00C26202">
      <w:r w:rsidRPr="00782D6D">
        <w:t xml:space="preserve">The review was not prospectively registered on platforms such as PROSPERO due to institutional timelines and programme requirements; however, a written protocol was developed and followed throughout (Booth et al., 2012)​. This protocol outlined the objectives of the review, eligibility criteria, sources of information, search strategy, study selection procedures, data extraction framework, tools and approach to quality appraisal and synthesis, according to the methodological guidance of the PRISMA 2020 (Page et al., 2021). Before any searching commenced, key decisions were agreed, including a focus on adult women aged 18 years and over, community healthcare settings relevant to the UK, and outcomes relating to prevalence of UTIs, recurrence and prevention (Gupta et al., 2017)​. Temporal limits were used to reflect current practice and resistance patterns to focus on studies published over a recently defined time period, while excluding studies other than peer-reviewed empirical research (Hooton, 2012)​. These a priori decisions minimise selective reporting and post-hoc changes, thus increasing the methodological </w:t>
      </w:r>
      <w:r w:rsidRPr="00782D6D">
        <w:lastRenderedPageBreak/>
        <w:t>rigour, transparency and reproducibility which are expected of high-quality systematic reviews in the public health field (Higgins et al., 2019)​.</w:t>
      </w:r>
    </w:p>
    <w:p w14:paraId="6A2AE6B9" w14:textId="77777777" w:rsidR="00C26202" w:rsidRPr="00782D6D" w:rsidRDefault="00C26202" w:rsidP="00766FBD">
      <w:pPr>
        <w:pStyle w:val="Heading2"/>
      </w:pPr>
      <w:bookmarkStart w:id="79" w:name="_Toc220833812"/>
      <w:r w:rsidRPr="00782D6D">
        <w:t>3.4 Eligibility Criteria</w:t>
      </w:r>
      <w:bookmarkEnd w:id="79"/>
      <w:r w:rsidRPr="00782D6D">
        <w:t> </w:t>
      </w:r>
    </w:p>
    <w:p w14:paraId="0AE2476A" w14:textId="77777777" w:rsidR="00C26202" w:rsidRPr="00782D6D" w:rsidRDefault="00C26202" w:rsidP="00C26202">
      <w:r w:rsidRPr="00782D6D">
        <w:t>Eligibility criteria were devised using a PEO-informed framework, and were concerned with Population, Exposure and Outcomes relevant to UTIs in adult females (Methley et al., 2014)​. The population comprised women aged 18 years or older in community or healthcare settings, mostly in the UK or similar high-income settings, with the exclusion of studies of men, children or mixed samples that did not report sex specific data (Gupta et al., 2017)​. Exposures included recognised or hypothesised risk factors such as anatomical features, sexual activity, menopause, contraception methods, comorbidities and catheterisation, and preventive interventions such as antibiotics, behavioural and non-pharmacological interventions (Hooton, 2012). Eligible outcomes included incidence or prevalence of UTIs, recurrence rates and effectiveness of prevention strategies, which were reported in primary quantitative or mixed methods studies, including observational and interventional studies (Higgins et al., 2019)​. Exclusions included case reports, reviews, editorials, non-peer reviewed sources, non-English language papers and studies published outside the predefined time frame, justified by feasibility, quality assurance considerations and relevance to contemporary UK public health practice (Page et al., 2021).</w:t>
      </w:r>
    </w:p>
    <w:p w14:paraId="25DA58D1" w14:textId="6D967CD6" w:rsidR="00C26202" w:rsidRPr="00782D6D" w:rsidRDefault="00C26202" w:rsidP="00766FBD">
      <w:pPr>
        <w:pStyle w:val="Heading2"/>
      </w:pPr>
      <w:bookmarkStart w:id="80" w:name="_Toc220833813"/>
      <w:r w:rsidRPr="00782D6D">
        <w:t xml:space="preserve">3.5 </w:t>
      </w:r>
      <w:r w:rsidR="00766FBD" w:rsidRPr="00782D6D">
        <w:t>Data</w:t>
      </w:r>
      <w:r w:rsidRPr="00782D6D">
        <w:t xml:space="preserve"> Sources</w:t>
      </w:r>
      <w:bookmarkEnd w:id="80"/>
    </w:p>
    <w:tbl>
      <w:tblPr>
        <w:tblW w:w="0" w:type="auto"/>
        <w:tblCellMar>
          <w:top w:w="15" w:type="dxa"/>
          <w:left w:w="15" w:type="dxa"/>
          <w:bottom w:w="15" w:type="dxa"/>
          <w:right w:w="15" w:type="dxa"/>
        </w:tblCellMar>
        <w:tblLook w:val="04A0" w:firstRow="1" w:lastRow="0" w:firstColumn="1" w:lastColumn="0" w:noHBand="0" w:noVBand="1"/>
      </w:tblPr>
      <w:tblGrid>
        <w:gridCol w:w="1598"/>
        <w:gridCol w:w="1606"/>
        <w:gridCol w:w="1282"/>
        <w:gridCol w:w="2352"/>
        <w:gridCol w:w="2512"/>
      </w:tblGrid>
      <w:tr w:rsidR="00C26202" w:rsidRPr="00782D6D" w14:paraId="18097006" w14:textId="77777777">
        <w:trPr>
          <w:trHeight w:val="1095"/>
        </w:trPr>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448E2351" w14:textId="77777777" w:rsidR="00C26202" w:rsidRPr="00782D6D" w:rsidRDefault="00C26202" w:rsidP="00C26202">
            <w:pPr>
              <w:jc w:val="center"/>
            </w:pPr>
            <w:r w:rsidRPr="00782D6D">
              <w:rPr>
                <w:b/>
                <w:bCs/>
              </w:rPr>
              <w:t>Source type</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1BEDA8A7" w14:textId="77777777" w:rsidR="00C26202" w:rsidRPr="00782D6D" w:rsidRDefault="00C26202" w:rsidP="00C26202">
            <w:pPr>
              <w:jc w:val="center"/>
            </w:pPr>
            <w:r w:rsidRPr="00782D6D">
              <w:rPr>
                <w:b/>
                <w:bCs/>
              </w:rPr>
              <w:t>Source</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076BDA6D" w14:textId="77777777" w:rsidR="00C26202" w:rsidRPr="00782D6D" w:rsidRDefault="00C26202" w:rsidP="00C26202">
            <w:pPr>
              <w:jc w:val="center"/>
            </w:pPr>
            <w:r w:rsidRPr="00782D6D">
              <w:rPr>
                <w:b/>
                <w:bCs/>
              </w:rPr>
              <w:t>Coverage dates searched</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4FA72D36" w14:textId="77777777" w:rsidR="00C26202" w:rsidRPr="00782D6D" w:rsidRDefault="00C26202" w:rsidP="00C26202">
            <w:pPr>
              <w:jc w:val="center"/>
            </w:pPr>
            <w:r w:rsidRPr="00782D6D">
              <w:rPr>
                <w:b/>
                <w:bCs/>
              </w:rPr>
              <w:t>Rationale for inclusion</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5B7E5180" w14:textId="305D8A12" w:rsidR="00C26202" w:rsidRPr="00782D6D" w:rsidRDefault="00C26202" w:rsidP="00C26202">
            <w:pPr>
              <w:jc w:val="center"/>
            </w:pPr>
            <w:r w:rsidRPr="00782D6D">
              <w:rPr>
                <w:b/>
                <w:bCs/>
              </w:rPr>
              <w:t>Comment</w:t>
            </w:r>
          </w:p>
        </w:tc>
      </w:tr>
      <w:tr w:rsidR="00C26202" w:rsidRPr="00782D6D" w14:paraId="5B87E2C6" w14:textId="77777777">
        <w:trPr>
          <w:trHeight w:val="304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D1B4576" w14:textId="77777777" w:rsidR="00C26202" w:rsidRPr="00782D6D" w:rsidRDefault="00C26202" w:rsidP="00C26202">
            <w:pPr>
              <w:jc w:val="left"/>
            </w:pPr>
            <w:r w:rsidRPr="00782D6D">
              <w:lastRenderedPageBreak/>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A448AF2" w14:textId="77777777" w:rsidR="00C26202" w:rsidRPr="00782D6D" w:rsidRDefault="00C26202" w:rsidP="00C26202">
            <w:pPr>
              <w:jc w:val="left"/>
            </w:pPr>
            <w:r w:rsidRPr="00782D6D">
              <w:t>MEDLINE (via PubMed)</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2933FE8"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6076087" w14:textId="77777777" w:rsidR="00C26202" w:rsidRPr="00782D6D" w:rsidRDefault="00C26202" w:rsidP="00C26202">
            <w:pPr>
              <w:jc w:val="left"/>
            </w:pPr>
            <w:r w:rsidRPr="00782D6D">
              <w:t>Core biomedical and clinical database capturing epidemiological and intervention studies on UTIs, including many UK</w:t>
            </w:r>
            <w:r w:rsidRPr="00782D6D">
              <w:noBreakHyphen/>
              <w:t>relevant journals.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40EEC30" w14:textId="77777777" w:rsidR="00C26202" w:rsidRPr="00782D6D" w:rsidRDefault="00C26202" w:rsidP="00C26202">
            <w:pPr>
              <w:jc w:val="left"/>
            </w:pPr>
            <w:r w:rsidRPr="00782D6D">
              <w:t>Allows use of MeSH for precise UTI and risk</w:t>
            </w:r>
            <w:r w:rsidRPr="00782D6D">
              <w:noBreakHyphen/>
              <w:t>factor terms; supports PRISMA</w:t>
            </w:r>
            <w:r w:rsidRPr="00782D6D">
              <w:noBreakHyphen/>
              <w:t>compliant searching.</w:t>
            </w:r>
          </w:p>
        </w:tc>
      </w:tr>
      <w:tr w:rsidR="00C26202" w:rsidRPr="00782D6D" w14:paraId="7CA1B25D" w14:textId="77777777">
        <w:trPr>
          <w:trHeight w:val="333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713B102" w14:textId="77777777" w:rsidR="00C26202" w:rsidRPr="00782D6D" w:rsidRDefault="00C26202" w:rsidP="00C26202">
            <w:pPr>
              <w:jc w:val="left"/>
            </w:pPr>
            <w:r w:rsidRPr="00782D6D">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97A3C7F" w14:textId="77777777" w:rsidR="00C26202" w:rsidRPr="00782D6D" w:rsidRDefault="00C26202" w:rsidP="00C26202">
            <w:pPr>
              <w:jc w:val="left"/>
            </w:pPr>
            <w:r w:rsidRPr="00782D6D">
              <w:t>Embase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16F9268"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0505116" w14:textId="77777777" w:rsidR="00C26202" w:rsidRPr="00782D6D" w:rsidRDefault="00C26202" w:rsidP="00C26202">
            <w:pPr>
              <w:jc w:val="left"/>
            </w:pPr>
            <w:r w:rsidRPr="00782D6D">
              <w:t>Strong coverage of pharmacological and European clinical literature, including prevention strategies and antibiotic use in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4438067" w14:textId="77777777" w:rsidR="00C26202" w:rsidRPr="00782D6D" w:rsidRDefault="00C26202" w:rsidP="00C26202">
            <w:pPr>
              <w:jc w:val="left"/>
            </w:pPr>
            <w:r w:rsidRPr="00782D6D">
              <w:t>Complements MEDLINE and improves retrieval of UTI intervention and resistance studies.</w:t>
            </w:r>
          </w:p>
        </w:tc>
      </w:tr>
      <w:tr w:rsidR="00C26202" w:rsidRPr="00782D6D" w14:paraId="1B20236E" w14:textId="77777777">
        <w:trPr>
          <w:trHeight w:val="333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2449228" w14:textId="77777777" w:rsidR="00C26202" w:rsidRPr="00782D6D" w:rsidRDefault="00C26202" w:rsidP="00C26202">
            <w:pPr>
              <w:jc w:val="left"/>
            </w:pPr>
            <w:r w:rsidRPr="00782D6D">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BA7EE35" w14:textId="77777777" w:rsidR="00C26202" w:rsidRPr="00782D6D" w:rsidRDefault="00C26202" w:rsidP="00C26202">
            <w:pPr>
              <w:jc w:val="left"/>
            </w:pPr>
            <w:r w:rsidRPr="00782D6D">
              <w:t>CINAHL</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46A53BF"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E1BC731" w14:textId="77777777" w:rsidR="00C26202" w:rsidRPr="00782D6D" w:rsidRDefault="00C26202" w:rsidP="00C26202">
            <w:pPr>
              <w:jc w:val="left"/>
            </w:pPr>
            <w:r w:rsidRPr="00782D6D">
              <w:t>Indexes nursing and allied</w:t>
            </w:r>
            <w:r w:rsidRPr="00782D6D">
              <w:noBreakHyphen/>
              <w:t>health research relevant to women’s experiences, care practices and behavioural prevention strategies.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AB55F90" w14:textId="77777777" w:rsidR="00C26202" w:rsidRPr="00782D6D" w:rsidRDefault="00C26202" w:rsidP="00C26202">
            <w:pPr>
              <w:jc w:val="left"/>
            </w:pPr>
            <w:r w:rsidRPr="00782D6D">
              <w:t>Important for public</w:t>
            </w:r>
            <w:r w:rsidRPr="00782D6D">
              <w:noBreakHyphen/>
              <w:t>health and practice</w:t>
            </w:r>
            <w:r w:rsidRPr="00782D6D">
              <w:noBreakHyphen/>
              <w:t>based evidence on recurrent UTIs in women.</w:t>
            </w:r>
          </w:p>
        </w:tc>
      </w:tr>
      <w:tr w:rsidR="00C26202" w:rsidRPr="00782D6D" w14:paraId="6EE4B34A" w14:textId="77777777">
        <w:trPr>
          <w:trHeight w:val="220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74C7868" w14:textId="77777777" w:rsidR="00C26202" w:rsidRPr="00782D6D" w:rsidRDefault="00C26202" w:rsidP="00C26202">
            <w:pPr>
              <w:jc w:val="left"/>
            </w:pPr>
            <w:r w:rsidRPr="00782D6D">
              <w:lastRenderedPageBreak/>
              <w:t>Bibliographic database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BB429B6" w14:textId="77777777" w:rsidR="00C26202" w:rsidRPr="00782D6D" w:rsidRDefault="00C26202" w:rsidP="00C26202">
            <w:pPr>
              <w:jc w:val="left"/>
            </w:pPr>
            <w:r w:rsidRPr="00782D6D">
              <w:t>Cochrane Library (CENTRAL, reviews)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9B11597"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996200B" w14:textId="77777777" w:rsidR="00C26202" w:rsidRPr="00782D6D" w:rsidRDefault="00C26202" w:rsidP="00C26202">
            <w:pPr>
              <w:jc w:val="left"/>
            </w:pPr>
            <w:r w:rsidRPr="00782D6D">
              <w:t>Provides high</w:t>
            </w:r>
            <w:r w:rsidRPr="00782D6D">
              <w:noBreakHyphen/>
              <w:t>quality evidence on prophylactic and therapeutic interventions for UTIs.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F5805D5" w14:textId="77777777" w:rsidR="00C26202" w:rsidRPr="00782D6D" w:rsidRDefault="00C26202" w:rsidP="00C26202">
            <w:pPr>
              <w:jc w:val="left"/>
            </w:pPr>
            <w:r w:rsidRPr="00782D6D">
              <w:t>Searched for controlled trials and to cross</w:t>
            </w:r>
            <w:r w:rsidRPr="00782D6D">
              <w:noBreakHyphen/>
              <w:t>check existing systematic reviews.</w:t>
            </w:r>
          </w:p>
        </w:tc>
      </w:tr>
      <w:tr w:rsidR="00C26202" w:rsidRPr="00782D6D" w14:paraId="1C553D93" w14:textId="77777777">
        <w:trPr>
          <w:trHeight w:val="304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6BF01E9" w14:textId="77777777" w:rsidR="00C26202" w:rsidRPr="00782D6D" w:rsidRDefault="00C26202" w:rsidP="00C26202">
            <w:pPr>
              <w:jc w:val="left"/>
            </w:pPr>
            <w:r w:rsidRPr="00782D6D">
              <w:t>Grey literature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8B9345D" w14:textId="77777777" w:rsidR="00C26202" w:rsidRPr="00782D6D" w:rsidRDefault="00C26202" w:rsidP="00C26202">
            <w:pPr>
              <w:jc w:val="left"/>
            </w:pPr>
            <w:r w:rsidRPr="00782D6D">
              <w:t>Google Scholar, institutional repositories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41AC320" w14:textId="77777777" w:rsidR="00C26202" w:rsidRPr="00782D6D" w:rsidRDefault="00C26202" w:rsidP="00C26202">
            <w:pPr>
              <w:jc w:val="left"/>
            </w:pPr>
            <w:r w:rsidRPr="00782D6D">
              <w:t>2013–2025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1BC9FD5" w14:textId="77777777" w:rsidR="00C26202" w:rsidRPr="00782D6D" w:rsidRDefault="00C26202" w:rsidP="00C26202">
            <w:pPr>
              <w:jc w:val="left"/>
            </w:pPr>
            <w:r w:rsidRPr="00782D6D">
              <w:t>Helps identify theses, reports and non</w:t>
            </w:r>
            <w:r w:rsidRPr="00782D6D">
              <w:noBreakHyphen/>
              <w:t>indexed studies on UTI burden and prevention in women, reducing publication bias.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C4C75EF" w14:textId="77777777" w:rsidR="00C26202" w:rsidRPr="00782D6D" w:rsidRDefault="00C26202" w:rsidP="00C26202">
            <w:pPr>
              <w:jc w:val="left"/>
            </w:pPr>
            <w:r w:rsidRPr="00782D6D">
              <w:t>Limited to first relevant pages and filtered for empirical health</w:t>
            </w:r>
            <w:r w:rsidRPr="00782D6D">
              <w:noBreakHyphen/>
              <w:t>related content.</w:t>
            </w:r>
          </w:p>
        </w:tc>
      </w:tr>
    </w:tbl>
    <w:p w14:paraId="0D27EBAD" w14:textId="77777777" w:rsidR="00C26202" w:rsidRDefault="00C26202" w:rsidP="00DD5FC3">
      <w:pPr>
        <w:pStyle w:val="Heading2"/>
      </w:pPr>
      <w:bookmarkStart w:id="81" w:name="_Toc220833814"/>
      <w:r w:rsidRPr="00782D6D">
        <w:t>3.6 Search Strategy</w:t>
      </w:r>
      <w:bookmarkEnd w:id="81"/>
    </w:p>
    <w:p w14:paraId="7FF242C8" w14:textId="51CBD823" w:rsidR="00B02CE3" w:rsidRDefault="00B02CE3" w:rsidP="00D947CC">
      <w:pPr>
        <w:pStyle w:val="Heading3"/>
      </w:pPr>
      <w:bookmarkStart w:id="82" w:name="_Toc220833815"/>
      <w:r>
        <w:t>3.6.1 Search</w:t>
      </w:r>
      <w:r w:rsidR="00D947CC">
        <w:t xml:space="preserve"> blocks and vocabulary usage</w:t>
      </w:r>
      <w:bookmarkEnd w:id="82"/>
      <w:r w:rsidR="00D947CC">
        <w:t xml:space="preserve"> </w:t>
      </w:r>
    </w:p>
    <w:p w14:paraId="0E65F6B7" w14:textId="16CC5C6D" w:rsidR="00D947CC" w:rsidRDefault="00D947CC" w:rsidP="00D947CC">
      <w:pPr>
        <w:rPr>
          <w:lang w:val="en-US"/>
        </w:rPr>
      </w:pPr>
      <w:r w:rsidRPr="00D947CC">
        <w:rPr>
          <w:lang w:val="en-US"/>
        </w:rPr>
        <w:t xml:space="preserve">The search strategy was designed using four concept blocks to maximise sensitivity and maintain interpretability: Condition (urinary tract infection, cystitis, pyelonephritis), Population (adult women), Determinant/Prevention (risk factors and preventive or management strategies) and Geography (United Kingdom and constituent nations). Controlled vocabulary was paired with free text due to the equivalency of indexing terms with free text, allowing for greater precision for established concepts, while free text is necessary to retrieve newly published records that have not been indexed and to retrieve authors' language that does not translate cleanly into thesaurus headings (Higgins et al., 2024). MeSH and Emtree terms were "exploded" where appropriate to capture more specific concepts, while truncation and phrase terms were used in free-text to address spelling issues and heterogeneous clinical terminology. This strategy was peer-checked in terms of logic, spelling and line combinations to minimise avoidable retrieval errors, which can systematically bias the identification of evidence (McGowan et al., 2016). The blocks were </w:t>
      </w:r>
      <w:r w:rsidRPr="00D947CC">
        <w:rPr>
          <w:lang w:val="en-US"/>
        </w:rPr>
        <w:lastRenderedPageBreak/>
        <w:t>combined using AND to ensure conceptual relevance, and within-block synonyms were combined using OR to minimise missed retrieval because of terminological variation.</w:t>
      </w:r>
    </w:p>
    <w:p w14:paraId="2F1E4265" w14:textId="10CAAF9D" w:rsidR="00D947CC" w:rsidRDefault="005B1F29" w:rsidP="005B1F29">
      <w:pPr>
        <w:pStyle w:val="Heading3"/>
        <w:rPr>
          <w:lang w:val="en-US"/>
        </w:rPr>
      </w:pPr>
      <w:bookmarkStart w:id="83" w:name="_Toc220833816"/>
      <w:r>
        <w:rPr>
          <w:lang w:val="en-US"/>
        </w:rPr>
        <w:t>3.6.2 Example</w:t>
      </w:r>
      <w:r w:rsidR="00724E78">
        <w:rPr>
          <w:lang w:val="en-US"/>
        </w:rPr>
        <w:t>s</w:t>
      </w:r>
      <w:r>
        <w:rPr>
          <w:lang w:val="en-US"/>
        </w:rPr>
        <w:t xml:space="preserve"> of search string</w:t>
      </w:r>
      <w:bookmarkEnd w:id="83"/>
      <w:r>
        <w:rPr>
          <w:lang w:val="en-US"/>
        </w:rPr>
        <w:t xml:space="preserve"> </w:t>
      </w:r>
    </w:p>
    <w:p w14:paraId="6924D038" w14:textId="1FD097C0" w:rsidR="005B1F29" w:rsidRDefault="00CF230E" w:rsidP="005B1F29">
      <w:pPr>
        <w:rPr>
          <w:lang w:val="en-US"/>
        </w:rPr>
      </w:pPr>
      <w:r w:rsidRPr="00CF230E">
        <w:rPr>
          <w:lang w:val="en-US"/>
        </w:rPr>
        <w:t>A full Medline/PubMed strategy was developed and then translated to Embase, CINAHL and CENTRAL with database-specific syntax, field tags and controlled vocabulary in order to maintain conceptual equivalence, rather than literal wording (Higgins et al., 2024). An example PubMed string was: "Urinary Tract Infections" OR cystitis OR "urinary tract infection" OR UTI) AND (women OR female OR women) AND (risk factor OR recurrent OR prevent OR prophylax OR management) AND ("United Kingdom" OR "United Kingdom" OR UK OR England OR Scotland OR Wales OR "Northern Ireland" OR NHS. Filters were set for human, English language and publication years 2013-2024; and an adult focus was ensured using population terms and eligibility screening rather than restrictive database age filters to prevent inadvertently missing relevant primary care studies. Search reporting was documented to enable replication, including exact run dates, platforms and full line-by-line strategies provided in the Appendix (Rethlefsen et al., 2021).</w:t>
      </w:r>
    </w:p>
    <w:p w14:paraId="1593678D" w14:textId="3B36F110" w:rsidR="005D788A" w:rsidRDefault="005D788A" w:rsidP="005D788A">
      <w:pPr>
        <w:pStyle w:val="Heading3"/>
      </w:pPr>
      <w:bookmarkStart w:id="84" w:name="_Toc220833817"/>
      <w:r>
        <w:rPr>
          <w:lang w:val="en-US"/>
        </w:rPr>
        <w:t xml:space="preserve">3.6.3 </w:t>
      </w:r>
      <w:r w:rsidRPr="005D788A">
        <w:t>Grey literature and supplementary searching</w:t>
      </w:r>
      <w:bookmarkEnd w:id="84"/>
    </w:p>
    <w:p w14:paraId="05C0982D" w14:textId="73426A02" w:rsidR="005D788A" w:rsidRPr="005D788A" w:rsidRDefault="005D788A" w:rsidP="005D788A">
      <w:pPr>
        <w:rPr>
          <w:lang w:val="en-US"/>
        </w:rPr>
      </w:pPr>
      <w:r w:rsidRPr="005D788A">
        <w:rPr>
          <w:lang w:val="en-US"/>
        </w:rPr>
        <w:t>Grey literature searching was employed to minimise publication and indexing bias, acknowledging the fact that Google Scholar provides breadth, but less reproducibility and filtering control than bibliographic databases (Gusenbauer and Haddaway, 2020). Google Scholar was searched by combining the terms "recurrent UTI", "women", "UK", "primary care", and "prevention" using phrase searching, and screening was restricted to the first 10 pages of results based on relevance of results to ensure that the process remained feasible. Backward citation chasing from included studies and key reviews was undertaken to identify earlier UK studies that may be missed in citation indexing of databases, and forward citation chasing to find subsequent evaluations of prevention strategies and diagnostic approaches. Relevant sources linked in guidelines have been checked to ensure terminology is in line with UK practice, especially for definitions and management options (NICE, 2024)</w:t>
      </w:r>
      <w:r>
        <w:rPr>
          <w:lang w:val="en-US"/>
        </w:rPr>
        <w:t>.</w:t>
      </w:r>
    </w:p>
    <w:p w14:paraId="53DD9A29" w14:textId="77777777" w:rsidR="00C26202" w:rsidRPr="00782D6D" w:rsidRDefault="00C26202" w:rsidP="00DD5FC3">
      <w:pPr>
        <w:pStyle w:val="Heading2"/>
      </w:pPr>
      <w:bookmarkStart w:id="85" w:name="_Toc220833818"/>
      <w:r w:rsidRPr="00782D6D">
        <w:lastRenderedPageBreak/>
        <w:t>3.7 Study Selection Process</w:t>
      </w:r>
      <w:bookmarkEnd w:id="85"/>
    </w:p>
    <w:p w14:paraId="77700C14" w14:textId="77777777" w:rsidR="00C26202" w:rsidRDefault="00C26202" w:rsidP="00C26202">
      <w:r w:rsidRPr="00782D6D">
        <w:t>A total of 1,246 records were identified by database searching, with no further databases identified from registers, and 312 duplicates were removed before screening. Subsequently, 934 titles and abstracts were screened, and 784 were excluded because they clearly did not meet the inclusion criteria. Full texts were requested for 150 reports; 5 failed to retrieve, leaving 145 reports to be evaluated for eligibility. Of these, 135 were excluded based on various criteria such as ineligible population, design, outcomes, quality of reporting and setting, leaving 10 studies for the final review.</w:t>
      </w:r>
    </w:p>
    <w:p w14:paraId="32AAFD9D" w14:textId="199FDC47" w:rsidR="009D4F89" w:rsidRDefault="009D4F89" w:rsidP="009D4F89">
      <w:pPr>
        <w:pStyle w:val="Heading3"/>
      </w:pPr>
      <w:bookmarkStart w:id="86" w:name="_Toc220833819"/>
      <w:r>
        <w:t xml:space="preserve">3.7.1 </w:t>
      </w:r>
      <w:r w:rsidRPr="009D4F89">
        <w:t>Screening workflow</w:t>
      </w:r>
      <w:bookmarkEnd w:id="86"/>
    </w:p>
    <w:p w14:paraId="45BF7CC9" w14:textId="61BDBCEC" w:rsidR="009D4F89" w:rsidRDefault="009D4F89" w:rsidP="009D4F89">
      <w:pPr>
        <w:rPr>
          <w:lang w:val="en-US"/>
        </w:rPr>
      </w:pPr>
      <w:r w:rsidRPr="009D4F89">
        <w:rPr>
          <w:lang w:val="en-US"/>
        </w:rPr>
        <w:t>Study selection was carried out in a staged manner, consisting of a process of deduplication, title and abstract screening and full-text eligibility assessment, in order to minimise the risk of both workload and error. Duplicate removal was conducted pre-screening to avoid double-counting of evidence and to minimise the effects of reviewer fatigue, which can cause a skew of decisions about inclusion (Bramer et al. 2016). Titles and abstracts were screened against pre-specified criteria relating to adult women, UTI outcome, risk factors or prevention/management strategies and relevance to the UK context. Full texts were then screened against eligibility criteria, with common exclusions being ineligible populations, non-UTI outcomes, non-empirical designs or settings of unmet relevance for UK care pathways. Ambiguous cases were approached by consultation and discussion in order to achieve consistency in the interpretation of the criteria and to prevent idiosyncratic inclusion decisions.</w:t>
      </w:r>
    </w:p>
    <w:p w14:paraId="3A30A917" w14:textId="5D42295F" w:rsidR="009D4F89" w:rsidRDefault="009D4F89" w:rsidP="00FF7BD9">
      <w:pPr>
        <w:pStyle w:val="Heading3"/>
      </w:pPr>
      <w:bookmarkStart w:id="87" w:name="_Toc220833820"/>
      <w:r>
        <w:rPr>
          <w:lang w:val="en-US"/>
        </w:rPr>
        <w:t xml:space="preserve">3.7.2 </w:t>
      </w:r>
      <w:r w:rsidR="00FF7BD9" w:rsidRPr="00FF7BD9">
        <w:t xml:space="preserve">PRISMA flow diagram </w:t>
      </w:r>
      <w:r w:rsidR="00FF7BD9">
        <w:t>overview</w:t>
      </w:r>
      <w:bookmarkEnd w:id="87"/>
      <w:r w:rsidR="00FF7BD9">
        <w:t xml:space="preserve"> </w:t>
      </w:r>
    </w:p>
    <w:p w14:paraId="35140941" w14:textId="688C0677" w:rsidR="00FF7BD9" w:rsidRDefault="00FF7BD9" w:rsidP="00FF7BD9">
      <w:pPr>
        <w:rPr>
          <w:lang w:val="en-US"/>
        </w:rPr>
      </w:pPr>
      <w:r w:rsidRPr="00FF7BD9">
        <w:rPr>
          <w:lang w:val="en-US"/>
        </w:rPr>
        <w:t>A PRISMA flow diagram was employed to ensure transparent accounting of records at each of the stages of selection and to make exclusion decisions auditable. This approach is designed to minimise the selective reporting by requiring explicit documentation of the number of records that were excluded as duplicates, excluded at the title and abstract stage, and excluded after full-text review (Page et al., 2021). In this review, records were successively reduced via screening and eligibility determination until the included studies were determined for synthesis. Reporting flow facilitates critical appraisal by enabling readers to determine whether selection decisions were systematic and whether the review may be at risk of missing evidence.</w:t>
      </w:r>
    </w:p>
    <w:p w14:paraId="794D8AFE" w14:textId="6FD9F7D4" w:rsidR="00FF7BD9" w:rsidRDefault="00FF7BD9" w:rsidP="00FF7BD9">
      <w:pPr>
        <w:pStyle w:val="Heading3"/>
      </w:pPr>
      <w:bookmarkStart w:id="88" w:name="_Toc220833821"/>
      <w:r>
        <w:rPr>
          <w:lang w:val="en-US"/>
        </w:rPr>
        <w:lastRenderedPageBreak/>
        <w:t xml:space="preserve">3.7.3 </w:t>
      </w:r>
      <w:r w:rsidRPr="00FF7BD9">
        <w:t>Inclusion/exclusion decision</w:t>
      </w:r>
      <w:bookmarkEnd w:id="88"/>
    </w:p>
    <w:p w14:paraId="38694C64" w14:textId="3305F419" w:rsidR="00FF7BD9" w:rsidRPr="00FF7BD9" w:rsidRDefault="00FF7BD9" w:rsidP="00FF7BD9">
      <w:pPr>
        <w:rPr>
          <w:lang w:val="en-US"/>
        </w:rPr>
      </w:pPr>
      <w:r w:rsidRPr="00FF7BD9">
        <w:rPr>
          <w:lang w:val="en-US"/>
        </w:rPr>
        <w:t>Borderline cases were processed by relying on explicit decision rules, intended to maintain relevance and minimise bias. Mixed-gender studies were included only if results of adult women were reported separately or if females were the analytic population for UTI outcomes. Studies were excluded if UTI was not clearly defined or if it was not possible to attribute outcomes to urinary infection rather than non-infectious urinary symptoms. Prevention evidence was included where the intervention had a plausible pathway of reducing the incidence or recurrence of UTIs; however, narrative opinion pieces with no empirical data were excluded to preserve evidential integrity</w:t>
      </w:r>
      <w:r>
        <w:rPr>
          <w:lang w:val="en-US"/>
        </w:rPr>
        <w:t>.</w:t>
      </w:r>
    </w:p>
    <w:p w14:paraId="208C5EC4" w14:textId="002507C7" w:rsidR="00C26202" w:rsidRPr="00782D6D" w:rsidRDefault="00434AF6" w:rsidP="00DD5FC3">
      <w:pPr>
        <w:jc w:val="center"/>
      </w:pPr>
      <w:r w:rsidRPr="00434AF6">
        <w:rPr>
          <w:noProof/>
          <w:lang w:val="en-IN" w:eastAsia="en-IN"/>
        </w:rPr>
        <w:lastRenderedPageBreak/>
        <w:drawing>
          <wp:inline distT="0" distB="0" distL="0" distR="0" wp14:anchorId="27A816B1" wp14:editId="3BF7D3DF">
            <wp:extent cx="5943600" cy="6694805"/>
            <wp:effectExtent l="0" t="0" r="0" b="0"/>
            <wp:docPr id="951326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26411" name=""/>
                    <pic:cNvPicPr/>
                  </pic:nvPicPr>
                  <pic:blipFill>
                    <a:blip r:embed="rId19"/>
                    <a:stretch>
                      <a:fillRect/>
                    </a:stretch>
                  </pic:blipFill>
                  <pic:spPr>
                    <a:xfrm>
                      <a:off x="0" y="0"/>
                      <a:ext cx="5943600" cy="6694805"/>
                    </a:xfrm>
                    <a:prstGeom prst="rect">
                      <a:avLst/>
                    </a:prstGeom>
                  </pic:spPr>
                </pic:pic>
              </a:graphicData>
            </a:graphic>
          </wp:inline>
        </w:drawing>
      </w:r>
    </w:p>
    <w:p w14:paraId="441C56A6" w14:textId="77777777" w:rsidR="00C26202" w:rsidRPr="00782D6D" w:rsidRDefault="00C26202" w:rsidP="00DD5FC3">
      <w:pPr>
        <w:pStyle w:val="Heading2"/>
      </w:pPr>
      <w:bookmarkStart w:id="89" w:name="_Toc220833822"/>
      <w:r w:rsidRPr="00782D6D">
        <w:t>3.8 Data Extraction and Management</w:t>
      </w:r>
      <w:bookmarkEnd w:id="89"/>
    </w:p>
    <w:p w14:paraId="0E350928" w14:textId="77777777" w:rsidR="00C26202" w:rsidRPr="00782D6D" w:rsidRDefault="00C26202" w:rsidP="00C26202">
      <w:r w:rsidRPr="00782D6D">
        <w:t xml:space="preserve">A structured data extraction form was developed a priori to ensure consistent and comprehensive study characteristics and result capture (Higgins et al., 2019). Variables extracted were author, year of publication, country, healthcare or community setting, study design, sample size, </w:t>
      </w:r>
      <w:r w:rsidRPr="00782D6D">
        <w:lastRenderedPageBreak/>
        <w:t>participant age and sex, type of UTI, measured risk factors or prevention strategies, outcome definitions, effect estimates and reported limitations (Gupta et al., 2017). The form was piloted independently on a small subset of eligible studies, and minor revisions were made for clarity in variable definitions and usability (Higgins et al., 2019). Data extraction was then carried out systematically, with a second reviewer or cross-checking being used to ensure accuracy and resolving any discrepancies through discussion (Büchter, Weise and Pieper, 2020). All extracted data were entered into a spreadsheet (e.g. Microsoft Excel) to enable tabulation, sorting of data according to key variables and preparation for narrative synthesis and any exploratory quantitative summaries (Higgins et al., 2019).​​</w:t>
      </w:r>
    </w:p>
    <w:p w14:paraId="23ACF7C2" w14:textId="77777777" w:rsidR="00C26202" w:rsidRPr="00782D6D" w:rsidRDefault="00C26202" w:rsidP="00DD5FC3">
      <w:pPr>
        <w:pStyle w:val="Heading2"/>
      </w:pPr>
      <w:bookmarkStart w:id="90" w:name="_Toc220833823"/>
      <w:r w:rsidRPr="00782D6D">
        <w:t>3.9 Quality Appraisal and Risk of Bias Assessment</w:t>
      </w:r>
      <w:bookmarkEnd w:id="90"/>
    </w:p>
    <w:p w14:paraId="3DA9981B" w14:textId="260E42A0" w:rsidR="00C26202" w:rsidRPr="00230940" w:rsidRDefault="00C26202" w:rsidP="00C26202">
      <w:pPr>
        <w:rPr>
          <w:lang w:val="en-US"/>
        </w:rPr>
      </w:pPr>
      <w:r w:rsidRPr="00782D6D">
        <w:t>Methodological quality and risk of bias of included studies were evaluated with the help of tools suitable for critical appraisal of each study design, such as the CASP for cohort and case control studies and the Joanna Briggs Institute tools for cross-sectional and intervention studies (Moola et al., 2015). These instruments are well-used in public health systematic reviews as they address key sources of bias, such as selection, measurement, confounding and attrition, which have a high relevance in UTI epidemiology and prevention research. Each study was independently appraised by at least one reviewer based on the relevant checklist, and a second reviewer was consulted for uncertain judgments; disagreements about eligibility were resolved by discussion and, if necessary, a third reviewer (Higgins et al., 2019). Rather than the creation of numerical scores, qualitative judgements (low, moderate, high risk of bias) were recorded and summarised, and these were used to inform sensitivity to weaker evidence in interpreting findings and drawing conclusions in later chapters (Perrin et al., 2025).​</w:t>
      </w:r>
      <w:r w:rsidR="00230940">
        <w:t xml:space="preserve"> </w:t>
      </w:r>
      <w:r w:rsidR="00230940" w:rsidRPr="00230940">
        <w:rPr>
          <w:lang w:val="en-US"/>
        </w:rPr>
        <w:t xml:space="preserve">Critical appraisal tools were chosen to reflect the expected heterogeneity of study designs in epidemiological, behavioural and intervention evidence. CASP checklists provide structured prompts for cohort and case-control designs that foreground selection, measurement and confounding biases that are central in observational UTI research. JBI tools provide design-specific appraisal for cross-sectional and quasi-experimental studies and allow for consistent appraisal of internal validity when evidence falls short of meeting the assumptions made in randomised trials (JBI, 2021). RoB 2 was reserved as the benchmark tool for any randomised evidence as it covers domains of bias unique to allocation, departures from intended interventions and missing data and selective reporting (Sterne et al., 2019). This </w:t>
      </w:r>
      <w:r w:rsidR="00230940" w:rsidRPr="00230940">
        <w:rPr>
          <w:lang w:val="en-US"/>
        </w:rPr>
        <w:lastRenderedPageBreak/>
        <w:t>combination allowed the use of design-appropriate appraisal without imposing a one-size-fits-all rubric, which can serve to mask the mechanisms of bias.</w:t>
      </w:r>
      <w:r w:rsidR="00230940">
        <w:rPr>
          <w:lang w:val="en-US"/>
        </w:rPr>
        <w:t xml:space="preserve"> </w:t>
      </w:r>
      <w:r w:rsidR="00230940" w:rsidRPr="00230940">
        <w:rPr>
          <w:lang w:val="en-US"/>
        </w:rPr>
        <w:t>Appraisal judgements were applied to balance the effect of claims rather than to exclude studies based on imperfect reporting. Studies that were considered as being at higher risk of bias were included if they had provided contextual or hypothesis-generating information, but the results of these studies were considered lower confidence when comparing studies. More emphasis was placed on convergent findings that were replicated across more than one design or setting, especially when the directions of effects were similar and plausible mechanisms could be articulated. This strategy was intended to strike a balance between inclusivity and epistemic caution by avoiding preferences for weaker observational results to dominate conclusions while still recognising their relevance to the actual practice.</w:t>
      </w:r>
    </w:p>
    <w:p w14:paraId="2E3D1A5A" w14:textId="77777777" w:rsidR="00C26202" w:rsidRPr="00782D6D" w:rsidRDefault="00C26202" w:rsidP="00DD5FC3">
      <w:pPr>
        <w:pStyle w:val="Heading2"/>
      </w:pPr>
      <w:bookmarkStart w:id="91" w:name="_Toc220833824"/>
      <w:r w:rsidRPr="00782D6D">
        <w:t>3.10 Data Synthesis and Analysis</w:t>
      </w:r>
      <w:bookmarkEnd w:id="91"/>
    </w:p>
    <w:p w14:paraId="1AD27F14" w14:textId="7EB4530E" w:rsidR="005577D8" w:rsidRPr="005577D8" w:rsidRDefault="00C26202" w:rsidP="00C26202">
      <w:pPr>
        <w:rPr>
          <w:lang w:val="en-US"/>
        </w:rPr>
      </w:pPr>
      <w:r w:rsidRPr="00782D6D">
        <w:t xml:space="preserve">Given anticipated heterogeneity in populations, settings, risk factors and prevention strategies and outcome measures, the main synthesis approach was envisaged to be a narrative structured around thematic and conceptual groupings (Popay et al., 2006). </w:t>
      </w:r>
      <w:r w:rsidR="001A3942" w:rsidRPr="001A3942">
        <w:t xml:space="preserve">The thematic synthesis has been carried out following the six-phase thematic analysis framework of Braun and Clarke as an organising method to develop analytical themes across the included studies. </w:t>
      </w:r>
      <w:r w:rsidR="005577D8" w:rsidRPr="005577D8">
        <w:rPr>
          <w:lang w:val="en-US"/>
        </w:rPr>
        <w:t>Narrative synthesis was methodologically necessary because the included evidence was likely to differ by case definitions, settings, outcome measures and intervention types; pooling statistical results was limited in its defensibility. A structured narrative approach allows heterogeneity to be explicitly treated rather than masked by aggregation, which may result in false certainty when studies are not clinically comparable. The synthesis, therefore, focused more on identifying patterns, explaining differences and mapping evidence to the conceptual framework rather than estimating one summary effect.</w:t>
      </w:r>
      <w:r w:rsidR="005577D8">
        <w:rPr>
          <w:lang w:val="en-US"/>
        </w:rPr>
        <w:t xml:space="preserve"> </w:t>
      </w:r>
      <w:r w:rsidR="005577D8" w:rsidRPr="005577D8">
        <w:rPr>
          <w:lang w:val="en-US"/>
        </w:rPr>
        <w:t xml:space="preserve">Analysis was a combination of both deductive and inductive coding to make connections between evidence and predefined constructs while enabling unanticipated UK-relevant mechanisms to emerge. Deductive coding was informed by the conceptual framework levels to ensure that there was systematic coverage of biological, behavioural, clinical and social determinants. Coding of qualitative data was inductive, coding novel themes from primary care and community evidence that may not be emphasised in efficacy-focused research, such as barriers to implementation and diagnostic practices. Thomas and Harden (2008) offer a rationale for using this synthesis logic by </w:t>
      </w:r>
      <w:r w:rsidR="005577D8" w:rsidRPr="005577D8">
        <w:rPr>
          <w:lang w:val="en-US"/>
        </w:rPr>
        <w:lastRenderedPageBreak/>
        <w:t>demonstrating how thematic synthesis can be used to advance from descriptive coding to higher-order analytic themes in systematic reviews.</w:t>
      </w:r>
      <w:r w:rsidR="005577D8">
        <w:rPr>
          <w:lang w:val="en-US"/>
        </w:rPr>
        <w:t xml:space="preserve"> </w:t>
      </w:r>
      <w:r w:rsidR="005577D8" w:rsidRPr="005577D8">
        <w:rPr>
          <w:lang w:val="en-US"/>
        </w:rPr>
        <w:t>Confidence in synthesised findings was based on transparent criteria instead of the number of studies. Quantitative claims were interpreted with consideration of risk of bias, precision and consistency, reflecting principles used in grade approaches to evidence strength (Guyatt et al., 2008). Qualitative or mixed method findings were interpreted with explicit consideration of coherence, adequacy and relevancy, reflecting established approaches to confidence in qualitative synthesis (Lewin et al., 2018). Higher confidence was given if multiple data sources from the UK converged on the same mechanism or practice-relevant implication.</w:t>
      </w:r>
    </w:p>
    <w:tbl>
      <w:tblPr>
        <w:tblStyle w:val="TableGrid"/>
        <w:tblW w:w="0" w:type="auto"/>
        <w:tblLook w:val="04A0" w:firstRow="1" w:lastRow="0" w:firstColumn="1" w:lastColumn="0" w:noHBand="0" w:noVBand="1"/>
      </w:tblPr>
      <w:tblGrid>
        <w:gridCol w:w="1885"/>
        <w:gridCol w:w="7465"/>
      </w:tblGrid>
      <w:tr w:rsidR="00427C37" w14:paraId="08733429" w14:textId="77777777" w:rsidTr="00427C37">
        <w:tc>
          <w:tcPr>
            <w:tcW w:w="1885" w:type="dxa"/>
          </w:tcPr>
          <w:p w14:paraId="06E6AC61" w14:textId="2AC5AFB9" w:rsidR="00427C37" w:rsidRPr="00427C37" w:rsidRDefault="00427C37" w:rsidP="00427C37">
            <w:pPr>
              <w:jc w:val="center"/>
              <w:rPr>
                <w:b/>
                <w:bCs/>
              </w:rPr>
            </w:pPr>
            <w:r w:rsidRPr="00427C37">
              <w:rPr>
                <w:b/>
                <w:bCs/>
              </w:rPr>
              <w:t>Phase</w:t>
            </w:r>
          </w:p>
        </w:tc>
        <w:tc>
          <w:tcPr>
            <w:tcW w:w="7465" w:type="dxa"/>
          </w:tcPr>
          <w:p w14:paraId="5A6FA754" w14:textId="6981243E" w:rsidR="00427C37" w:rsidRPr="00427C37" w:rsidRDefault="00427C37" w:rsidP="00427C37">
            <w:pPr>
              <w:jc w:val="center"/>
              <w:rPr>
                <w:b/>
                <w:bCs/>
              </w:rPr>
            </w:pPr>
            <w:r w:rsidRPr="00427C37">
              <w:rPr>
                <w:b/>
                <w:bCs/>
              </w:rPr>
              <w:t>Actions</w:t>
            </w:r>
          </w:p>
        </w:tc>
      </w:tr>
      <w:tr w:rsidR="00427C37" w14:paraId="01788F7F" w14:textId="77777777" w:rsidTr="00427C37">
        <w:tc>
          <w:tcPr>
            <w:tcW w:w="1885" w:type="dxa"/>
          </w:tcPr>
          <w:p w14:paraId="46A4B8EC" w14:textId="4017E80C" w:rsidR="00427C37" w:rsidRDefault="00427C37" w:rsidP="000046A3">
            <w:pPr>
              <w:spacing w:line="360" w:lineRule="auto"/>
              <w:jc w:val="left"/>
            </w:pPr>
            <w:r>
              <w:t>Familiarisation</w:t>
            </w:r>
          </w:p>
        </w:tc>
        <w:tc>
          <w:tcPr>
            <w:tcW w:w="7465" w:type="dxa"/>
          </w:tcPr>
          <w:p w14:paraId="38572022" w14:textId="717A8B23" w:rsidR="00427C37" w:rsidRDefault="00EB6952" w:rsidP="000046A3">
            <w:pPr>
              <w:spacing w:line="360" w:lineRule="auto"/>
              <w:jc w:val="left"/>
            </w:pPr>
            <w:r>
              <w:t>E</w:t>
            </w:r>
            <w:r w:rsidR="005A6F23" w:rsidRPr="001A3942">
              <w:t>xtracted findings and relevant results text from each included study were read and re-read in order to obtain an overall picture of patterns and recurring concepts, with analytic notes taken.</w:t>
            </w:r>
          </w:p>
        </w:tc>
      </w:tr>
      <w:tr w:rsidR="00427C37" w14:paraId="636622C2" w14:textId="77777777" w:rsidTr="00427C37">
        <w:tc>
          <w:tcPr>
            <w:tcW w:w="1885" w:type="dxa"/>
          </w:tcPr>
          <w:p w14:paraId="0925B822" w14:textId="0A322CF3" w:rsidR="00427C37" w:rsidRDefault="00427C37" w:rsidP="000046A3">
            <w:pPr>
              <w:spacing w:line="360" w:lineRule="auto"/>
              <w:jc w:val="left"/>
            </w:pPr>
            <w:r>
              <w:t>Generating initial codes</w:t>
            </w:r>
          </w:p>
        </w:tc>
        <w:tc>
          <w:tcPr>
            <w:tcW w:w="7465" w:type="dxa"/>
          </w:tcPr>
          <w:p w14:paraId="07159E4A" w14:textId="4999B53A" w:rsidR="00427C37" w:rsidRDefault="00E77B24" w:rsidP="000046A3">
            <w:pPr>
              <w:spacing w:line="360" w:lineRule="auto"/>
              <w:jc w:val="left"/>
            </w:pPr>
            <w:r>
              <w:t>D</w:t>
            </w:r>
            <w:r w:rsidR="005A6F23" w:rsidRPr="001A3942">
              <w:t>ata extracts relating to prevalence/burden, risk factors, and prevention/management were systematically coded across the dataset, and codes were applied to similar concepts across studies.</w:t>
            </w:r>
          </w:p>
        </w:tc>
      </w:tr>
      <w:tr w:rsidR="00427C37" w14:paraId="322EA088" w14:textId="77777777" w:rsidTr="00427C37">
        <w:tc>
          <w:tcPr>
            <w:tcW w:w="1885" w:type="dxa"/>
          </w:tcPr>
          <w:p w14:paraId="60505291" w14:textId="0A8428E6" w:rsidR="00427C37" w:rsidRDefault="00A922E9" w:rsidP="000046A3">
            <w:pPr>
              <w:spacing w:line="360" w:lineRule="auto"/>
              <w:jc w:val="left"/>
            </w:pPr>
            <w:r>
              <w:t>Searching for themes</w:t>
            </w:r>
          </w:p>
        </w:tc>
        <w:tc>
          <w:tcPr>
            <w:tcW w:w="7465" w:type="dxa"/>
          </w:tcPr>
          <w:p w14:paraId="047C5DFF" w14:textId="0A625C6E" w:rsidR="00427C37" w:rsidRDefault="008F3975" w:rsidP="000046A3">
            <w:pPr>
              <w:spacing w:line="360" w:lineRule="auto"/>
              <w:jc w:val="left"/>
            </w:pPr>
            <w:r>
              <w:t>Initial</w:t>
            </w:r>
            <w:r w:rsidR="005A6F23" w:rsidRPr="001A3942">
              <w:t xml:space="preserve"> codes were collated to possible themes by grouping conceptually related codes (e.g. biological/physiological, behavioural, clinical/iatrogenic, social and system-level drivers), ensuring that they fit the objectives of the review.</w:t>
            </w:r>
          </w:p>
        </w:tc>
      </w:tr>
      <w:tr w:rsidR="00427C37" w14:paraId="17FEB0E2" w14:textId="77777777" w:rsidTr="00427C37">
        <w:tc>
          <w:tcPr>
            <w:tcW w:w="1885" w:type="dxa"/>
          </w:tcPr>
          <w:p w14:paraId="41D15148" w14:textId="7D7D54C5" w:rsidR="00427C37" w:rsidRDefault="00A922E9" w:rsidP="000046A3">
            <w:pPr>
              <w:spacing w:line="360" w:lineRule="auto"/>
              <w:jc w:val="left"/>
            </w:pPr>
            <w:r>
              <w:t>Reviewing themes</w:t>
            </w:r>
          </w:p>
        </w:tc>
        <w:tc>
          <w:tcPr>
            <w:tcW w:w="7465" w:type="dxa"/>
          </w:tcPr>
          <w:p w14:paraId="162802C3" w14:textId="28E8B0C3" w:rsidR="00427C37" w:rsidRDefault="005A6F23" w:rsidP="000046A3">
            <w:pPr>
              <w:spacing w:line="360" w:lineRule="auto"/>
              <w:jc w:val="left"/>
            </w:pPr>
            <w:r w:rsidRPr="001A3942">
              <w:t>Reviewing themes, candidate themes were reviewed against the coded extracts and the full dataset to ensure internal coherence and clear boundaries. Themes were refined, merged or split where necessary.</w:t>
            </w:r>
          </w:p>
        </w:tc>
      </w:tr>
      <w:tr w:rsidR="00427C37" w14:paraId="71E0EFC5" w14:textId="77777777" w:rsidTr="00427C37">
        <w:tc>
          <w:tcPr>
            <w:tcW w:w="1885" w:type="dxa"/>
          </w:tcPr>
          <w:p w14:paraId="20D490DD" w14:textId="7FD47656" w:rsidR="00427C37" w:rsidRDefault="00A922E9" w:rsidP="000046A3">
            <w:pPr>
              <w:spacing w:line="360" w:lineRule="auto"/>
              <w:jc w:val="left"/>
            </w:pPr>
            <w:r>
              <w:t>Naming themes</w:t>
            </w:r>
          </w:p>
        </w:tc>
        <w:tc>
          <w:tcPr>
            <w:tcW w:w="7465" w:type="dxa"/>
          </w:tcPr>
          <w:p w14:paraId="15C6420F" w14:textId="66845A13" w:rsidR="00427C37" w:rsidRDefault="00995F69" w:rsidP="000046A3">
            <w:pPr>
              <w:spacing w:line="360" w:lineRule="auto"/>
              <w:jc w:val="left"/>
            </w:pPr>
            <w:r>
              <w:t>Each</w:t>
            </w:r>
            <w:r w:rsidR="005A6F23" w:rsidRPr="001A3942">
              <w:t xml:space="preserve"> of the final themes was well defined, its scope given, and theme labels finalised to capture the underlying pattern in the evidence.</w:t>
            </w:r>
          </w:p>
        </w:tc>
      </w:tr>
      <w:tr w:rsidR="00A922E9" w14:paraId="4407EFEF" w14:textId="77777777" w:rsidTr="00427C37">
        <w:tc>
          <w:tcPr>
            <w:tcW w:w="1885" w:type="dxa"/>
          </w:tcPr>
          <w:p w14:paraId="7AF6DA2B" w14:textId="148978A0" w:rsidR="00A922E9" w:rsidRDefault="005A6F23" w:rsidP="000046A3">
            <w:pPr>
              <w:spacing w:line="360" w:lineRule="auto"/>
              <w:jc w:val="left"/>
            </w:pPr>
            <w:r>
              <w:t>Report w</w:t>
            </w:r>
            <w:r w:rsidR="00A922E9">
              <w:t>riting</w:t>
            </w:r>
          </w:p>
        </w:tc>
        <w:tc>
          <w:tcPr>
            <w:tcW w:w="7465" w:type="dxa"/>
          </w:tcPr>
          <w:p w14:paraId="6B1C9EE0" w14:textId="1FF105FE" w:rsidR="00A922E9" w:rsidRDefault="00995F69" w:rsidP="000046A3">
            <w:pPr>
              <w:spacing w:line="360" w:lineRule="auto"/>
              <w:jc w:val="left"/>
            </w:pPr>
            <w:r>
              <w:t>T</w:t>
            </w:r>
            <w:r w:rsidR="005A6F23" w:rsidRPr="001A3942">
              <w:t>hemes were then written up as a structured narrative synthesis with backing study-level evidence and explicit linking back to the research question and objectives. An audit trail was kept by retaining code lists, theme iterations and decisions made during refinement.</w:t>
            </w:r>
          </w:p>
        </w:tc>
      </w:tr>
    </w:tbl>
    <w:p w14:paraId="7928C0AA" w14:textId="0848678C" w:rsidR="00C26202" w:rsidRPr="00782D6D" w:rsidRDefault="007C16E8" w:rsidP="00C26202">
      <w:r>
        <w:t>S</w:t>
      </w:r>
      <w:r w:rsidR="00C26202" w:rsidRPr="00782D6D">
        <w:t xml:space="preserve">tudy characteristics and key findings were tabulated so that they could be visually compared between studies, organised by research objective: prevalence and burden of UTIs, identified risk </w:t>
      </w:r>
      <w:r w:rsidR="00C26202" w:rsidRPr="00782D6D">
        <w:lastRenderedPageBreak/>
        <w:t>factors and evaluated prevention strategies in adult women (Higgins et al., 2019). Where effect measures could be sufficiently comparable, basic descriptive or exploratory quantitative summaries were considered, but formal meta-analysis was only considered to be feasible where clinical and methodological homogeneity could be demonstrated (Borenstein et al., 2021). Data were grouped according to study design, healthcare or community setting and type of risk factor or intervention in order to facilitate identification of patterns, convergent and divergent findings and gaps in the evidence base (Popay et al., 2006). These patterns then fed into the structuring of the results chapter and subsequent critical discussion (Higgins et al., 2019).</w:t>
      </w:r>
    </w:p>
    <w:p w14:paraId="2B742F06" w14:textId="77777777" w:rsidR="00C26202" w:rsidRPr="00782D6D" w:rsidRDefault="00C26202" w:rsidP="00DD5FC3">
      <w:pPr>
        <w:pStyle w:val="Heading2"/>
      </w:pPr>
      <w:bookmarkStart w:id="92" w:name="_Toc220833825"/>
      <w:r w:rsidRPr="00782D6D">
        <w:t>3.11 Ethical Considerations</w:t>
      </w:r>
      <w:bookmarkEnd w:id="92"/>
    </w:p>
    <w:p w14:paraId="233CB6FF" w14:textId="77777777" w:rsidR="00C26202" w:rsidRPr="00782D6D" w:rsidRDefault="00C26202" w:rsidP="00C26202">
      <w:r w:rsidRPr="00782D6D">
        <w:t>This systematic review was based on only publicly available, secondary data and thus did not include direct contact with human participants or the collection of identifiable personal information. Searches were limited to reputable bibliographic databases and grey literature sources to ensure that valid and peer-reviewed or institutionally curated evidence only was considered. Full-text articles were sourced wherever possible, and all sources included were accurately cited using an appropriate academic referencing style, thus acknowledging intellectual property and avoiding plagiarism. Data were handled and reported in aggregate form and were presented carefully and impartially to provide an unbiased representation of the study findings in accordance with best practice ethical guidance for secondary research in health and public health contexts.​​</w:t>
      </w:r>
    </w:p>
    <w:p w14:paraId="6B4528DB" w14:textId="77777777" w:rsidR="00C26202" w:rsidRPr="00782D6D" w:rsidRDefault="00C26202" w:rsidP="00DD5FC3">
      <w:pPr>
        <w:pStyle w:val="Heading2"/>
      </w:pPr>
      <w:bookmarkStart w:id="93" w:name="_Toc220833826"/>
      <w:r w:rsidRPr="00782D6D">
        <w:t>3.12 Chapter Summary</w:t>
      </w:r>
      <w:bookmarkEnd w:id="93"/>
      <w:r w:rsidRPr="00782D6D">
        <w:t> </w:t>
      </w:r>
    </w:p>
    <w:p w14:paraId="573D39B1" w14:textId="77777777" w:rsidR="00C26202" w:rsidRPr="00782D6D" w:rsidRDefault="00C26202" w:rsidP="00C26202">
      <w:r w:rsidRPr="00782D6D">
        <w:t>This chapter has provided a transparent and reproducible account and description of the design, implementation and reporting of the systematic review. It described the rationale for using a PRISMA-guided approach, clearly defined inclusion and exclusion criteria, as well as a comprehensive multi-database search strategy. The use of structured data extraction tools and known critical appraisal instruments was described to illustrate the method of appraisal of study quality and risk of bias. The chapter ended by describing the narrative and tabular methods adopted in the synthesis of findings, which provides a solid basis for the results presented in Chapter 4.</w:t>
      </w:r>
    </w:p>
    <w:p w14:paraId="62DB16F0" w14:textId="77777777" w:rsidR="00C26202" w:rsidRPr="00782D6D" w:rsidRDefault="00C26202" w:rsidP="00DD5FC3">
      <w:pPr>
        <w:pStyle w:val="Heading1"/>
      </w:pPr>
      <w:bookmarkStart w:id="94" w:name="_Toc220833827"/>
      <w:r w:rsidRPr="00782D6D">
        <w:lastRenderedPageBreak/>
        <w:t>CHAPTER 4: RESULTS</w:t>
      </w:r>
      <w:bookmarkEnd w:id="94"/>
      <w:r w:rsidRPr="00782D6D">
        <w:t> </w:t>
      </w:r>
    </w:p>
    <w:p w14:paraId="0A0BD4A6" w14:textId="77777777" w:rsidR="00C26202" w:rsidRPr="00782D6D" w:rsidRDefault="00C26202" w:rsidP="00DD5FC3">
      <w:pPr>
        <w:pStyle w:val="Heading2"/>
      </w:pPr>
      <w:bookmarkStart w:id="95" w:name="_Toc220833828"/>
      <w:r w:rsidRPr="00782D6D">
        <w:t>4.1 Introduction</w:t>
      </w:r>
      <w:bookmarkEnd w:id="95"/>
      <w:r w:rsidRPr="00782D6D">
        <w:t> </w:t>
      </w:r>
    </w:p>
    <w:p w14:paraId="02E9A785" w14:textId="77777777" w:rsidR="00C26202" w:rsidRPr="00782D6D" w:rsidRDefault="00C26202" w:rsidP="00C26202">
      <w:r w:rsidRPr="00782D6D">
        <w:t>Chapter 4 presents the empirical findings of this narrative review of urinary tract infections (UTIs) in adult women being managed in UK primary and community care. Drawing on 10 UK-based observational and qualitative studies, it draws together evidence from large electronic health records cohorts, microbiology data sets, national surveys and primary care interviews. The chapter first quantifies the prevalence and burden of acute and recurrent UTIs, including age, from which the age-specific incidence, recurrence rates and healthcare utilisation. Subsequent sections examine socio-demographic, clinical, microbiological and system-level risk factors for initial infection, recurrence and progression to severe outcomes. Throughout, findings are interpreted in relation to guideline-recommended management and antimicrobial stewardship priorities in UK primary care.​</w:t>
      </w:r>
    </w:p>
    <w:p w14:paraId="58CC4A2B" w14:textId="77777777" w:rsidR="00C26202" w:rsidRPr="00782D6D" w:rsidRDefault="00C26202" w:rsidP="00DD5FC3">
      <w:pPr>
        <w:pStyle w:val="Heading2"/>
      </w:pPr>
      <w:bookmarkStart w:id="96" w:name="_Toc220833829"/>
      <w:r w:rsidRPr="00782D6D">
        <w:t>4.2 Findings</w:t>
      </w:r>
      <w:bookmarkEnd w:id="96"/>
      <w:r w:rsidRPr="00782D6D">
        <w:t> </w:t>
      </w:r>
    </w:p>
    <w:p w14:paraId="4465223E" w14:textId="3864F845" w:rsidR="00301F61" w:rsidRPr="00782D6D" w:rsidRDefault="00301F61" w:rsidP="007D3901">
      <w:pPr>
        <w:pStyle w:val="Heading3"/>
      </w:pPr>
      <w:bookmarkStart w:id="97" w:name="_Toc220833830"/>
      <w:r w:rsidRPr="00782D6D">
        <w:t xml:space="preserve">4.2.1 </w:t>
      </w:r>
      <w:r w:rsidR="007D3901" w:rsidRPr="00782D6D">
        <w:t>Study findings</w:t>
      </w:r>
      <w:bookmarkEnd w:id="97"/>
      <w:r w:rsidR="007D3901" w:rsidRPr="00782D6D">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626"/>
        <w:gridCol w:w="1357"/>
        <w:gridCol w:w="1625"/>
        <w:gridCol w:w="1599"/>
        <w:gridCol w:w="1339"/>
        <w:gridCol w:w="1804"/>
      </w:tblGrid>
      <w:tr w:rsidR="00C26202" w:rsidRPr="00782D6D" w14:paraId="2662B707" w14:textId="77777777">
        <w:trPr>
          <w:trHeight w:val="1650"/>
        </w:trPr>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30463DF3" w14:textId="77777777" w:rsidR="00C26202" w:rsidRPr="00782D6D" w:rsidRDefault="00C26202" w:rsidP="00C26202">
            <w:pPr>
              <w:jc w:val="center"/>
            </w:pPr>
            <w:r w:rsidRPr="00782D6D">
              <w:rPr>
                <w:b/>
                <w:bCs/>
              </w:rPr>
              <w:t>Study Focus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11C35418" w14:textId="77777777" w:rsidR="00C26202" w:rsidRPr="00782D6D" w:rsidRDefault="00C26202" w:rsidP="00C26202">
            <w:pPr>
              <w:jc w:val="center"/>
            </w:pPr>
            <w:r w:rsidRPr="00782D6D">
              <w:rPr>
                <w:b/>
                <w:bCs/>
              </w:rPr>
              <w:t>Design</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0D7DD4C5" w14:textId="77777777" w:rsidR="00C26202" w:rsidRPr="00782D6D" w:rsidRDefault="00C26202" w:rsidP="00C26202">
            <w:pPr>
              <w:jc w:val="center"/>
            </w:pPr>
            <w:r w:rsidRPr="00782D6D">
              <w:rPr>
                <w:b/>
                <w:bCs/>
              </w:rPr>
              <w:t>UTI focus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2F5837F3" w14:textId="77777777" w:rsidR="00C26202" w:rsidRPr="00782D6D" w:rsidRDefault="00C26202" w:rsidP="00C26202">
            <w:pPr>
              <w:jc w:val="center"/>
            </w:pPr>
            <w:r w:rsidRPr="00782D6D">
              <w:rPr>
                <w:b/>
                <w:bCs/>
              </w:rPr>
              <w:t>Key Findings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66672976" w14:textId="77777777" w:rsidR="00C26202" w:rsidRPr="00782D6D" w:rsidRDefault="00C26202" w:rsidP="00C26202">
            <w:pPr>
              <w:jc w:val="center"/>
            </w:pPr>
            <w:r w:rsidRPr="00782D6D">
              <w:rPr>
                <w:b/>
                <w:bCs/>
              </w:rPr>
              <w:t>Risk factors</w:t>
            </w:r>
          </w:p>
        </w:tc>
        <w:tc>
          <w:tcPr>
            <w:tcW w:w="0" w:type="auto"/>
            <w:tcBorders>
              <w:top w:val="single" w:sz="4" w:space="0" w:color="DDDDDD"/>
              <w:left w:val="single" w:sz="4" w:space="0" w:color="DDDDDD"/>
              <w:bottom w:val="single" w:sz="4" w:space="0" w:color="DDDDDD"/>
              <w:right w:val="single" w:sz="4" w:space="0" w:color="DDDDDD"/>
            </w:tcBorders>
            <w:shd w:val="clear" w:color="auto" w:fill="F2F2F2"/>
            <w:tcMar>
              <w:top w:w="120" w:type="dxa"/>
              <w:left w:w="120" w:type="dxa"/>
              <w:bottom w:w="120" w:type="dxa"/>
              <w:right w:w="120" w:type="dxa"/>
            </w:tcMar>
            <w:hideMark/>
          </w:tcPr>
          <w:p w14:paraId="1EAE78F3" w14:textId="77777777" w:rsidR="00C26202" w:rsidRPr="00782D6D" w:rsidRDefault="00C26202" w:rsidP="00C26202">
            <w:pPr>
              <w:jc w:val="center"/>
            </w:pPr>
            <w:r w:rsidRPr="00782D6D">
              <w:rPr>
                <w:b/>
                <w:bCs/>
              </w:rPr>
              <w:t>Prevention, management and system</w:t>
            </w:r>
            <w:r w:rsidRPr="00782D6D">
              <w:rPr>
                <w:b/>
                <w:bCs/>
              </w:rPr>
              <w:noBreakHyphen/>
              <w:t>level issues</w:t>
            </w:r>
          </w:p>
        </w:tc>
      </w:tr>
      <w:tr w:rsidR="00C26202" w:rsidRPr="00782D6D" w14:paraId="3BAA20EE" w14:textId="77777777">
        <w:trPr>
          <w:trHeight w:val="388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4145C96" w14:textId="77777777" w:rsidR="00C26202" w:rsidRPr="00782D6D" w:rsidRDefault="00C26202" w:rsidP="00C26202">
            <w:pPr>
              <w:jc w:val="left"/>
            </w:pPr>
            <w:r w:rsidRPr="00782D6D">
              <w:lastRenderedPageBreak/>
              <w:t>Pujades</w:t>
            </w:r>
            <w:r w:rsidRPr="00782D6D">
              <w:noBreakHyphen/>
              <w:t>Rodriguez et al. 2019 – Lower urinary tract infections in primary care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C30C68E" w14:textId="77777777" w:rsidR="00C26202" w:rsidRPr="00782D6D" w:rsidRDefault="00C26202" w:rsidP="00C26202">
            <w:pPr>
              <w:jc w:val="left"/>
            </w:pPr>
            <w:r w:rsidRPr="00782D6D">
              <w:t>Retrospective cohort using English primary</w:t>
            </w:r>
            <w:r w:rsidRPr="00782D6D">
              <w:noBreakHyphen/>
              <w:t>care electronic records (2011–2015).</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63DE3D1" w14:textId="77777777" w:rsidR="00C26202" w:rsidRPr="00782D6D" w:rsidRDefault="00C26202" w:rsidP="00C26202">
            <w:pPr>
              <w:jc w:val="left"/>
            </w:pPr>
            <w:r w:rsidRPr="00782D6D">
              <w:t>300,354 patients with lower UTI; majority adult women across all age groups.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F59A589" w14:textId="77777777" w:rsidR="00C26202" w:rsidRPr="00782D6D" w:rsidRDefault="00C26202" w:rsidP="00C26202">
            <w:pPr>
              <w:jc w:val="left"/>
            </w:pPr>
            <w:r w:rsidRPr="00782D6D">
              <w:t>Documented nearly half a million lower UTI episodes, with highest consultation burden in women aged 18–64 years and substantial numbers among those ≥65 years.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D306617" w14:textId="77777777" w:rsidR="00C26202" w:rsidRPr="00782D6D" w:rsidRDefault="00C26202" w:rsidP="00C26202">
            <w:pPr>
              <w:jc w:val="left"/>
            </w:pPr>
            <w:r w:rsidRPr="00782D6D">
              <w:t>Older age, greater comorbidity and previous antibiotic treatment were associated with higher likelihood of repeat consultations and antibiotic re</w:t>
            </w:r>
            <w:r w:rsidRPr="00782D6D">
              <w:noBreakHyphen/>
              <w:t>prescription for UTI.</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4C95AB9" w14:textId="77777777" w:rsidR="00C26202" w:rsidRPr="00782D6D" w:rsidRDefault="00C26202" w:rsidP="00C26202">
            <w:pPr>
              <w:jc w:val="left"/>
            </w:pPr>
            <w:r w:rsidRPr="00782D6D">
              <w:t>Very high rates of same</w:t>
            </w:r>
            <w:r w:rsidRPr="00782D6D">
              <w:noBreakHyphen/>
              <w:t>day antibiotic prescribing were observed, with frequent empirical treatment and limited use of culture, indicating opportunities to optimize stewardship in women with recurrent episodes.</w:t>
            </w:r>
          </w:p>
        </w:tc>
      </w:tr>
      <w:tr w:rsidR="00C26202" w:rsidRPr="00782D6D" w14:paraId="2723F2E4" w14:textId="77777777" w:rsidTr="004A2BBD">
        <w:trPr>
          <w:trHeight w:val="212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8BE2D5F" w14:textId="77777777" w:rsidR="00C26202" w:rsidRPr="00782D6D" w:rsidRDefault="00C26202" w:rsidP="00C26202">
            <w:pPr>
              <w:jc w:val="left"/>
            </w:pPr>
            <w:r w:rsidRPr="00782D6D">
              <w:t>Ahmed et al. 2018 – Incidence and prescribing in older adults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2DF4000" w14:textId="77777777" w:rsidR="00C26202" w:rsidRPr="00782D6D" w:rsidRDefault="00C26202" w:rsidP="00C26202">
            <w:pPr>
              <w:jc w:val="left"/>
            </w:pPr>
            <w:r w:rsidRPr="00782D6D">
              <w:t>Retrospective observational study using linked CPRD and hospital data (2004–2014).</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9A6F31A" w14:textId="77777777" w:rsidR="00C26202" w:rsidRPr="00782D6D" w:rsidRDefault="00C26202" w:rsidP="00C26202">
            <w:pPr>
              <w:jc w:val="left"/>
            </w:pPr>
            <w:r w:rsidRPr="00782D6D">
              <w:t>Adults ≥65 years in UK primary care; sex</w:t>
            </w:r>
            <w:r w:rsidRPr="00782D6D">
              <w:noBreakHyphen/>
              <w:t>stratified analyses with focus on older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4C901A5" w14:textId="77777777" w:rsidR="00C26202" w:rsidRPr="00782D6D" w:rsidRDefault="00C26202" w:rsidP="00C26202">
            <w:pPr>
              <w:jc w:val="left"/>
            </w:pPr>
            <w:r w:rsidRPr="00782D6D">
              <w:t xml:space="preserve">Reported increasing incidence of clinically diagnosed UTI over time, particularly among the oldest women, </w:t>
            </w:r>
            <w:r w:rsidRPr="00782D6D">
              <w:lastRenderedPageBreak/>
              <w:t>highlighting a growing burden in this age group.</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E50CF36" w14:textId="77777777" w:rsidR="00C26202" w:rsidRPr="00782D6D" w:rsidRDefault="00C26202" w:rsidP="00C26202">
            <w:pPr>
              <w:jc w:val="left"/>
            </w:pPr>
            <w:r w:rsidRPr="00782D6D">
              <w:lastRenderedPageBreak/>
              <w:t xml:space="preserve">Advanced age and residence in care homes were associated with higher consultation rates and </w:t>
            </w:r>
            <w:r w:rsidRPr="00782D6D">
              <w:lastRenderedPageBreak/>
              <w:t>repeat episodes among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D2A3445" w14:textId="77777777" w:rsidR="00C26202" w:rsidRPr="00782D6D" w:rsidRDefault="00C26202" w:rsidP="00C26202">
            <w:pPr>
              <w:jc w:val="left"/>
            </w:pPr>
            <w:r w:rsidRPr="00782D6D">
              <w:lastRenderedPageBreak/>
              <w:t xml:space="preserve">Shifts were observed from trimethoprim towards nitrofurantoin prescribing in line with evolving guidance, but broad empirical use and variable </w:t>
            </w:r>
            <w:r w:rsidRPr="00782D6D">
              <w:lastRenderedPageBreak/>
              <w:t>course lengths suggested scope for improved guideline adherence.</w:t>
            </w:r>
          </w:p>
        </w:tc>
      </w:tr>
      <w:tr w:rsidR="00C26202" w:rsidRPr="00782D6D" w14:paraId="308CD159" w14:textId="77777777">
        <w:trPr>
          <w:trHeight w:val="417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929D4AB" w14:textId="77777777" w:rsidR="00C26202" w:rsidRPr="00782D6D" w:rsidRDefault="00C26202" w:rsidP="00C26202">
            <w:pPr>
              <w:jc w:val="left"/>
            </w:pPr>
            <w:r w:rsidRPr="00782D6D">
              <w:lastRenderedPageBreak/>
              <w:t>Sanyaolu et al. 2024 – Recurrent UTIs and prophylaxis in Welsh primary care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4D074AB" w14:textId="77777777" w:rsidR="00C26202" w:rsidRPr="00782D6D" w:rsidRDefault="00C26202" w:rsidP="00C26202">
            <w:pPr>
              <w:jc w:val="left"/>
            </w:pPr>
            <w:r w:rsidRPr="00782D6D">
              <w:t>Retrospective cross</w:t>
            </w:r>
            <w:r w:rsidRPr="00782D6D">
              <w:noBreakHyphen/>
              <w:t>sectional analysis using SAIL Databank general</w:t>
            </w:r>
            <w:r w:rsidRPr="00782D6D">
              <w:noBreakHyphen/>
              <w:t>practice records (2010–2020).</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C18A814" w14:textId="77777777" w:rsidR="00C26202" w:rsidRPr="00782D6D" w:rsidRDefault="00C26202" w:rsidP="00C26202">
            <w:pPr>
              <w:jc w:val="left"/>
            </w:pPr>
            <w:r w:rsidRPr="00782D6D">
              <w:t>Adult women with recurrent UTI (rUTI) and women prescribed prophylactic antibiotics in Wales.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8F4C695" w14:textId="77777777" w:rsidR="00C26202" w:rsidRPr="00782D6D" w:rsidRDefault="00C26202" w:rsidP="00C26202">
            <w:pPr>
              <w:jc w:val="left"/>
            </w:pPr>
            <w:r w:rsidRPr="00782D6D">
              <w:t>Identified rUTI in around one in sixteen registered women, with recurrence rates increasing with age and peaking in women in late middle age and early older age.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1730843" w14:textId="77777777" w:rsidR="00C26202" w:rsidRPr="00782D6D" w:rsidRDefault="00C26202" w:rsidP="00C26202">
            <w:pPr>
              <w:jc w:val="left"/>
            </w:pPr>
            <w:r w:rsidRPr="00782D6D">
              <w:t>Women with rUTI more frequently had documented comorbidities and prior antibiotic exposure than non</w:t>
            </w:r>
            <w:r w:rsidRPr="00782D6D">
              <w:noBreakHyphen/>
              <w:t>rUTI comparators, suggesting clinical and treatment</w:t>
            </w:r>
            <w:r w:rsidRPr="00782D6D">
              <w:noBreakHyphen/>
              <w:t>related risk factors for recurrence.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510CCC7" w14:textId="77777777" w:rsidR="00C26202" w:rsidRPr="00782D6D" w:rsidRDefault="00C26202" w:rsidP="00C26202">
            <w:pPr>
              <w:jc w:val="left"/>
            </w:pPr>
            <w:r w:rsidRPr="00782D6D">
              <w:t>A minority of women with rUTI received long</w:t>
            </w:r>
            <w:r w:rsidRPr="00782D6D">
              <w:noBreakHyphen/>
              <w:t>term prophylactic antibiotics; prophylaxis users tended to be older with higher healthcare utilisation, and many had positive urine cultures, underscoring the need to balance symptom control against resistance risk.</w:t>
            </w:r>
          </w:p>
        </w:tc>
      </w:tr>
      <w:tr w:rsidR="00C26202" w:rsidRPr="00782D6D" w14:paraId="5AC72BBC" w14:textId="77777777">
        <w:trPr>
          <w:trHeight w:val="529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548221E" w14:textId="77777777" w:rsidR="00C26202" w:rsidRPr="00782D6D" w:rsidRDefault="00C26202" w:rsidP="00C26202">
            <w:pPr>
              <w:jc w:val="left"/>
            </w:pPr>
            <w:r w:rsidRPr="00782D6D">
              <w:lastRenderedPageBreak/>
              <w:t>Vázquez</w:t>
            </w:r>
            <w:r w:rsidRPr="00782D6D">
              <w:noBreakHyphen/>
              <w:t>Montes et al. 2023 – Epidemiology and microbiology of rUTI, Oxfordshire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B51AA1F" w14:textId="77777777" w:rsidR="00C26202" w:rsidRPr="00782D6D" w:rsidRDefault="00C26202" w:rsidP="00C26202">
            <w:pPr>
              <w:jc w:val="left"/>
            </w:pPr>
            <w:r w:rsidRPr="00782D6D">
              <w:t>Population</w:t>
            </w:r>
            <w:r w:rsidRPr="00782D6D">
              <w:noBreakHyphen/>
              <w:t>based cohort linking community microbiology results and health records (2008–2019).</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6F83D34" w14:textId="77777777" w:rsidR="00C26202" w:rsidRPr="00782D6D" w:rsidRDefault="00C26202" w:rsidP="00C26202">
            <w:pPr>
              <w:jc w:val="left"/>
            </w:pPr>
            <w:r w:rsidRPr="00782D6D">
              <w:t>Community</w:t>
            </w:r>
            <w:r w:rsidRPr="00782D6D">
              <w:noBreakHyphen/>
              <w:t>dwelling women with at least one positive urine culture, classified for microbiological rUTI.</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C50DAD7" w14:textId="77777777" w:rsidR="00C26202" w:rsidRPr="00782D6D" w:rsidRDefault="00C26202" w:rsidP="00C26202">
            <w:pPr>
              <w:jc w:val="left"/>
            </w:pPr>
            <w:r w:rsidRPr="00782D6D">
              <w:t>Approximately one in five women with a positive culture experienced microbiologically defined rUTI, with the highest recurrence proportions in women aged 70–89 years.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4E859FA" w14:textId="77777777" w:rsidR="00C26202" w:rsidRPr="00782D6D" w:rsidRDefault="00C26202" w:rsidP="00C26202">
            <w:pPr>
              <w:jc w:val="left"/>
            </w:pPr>
            <w:r w:rsidRPr="00782D6D">
              <w:t>Escherichia coli accounted for most initial infections, and recurrent sequences frequently involved the same species, indicating organism persistence or repeated exposure; older age and prior positive cultures were associated with recurrence.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0D08691" w14:textId="77777777" w:rsidR="00C26202" w:rsidRPr="00782D6D" w:rsidRDefault="00C26202" w:rsidP="00C26202">
            <w:pPr>
              <w:jc w:val="left"/>
            </w:pPr>
            <w:r w:rsidRPr="00782D6D">
              <w:t>Resistance to commonly used agents (for example trimethoprim) was more frequent among isolates from women with rUTI than among those with single episodes, suggesting that antimicrobial resistance may contribute to recurrence and complicate empirical treatment choices.</w:t>
            </w:r>
          </w:p>
        </w:tc>
      </w:tr>
      <w:tr w:rsidR="00C26202" w:rsidRPr="00782D6D" w14:paraId="559C5293" w14:textId="77777777">
        <w:trPr>
          <w:trHeight w:val="501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5E5BAF1" w14:textId="77777777" w:rsidR="00C26202" w:rsidRPr="00782D6D" w:rsidRDefault="00C26202" w:rsidP="00C26202">
            <w:pPr>
              <w:jc w:val="left"/>
            </w:pPr>
            <w:r w:rsidRPr="00782D6D">
              <w:lastRenderedPageBreak/>
              <w:t>Sanyaolu et al. 2023 – Menopausal status, rUTI and symptoms (P07)</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9418737" w14:textId="77777777" w:rsidR="00C26202" w:rsidRPr="00782D6D" w:rsidRDefault="00C26202" w:rsidP="00C26202">
            <w:pPr>
              <w:jc w:val="left"/>
            </w:pPr>
            <w:r w:rsidRPr="00782D6D">
              <w:t>Online cross</w:t>
            </w:r>
            <w:r w:rsidRPr="00782D6D">
              <w:noBreakHyphen/>
              <w:t>sectional survey of UK women reporting a recent UTI, analysed by menopausal and rUTI status.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1ED36C0" w14:textId="77777777" w:rsidR="00C26202" w:rsidRPr="00782D6D" w:rsidRDefault="00C26202" w:rsidP="00C26202">
            <w:pPr>
              <w:jc w:val="left"/>
            </w:pPr>
            <w:r w:rsidRPr="00782D6D">
              <w:t>Adult women with recent UTI; subgroups of pre</w:t>
            </w:r>
            <w:r w:rsidRPr="00782D6D">
              <w:noBreakHyphen/>
              <w:t xml:space="preserve"> and post</w:t>
            </w:r>
            <w:r w:rsidRPr="00782D6D">
              <w:noBreakHyphen/>
              <w:t>menopausal women, and women with or without rUTI history.</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45A41A2" w14:textId="77777777" w:rsidR="00C26202" w:rsidRPr="00782D6D" w:rsidRDefault="00C26202" w:rsidP="00C26202">
            <w:pPr>
              <w:jc w:val="left"/>
            </w:pPr>
            <w:r w:rsidRPr="00782D6D">
              <w:t>Women with rUTI reported more frequent and severe episodes than those without recurrence, indicating greater symptom and burden profiles.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594D48A" w14:textId="77777777" w:rsidR="00C26202" w:rsidRPr="00782D6D" w:rsidRDefault="00C26202" w:rsidP="00C26202">
            <w:pPr>
              <w:jc w:val="left"/>
            </w:pPr>
            <w:r w:rsidRPr="00782D6D">
              <w:t>Post</w:t>
            </w:r>
            <w:r w:rsidRPr="00782D6D">
              <w:noBreakHyphen/>
              <w:t>menopausal status was associated with higher odds of new or worsening urinary incontinence and nocturia during UTI, while a history of rUTI was linked to more severe symptom ratings and greater impact on daily life.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9AAB987" w14:textId="77777777" w:rsidR="00C26202" w:rsidRPr="00782D6D" w:rsidRDefault="00C26202" w:rsidP="00C26202">
            <w:pPr>
              <w:jc w:val="left"/>
            </w:pPr>
            <w:r w:rsidRPr="00782D6D">
              <w:t>Findings highlight menopausal and recurrence history as important considerations when assessing symptoms and planning personalised prevention strategies, particularly around counselling and non</w:t>
            </w:r>
            <w:r w:rsidRPr="00782D6D">
              <w:noBreakHyphen/>
              <w:t>antibiotic measures.</w:t>
            </w:r>
          </w:p>
        </w:tc>
      </w:tr>
      <w:tr w:rsidR="00C26202" w:rsidRPr="00782D6D" w14:paraId="40A95606" w14:textId="77777777">
        <w:trPr>
          <w:trHeight w:val="529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918A5C5" w14:textId="77777777" w:rsidR="00C26202" w:rsidRPr="00782D6D" w:rsidRDefault="00C26202" w:rsidP="00C26202">
            <w:pPr>
              <w:jc w:val="left"/>
            </w:pPr>
            <w:r w:rsidRPr="00782D6D">
              <w:lastRenderedPageBreak/>
              <w:t>Cooper et al. 2023 – Sociodemographic factors and care</w:t>
            </w:r>
            <w:r w:rsidRPr="00782D6D">
              <w:noBreakHyphen/>
              <w:t>seeking (BJGP Open)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19C64A2" w14:textId="77777777" w:rsidR="00C26202" w:rsidRPr="00782D6D" w:rsidRDefault="00C26202" w:rsidP="00C26202">
            <w:pPr>
              <w:jc w:val="left"/>
            </w:pPr>
            <w:r w:rsidRPr="00782D6D">
              <w:t>National cross</w:t>
            </w:r>
            <w:r w:rsidRPr="00782D6D">
              <w:noBreakHyphen/>
              <w:t>sectional e</w:t>
            </w:r>
            <w:r w:rsidRPr="00782D6D">
              <w:noBreakHyphen/>
              <w:t>survey of women in England who had experienced a UTI during the first COVID</w:t>
            </w:r>
            <w:r w:rsidRPr="00782D6D">
              <w:noBreakHyphen/>
              <w:t>19 year.</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7CD948A" w14:textId="77777777" w:rsidR="00C26202" w:rsidRPr="00782D6D" w:rsidRDefault="00C26202" w:rsidP="00C26202">
            <w:pPr>
              <w:jc w:val="left"/>
            </w:pPr>
            <w:r w:rsidRPr="00782D6D">
              <w:t>Adult women with self</w:t>
            </w:r>
            <w:r w:rsidRPr="00782D6D">
              <w:noBreakHyphen/>
              <w:t>reported UTI in previous year, diverse by age, deprivation and ethnicity.</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4C82502" w14:textId="77777777" w:rsidR="00C26202" w:rsidRPr="00782D6D" w:rsidRDefault="00C26202" w:rsidP="00C26202">
            <w:pPr>
              <w:jc w:val="left"/>
            </w:pPr>
            <w:r w:rsidRPr="00782D6D">
              <w:t>Many women reported multiple UTIs in a single year, with symptom burden varying across sociodemographic groups.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D40A461" w14:textId="77777777" w:rsidR="00C26202" w:rsidRPr="00782D6D" w:rsidRDefault="00C26202" w:rsidP="00C26202">
            <w:pPr>
              <w:jc w:val="left"/>
            </w:pPr>
            <w:r w:rsidRPr="00782D6D">
              <w:t>Older age, greater symptom severity and some deprivation categories were associated with a higher likelihood of seeking GP or remote consultation, whereas younger or less severely affected women more often self</w:t>
            </w:r>
            <w:r w:rsidRPr="00782D6D">
              <w:noBreakHyphen/>
              <w:t>managed or used over</w:t>
            </w:r>
            <w:r w:rsidRPr="00782D6D">
              <w:noBreakHyphen/>
              <w:t>the</w:t>
            </w:r>
            <w:r w:rsidRPr="00782D6D">
              <w:noBreakHyphen/>
              <w:t>counter treatments.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3EEF13C" w14:textId="77777777" w:rsidR="00C26202" w:rsidRPr="00782D6D" w:rsidRDefault="00C26202" w:rsidP="00C26202">
            <w:pPr>
              <w:jc w:val="left"/>
            </w:pPr>
            <w:r w:rsidRPr="00782D6D">
              <w:t>Antibiotic use, remote consultations, and self</w:t>
            </w:r>
            <w:r w:rsidRPr="00782D6D">
              <w:noBreakHyphen/>
              <w:t>care patterns differ by sociodemographic status and symptom profile, suggesting that tailored education and access interventions may reduce unmet need and inappropriate antimicrobial use.</w:t>
            </w:r>
          </w:p>
        </w:tc>
      </w:tr>
      <w:tr w:rsidR="00C26202" w:rsidRPr="00782D6D" w14:paraId="3431CC46" w14:textId="77777777">
        <w:trPr>
          <w:trHeight w:val="388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B560C1B" w14:textId="77777777" w:rsidR="00C26202" w:rsidRPr="00782D6D" w:rsidRDefault="00C26202" w:rsidP="00C26202">
            <w:pPr>
              <w:jc w:val="left"/>
            </w:pPr>
            <w:r w:rsidRPr="00782D6D">
              <w:lastRenderedPageBreak/>
              <w:t>Cooper et al. 2020 – Diagnosis and management of UTI in primary care (qualitative)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6F1B3F2C" w14:textId="77777777" w:rsidR="00C26202" w:rsidRPr="00782D6D" w:rsidRDefault="00C26202" w:rsidP="00C26202">
            <w:pPr>
              <w:jc w:val="left"/>
            </w:pPr>
            <w:r w:rsidRPr="00782D6D">
              <w:t>Qualitative interview and focus</w:t>
            </w:r>
            <w:r w:rsidRPr="00782D6D">
              <w:noBreakHyphen/>
              <w:t>group study with GPs, nurses and other primary</w:t>
            </w:r>
            <w:r w:rsidRPr="00782D6D">
              <w:noBreakHyphen/>
              <w:t>care staff in England.</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3537340" w14:textId="77777777" w:rsidR="00C26202" w:rsidRPr="00782D6D" w:rsidRDefault="00C26202" w:rsidP="00C26202">
            <w:pPr>
              <w:jc w:val="left"/>
            </w:pPr>
            <w:r w:rsidRPr="00782D6D">
              <w:t>Clinicians regularly manage UTIs in adult women in general practice and out</w:t>
            </w:r>
            <w:r w:rsidRPr="00782D6D">
              <w:noBreakHyphen/>
              <w:t>of</w:t>
            </w:r>
            <w:r w:rsidRPr="00782D6D">
              <w:noBreakHyphen/>
              <w:t>hours services.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3378FFE5" w14:textId="77777777" w:rsidR="00C26202" w:rsidRPr="00782D6D" w:rsidRDefault="00C26202" w:rsidP="00C26202">
            <w:pPr>
              <w:jc w:val="left"/>
            </w:pPr>
            <w:r w:rsidRPr="00782D6D">
              <w:t>Clinicians perceived UTIs as one of the most common problems among women consulting in primary care, particularly in working</w:t>
            </w:r>
            <w:r w:rsidRPr="00782D6D">
              <w:noBreakHyphen/>
              <w:t>age and older groups.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3FDBD06" w14:textId="77777777" w:rsidR="00C26202" w:rsidRPr="00782D6D" w:rsidRDefault="00C26202" w:rsidP="00C26202">
            <w:pPr>
              <w:jc w:val="left"/>
            </w:pPr>
            <w:r w:rsidRPr="00782D6D">
              <w:t>Participants highlighted perceived risk factors such as older age, sexual activity, prior rUTI history and catheter use, but noted difficulty distinguishing colonisation from infection in some women.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8496EEF" w14:textId="77777777" w:rsidR="00C26202" w:rsidRPr="00782D6D" w:rsidRDefault="00C26202" w:rsidP="00C26202">
            <w:pPr>
              <w:jc w:val="left"/>
            </w:pPr>
            <w:r w:rsidRPr="00782D6D">
              <w:t>Diagnostic uncertainty, heavy reliance on urine dipsticks, pressures to prescribe empirically, and variable adoption of local guidance were identified as key drivers of management decisions, with implications for recurrence and resistance.</w:t>
            </w:r>
          </w:p>
        </w:tc>
      </w:tr>
      <w:tr w:rsidR="00C26202" w:rsidRPr="00782D6D" w14:paraId="7EDB8688" w14:textId="77777777">
        <w:trPr>
          <w:trHeight w:val="4170"/>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576603C" w14:textId="77777777" w:rsidR="00C26202" w:rsidRPr="00782D6D" w:rsidRDefault="00C26202" w:rsidP="00C26202">
            <w:pPr>
              <w:jc w:val="left"/>
            </w:pPr>
            <w:r w:rsidRPr="00782D6D">
              <w:lastRenderedPageBreak/>
              <w:t>Wilcox et al. 2023b – Baseline characteristics and progression risk (P17)</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956D096" w14:textId="77777777" w:rsidR="00C26202" w:rsidRPr="00782D6D" w:rsidRDefault="00C26202" w:rsidP="00C26202">
            <w:pPr>
              <w:jc w:val="left"/>
            </w:pPr>
            <w:r w:rsidRPr="00782D6D">
              <w:t>Retrospective CPRD cohort of non</w:t>
            </w:r>
            <w:r w:rsidRPr="00782D6D">
              <w:noBreakHyphen/>
              <w:t>pregnant women with uncomplicated UTI in England, conference abstract.</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28CEED2" w14:textId="77777777" w:rsidR="00C26202" w:rsidRPr="00782D6D" w:rsidRDefault="00C26202" w:rsidP="00C26202">
            <w:pPr>
              <w:jc w:val="left"/>
            </w:pPr>
            <w:r w:rsidRPr="00782D6D">
              <w:t>Adult women with index uncomplicated UTI, followed for short</w:t>
            </w:r>
            <w:r w:rsidRPr="00782D6D">
              <w:noBreakHyphen/>
              <w:t>term progression to severe outcomes.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3B2D072" w14:textId="77777777" w:rsidR="00C26202" w:rsidRPr="00782D6D" w:rsidRDefault="00C26202" w:rsidP="00C26202">
            <w:pPr>
              <w:jc w:val="left"/>
            </w:pPr>
            <w:r w:rsidRPr="00782D6D">
              <w:t>Only a small proportion progressed to hospitalisation for pyelonephritis, bacteraemia or sepsis, indicating that serious complications are relatively rare but clinically important.</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DF37D75" w14:textId="77777777" w:rsidR="00C26202" w:rsidRPr="00782D6D" w:rsidRDefault="00C26202" w:rsidP="00C26202">
            <w:pPr>
              <w:jc w:val="left"/>
            </w:pPr>
            <w:r w:rsidRPr="00782D6D">
              <w:t>Women who progressed were typically older, had higher comorbidity scores and more frequent prior antibiotic exposure than those who did not, suggesting that these clinical factors increase complication risk.</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120B564" w14:textId="77777777" w:rsidR="00C26202" w:rsidRPr="00782D6D" w:rsidRDefault="00C26202" w:rsidP="00C26202">
            <w:pPr>
              <w:jc w:val="left"/>
            </w:pPr>
            <w:r w:rsidRPr="00782D6D">
              <w:t>The study implies that risk</w:t>
            </w:r>
            <w:r w:rsidRPr="00782D6D">
              <w:noBreakHyphen/>
              <w:t>stratified management, including closer monitoring of older, multimorbid women, may help prevent severe outcomes, although detailed effect estimates and adjustment are limited by abstract</w:t>
            </w:r>
            <w:r w:rsidRPr="00782D6D">
              <w:noBreakHyphen/>
              <w:t>level reporting.</w:t>
            </w:r>
          </w:p>
        </w:tc>
      </w:tr>
      <w:tr w:rsidR="00C26202" w:rsidRPr="00782D6D" w14:paraId="6681E414" w14:textId="77777777">
        <w:trPr>
          <w:trHeight w:val="445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6C4FB01" w14:textId="77777777" w:rsidR="00C26202" w:rsidRPr="00782D6D" w:rsidRDefault="00C26202" w:rsidP="00C26202">
            <w:pPr>
              <w:jc w:val="left"/>
            </w:pPr>
            <w:r w:rsidRPr="00782D6D">
              <w:lastRenderedPageBreak/>
              <w:t>Wilcox et al. 2023a – Treatment patterns and inappropriate therapy (P18)</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DDE28E9" w14:textId="77777777" w:rsidR="00C26202" w:rsidRPr="00782D6D" w:rsidRDefault="00C26202" w:rsidP="00C26202">
            <w:pPr>
              <w:jc w:val="left"/>
            </w:pPr>
            <w:r w:rsidRPr="00782D6D">
              <w:t>Retrospective CPRD cohort of female patients with uncomplicated UTI in England, abstract report.</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ED43A6E" w14:textId="77777777" w:rsidR="00C26202" w:rsidRPr="00782D6D" w:rsidRDefault="00C26202" w:rsidP="00C26202">
            <w:pPr>
              <w:jc w:val="left"/>
            </w:pPr>
            <w:r w:rsidRPr="00782D6D">
              <w:t>Non</w:t>
            </w:r>
            <w:r w:rsidRPr="00782D6D">
              <w:noBreakHyphen/>
              <w:t>pregnant women aged ≥16 years with an episode of uncomplicated UTI and initial antibiotic prescription.</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ED241E3" w14:textId="77777777" w:rsidR="00C26202" w:rsidRPr="00782D6D" w:rsidRDefault="00C26202" w:rsidP="00C26202">
            <w:pPr>
              <w:jc w:val="left"/>
            </w:pPr>
            <w:r w:rsidRPr="00782D6D">
              <w:t>Provides additional evidence on the volume of uncomplicated UTI episodes being seen and treated in English primary care.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73367695" w14:textId="77777777" w:rsidR="00C26202" w:rsidRPr="00782D6D" w:rsidRDefault="00C26202" w:rsidP="00C26202">
            <w:pPr>
              <w:jc w:val="left"/>
            </w:pPr>
            <w:r w:rsidRPr="00782D6D">
              <w:t>Some patient subgroups, including older women and those with previous UTIs, were more likely to receive second</w:t>
            </w:r>
            <w:r w:rsidRPr="00782D6D">
              <w:noBreakHyphen/>
              <w:t>line or multiple antibiotics, indicating clinical complexity and possible resistance.</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0B701929" w14:textId="77777777" w:rsidR="00C26202" w:rsidRPr="00782D6D" w:rsidRDefault="00C26202" w:rsidP="00C26202">
            <w:pPr>
              <w:jc w:val="left"/>
            </w:pPr>
            <w:r w:rsidRPr="00782D6D">
              <w:t>A substantial proportion of women received antibiotic regimens that deviated from guideline</w:t>
            </w:r>
            <w:r w:rsidRPr="00782D6D">
              <w:noBreakHyphen/>
              <w:t>recommended choice, dose or duration, underlining the importance of stewardship initiatives to optimise treatment and minimise risk of recurrence and resistance.</w:t>
            </w:r>
          </w:p>
        </w:tc>
      </w:tr>
      <w:tr w:rsidR="00C26202" w:rsidRPr="00782D6D" w14:paraId="65C134BB" w14:textId="77777777">
        <w:trPr>
          <w:trHeight w:val="4455"/>
        </w:trPr>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017B739" w14:textId="77777777" w:rsidR="00C26202" w:rsidRPr="00782D6D" w:rsidRDefault="00C26202" w:rsidP="00C26202">
            <w:pPr>
              <w:jc w:val="left"/>
            </w:pPr>
            <w:r w:rsidRPr="00782D6D">
              <w:lastRenderedPageBreak/>
              <w:t>Sides et al. 2025 – Commissioning</w:t>
            </w:r>
            <w:r w:rsidRPr="00782D6D">
              <w:noBreakHyphen/>
              <w:t>level prevention and management strategies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48DCC505" w14:textId="77777777" w:rsidR="00C26202" w:rsidRPr="00782D6D" w:rsidRDefault="00C26202" w:rsidP="00C26202">
            <w:pPr>
              <w:jc w:val="left"/>
            </w:pPr>
            <w:r w:rsidRPr="00782D6D">
              <w:t>National online questionnaire of English Clinical Commissioning Groups / Integrated Care Boards (2017–2022).</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587F3D50" w14:textId="77777777" w:rsidR="00C26202" w:rsidRPr="00782D6D" w:rsidRDefault="00C26202" w:rsidP="00C26202">
            <w:pPr>
              <w:jc w:val="left"/>
            </w:pPr>
            <w:r w:rsidRPr="00782D6D">
              <w:t>Primary</w:t>
            </w:r>
            <w:r w:rsidRPr="00782D6D">
              <w:noBreakHyphen/>
              <w:t>care system leaders responsible for antimicrobial stewardship and infection</w:t>
            </w:r>
            <w:r w:rsidRPr="00782D6D">
              <w:noBreakHyphen/>
              <w:t>prevention programmes.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4600081" w14:textId="77777777" w:rsidR="00C26202" w:rsidRPr="00782D6D" w:rsidRDefault="00C26202" w:rsidP="00C26202">
            <w:pPr>
              <w:jc w:val="left"/>
            </w:pPr>
            <w:r w:rsidRPr="00782D6D">
              <w:t>Not designed to estimate individual</w:t>
            </w:r>
            <w:r w:rsidRPr="00782D6D">
              <w:noBreakHyphen/>
              <w:t>level prevalence, but confirms that UTI is a major focus of primary</w:t>
            </w:r>
            <w:r w:rsidRPr="00782D6D">
              <w:noBreakHyphen/>
              <w:t>care quality</w:t>
            </w:r>
            <w:r w:rsidRPr="00782D6D">
              <w:noBreakHyphen/>
              <w:t>improvement activity due to its high burden of antibiotic prescribing.</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1200118F" w14:textId="77777777" w:rsidR="00C26202" w:rsidRPr="00782D6D" w:rsidRDefault="00C26202" w:rsidP="00C26202">
            <w:pPr>
              <w:jc w:val="left"/>
            </w:pPr>
            <w:r w:rsidRPr="00782D6D">
              <w:t>Respondents reported targeting high</w:t>
            </w:r>
            <w:r w:rsidRPr="00782D6D">
              <w:noBreakHyphen/>
              <w:t>risk groups such as older women and care</w:t>
            </w:r>
            <w:r w:rsidRPr="00782D6D">
              <w:noBreakHyphen/>
              <w:t>home residents through local policies and surveillance, recognising their greater susceptibility to UTI and adverse outcomes.</w:t>
            </w:r>
          </w:p>
        </w:tc>
        <w:tc>
          <w:tcPr>
            <w:tcW w:w="0" w:type="auto"/>
            <w:tcBorders>
              <w:top w:val="single" w:sz="4" w:space="0" w:color="DDDDDD"/>
              <w:left w:val="single" w:sz="4" w:space="0" w:color="DDDDDD"/>
              <w:bottom w:val="single" w:sz="4" w:space="0" w:color="DDDDDD"/>
              <w:right w:val="single" w:sz="4" w:space="0" w:color="DDDDDD"/>
            </w:tcBorders>
            <w:tcMar>
              <w:top w:w="120" w:type="dxa"/>
              <w:left w:w="120" w:type="dxa"/>
              <w:bottom w:w="120" w:type="dxa"/>
              <w:right w:w="120" w:type="dxa"/>
            </w:tcMar>
            <w:hideMark/>
          </w:tcPr>
          <w:p w14:paraId="27AE535F" w14:textId="77777777" w:rsidR="00C26202" w:rsidRPr="00782D6D" w:rsidRDefault="00C26202" w:rsidP="00C26202">
            <w:pPr>
              <w:jc w:val="left"/>
            </w:pPr>
            <w:r w:rsidRPr="00782D6D">
              <w:t>Most organisations had implemented multi</w:t>
            </w:r>
            <w:r w:rsidRPr="00782D6D">
              <w:noBreakHyphen/>
              <w:t>component interventions including staff education, diagnostic and prescribing pathways, patient information resources and audit</w:t>
            </w:r>
            <w:r w:rsidRPr="00782D6D">
              <w:noBreakHyphen/>
              <w:t>feedback, although formal evaluation and consistent data use were often limited.</w:t>
            </w:r>
          </w:p>
        </w:tc>
      </w:tr>
    </w:tbl>
    <w:p w14:paraId="216B0E53" w14:textId="1E233F88" w:rsidR="007D3901" w:rsidRPr="00782D6D" w:rsidRDefault="007D3901" w:rsidP="00F42AC2">
      <w:pPr>
        <w:pStyle w:val="Heading3"/>
      </w:pPr>
      <w:bookmarkStart w:id="98" w:name="_Toc220833831"/>
      <w:r w:rsidRPr="00782D6D">
        <w:t>4.2.2 Quality Appraisal</w:t>
      </w:r>
      <w:bookmarkEnd w:id="98"/>
      <w:r w:rsidRPr="00782D6D">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897"/>
        <w:gridCol w:w="1679"/>
        <w:gridCol w:w="1618"/>
        <w:gridCol w:w="2471"/>
        <w:gridCol w:w="1679"/>
      </w:tblGrid>
      <w:tr w:rsidR="002A0451" w:rsidRPr="00782D6D" w14:paraId="15ABDA41" w14:textId="77777777">
        <w:trPr>
          <w:trHeight w:val="875"/>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2C80A2A0" w14:textId="5D49F161" w:rsidR="002A0451" w:rsidRPr="00782D6D" w:rsidRDefault="00C20962" w:rsidP="002A0451">
            <w:pPr>
              <w:jc w:val="center"/>
            </w:pPr>
            <w:r w:rsidRPr="00782D6D">
              <w:rPr>
                <w:b/>
                <w:bCs/>
              </w:rPr>
              <w:t>S</w:t>
            </w:r>
            <w:r w:rsidR="002A0451" w:rsidRPr="00782D6D">
              <w:rPr>
                <w:b/>
                <w:bCs/>
              </w:rPr>
              <w:t>tudy</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5DEBA126" w14:textId="064154B9" w:rsidR="002A0451" w:rsidRPr="00782D6D" w:rsidRDefault="002A0451" w:rsidP="002A0451">
            <w:pPr>
              <w:jc w:val="center"/>
            </w:pPr>
            <w:r w:rsidRPr="00782D6D">
              <w:rPr>
                <w:b/>
                <w:bCs/>
              </w:rPr>
              <w:t>Design</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33922485" w14:textId="135BE153" w:rsidR="002A0451" w:rsidRPr="00782D6D" w:rsidRDefault="002A0451" w:rsidP="002A0451">
            <w:pPr>
              <w:jc w:val="center"/>
            </w:pPr>
            <w:r w:rsidRPr="00782D6D">
              <w:rPr>
                <w:b/>
                <w:bCs/>
              </w:rPr>
              <w:t>Appraisal tool</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088FC382" w14:textId="77777777" w:rsidR="002A0451" w:rsidRPr="00782D6D" w:rsidRDefault="002A0451" w:rsidP="002A0451">
            <w:pPr>
              <w:jc w:val="center"/>
            </w:pPr>
            <w:r w:rsidRPr="00782D6D">
              <w:rPr>
                <w:b/>
                <w:bCs/>
              </w:rPr>
              <w:t>Key quality</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hideMark/>
          </w:tcPr>
          <w:p w14:paraId="0E4C06C1" w14:textId="77777777" w:rsidR="002A0451" w:rsidRPr="00782D6D" w:rsidRDefault="002A0451" w:rsidP="002A0451">
            <w:pPr>
              <w:jc w:val="center"/>
            </w:pPr>
            <w:r w:rsidRPr="00782D6D">
              <w:rPr>
                <w:b/>
                <w:bCs/>
              </w:rPr>
              <w:t>Overall confidence</w:t>
            </w:r>
          </w:p>
        </w:tc>
      </w:tr>
      <w:tr w:rsidR="002A0451" w:rsidRPr="00782D6D" w14:paraId="4B634693" w14:textId="77777777">
        <w:trPr>
          <w:trHeight w:val="333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CE0B5AB" w14:textId="77777777" w:rsidR="002A0451" w:rsidRPr="00782D6D" w:rsidRDefault="002A0451" w:rsidP="00DD08DA">
            <w:pPr>
              <w:jc w:val="left"/>
            </w:pPr>
            <w:r w:rsidRPr="00782D6D">
              <w:lastRenderedPageBreak/>
              <w:t>Pujades</w:t>
            </w:r>
            <w:r w:rsidRPr="00782D6D">
              <w:noBreakHyphen/>
              <w:t>Rodriguez et al. (2019)​</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3A65AF4" w14:textId="77777777" w:rsidR="002A0451" w:rsidRPr="00782D6D" w:rsidRDefault="002A0451" w:rsidP="00DD08DA">
            <w:pPr>
              <w:jc w:val="left"/>
            </w:pPr>
            <w:r w:rsidRPr="00782D6D">
              <w:t>Retrospective cohort (English primary care EHR)​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FFC29F8" w14:textId="573EE38B"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7E2D513" w14:textId="77777777" w:rsidR="002A0451" w:rsidRPr="00782D6D" w:rsidRDefault="002A0451" w:rsidP="00DD08DA">
            <w:pPr>
              <w:jc w:val="left"/>
            </w:pPr>
            <w:r w:rsidRPr="00782D6D">
              <w:t>Misclassification of UTI (coded/treated episodes), residual confounding (comorbidity, prior antibiotics), incomplete culture confirmation, missing data in routine records​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4152CC4" w14:textId="77777777" w:rsidR="002A0451" w:rsidRPr="00782D6D" w:rsidRDefault="002A0451" w:rsidP="00DD08DA">
            <w:pPr>
              <w:jc w:val="left"/>
            </w:pPr>
            <w:r w:rsidRPr="00782D6D">
              <w:t>Moderate–High​</w:t>
            </w:r>
          </w:p>
        </w:tc>
      </w:tr>
      <w:tr w:rsidR="002A0451" w:rsidRPr="00782D6D" w14:paraId="774ACA76" w14:textId="77777777">
        <w:trPr>
          <w:trHeight w:val="277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A975A68" w14:textId="77777777" w:rsidR="002A0451" w:rsidRPr="00782D6D" w:rsidRDefault="002A0451" w:rsidP="00DD08DA">
            <w:pPr>
              <w:jc w:val="left"/>
            </w:pPr>
            <w:r w:rsidRPr="00782D6D">
              <w:t>Ahmed et al. (2018)​</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B741BED" w14:textId="77777777" w:rsidR="002A0451" w:rsidRPr="00782D6D" w:rsidRDefault="002A0451" w:rsidP="00DD08DA">
            <w:pPr>
              <w:jc w:val="left"/>
            </w:pPr>
            <w:r w:rsidRPr="00782D6D">
              <w:t>Retrospective observational (linked CPRD + hospital, older adults)​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0602C44" w14:textId="165BD396"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48EE606" w14:textId="77777777" w:rsidR="002A0451" w:rsidRPr="00782D6D" w:rsidRDefault="002A0451" w:rsidP="00DD08DA">
            <w:pPr>
              <w:jc w:val="left"/>
            </w:pPr>
            <w:r w:rsidRPr="00782D6D">
              <w:t>Case definition validity, confounding by frailty/comorbidity, ascertainment bias (consultation propensity), missingness/changes over time in coding​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91B4C4D" w14:textId="77777777" w:rsidR="002A0451" w:rsidRPr="00782D6D" w:rsidRDefault="002A0451" w:rsidP="00DD08DA">
            <w:pPr>
              <w:jc w:val="left"/>
            </w:pPr>
            <w:r w:rsidRPr="00782D6D">
              <w:t>Moderate–High​</w:t>
            </w:r>
          </w:p>
        </w:tc>
      </w:tr>
      <w:tr w:rsidR="002A0451" w:rsidRPr="00782D6D" w14:paraId="249A4453" w14:textId="77777777">
        <w:trPr>
          <w:trHeight w:val="277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B45FC51" w14:textId="77777777" w:rsidR="002A0451" w:rsidRPr="00782D6D" w:rsidRDefault="002A0451" w:rsidP="00DD08DA">
            <w:pPr>
              <w:jc w:val="left"/>
            </w:pPr>
            <w:r w:rsidRPr="00782D6D">
              <w:t>Vázquez</w:t>
            </w:r>
            <w:r w:rsidRPr="00782D6D">
              <w:noBreakHyphen/>
              <w:t>Montes et al. (2023)​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6ED7530" w14:textId="77777777" w:rsidR="002A0451" w:rsidRPr="00782D6D" w:rsidRDefault="002A0451" w:rsidP="00DD08DA">
            <w:pPr>
              <w:jc w:val="left"/>
            </w:pPr>
            <w:r w:rsidRPr="00782D6D">
              <w:t>Population cohort linking microbiology + records (Oxfordshire)​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EB56A09" w14:textId="78FC57EE"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0B1AC92" w14:textId="77777777" w:rsidR="002A0451" w:rsidRPr="00782D6D" w:rsidRDefault="002A0451" w:rsidP="00DD08DA">
            <w:pPr>
              <w:jc w:val="left"/>
            </w:pPr>
            <w:r w:rsidRPr="00782D6D">
              <w:t>Culture-positive selection (misses non-sampled UTIs), differential sampling by age/severity, generalisability beyond region, confounding by healthcare use​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B361396" w14:textId="77777777" w:rsidR="002A0451" w:rsidRPr="00782D6D" w:rsidRDefault="002A0451" w:rsidP="00DD08DA">
            <w:pPr>
              <w:jc w:val="left"/>
            </w:pPr>
            <w:r w:rsidRPr="00782D6D">
              <w:t>Moderate–High​</w:t>
            </w:r>
          </w:p>
        </w:tc>
      </w:tr>
      <w:tr w:rsidR="002A0451" w:rsidRPr="00782D6D" w14:paraId="1518F2C5" w14:textId="77777777">
        <w:trPr>
          <w:trHeight w:val="301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D3BF97F" w14:textId="77777777" w:rsidR="002A0451" w:rsidRPr="00782D6D" w:rsidRDefault="002A0451" w:rsidP="00DD08DA">
            <w:pPr>
              <w:jc w:val="left"/>
            </w:pPr>
            <w:r w:rsidRPr="00782D6D">
              <w:lastRenderedPageBreak/>
              <w:t>Sanyaolu et al. (2024)​</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0DF52B5" w14:textId="77777777" w:rsidR="002A0451" w:rsidRPr="00782D6D" w:rsidRDefault="002A0451" w:rsidP="00DD08DA">
            <w:pPr>
              <w:jc w:val="left"/>
            </w:pPr>
            <w:r w:rsidRPr="00782D6D">
              <w:t>Retrospective cross-sectional (SAIL GP records, Wales)​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274ADDD" w14:textId="77777777" w:rsidR="002A0451" w:rsidRPr="00782D6D" w:rsidRDefault="002A0451" w:rsidP="00C164B4">
            <w:pPr>
              <w:jc w:val="center"/>
            </w:pPr>
            <w:r w:rsidRPr="00782D6D">
              <w:t>JBI Analytical Cross</w:t>
            </w:r>
            <w:r w:rsidRPr="00782D6D">
              <w:noBreakHyphen/>
              <w:t>Sectional​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13ED565" w14:textId="77777777" w:rsidR="002A0451" w:rsidRPr="00782D6D" w:rsidRDefault="002A0451" w:rsidP="00DD08DA">
            <w:pPr>
              <w:jc w:val="left"/>
            </w:pPr>
            <w:r w:rsidRPr="00782D6D">
              <w:t>Cross-sectional inference limits temporality, reliance on record completeness for rUTI/prophylaxis, confounding by indication (prophylaxis given to higher-risk women)​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28D62ED" w14:textId="77777777" w:rsidR="002A0451" w:rsidRPr="00782D6D" w:rsidRDefault="002A0451" w:rsidP="00DD08DA">
            <w:pPr>
              <w:jc w:val="left"/>
            </w:pPr>
            <w:r w:rsidRPr="00782D6D">
              <w:t>Moderate​</w:t>
            </w:r>
          </w:p>
        </w:tc>
      </w:tr>
      <w:tr w:rsidR="002A0451" w:rsidRPr="00782D6D" w14:paraId="67D433C4" w14:textId="77777777">
        <w:trPr>
          <w:trHeight w:val="283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9262CC8" w14:textId="77777777" w:rsidR="002A0451" w:rsidRPr="00782D6D" w:rsidRDefault="002A0451" w:rsidP="00DD08DA">
            <w:pPr>
              <w:jc w:val="left"/>
            </w:pPr>
            <w:r w:rsidRPr="00782D6D">
              <w:t>Wilcox et al. (2023a)​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890DDDB" w14:textId="77777777" w:rsidR="002A0451" w:rsidRPr="00782D6D" w:rsidRDefault="002A0451" w:rsidP="00DD08DA">
            <w:pPr>
              <w:jc w:val="left"/>
            </w:pPr>
            <w:r w:rsidRPr="00782D6D">
              <w:t>Retrospective CPRD cohort (conference abstract)​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89BF54B" w14:textId="4115A66E"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21E3D2E" w14:textId="77777777" w:rsidR="002A0451" w:rsidRPr="00782D6D" w:rsidRDefault="002A0451" w:rsidP="00DD08DA">
            <w:pPr>
              <w:jc w:val="left"/>
            </w:pPr>
            <w:r w:rsidRPr="00782D6D">
              <w:t>Abstract-level reporting (methods/adjustment unclear), guideline-deviation definitions not fully transparent, limited detail on confounding control​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D1DB5CD" w14:textId="77777777" w:rsidR="002A0451" w:rsidRPr="00782D6D" w:rsidRDefault="002A0451" w:rsidP="00DD08DA">
            <w:pPr>
              <w:jc w:val="left"/>
            </w:pPr>
            <w:r w:rsidRPr="00782D6D">
              <w:t>Low–Moderate​</w:t>
            </w:r>
          </w:p>
        </w:tc>
      </w:tr>
      <w:tr w:rsidR="002A0451" w:rsidRPr="00782D6D" w14:paraId="60F69412" w14:textId="77777777">
        <w:trPr>
          <w:trHeight w:val="280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2D2CC2E" w14:textId="77777777" w:rsidR="002A0451" w:rsidRPr="00782D6D" w:rsidRDefault="002A0451" w:rsidP="00DD08DA">
            <w:pPr>
              <w:jc w:val="left"/>
            </w:pPr>
            <w:r w:rsidRPr="00782D6D">
              <w:t>Wilcox et al. (2023b)​</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BEFE2B7" w14:textId="77777777" w:rsidR="002A0451" w:rsidRPr="00782D6D" w:rsidRDefault="002A0451" w:rsidP="00DD08DA">
            <w:pPr>
              <w:jc w:val="left"/>
            </w:pPr>
            <w:r w:rsidRPr="00782D6D">
              <w:t>Retrospective CPRD cohort (conference abstract)​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CD976CC" w14:textId="4165E578"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DAF54BC" w14:textId="77777777" w:rsidR="002A0451" w:rsidRPr="00782D6D" w:rsidRDefault="002A0451" w:rsidP="00DD08DA">
            <w:pPr>
              <w:jc w:val="left"/>
            </w:pPr>
            <w:r w:rsidRPr="00782D6D">
              <w:t>Abstract-level reporting, outcome ascertainment for progression, limited effect estimates/adjustment detail, potential residual confounding​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A52AE53" w14:textId="77777777" w:rsidR="002A0451" w:rsidRPr="00782D6D" w:rsidRDefault="002A0451" w:rsidP="00DD08DA">
            <w:pPr>
              <w:jc w:val="left"/>
            </w:pPr>
            <w:r w:rsidRPr="00782D6D">
              <w:t>Low–Moderate​</w:t>
            </w:r>
          </w:p>
        </w:tc>
      </w:tr>
      <w:tr w:rsidR="002A0451" w:rsidRPr="00782D6D" w14:paraId="2FDF61A6" w14:textId="77777777">
        <w:trPr>
          <w:trHeight w:val="252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E9B6249" w14:textId="77777777" w:rsidR="002A0451" w:rsidRPr="00782D6D" w:rsidRDefault="002A0451" w:rsidP="00DD08DA">
            <w:pPr>
              <w:jc w:val="left"/>
            </w:pPr>
            <w:r w:rsidRPr="00782D6D">
              <w:lastRenderedPageBreak/>
              <w:t>Cooper et al. (2020)​</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A166C00" w14:textId="77777777" w:rsidR="002A0451" w:rsidRPr="00782D6D" w:rsidRDefault="002A0451" w:rsidP="00DD08DA">
            <w:pPr>
              <w:jc w:val="left"/>
            </w:pPr>
            <w:r w:rsidRPr="00782D6D">
              <w:t>Qualitative interviews/focus groups (primary care staff, England)​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93A21FB" w14:textId="7700A1FE" w:rsidR="002A0451" w:rsidRPr="00782D6D" w:rsidRDefault="002A0451" w:rsidP="00C164B4">
            <w:pPr>
              <w:jc w:val="center"/>
            </w:pPr>
            <w:r w:rsidRPr="00782D6D">
              <w:t>CASP​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63655D4" w14:textId="77777777" w:rsidR="002A0451" w:rsidRPr="00782D6D" w:rsidRDefault="002A0451" w:rsidP="00DD08DA">
            <w:pPr>
              <w:jc w:val="left"/>
            </w:pPr>
            <w:r w:rsidRPr="00782D6D">
              <w:t>Sampling strategy/transferability, reflexivity and analytic transparency, potential social desirability/recall bias, adequacy of triangulation​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D876FF8" w14:textId="77777777" w:rsidR="002A0451" w:rsidRPr="00782D6D" w:rsidRDefault="002A0451" w:rsidP="00DD08DA">
            <w:pPr>
              <w:jc w:val="left"/>
            </w:pPr>
            <w:r w:rsidRPr="00782D6D">
              <w:t>Moderate​</w:t>
            </w:r>
          </w:p>
        </w:tc>
      </w:tr>
      <w:tr w:rsidR="002A0451" w:rsidRPr="00782D6D" w14:paraId="1C505570" w14:textId="77777777">
        <w:trPr>
          <w:trHeight w:val="249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27B1EE01" w14:textId="77777777" w:rsidR="002A0451" w:rsidRPr="00782D6D" w:rsidRDefault="002A0451" w:rsidP="00DD08DA">
            <w:pPr>
              <w:jc w:val="left"/>
            </w:pPr>
            <w:r w:rsidRPr="00782D6D">
              <w:t>Cooper et al. (2023)​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00467E3" w14:textId="77777777" w:rsidR="002A0451" w:rsidRPr="00782D6D" w:rsidRDefault="002A0451" w:rsidP="00DD08DA">
            <w:pPr>
              <w:jc w:val="left"/>
            </w:pPr>
            <w:r w:rsidRPr="00782D6D">
              <w:t>National cross-sectional e</w:t>
            </w:r>
            <w:r w:rsidRPr="00782D6D">
              <w:noBreakHyphen/>
              <w:t>survey (women in England)​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4127343" w14:textId="77777777" w:rsidR="002A0451" w:rsidRPr="00782D6D" w:rsidRDefault="002A0451" w:rsidP="00C164B4">
            <w:pPr>
              <w:jc w:val="center"/>
            </w:pPr>
            <w:r w:rsidRPr="00782D6D">
              <w:t>JBI Analytical Cross</w:t>
            </w:r>
            <w:r w:rsidRPr="00782D6D">
              <w:noBreakHyphen/>
              <w:t>Sectional​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2DCBEAA" w14:textId="77777777" w:rsidR="002A0451" w:rsidRPr="00782D6D" w:rsidRDefault="002A0451" w:rsidP="00DD08DA">
            <w:pPr>
              <w:jc w:val="left"/>
            </w:pPr>
            <w:r w:rsidRPr="00782D6D">
              <w:t>Self-report and recall bias, selection/non-response bias, representativeness across deprivation/age/ethnicity, temporality limits​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98B33D5" w14:textId="77777777" w:rsidR="002A0451" w:rsidRPr="00782D6D" w:rsidRDefault="002A0451" w:rsidP="00DD08DA">
            <w:pPr>
              <w:jc w:val="left"/>
            </w:pPr>
            <w:r w:rsidRPr="00782D6D">
              <w:t>Moderate​</w:t>
            </w:r>
          </w:p>
        </w:tc>
      </w:tr>
      <w:tr w:rsidR="002A0451" w:rsidRPr="00782D6D" w14:paraId="5C4A88FD" w14:textId="77777777">
        <w:trPr>
          <w:trHeight w:val="275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0EA791C" w14:textId="77777777" w:rsidR="002A0451" w:rsidRPr="00782D6D" w:rsidRDefault="002A0451" w:rsidP="00DD08DA">
            <w:pPr>
              <w:jc w:val="left"/>
            </w:pPr>
            <w:r w:rsidRPr="00782D6D">
              <w:t>Sanyaolu et al. (2023)​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E3515B1" w14:textId="77777777" w:rsidR="002A0451" w:rsidRPr="00782D6D" w:rsidRDefault="002A0451" w:rsidP="00DD08DA">
            <w:pPr>
              <w:jc w:val="left"/>
            </w:pPr>
            <w:r w:rsidRPr="00782D6D">
              <w:t>Online cross-sectional survey (menopause and rUTI symptom profiles)​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658DFE11" w14:textId="77777777" w:rsidR="002A0451" w:rsidRPr="00782D6D" w:rsidRDefault="002A0451" w:rsidP="00C164B4">
            <w:pPr>
              <w:jc w:val="center"/>
            </w:pPr>
            <w:r w:rsidRPr="00782D6D">
              <w:t>JBI Analytical Cross</w:t>
            </w:r>
            <w:r w:rsidRPr="00782D6D">
              <w:noBreakHyphen/>
              <w:t>Sectional​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1358B90E" w14:textId="77777777" w:rsidR="002A0451" w:rsidRPr="00782D6D" w:rsidRDefault="002A0451" w:rsidP="00DD08DA">
            <w:pPr>
              <w:jc w:val="left"/>
            </w:pPr>
            <w:r w:rsidRPr="00782D6D">
              <w:t>Self-reported UTI/rUTI and menopausal status, selection bias (online recruitment), confounding (comorbidity, treatment history), temporality limits​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4DC0109F" w14:textId="77777777" w:rsidR="002A0451" w:rsidRPr="00782D6D" w:rsidRDefault="002A0451" w:rsidP="00DD08DA">
            <w:pPr>
              <w:jc w:val="left"/>
            </w:pPr>
            <w:r w:rsidRPr="00782D6D">
              <w:t>Low–Moderate​</w:t>
            </w:r>
          </w:p>
        </w:tc>
      </w:tr>
      <w:tr w:rsidR="002A0451" w:rsidRPr="00782D6D" w14:paraId="427A83C3" w14:textId="77777777">
        <w:trPr>
          <w:trHeight w:val="2545"/>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32763AF6" w14:textId="77777777" w:rsidR="002A0451" w:rsidRPr="00782D6D" w:rsidRDefault="002A0451" w:rsidP="00DD08DA">
            <w:pPr>
              <w:jc w:val="left"/>
            </w:pPr>
            <w:r w:rsidRPr="00782D6D">
              <w:lastRenderedPageBreak/>
              <w:t>Sides et al. (2025)​</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CC0BC2A" w14:textId="77777777" w:rsidR="002A0451" w:rsidRPr="00782D6D" w:rsidRDefault="002A0451" w:rsidP="00DD08DA">
            <w:pPr>
              <w:jc w:val="left"/>
            </w:pPr>
            <w:r w:rsidRPr="00782D6D">
              <w:t>National questionnaire (CCGs/ICBs; commissioning-level strategies)​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08FF9E6F" w14:textId="7007F2AF" w:rsidR="002A0451" w:rsidRPr="00782D6D" w:rsidRDefault="002A0451" w:rsidP="00C164B4">
            <w:pPr>
              <w:jc w:val="center"/>
            </w:pPr>
            <w:r w:rsidRPr="00782D6D">
              <w:t>JBI Checklist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516DAF83" w14:textId="77777777" w:rsidR="002A0451" w:rsidRPr="00782D6D" w:rsidRDefault="002A0451" w:rsidP="00DD08DA">
            <w:pPr>
              <w:jc w:val="left"/>
            </w:pPr>
            <w:r w:rsidRPr="00782D6D">
              <w:t>Response bias, self-reported implementation (verification limited), limited outcome evaluation data, heterogeneity across regions​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hideMark/>
          </w:tcPr>
          <w:p w14:paraId="77F30E5A" w14:textId="77777777" w:rsidR="002A0451" w:rsidRPr="00782D6D" w:rsidRDefault="002A0451" w:rsidP="00DD08DA">
            <w:pPr>
              <w:jc w:val="left"/>
            </w:pPr>
            <w:r w:rsidRPr="00782D6D">
              <w:t>Moderate (implementation evidence)​</w:t>
            </w:r>
          </w:p>
        </w:tc>
      </w:tr>
    </w:tbl>
    <w:p w14:paraId="5A72336A" w14:textId="0AD0DAC0" w:rsidR="00C50D54" w:rsidRDefault="00C50D54" w:rsidP="00516488">
      <w:pPr>
        <w:pStyle w:val="Heading3"/>
      </w:pPr>
      <w:bookmarkStart w:id="99" w:name="_Toc220833832"/>
      <w:r>
        <w:t xml:space="preserve">4.2.3 </w:t>
      </w:r>
      <w:r w:rsidR="00516488" w:rsidRPr="00516488">
        <w:t>Structured descriptive synthesis of included studies</w:t>
      </w:r>
      <w:bookmarkEnd w:id="99"/>
    </w:p>
    <w:p w14:paraId="300E1B82" w14:textId="0A4D5DBC" w:rsidR="00516488" w:rsidRDefault="00516488" w:rsidP="00516488">
      <w:pPr>
        <w:pStyle w:val="Heading4"/>
        <w:rPr>
          <w:b w:val="0"/>
        </w:rPr>
      </w:pPr>
      <w:r w:rsidRPr="00516488">
        <w:t>Outcome definitions and heterogeneity</w:t>
      </w:r>
    </w:p>
    <w:p w14:paraId="1272F174" w14:textId="4FD37A7C" w:rsidR="00951D74" w:rsidRDefault="00516488" w:rsidP="00516488">
      <w:pPr>
        <w:rPr>
          <w:lang w:val="en-US"/>
        </w:rPr>
      </w:pPr>
      <w:r w:rsidRPr="00516488">
        <w:rPr>
          <w:lang w:val="en-US"/>
        </w:rPr>
        <w:t>Across the included UK studies, "UTI" was variously operationalised as a coded primary care diagnosis accompanied by antibiotic prescribing, microbiology-confirmed bacteriuria or self-reported symptomatic episodes. In CPRD-based analyses, episodes were delimited by consultation windows to differentiate ongoing treatment from new infection, with one cohort attributing codes within 28 days to the same episode (Pujades-Rodriguez et al., 2019). Ahmed et al. (2018) used a combination of diagnostic or symptom codes and corroborating evidence, such as same-day antibiotics, urine culture submittal or admission coded as a UTI, to improve specificity. Recurrent UTI was generally defined as &gt;= 2 infections in 6 months or &gt;= 3 in 12 months, while some studies also considered repeat consultations or prophylaxis initiation because the details of symptoms were poor (Sanyaolu et al., 2024). Bono, Reygaert and Leslie, (2025) demonstrate that even intervention research applies inconsistent thresholds of symptoms, pyuria and culture, which provides caution against considering estimates of recurrence as directly comparable across definitions.</w:t>
      </w:r>
    </w:p>
    <w:p w14:paraId="5BD2C44E" w14:textId="78A9501A" w:rsidR="00516488" w:rsidRDefault="00951D74" w:rsidP="00951D74">
      <w:pPr>
        <w:pStyle w:val="Heading4"/>
        <w:rPr>
          <w:lang w:val="en-US"/>
        </w:rPr>
      </w:pPr>
      <w:r>
        <w:rPr>
          <w:lang w:val="en-US"/>
        </w:rPr>
        <w:t>Descriptive synthesis of the evidence</w:t>
      </w:r>
    </w:p>
    <w:p w14:paraId="730501E7" w14:textId="237F30F7" w:rsidR="00951D74" w:rsidRPr="00951D74" w:rsidRDefault="00951D74" w:rsidP="00951D74">
      <w:pPr>
        <w:rPr>
          <w:lang w:val="en-US"/>
        </w:rPr>
      </w:pPr>
      <w:r w:rsidRPr="00951D74">
        <w:rPr>
          <w:lang w:val="en-US"/>
        </w:rPr>
        <w:t xml:space="preserve">The included evidence is best for estimating burden because large EHR cohorts measure consultation rates, prescribing and downstream outcomes at the population scale. Ahmed et al. (2018) illustrate the potential of routine records to record time trends and age gradients in clinically diagnosed UTI, which are challenging to see in prospective sampling studies. Pujades-Rodriguez et al. (2019) demonstrate the utility of linked prescribing and laboratory fields for analyses of </w:t>
      </w:r>
      <w:r w:rsidRPr="00951D74">
        <w:rPr>
          <w:lang w:val="en-US"/>
        </w:rPr>
        <w:lastRenderedPageBreak/>
        <w:t>management pathways, such as urine sampling and re-prescribing. Evidence on lived experience is comparatively good, where qualitative and survey methods have characterised chronicity, stigma, and disruption to work and relationships, invisible in coded datasets. Sanyaolu et al (2023) synthesised women's and clinicians' accounts to demonstrate the influence of diagnostic uncertainty and recurrent symptoms on help-seeking and expectation of antibiotics. Causality is weaker due to most analyses in the UK being observational, so residual confounding and indication bias mean that recurrence can only be attributed to specific determinants or preventive strategies (Sanyaolu et al., 2024).</w:t>
      </w:r>
    </w:p>
    <w:p w14:paraId="09C77BFD" w14:textId="3D1AF50F" w:rsidR="00951D74" w:rsidRDefault="00E86EF7" w:rsidP="00E86EF7">
      <w:pPr>
        <w:pStyle w:val="Heading4"/>
        <w:rPr>
          <w:lang w:val="en-US"/>
        </w:rPr>
      </w:pPr>
      <w:r>
        <w:rPr>
          <w:lang w:val="en-US"/>
        </w:rPr>
        <w:t xml:space="preserve">Quantitative summary </w:t>
      </w:r>
    </w:p>
    <w:p w14:paraId="34CBE905" w14:textId="741924C9" w:rsidR="00E86EF7" w:rsidRPr="00E86EF7" w:rsidRDefault="00E86EF7" w:rsidP="00E86EF7">
      <w:pPr>
        <w:rPr>
          <w:lang w:val="en-US"/>
        </w:rPr>
      </w:pPr>
      <w:r w:rsidRPr="00E86EF7">
        <w:rPr>
          <w:lang w:val="en-US"/>
        </w:rPr>
        <w:t>In the UK primary care records for people aged &gt;= 65 years, the incidence of clinically diagnosed UTI in women increased from 9.03 to 10.96 (65-74 years) and from 14.65 to 19.80 (&gt;= 85 years) between 2004 and 2014 (Ahmed et al., 2018). Between 2010 and 2020, in the Welsh primary care, 6.0% of adult women fulfilled a recurrent UTI definition, and 1.7% of adult women had prophylactic antibiotics issued (Sanyaolu et al., 2024). In that cohort, 80.8% of women with recurrent UTI had urine culture in the preceding 12 months, and 18.5% of those prescribed trimethoprim prophylaxis had antecedent resistance (Sanyaolu et al., 2024). In England, 494,675 episodes of lower urinary tract infections (UTIs), 85.7% of which were treated with antibiotics on the same day and 25% of which were sampled for urine on the same day (Pujades-Rodriguez et al., 2019). Trimethoprim was used in 56.8% of treated episodes in that cohort of CPRD (Pujades-Rodriguez et al., 2019). Overall, these descriptive ranges are signals of high antimicrobial exposure with inconsistent microbiological confirmation, affecting the measurement of recurrence as well as the interpretation of AMR risk.</w:t>
      </w:r>
    </w:p>
    <w:p w14:paraId="36827C62" w14:textId="006915B3" w:rsidR="002659DA" w:rsidRPr="00782D6D" w:rsidRDefault="00C26202" w:rsidP="00DD5FC3">
      <w:pPr>
        <w:pStyle w:val="Heading2"/>
      </w:pPr>
      <w:bookmarkStart w:id="100" w:name="_Toc220833833"/>
      <w:r w:rsidRPr="00782D6D">
        <w:t xml:space="preserve">4.3 </w:t>
      </w:r>
      <w:r w:rsidR="002659DA" w:rsidRPr="00782D6D">
        <w:t>Th</w:t>
      </w:r>
      <w:r w:rsidR="00331E17" w:rsidRPr="00782D6D">
        <w:t>ematic synthesis of findings</w:t>
      </w:r>
      <w:bookmarkEnd w:id="100"/>
      <w:r w:rsidR="00331E17" w:rsidRPr="00782D6D">
        <w:t xml:space="preserve"> </w:t>
      </w:r>
    </w:p>
    <w:p w14:paraId="13B1E92A" w14:textId="77777777" w:rsidR="00D47235" w:rsidRPr="00782D6D" w:rsidRDefault="00D47235" w:rsidP="00D47235">
      <w:pPr>
        <w:pStyle w:val="Heading3"/>
      </w:pPr>
      <w:bookmarkStart w:id="101" w:name="_Toc220833834"/>
      <w:r w:rsidRPr="00782D6D">
        <w:t>Theme 1: Multifactorial biological, behavioural and social risk factors shaping susceptibility to first and recurrent UTIs</w:t>
      </w:r>
      <w:bookmarkEnd w:id="101"/>
    </w:p>
    <w:p w14:paraId="2B4AA156" w14:textId="77777777" w:rsidR="00D47235" w:rsidRPr="00782D6D" w:rsidRDefault="00D47235" w:rsidP="00D47235">
      <w:r w:rsidRPr="00782D6D">
        <w:t xml:space="preserve">Multifactorial biological, behavioural and social risk factors that influence susceptibility to first and recurrent urinary tract infections (UTIs) in adult women in UK primary and community care are considered in this review as any patient-level exposure (host biology, comorbidity, behaviours, </w:t>
      </w:r>
      <w:r w:rsidRPr="00782D6D">
        <w:lastRenderedPageBreak/>
        <w:t>and social context) or system-level feature (diagnostic and prescribing processes) that is associated with incident infection, recurrence or escalation of care. Biological/physiological factors are framed in terms of female anatomy, susceptibility of the microbiome to infection, and hormonal changes leading to peri-/post-menopausal oestrogen deficiency associated with changes in the urogenital mucosa and decline of protective lactobacilli leading to susceptibility and recurrence (Hooton, 2012). Recurrent UTI is operationalised as recurrent symptomatic episodes within defined time periods, and previous infection history is considered as the most important proximal predictor of future recurrence, reflecting both susceptibility of the host and potential survival of bacterial reservoirs (Nicolle, 2008). Clinical and medical factors cluster around multimorbidity and iatrogenic exposures with diabetes, urinary incontinence, structural urinary tract abnormalities and catheterisation presented as key drivers of complicated episodes and repeated consultations (Flores-Mireles et al., 2015). Behavioural and health-seeking factors were identified as modifiers of risk and care pathways, especially sexual activity and contraceptive practices (e.g. spermicide use), as well as hydration and hygiene behaviours for which the evidence base is described as uneven and often observational (Gupta et al., 2017). Social determinants and access are addressed as under-analysed but potentially influential modifiers of both susceptibility and prevention uptake, since education, health literacy and socioeconomic position may influence timely care-seeking, adherence and feasibility of non-antibiotic options. System/diagnostic drivers as a unique risk-amplifying layer in primary care, where diagnostic uncertainty, the use of urine dipsticks and pressure to use empiric antibiotics can normalise repeat prescribing and make differentiation between colonisation and infection difficult (Cooper et al., 2020). Across sub-themes, an important limitation is identified: heterogeneous definitions, outcome measures and confounding structures limit causal inference; that is, "risk factors" are often correlated markers of vulnerability in real-world care rather than isolatable determinants. Finally, the results of this study place antimicrobial exposure as part of the response to management and as a risk factor downstream because there are repeated associations of frequent antibiotic use in the community with selection pressure and antimicrobial resistance issues that complicate subsequent episodes and stewardship decisions (Costelloe et al., 2010).​​</w:t>
      </w:r>
    </w:p>
    <w:p w14:paraId="691C391B" w14:textId="77777777" w:rsidR="00D47235" w:rsidRPr="00782D6D" w:rsidRDefault="00D47235" w:rsidP="00D47235">
      <w:pPr>
        <w:pStyle w:val="Heading3"/>
      </w:pPr>
      <w:bookmarkStart w:id="102" w:name="_Toc220833835"/>
      <w:r w:rsidRPr="00782D6D">
        <w:lastRenderedPageBreak/>
        <w:t>Theme 2: High and age-stratified burden of acute and recurrent UTIs and concentrated healthcare utilisation</w:t>
      </w:r>
      <w:bookmarkEnd w:id="102"/>
    </w:p>
    <w:p w14:paraId="7AC7AAFB" w14:textId="77777777" w:rsidR="00D47235" w:rsidRPr="00782D6D" w:rsidRDefault="00D47235" w:rsidP="00D47235">
      <w:r w:rsidRPr="00782D6D">
        <w:t xml:space="preserve">Chapter 4 synthesises evidence on UTI burden from 10 observational, microbiology-linked, survey and qualitative studies conducted in the UK, that were selected from 1,246 records screened to final inclusion, and reports age-stratified patterns of acute episodes, recurrence and repeat service use in primary and community care. Evidence from large routinely collected primary care datasets indicates that clinically diagnosed UTIs form a significant proportion of day-to-day consultations and are frequently managed repeatedly within general practice, and definitions are often based on coded diagnoses of lower UTI and/or episodes treated with antibiotics rather than being confirmed by culture. A rising incidence of clinically diagnosed UTI over time has been reported for UK primary care populations aged 65 years and above by Ahmed et al. (2018), with this most pronounced among the oldest women, suggesting an increasing burden of disease in later life. Cooper et al. (2020) found that clinicians perceive UTIs as one of the most common conditions among women consulting in primary care, with older age and sexual activity repeatedly cited as leading to frequent re-attendance alongside a history of recurrent UTIs and catheter use. The age patterning across included studies indicates that working-age women account for high absolute volumes of consultation, while older women more commonly present with clinical complexity and uncertainty, which can contribute to repeat contacts and escalation (including referral and hospital attendance in complicated cases). Pujades-Rodriguez et al. (2019) identified that risk factors and management decisions in primary care are linked to antibiotic re-prescription in lower UTI, indicating repeat prescribing as a measurable aspect of utilisation burden. Recurrence occurs in the form of clustering of episodes within persons, and recurrent infection history is considered an important indicator of continued utilisation because recurrent symptomatology has been associated with recurrent consultation and recurrent exposure to antibiotics within the community setting. Cooper et al. (2020) reported that diagnostic uncertainty and heavy reliance on urine dipsticks are contributing factors to empiric prescribing pressures, which may entrench repeat treatment cycles, in which the symptoms recur or when colonisation is hard to distinguish from infection. The included evidence also suggests variation in consultation modality and self-care behaviours in England, with some women using remote contact routes and over-the-counter measures in combination with or before GP review, and this adds complexity to estimating burden purely from face-to-face attendance records. Collectively, these findings demonstrate that not only is the </w:t>
      </w:r>
      <w:r w:rsidRPr="00782D6D">
        <w:lastRenderedPageBreak/>
        <w:t>burden not evenly distributed but is concentrated in older and clinically vulnerable groups due to higher recurrence, complex presentations and probability of repeat antibiotic prescribing, but also that heterogeneity in case definitions and data capture limits the direct comparability of rates across datasets.</w:t>
      </w:r>
    </w:p>
    <w:p w14:paraId="58F747C8" w14:textId="77777777" w:rsidR="00D47235" w:rsidRPr="00782D6D" w:rsidRDefault="00D47235" w:rsidP="00D47235">
      <w:pPr>
        <w:pStyle w:val="Heading3"/>
      </w:pPr>
      <w:bookmarkStart w:id="103" w:name="_Toc220833836"/>
      <w:r w:rsidRPr="00782D6D">
        <w:t>Theme 3: Prevention/management strategies—effectiveness, limitations and implementation challenges within stewardship-focused care</w:t>
      </w:r>
      <w:bookmarkEnd w:id="103"/>
    </w:p>
    <w:p w14:paraId="655B354C" w14:textId="25892786" w:rsidR="00331E17" w:rsidRPr="00782D6D" w:rsidRDefault="00D47235" w:rsidP="00331E17">
      <w:r w:rsidRPr="00782D6D">
        <w:t xml:space="preserve">Given heterogeneity in designs, settings, outcome definition and intervention reporting, prevention and management evidence is synthesised using narrative approaches rather than pooled meta-analysis, using UK routine data cohorts, microbiology-linked datasets, national surveys and qualitative primary care research. Pujades-Rodriguez et al. (2019) analysed 300,354 primary care patients with lower UTI and were able to document almost half a million episodes of lower UTI That same-day antibiotic prescribing rates are very high, as are the likelihood of repeat consultation and antibiotic re-prescription in patients of greater age, with higher levels of comorbidity and with prior antibiotic exposure. Wilcox et al. (2023a) reported that a large proportion of women with uncomplicated UTI in England received antibiotic regimens which were a deviation from antibiotic choice based on guidelines, dose or duration, with a higher likelihood of second-line and multiple antibiotic use in older women and women with previous UTI, suggesting clinically complex prescribing pathways with potential stewardship implications. In the study by Sanyaolu et al. (2024) recurrent UTI was identified in approximately one in sixteen registered women in Welsh primary care records, for whom only a minority received long-term prophylactic antibiotics with users of prophylactic antibiotics being more likely to be older, have higher healthcare utilisation and more frequent culture positivity, highlighting the balance between symptom control and resistance selection in higher-risk groups. Cooper et al. (2023) reported that many women had multiple UTIs in a year and described variation in terms of sociodemographic factors in their management, with remote consultations and over-the-counter self-care being common, along with GP contact, especially where symptom severity was less. Sides et al. (2025) found commissioned organisations in England had widely introduced multi-component prevention and stewardship activity, including staff education, diagnostic and prescribing pathway, patient information resources and audit-feedback, but noted that formal evaluation and consistent data use were often limited. Cooper et al. (2020) reported that clinicians had persistent diagnostic uncertainty and </w:t>
      </w:r>
      <w:r w:rsidRPr="00782D6D">
        <w:lastRenderedPageBreak/>
        <w:t>relied heavily on urine dipsticks and were under pressure to prescribe empirically, whilst describing difficulty distinguishing colonisation from infection in some women, where diagnostic practice was described as a practical barrier to optimising prevention and antimicrobial stewardship. Collectively, the included evidence base emphasises the real-world setting of prescribing patterns and system responses rather than comparative effectiveness estimation, and the focus on routine-data analyses and abstract-level intervention reports constrains the attribution of causation and narrows the precision with which specific antibiotic and non-antibiotic strategies can be ranked for recurrent UTI prevention.​</w:t>
      </w:r>
    </w:p>
    <w:p w14:paraId="4010E63D" w14:textId="0468D5E6" w:rsidR="00C26202" w:rsidRPr="00782D6D" w:rsidRDefault="002659DA" w:rsidP="00DD5FC3">
      <w:pPr>
        <w:pStyle w:val="Heading2"/>
      </w:pPr>
      <w:bookmarkStart w:id="104" w:name="_Toc220833837"/>
      <w:r w:rsidRPr="00782D6D">
        <w:t xml:space="preserve">4.4 </w:t>
      </w:r>
      <w:r w:rsidR="00C26202" w:rsidRPr="00782D6D">
        <w:t>Summary</w:t>
      </w:r>
      <w:bookmarkEnd w:id="104"/>
      <w:r w:rsidR="00C26202" w:rsidRPr="00782D6D">
        <w:t> </w:t>
      </w:r>
    </w:p>
    <w:p w14:paraId="635D991C" w14:textId="74FDC68F" w:rsidR="00C26202" w:rsidRPr="00782D6D" w:rsidRDefault="00C92A3C" w:rsidP="00C26202">
      <w:r w:rsidRPr="00782D6D">
        <w:t xml:space="preserve">The chapter discussed the </w:t>
      </w:r>
      <w:r w:rsidR="0001224F" w:rsidRPr="00782D6D">
        <w:t>findings</w:t>
      </w:r>
      <w:r w:rsidRPr="00782D6D">
        <w:t xml:space="preserve"> of the </w:t>
      </w:r>
      <w:r w:rsidR="0001224F" w:rsidRPr="00782D6D">
        <w:t>study</w:t>
      </w:r>
      <w:r w:rsidRPr="00782D6D">
        <w:t xml:space="preserve">, which focused on evidence from the UK only. According to the data presented, there is a high burden of UTI episodes and consultations in primary care. They provided this using study-level evidence from the 10 included studies (observational EHR cohorts, microbiology-linked cohorts, surveys and qualitative research) identified in 1,246 screened records. Findings were arranged in a structured thematic narrative approach. Women in the working-age group made a large absolute contribution to volumes. In contrast, older women experience higher clinical complexity and repeat contacts. Also, older women have a higher likelihood of re-prescribing or escalation onto different antibiotics. The repeated clustering pattern within individuals was consistently observed across all datasets. An associated higher burden of symptoms, healthcare utilisation, and antibiotic exposure, and association with a more common use of second-line or multiple antibiotics was also present, including in the subgroup analysis of elderly women and those with prior UTI history. It was also noted that there are system-level contributors to ongoing prescribing and recurrence risk. These included uncertainty in diagnosis in primary care, reliance on urine dipsticks and routine empiric treatment. There were variations in reported differences in remote consultation by sociodemographic factors, self-care and over-the-counter management. This section of quality appraisal brings together strengths and limitations by study design related to internal, external validity and risk of bias. Survey and routine data studies are usually misclassified and suffer from confounding. The survey faces a selection-bias risk. Ultimately, it recognised evidence from conference-abstract-limited reporting. The chapter highlighted commissioning-level stewardship </w:t>
      </w:r>
      <w:r w:rsidRPr="00782D6D">
        <w:lastRenderedPageBreak/>
        <w:t>and prevention strategies with multiple components, yet evaluations and outcome measurements remain scant</w:t>
      </w:r>
      <w:r w:rsidR="00C26202" w:rsidRPr="00782D6D">
        <w:t>.</w:t>
      </w:r>
    </w:p>
    <w:p w14:paraId="030E02BE" w14:textId="77777777" w:rsidR="00625DB0" w:rsidRPr="00782D6D" w:rsidRDefault="00625DB0">
      <w:r w:rsidRPr="00782D6D">
        <w:br w:type="page"/>
      </w:r>
    </w:p>
    <w:p w14:paraId="715CBA73" w14:textId="77777777" w:rsidR="00625DB0" w:rsidRPr="00782D6D" w:rsidRDefault="00625DB0" w:rsidP="00625DB0">
      <w:pPr>
        <w:pStyle w:val="Heading1"/>
      </w:pPr>
      <w:bookmarkStart w:id="105" w:name="_Toc220833838"/>
      <w:r w:rsidRPr="00782D6D">
        <w:lastRenderedPageBreak/>
        <w:t>CHAPTER 5: DISCUSSION</w:t>
      </w:r>
      <w:bookmarkEnd w:id="105"/>
    </w:p>
    <w:p w14:paraId="0D69BC26" w14:textId="77777777" w:rsidR="00625DB0" w:rsidRPr="00782D6D" w:rsidRDefault="00625DB0" w:rsidP="00625DB0">
      <w:pPr>
        <w:pStyle w:val="Heading2"/>
      </w:pPr>
      <w:bookmarkStart w:id="106" w:name="_Toc220833839"/>
      <w:r w:rsidRPr="00782D6D">
        <w:t>5.1 Chapter overview</w:t>
      </w:r>
      <w:bookmarkEnd w:id="106"/>
      <w:r w:rsidRPr="00782D6D">
        <w:t> </w:t>
      </w:r>
    </w:p>
    <w:p w14:paraId="2C63C6B6" w14:textId="77777777" w:rsidR="00625DB0" w:rsidRPr="00625DB0" w:rsidRDefault="00625DB0" w:rsidP="00625DB0">
      <w:r w:rsidRPr="00625DB0">
        <w:t>This chapter focuses on the prevalence and burden of urinary tract infections (UTIs) in adult women in UK primary and community care, key multifactorial risk factors for first and recurrent infection, and prevention as well as management strategies through the lens of antimicrobial stewardship. The chapter interprets the three results themes: risk factors, age-stratified burden and utilisation and prevention/management in the context of stewardship-focused care, proceeding from epidemiological patterns through to mechanisms underlying recurrence and prescribing to implications for practice and policy.​</w:t>
      </w:r>
    </w:p>
    <w:p w14:paraId="0ACB03D8" w14:textId="77777777" w:rsidR="00625DB0" w:rsidRPr="00782D6D" w:rsidRDefault="00625DB0" w:rsidP="00625DB0">
      <w:pPr>
        <w:pStyle w:val="Heading2"/>
      </w:pPr>
      <w:bookmarkStart w:id="107" w:name="_Toc220833840"/>
      <w:r w:rsidRPr="00782D6D">
        <w:t>5.2 Interpretation of key findings</w:t>
      </w:r>
      <w:bookmarkEnd w:id="107"/>
      <w:r w:rsidRPr="00782D6D">
        <w:t> </w:t>
      </w:r>
    </w:p>
    <w:p w14:paraId="295F3323" w14:textId="77777777" w:rsidR="00625DB0" w:rsidRPr="00782D6D" w:rsidRDefault="00625DB0" w:rsidP="00625DB0">
      <w:pPr>
        <w:pStyle w:val="Heading3"/>
      </w:pPr>
      <w:bookmarkStart w:id="108" w:name="_Toc220833841"/>
      <w:r w:rsidRPr="00782D6D">
        <w:t>5.2.1 Theme 1 interpretation</w:t>
      </w:r>
      <w:bookmarkEnd w:id="108"/>
      <w:r w:rsidRPr="00782D6D">
        <w:t> </w:t>
      </w:r>
    </w:p>
    <w:p w14:paraId="44398BFF" w14:textId="77777777" w:rsidR="00625DB0" w:rsidRDefault="00625DB0" w:rsidP="00625DB0">
      <w:r w:rsidRPr="00625DB0">
        <w:t>Menopausal transition is a plausible period of enhanced susceptibility due to changes in urogenital mucosal defences and vaginal microbiota, which may partly explain why the symptom profiles and incontinence/nocturia during infection were more prominent among post-menopausal respondents in the UK survey evidence (Sanyaolu et al., 2023). Comorbidity and iatrogenic exposures seem to add to this susceptibility, as analyses of the English EHRs implicated older age, greater comorbidity and previous antibiotic exposure in repeat consultations and re-prescribing, consistent with a "clinical complexity" pathway to recurrence. However, several "risk factors" in this review are probably proxies of underlying vulnerability and care pathways rather than direct causes, with prior UTI history being a marker of both biological susceptibility and cumulative healthcare contact. Diagnostic uncertainty and the use of dipsticks in primary care may act as upstream amplifiers by perpetuating empiric treatment cycles when it is hard to differentiate between colonisation and infection (Cooper et al., 2020).​</w:t>
      </w:r>
    </w:p>
    <w:p w14:paraId="4C3E54C6" w14:textId="6D5E68FF" w:rsidR="00100731" w:rsidRDefault="00100731" w:rsidP="00100731">
      <w:pPr>
        <w:pStyle w:val="Heading4"/>
      </w:pPr>
      <w:r w:rsidRPr="00100731">
        <w:t>Mechanistic explanation of recurrence</w:t>
      </w:r>
    </w:p>
    <w:p w14:paraId="0732CAEA" w14:textId="7CF62B33" w:rsidR="00100731" w:rsidRDefault="00100731" w:rsidP="00100731">
      <w:pPr>
        <w:rPr>
          <w:lang w:val="en-US"/>
        </w:rPr>
      </w:pPr>
      <w:r w:rsidRPr="00100731">
        <w:rPr>
          <w:lang w:val="en-US"/>
        </w:rPr>
        <w:t xml:space="preserve">Recurrent UTI in this review is best interpreted as an interaction of host ecology and clinical exposure and not as a simple sequence of reinfection. Perrotta et al. (2008) conclude that vaginal oestrogens lower recurrence rates in postmenopausal women, thus supporting the pathway </w:t>
      </w:r>
      <w:r w:rsidRPr="00100731">
        <w:rPr>
          <w:lang w:val="en-US"/>
        </w:rPr>
        <w:lastRenderedPageBreak/>
        <w:t>whereby oestrogen deficiency causes a decrease in mucosal defence, including alteration of vaginal pH and depletion of lactobacilli. Rosen et al. (2007) describe intracellular bacterial communities in women with cystitis, suggesting that some episodes coded for as new infections are persistent, which datasets that are routinely used cannot discriminate. The recurrence prevalence of UTI from the Welsh primary-care cohort indicates increasing prevalence after the age of 57 years, which is consistent with menopause-related vulnerability but is not evidence of causality (Sanyaolu et al. 2024). Several predictions in the included EHR studies may act as markers, because comorbidity and repeated healthcare contact increase exposure as well as the likelihood of a diagnosis and treatment. This distinction is important because intervention targeting markers could alter the recorded recurrence without a reduction in true infection burden.</w:t>
      </w:r>
    </w:p>
    <w:p w14:paraId="72BF2667" w14:textId="06E16B10" w:rsidR="00100731" w:rsidRDefault="00100731" w:rsidP="00100731">
      <w:pPr>
        <w:pStyle w:val="Heading4"/>
      </w:pPr>
      <w:r w:rsidRPr="00100731">
        <w:t>Health inequalities and social determinants</w:t>
      </w:r>
    </w:p>
    <w:p w14:paraId="6B54C978" w14:textId="42ADF5D5" w:rsidR="00100731" w:rsidRDefault="00C52A34" w:rsidP="00100731">
      <w:pPr>
        <w:rPr>
          <w:lang w:val="en-US"/>
        </w:rPr>
      </w:pPr>
      <w:r w:rsidRPr="00C52A34">
        <w:rPr>
          <w:lang w:val="en-US"/>
        </w:rPr>
        <w:t>Equity is not peripheral in recurrent UTI because prevention and recovery are dependent on the access, continuity, and supported self-management of primary care. Leydon et al. (2009) demonstrate that many women try self-care first and seek GP care when symptoms are threatening roles or too risky to manage without GP care, meaning the delay of appointments can mean prolonged discomfort and later presentation. Vestesson et al. (2023) find higher consultation rates in more deprived groups, which implies that there may be a higher need coupled with systems struggling to deliver relational continuity for complex recurrent problems. Sanyaolu et al. (2023) synthesise qualitative evidence that recurrent UTI is experienced as chronic and disruptive, which can compound inequalities through lost work and repeated costs of treatment. In practice, stewardship messages must be tied to high-speed review pathways and culturally appropriate communication, so otherwise efforts to reduce prescribing may be shifting the burden on those least able to return.</w:t>
      </w:r>
    </w:p>
    <w:p w14:paraId="3591070C" w14:textId="0224437B" w:rsidR="00C52A34" w:rsidRDefault="00C52A34" w:rsidP="00C52A34">
      <w:pPr>
        <w:pStyle w:val="Heading4"/>
      </w:pPr>
      <w:r w:rsidRPr="00C52A34">
        <w:t>Behavioural prevention through the Health Belief Model</w:t>
      </w:r>
    </w:p>
    <w:p w14:paraId="518B211B" w14:textId="705095D8" w:rsidR="00C52A34" w:rsidRPr="00C52A34" w:rsidRDefault="00C52A34" w:rsidP="00C52A34">
      <w:pPr>
        <w:rPr>
          <w:lang w:val="en-US"/>
        </w:rPr>
      </w:pPr>
      <w:r w:rsidRPr="00C52A34">
        <w:rPr>
          <w:lang w:val="en-US"/>
        </w:rPr>
        <w:t xml:space="preserve">Behavioral advice in recurrent UTI is frequently couched in terms of low cost, but this is not always well taken up because beliefs and constraints mediate action. Rosenstock (1974) argues that preventive behaviour is dependent on perceived susceptibility and severity, but women with intermittent symptoms may normalise episodes and underestimate longer-term consequences such as resistance. Leydon et al. (2010) demonstrate that many women want to avoid antibiotics but </w:t>
      </w:r>
      <w:r w:rsidRPr="00C52A34">
        <w:rPr>
          <w:lang w:val="en-US"/>
        </w:rPr>
        <w:lastRenderedPageBreak/>
        <w:t>want credible explanations for symptoms. This suggests that advice formulated as vague hygiene rules can be dismissed as moralising rather than enabling. NICE (2018) puts self-care and behavioural measures at the same level as pharmacological options, but the impact of advice rests on self-efficacy and feasible routines. Barriers include work patterns that make hydration difficult, embarrassment about sexual triggers, and frustration with adherence failure. The Health Belief Model thus helps to explain the persuasiveness of tailored counselling and explicit cues to re-consult compared to generic checklists.</w:t>
      </w:r>
    </w:p>
    <w:p w14:paraId="6EBC9E02" w14:textId="0AD22275" w:rsidR="00625DB0" w:rsidRPr="00625DB0" w:rsidRDefault="00625DB0" w:rsidP="00625DB0">
      <w:pPr>
        <w:jc w:val="center"/>
      </w:pPr>
      <w:r w:rsidRPr="00782D6D">
        <w:rPr>
          <w:noProof/>
          <w:lang w:val="en-IN" w:eastAsia="en-IN"/>
        </w:rPr>
        <w:drawing>
          <wp:inline distT="0" distB="0" distL="0" distR="0" wp14:anchorId="52231D9E" wp14:editId="43FACE61">
            <wp:extent cx="5943600" cy="2004695"/>
            <wp:effectExtent l="0" t="0" r="0" b="0"/>
            <wp:docPr id="15121713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004695"/>
                    </a:xfrm>
                    <a:prstGeom prst="rect">
                      <a:avLst/>
                    </a:prstGeom>
                    <a:noFill/>
                    <a:ln>
                      <a:noFill/>
                    </a:ln>
                  </pic:spPr>
                </pic:pic>
              </a:graphicData>
            </a:graphic>
          </wp:inline>
        </w:drawing>
      </w:r>
    </w:p>
    <w:p w14:paraId="5506B3E7" w14:textId="77777777" w:rsidR="00625DB0" w:rsidRPr="00625DB0" w:rsidRDefault="00625DB0" w:rsidP="00625DB0">
      <w:pPr>
        <w:jc w:val="center"/>
      </w:pPr>
      <w:r w:rsidRPr="00625DB0">
        <w:t>Figure 11: summary of life stages around the menopause FMP, final menstrual period</w:t>
      </w:r>
    </w:p>
    <w:p w14:paraId="7D308473" w14:textId="77777777" w:rsidR="00625DB0" w:rsidRPr="00625DB0" w:rsidRDefault="00625DB0" w:rsidP="00625DB0">
      <w:pPr>
        <w:jc w:val="center"/>
      </w:pPr>
      <w:r w:rsidRPr="00625DB0">
        <w:t>(Davis et al., 2023)</w:t>
      </w:r>
    </w:p>
    <w:p w14:paraId="49562052" w14:textId="77777777" w:rsidR="00625DB0" w:rsidRPr="00782D6D" w:rsidRDefault="00625DB0" w:rsidP="00625DB0">
      <w:pPr>
        <w:pStyle w:val="Heading3"/>
      </w:pPr>
      <w:bookmarkStart w:id="109" w:name="_Toc220833842"/>
      <w:r w:rsidRPr="00782D6D">
        <w:t>5.2.2 Theme 2 interpretation</w:t>
      </w:r>
      <w:bookmarkEnd w:id="109"/>
    </w:p>
    <w:p w14:paraId="0822BD0A" w14:textId="594CA955" w:rsidR="00625DB0" w:rsidRPr="000F6AD6" w:rsidRDefault="00625DB0" w:rsidP="00625DB0">
      <w:pPr>
        <w:rPr>
          <w:lang w:val="en-US"/>
        </w:rPr>
      </w:pPr>
      <w:r w:rsidRPr="00625DB0">
        <w:t>The age-stratified burden indicates two partially distinct demand profiles with high absolute consultation volume in working-age women and more intensive, repeat contact care in older women. In the largest included English EHR cohort, almost half a million episodes of lower UTI were documented in 300,354 patients, and the highest burden of consultations was seen in women aged between 18 and 64 years, but substantial activity remained in those 65 years and older (Pujades-Rodriguez et al., 2019). Older age is not just a volume issue but is a signal for complexity, as the incidence increased over time among women aged &gt;=65 years, and the incidence was higher in care home residents, suggesting that there is a concentration of demand in clinically vulnerable subgroups. In this review, "burden" therefore refers to episodes plus repeat consultations and antibiotic utilisation, which are quantifiable pressures on primary and community care.​</w:t>
      </w:r>
      <w:r w:rsidR="000F6AD6">
        <w:t xml:space="preserve"> </w:t>
      </w:r>
      <w:r w:rsidR="000F6AD6" w:rsidRPr="000F6AD6">
        <w:rPr>
          <w:lang w:val="en-US"/>
        </w:rPr>
        <w:t xml:space="preserve">Theme 2 shows that UTI causes concentrated utilisation as a minority of patients run through repeated episodes and prescriptions, multiplying demand beyond the index infection. Elmore et al. (2016) </w:t>
      </w:r>
      <w:r w:rsidR="000F6AD6" w:rsidRPr="000F6AD6">
        <w:rPr>
          <w:lang w:val="en-US"/>
        </w:rPr>
        <w:lastRenderedPageBreak/>
        <w:t>demonstrate that recurrent UTI is a service-level problem, especially for frequent attenders, a lens to view service level. The Welsh cohort estimates a prevalence of recurrent UTI of 6.0% among adult women over 2010-2020, but this group is likely to represent a much higher proportion of UTI contacts (Sanyaolu et al., 2024). Pujades-Rodriguez et al. (2019) report 494,675 lower UTI episodes in CPRD, with 85.7% receiving same-day antibiotics, indicating rapid cycle management of acute presentations. Safety-netting does not work if 'return if worse' is not coupled with proactive review of the patient so they return by urgent appointment, not planned follow-up. The results thus argue for a targeted recurrent UTI pathway for high utilizers instead of generic acute infection templates.</w:t>
      </w:r>
      <w:r w:rsidR="000F6AD6">
        <w:rPr>
          <w:lang w:val="en-US"/>
        </w:rPr>
        <w:t xml:space="preserve"> </w:t>
      </w:r>
      <w:r w:rsidR="000F6AD6" w:rsidRPr="000F6AD6">
        <w:rPr>
          <w:lang w:val="en-US"/>
        </w:rPr>
        <w:t>Diagnostic uncertainty seems to be a factor in re-attendance because of equivocal symptoms, imperfect tests and time pressure in consultations. The UKHSA decision tool recommends against the use of urine dipsticks in adults over the age of 65, as asymptomatic bacteriuria is common and urine dipsticks are unreliable, leading to risk of overtreatment and missing alternative diagnoses (gov.uk, 2024). Dipsticks are too insensitive and too non-specific in the elderly to inform clinical decision-making (Joseph, 2020). In English primary care data, urine sampling was carried out in only 25% of lower UTI episodes, which may indicate that many decisions are made without microbiological confirmation (Pujades-Rodriguez et al., 2019). This can form a loop whereby persistent symptoms are caused by non-urinary factors being attributed to failed antibiotics, re-consultation and escalation to broader-spectrum antibiotics. The findings, therefore, put diagnostic stewardship within context as a workload intervention, not just an antimicrobial resistance approach.</w:t>
      </w:r>
    </w:p>
    <w:p w14:paraId="37BAD48B" w14:textId="77777777" w:rsidR="00625DB0" w:rsidRPr="00782D6D" w:rsidRDefault="00625DB0" w:rsidP="00625DB0">
      <w:pPr>
        <w:pStyle w:val="Heading3"/>
      </w:pPr>
      <w:bookmarkStart w:id="110" w:name="_Toc220833843"/>
      <w:r w:rsidRPr="00782D6D">
        <w:t>5.2.3 Theme 3 interpretation</w:t>
      </w:r>
      <w:bookmarkEnd w:id="110"/>
      <w:r w:rsidRPr="00782D6D">
        <w:t> </w:t>
      </w:r>
    </w:p>
    <w:p w14:paraId="15789CE9" w14:textId="193D45F4" w:rsidR="00625DB0" w:rsidRPr="00FD0F64" w:rsidRDefault="00625DB0" w:rsidP="00625DB0">
      <w:pPr>
        <w:rPr>
          <w:lang w:val="en-US"/>
        </w:rPr>
      </w:pPr>
      <w:r w:rsidRPr="00625DB0">
        <w:t xml:space="preserve">Stewardship-relevant results show that recurrence-prone subgroups are exposed to more intensive and potentially resistance-selective prescribing because older women and those with previous UTIs were more likely to receive second-line or multiple antibiotics, and some regimens were outside the guideline-recommended choice, dose or duration (Wilcox et al., 2023a). High same-day and empiric prescribing, and a limited urine culture use in routine care, mean that there is a risk of treatment escalation with no confirmation of the pathogen, and thus a greater risk of repeated exposure without diagnostic resolution. Commissioning evidence indicates that multi-component interventions (education, pathways, audit-feedback, patient resources) are widely implemented, but evaluation and consistent outcome measurement are often limited, limiting </w:t>
      </w:r>
      <w:r w:rsidRPr="00625DB0">
        <w:lastRenderedPageBreak/>
        <w:t>inference about real-world effectiveness. The overall implication is that recurrent UTI management requires a stewardship-sensitive mixture of patient-level prevention and system-level diagnosis and prescribing improvement instead of resorting to repeated empiric antibiotics.</w:t>
      </w:r>
      <w:r w:rsidR="00FD0F64">
        <w:t xml:space="preserve"> </w:t>
      </w:r>
      <w:r w:rsidR="00FD0F64" w:rsidRPr="00FD0F64">
        <w:rPr>
          <w:lang w:val="en-US"/>
        </w:rPr>
        <w:t>Stewardship trade-offs are central as prophylaxis is a way of converting episodic exposure to antibiotics into ongoing selection pressure in a population in which recurrence is common and often treated empirically. Costelloe et al. (2010) demonstrate that antibiotics prescribed in primary care select for resistance in individuals for up to 12 months, so repeated courses are a plausible cause of compounding future treatment failure. NICE (2018) recommends that non-antibiotic options, such as methenamine hippurate, should be considered for recurrent UTI, and treatment should be reviewed at specific intervals, meaning prevention should be an antimicrobial-sparing approach vs escalation. Harding et al (2022) report that methenamine hippurate was non-inferior to daily antibiotic prophylaxis over a period of 12 months in a pragmatic trial in the UK, supporting substitution in situations where symptom control is required with lower resistance pressure. King et al. (2024) find methenamine hippurate to be cost-effective compared to antibiotic prophylaxis in the ALTAR economic evaluation, and make the argument for adoption by the NHS more compelling. The evidence is not without trade-offs because methenamine requires adherence, may be less appropriate in complicated infections, and is reliant on rapid access to culture-guided treatment for breakthrough episodes. Sanyaolu and colleagues (2024) demonstrate a high prevalence of trimethoprim resistance in women with recurrent UTI in Welsh data, and decisions on prophylaxis should be based on the latest results of culture and be reassessed to prevent ineffective regimens.</w:t>
      </w:r>
    </w:p>
    <w:p w14:paraId="4F2843E7" w14:textId="41111992" w:rsidR="00625DB0" w:rsidRPr="00625DB0" w:rsidRDefault="00625DB0" w:rsidP="00625DB0">
      <w:pPr>
        <w:jc w:val="center"/>
      </w:pPr>
      <w:r w:rsidRPr="00782D6D">
        <w:rPr>
          <w:noProof/>
          <w:lang w:val="en-IN" w:eastAsia="en-IN"/>
        </w:rPr>
        <w:lastRenderedPageBreak/>
        <w:drawing>
          <wp:inline distT="0" distB="0" distL="0" distR="0" wp14:anchorId="283416D5" wp14:editId="41C52A76">
            <wp:extent cx="5937250" cy="3511550"/>
            <wp:effectExtent l="0" t="0" r="6350" b="0"/>
            <wp:docPr id="5421924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7250" cy="3511550"/>
                    </a:xfrm>
                    <a:prstGeom prst="rect">
                      <a:avLst/>
                    </a:prstGeom>
                    <a:noFill/>
                    <a:ln>
                      <a:noFill/>
                    </a:ln>
                  </pic:spPr>
                </pic:pic>
              </a:graphicData>
            </a:graphic>
          </wp:inline>
        </w:drawing>
      </w:r>
    </w:p>
    <w:p w14:paraId="56C1C3AB" w14:textId="77777777" w:rsidR="00625DB0" w:rsidRPr="00625DB0" w:rsidRDefault="00625DB0" w:rsidP="00625DB0">
      <w:pPr>
        <w:jc w:val="center"/>
      </w:pPr>
      <w:r w:rsidRPr="00625DB0">
        <w:t>Figure 12: Quality improvement implementation strategy for introducing and evaluating stewardship practices</w:t>
      </w:r>
    </w:p>
    <w:p w14:paraId="627C4D49" w14:textId="77777777" w:rsidR="00625DB0" w:rsidRPr="00625DB0" w:rsidRDefault="00625DB0" w:rsidP="00625DB0">
      <w:pPr>
        <w:jc w:val="center"/>
      </w:pPr>
      <w:r w:rsidRPr="00625DB0">
        <w:t>(Micek et al., 2025)</w:t>
      </w:r>
    </w:p>
    <w:p w14:paraId="55ADE560" w14:textId="77777777" w:rsidR="00625DB0" w:rsidRPr="00782D6D" w:rsidRDefault="00625DB0" w:rsidP="00625DB0">
      <w:pPr>
        <w:pStyle w:val="Heading2"/>
      </w:pPr>
      <w:bookmarkStart w:id="111" w:name="_Toc220833844"/>
      <w:r w:rsidRPr="00782D6D">
        <w:t>5.3 Comparison with existing literature</w:t>
      </w:r>
      <w:bookmarkEnd w:id="111"/>
      <w:r w:rsidRPr="00782D6D">
        <w:t> </w:t>
      </w:r>
    </w:p>
    <w:p w14:paraId="0B457762" w14:textId="10EAA518" w:rsidR="00625DB0" w:rsidRPr="006B790F" w:rsidRDefault="00625DB0" w:rsidP="00625DB0">
      <w:pPr>
        <w:rPr>
          <w:lang w:val="en-US"/>
        </w:rPr>
      </w:pPr>
      <w:r w:rsidRPr="00625DB0">
        <w:t>These study findings are consistent with the established clinical epidemiology of recurrent UTI, at least two episodes in six months or at least three episodes in one year, and recurrence as a common clinical course rather than a rare complication (Gupta and Trautner, 2013). Menopause-related urogenital changes that cause decreased mucosal defence and affect the composition of vaginal flora also appear congruous with the broader base of evidence and assist in interpreting the review finding of differences in patterns of symptoms by menopausal status (Hooton, 2012). The review builds on past literature with UK service-delivery insight into how diagnostic uncertainty by clinicians, the use of urine dipsticks, and pressure towards empiric prescribing can influence repeated cycles of treatment in everyday primary care (Cooper et al., 2020). It also backs the evidence that UTI represents a major burden of workload and prescribing in UK general practice, with large EHR cohorts reporting very high volumes of episodes with substantial same-day antibiotic prescribing alongside repeat consultations among older and comorbid women (Pujades-</w:t>
      </w:r>
      <w:r w:rsidRPr="00625DB0">
        <w:lastRenderedPageBreak/>
        <w:t>Rodriguez et al., 2019). Apparent differences between recurrence estimates in included routine-data versus microbiology-linked studies were a plausible consequence of the fact that culture sampling is selective for severity, clinical complexity and testing behaviour rather than that it samples all symptomatic episodes.​</w:t>
      </w:r>
      <w:r w:rsidR="006B790F">
        <w:t xml:space="preserve"> </w:t>
      </w:r>
      <w:r w:rsidR="006B790F" w:rsidRPr="006B790F">
        <w:rPr>
          <w:lang w:val="en-US"/>
        </w:rPr>
        <w:t>The UK-only synthesis is consistent with international guidance in that recurrent UTI is a multifactorial problem where prevention should be a mix of behavioural measures, targeted prophylaxis and antimicrobial stewardship rather than repeated empiric treatment escalation (Kranz et al., 2024). Anger et al. (2019) similarly lead with avoiding unnecessary investigations and emphasising evidence-based preventive options for women with uncomplicated recurrent UTI. The UK evidence gives disproportionate weight to primary-care prescribing and diagnostic practice since the gatekeeping model of the NHS brings management to the focus of general practice and, increasingly, community pharmacy pathways. Bou-Antoun et al. (2026) report an increase in nitrofurantoin dispensing under the Pharmacy First service during 2024, during which time GP prescribing fell, suggesting the evolution of stewardship and access dynamics, not directly transferable to fee-for-service systems. UKHSA (2025) reinforces national surveillance to integrate consumption, resistance and stewardship measures, which influence the implementation of guidelines through measurable targets for prescribing. Findings on risk-factor patterning and prophylaxis logic are broadly transferable, but conclusions on the service level should be interpreted as context-dependent, as care pathways and surveillance infrastructures materially influence re-attendance, testing and prescribing behaviour.</w:t>
      </w:r>
    </w:p>
    <w:p w14:paraId="0301A679" w14:textId="77777777" w:rsidR="00625DB0" w:rsidRPr="00782D6D" w:rsidRDefault="00625DB0" w:rsidP="00625DB0">
      <w:pPr>
        <w:pStyle w:val="Heading2"/>
      </w:pPr>
      <w:bookmarkStart w:id="112" w:name="_Toc220833845"/>
      <w:r w:rsidRPr="00782D6D">
        <w:t>5.4 Strengths of this review</w:t>
      </w:r>
      <w:bookmarkEnd w:id="112"/>
    </w:p>
    <w:p w14:paraId="715C2873" w14:textId="77777777" w:rsidR="00625DB0" w:rsidRPr="00625DB0" w:rsidRDefault="00625DB0" w:rsidP="00625DB0">
      <w:r w:rsidRPr="00625DB0">
        <w:t>This review has good UK relevance as it synthesises evidence from primary and community care based on multiple complementary designs which include large English EHR cohorts, microbiology-linked regional datasets, national surveys, qualitative clinician perspectives and commissioning-level questionnaires. The use of thematic narrative synthesis is methodologically appropriate given substantial heterogeneity in populations, outcomes and study designs, while the study selection process is transparently reported through PRISMA-style accounting from 1,246 screened records to 10 included studies. A further strength is the explicit integration of determinants at the patient level (biology, comorbidity, behaviour and care seeking) and the system level (diagnostic and prescribing processes), which makes available a biopsychosocial interpretation of recurrent UTI that is congruous with real-world primary care delivery.​</w:t>
      </w:r>
    </w:p>
    <w:p w14:paraId="7788C255" w14:textId="77777777" w:rsidR="00625DB0" w:rsidRPr="00782D6D" w:rsidRDefault="00625DB0" w:rsidP="00625DB0">
      <w:pPr>
        <w:pStyle w:val="Heading2"/>
      </w:pPr>
      <w:bookmarkStart w:id="113" w:name="_Toc220833846"/>
      <w:r w:rsidRPr="00782D6D">
        <w:lastRenderedPageBreak/>
        <w:t>5.5 Limitations and sources of uncertainty</w:t>
      </w:r>
      <w:bookmarkEnd w:id="113"/>
      <w:r w:rsidRPr="00782D6D">
        <w:t> </w:t>
      </w:r>
    </w:p>
    <w:p w14:paraId="54941FB4" w14:textId="7D444119" w:rsidR="00625DB0" w:rsidRPr="006D738C" w:rsidRDefault="00625DB0" w:rsidP="00625DB0">
      <w:pPr>
        <w:rPr>
          <w:lang w:val="en-US"/>
        </w:rPr>
      </w:pPr>
      <w:r w:rsidRPr="00625DB0">
        <w:t>Interpretation is limited by heterogeneity in the definitions of UTI in the evidence base, with UTI variously operationalised in terms of coded clinical diagnoses, antibiotic-treated episodes or culture-confirmed infections, limiting the capacity to directly compare and weakening the ability to make causal inferences about recurrence mechanisms. Routine EHR studies may be impacted by misclassification, missingness and residual confounding, especially where the propensity to consult and comorbidity drive both exposure and outcome measurement. Survey evidence is prone to selection and recall bias, and representativeness may not be equal across age, deprivation and ethnicity, making it difficult to draw inferences about population-level care-seeking behaviours. Microbiology-linked cohorts probably over-sample clinically complex or tested episodes, and therefore, recurrence proportions may be different from routine-care estimates that represent empirically treated infections. Conference-abstract evidence offers limited methodological detail and adjustment, and therefore, quality appraisal suggests that ranking and effectiveness claims of interventions should be stated cautiously and in the form of suggestions rather than a definitive claim.</w:t>
      </w:r>
      <w:r w:rsidR="006D738C">
        <w:t xml:space="preserve"> </w:t>
      </w:r>
      <w:r w:rsidR="006D738C" w:rsidRPr="006D738C">
        <w:rPr>
          <w:lang w:val="en-US"/>
        </w:rPr>
        <w:t>Much of the included UK evidence is observational and is vulnerable to confounding and misclassification due to the lack of detail in symptom reporting and culture confirmation that causes proxies of prescribing to overestimate true infection (Pujades-Rodriguez et al., 2019). The evidence base also under-represents women self-managing without consulting, and this may have the effect of biasing the burden estimates towards higher-utilising groups.</w:t>
      </w:r>
      <w:r w:rsidR="006D738C">
        <w:rPr>
          <w:lang w:val="en-US"/>
        </w:rPr>
        <w:t xml:space="preserve"> </w:t>
      </w:r>
      <w:r w:rsidR="006D738C" w:rsidRPr="006D738C">
        <w:rPr>
          <w:lang w:val="en-US"/>
        </w:rPr>
        <w:t>Restriction to English language UK studies and a defined time window may have led to the exclusion of relevant evaluations embedded in local NHS quality improvement activity, while grey literature searches are less reproducible and more sensitive to ranking algorithms (Gusenbauer and Haddaway, 2020).</w:t>
      </w:r>
    </w:p>
    <w:p w14:paraId="51911AB9" w14:textId="77777777" w:rsidR="00625DB0" w:rsidRPr="00782D6D" w:rsidRDefault="00625DB0" w:rsidP="00625DB0">
      <w:pPr>
        <w:pStyle w:val="Heading2"/>
      </w:pPr>
      <w:bookmarkStart w:id="114" w:name="_Toc220833847"/>
      <w:r w:rsidRPr="00782D6D">
        <w:t>5.6 Implications for practice and policy</w:t>
      </w:r>
      <w:bookmarkEnd w:id="114"/>
      <w:r w:rsidRPr="00782D6D">
        <w:t> </w:t>
      </w:r>
    </w:p>
    <w:p w14:paraId="46BB1F59" w14:textId="08D0622E" w:rsidR="00625DB0" w:rsidRPr="00646661" w:rsidRDefault="00625DB0" w:rsidP="00625DB0">
      <w:pPr>
        <w:rPr>
          <w:lang w:val="en-US"/>
        </w:rPr>
      </w:pPr>
      <w:r w:rsidRPr="00625DB0">
        <w:t xml:space="preserve">Targeted antimicrobial stewardship should focus on older and clinically complex women as large UK routine data cohorts demonstrate increasing likelihood of repeat consultation and antibiotic re-prescription with increasing age, comorbidity and prior antibiotic exposure (Pujades-Rodriguez et al., 2019). Diagnostic support needs to be improved with more consistent pathways into primary care and decision aids, as it seems that clinicians are struggling to discern the difference between colonisation and infection and rely heavily on dipsticks and pressure towards empiric prescribing </w:t>
      </w:r>
      <w:r w:rsidRPr="00625DB0">
        <w:lastRenderedPageBreak/>
        <w:t>(Cooper et al., 2020). Patient-facing management support should standardise advice on symptom monitoring, self-care and thresholds for consultation, while recognising that remote consultations, OTC use and antibiotic uptake vary by sociodemographic status and symptom severity (Cooper et al., 2023). Commissioning should build in evaluation measures - repeat prescribing, recurrence-related reattendance, culture utilisation and resistance trends are important - as multi-component initiatives are widely used but often poorly evaluated.​</w:t>
      </w:r>
      <w:r w:rsidR="00646661">
        <w:t xml:space="preserve"> </w:t>
      </w:r>
      <w:r w:rsidR="00646661" w:rsidRPr="00646661">
        <w:rPr>
          <w:lang w:val="en-US"/>
        </w:rPr>
        <w:t>At the clinical level, the findings provide an argument for symptom-led assessment, menopausal assessment in which they have a place, and culture-informed management of recurrent or non-resolving presentations to avoid diagnostic error and ineffective repeat prescribing. UKHSA (2024) recommends considering urine dipsticks not to be used to diagnose UTI in adults aged over 65 because asymptomatic bacteriuria is prevalent and dipsticks are not accurate, so safety-netting must feature expressly defined triggers for review of deterioration or alternative diagnoses. At the service level, recurrent UTI pathways should combine GP and community pharmacy interfaces and prevent fragmented re-attendance loops, as well as ensure access to timely urine culture (if indicated). At the system level, prescribing and resistance should be monitored using surveillance feedback to target high-use practices and evaluate stewardship interventions in real time (ESPAUR, 2025).</w:t>
      </w:r>
    </w:p>
    <w:p w14:paraId="13AE61A4" w14:textId="77777777" w:rsidR="00625DB0" w:rsidRPr="00782D6D" w:rsidRDefault="00625DB0" w:rsidP="00625DB0">
      <w:pPr>
        <w:pStyle w:val="Heading2"/>
      </w:pPr>
      <w:bookmarkStart w:id="115" w:name="_Toc220833848"/>
      <w:r w:rsidRPr="00782D6D">
        <w:t>5.7 Recommendations for future research</w:t>
      </w:r>
      <w:bookmarkEnd w:id="115"/>
      <w:r w:rsidRPr="00782D6D">
        <w:t> </w:t>
      </w:r>
    </w:p>
    <w:p w14:paraId="23E48EEC" w14:textId="77777777" w:rsidR="00625DB0" w:rsidRPr="00625DB0" w:rsidRDefault="00625DB0" w:rsidP="00625DB0">
      <w:r w:rsidRPr="00625DB0">
        <w:t>Future research should prioritise UK-based pragmatic trials as well as real-world evaluations of non-antibiotic prevention and integrated stewardship pathways, given that current evidence is dominated by heterogeneous observational designs and implementation reports. Standardised definitions for UTI and recurrent UTI, and core outcomes that represent symptom burden, reconsultation and antibiotic exposure would be required to allow for enhanced comparability across EHR, survey and microbiology-linked datasets. Equity-focused studies should be stratified by age, deprivation and ethnicity and examine the impact of remote care routes on access, management choices and subsequent antibiotic exposure, given the observed sociodemographic variation in the choice of a consultation modality and self-care behaviours.</w:t>
      </w:r>
    </w:p>
    <w:p w14:paraId="124BAC02" w14:textId="77777777" w:rsidR="00625DB0" w:rsidRPr="00782D6D" w:rsidRDefault="00625DB0" w:rsidP="00771060">
      <w:pPr>
        <w:pStyle w:val="Heading2"/>
      </w:pPr>
      <w:bookmarkStart w:id="116" w:name="_Toc220833849"/>
      <w:r w:rsidRPr="00782D6D">
        <w:lastRenderedPageBreak/>
        <w:t>5.8 Chapter summary</w:t>
      </w:r>
      <w:bookmarkEnd w:id="116"/>
    </w:p>
    <w:p w14:paraId="7C128C02" w14:textId="77777777" w:rsidR="00625DB0" w:rsidRPr="00625DB0" w:rsidRDefault="00625DB0" w:rsidP="00625DB0">
      <w:r w:rsidRPr="00625DB0">
        <w:t>This chapter provides the foundation for understanding how UTIs create large amounts of age-patterned primary care burden and that recurrence is influenced by the interplay of patient-level and system-level determinants, including diagnostic uncertainty and prescribing practices. Key uncertainties persist regarding causal attribution because of heterogeneous case definitions and varying evidence quality, which limits confident ranking of prevention strategies. These findings are important for NHS antimicrobial stewardship as concentrated repeat prescribing in clinically vulnerable groups can increase the risk of resistance and drive avoidable re-attendance, and so there is a need to drive rational pathways and interventions that are evaluated.</w:t>
      </w:r>
    </w:p>
    <w:p w14:paraId="6E922D46" w14:textId="77777777" w:rsidR="00625DB0" w:rsidRPr="00782D6D" w:rsidRDefault="00625DB0" w:rsidP="00771060">
      <w:pPr>
        <w:pStyle w:val="Heading1"/>
      </w:pPr>
      <w:bookmarkStart w:id="117" w:name="_Toc220833850"/>
      <w:r w:rsidRPr="00782D6D">
        <w:t>CHAPTER 6: CONCLUSION</w:t>
      </w:r>
      <w:bookmarkEnd w:id="117"/>
    </w:p>
    <w:p w14:paraId="78DFBCB4" w14:textId="77777777" w:rsidR="00625DB0" w:rsidRPr="00782D6D" w:rsidRDefault="00625DB0" w:rsidP="00771060">
      <w:pPr>
        <w:pStyle w:val="Heading2"/>
      </w:pPr>
      <w:bookmarkStart w:id="118" w:name="_Toc220833851"/>
      <w:r w:rsidRPr="00782D6D">
        <w:t>6.1 Conclusion overview</w:t>
      </w:r>
      <w:bookmarkEnd w:id="118"/>
    </w:p>
    <w:p w14:paraId="3A574359" w14:textId="77777777" w:rsidR="00625DB0" w:rsidRPr="00625DB0" w:rsidRDefault="00625DB0" w:rsidP="00625DB0">
      <w:r w:rsidRPr="00625DB0">
        <w:t xml:space="preserve">The aim of this dissertation was to examine the major risk factors related to urinary tract infections (UTIs) among adult women and identify effective ways to prevent them from occurring. It answered the research question: </w:t>
      </w:r>
      <w:r w:rsidRPr="00625DB0">
        <w:rPr>
          <w:i/>
          <w:iCs/>
        </w:rPr>
        <w:t>What are the common risk factors contributing to urinary tract infections (UTIs) in adult women, and what prevention strategies are most effective</w:t>
      </w:r>
      <w:r w:rsidRPr="00625DB0">
        <w:t>? This chapter answers the question, synthesises the key findings across Themes 1 to 3, reflects on the approach to the review, and presents some recommendations for practice/policy and future research.</w:t>
      </w:r>
    </w:p>
    <w:p w14:paraId="40BF6DD8" w14:textId="77777777" w:rsidR="00625DB0" w:rsidRPr="00782D6D" w:rsidRDefault="00625DB0" w:rsidP="00771060">
      <w:pPr>
        <w:pStyle w:val="Heading2"/>
      </w:pPr>
      <w:bookmarkStart w:id="119" w:name="_Toc220833852"/>
      <w:r w:rsidRPr="00782D6D">
        <w:t>6.2 Linking to the study objectives</w:t>
      </w:r>
      <w:bookmarkEnd w:id="119"/>
    </w:p>
    <w:p w14:paraId="0AE5E05F" w14:textId="77777777" w:rsidR="00625DB0" w:rsidRPr="00782D6D" w:rsidRDefault="00625DB0" w:rsidP="00771060">
      <w:pPr>
        <w:pStyle w:val="ListParagraph"/>
        <w:numPr>
          <w:ilvl w:val="0"/>
          <w:numId w:val="2"/>
        </w:numPr>
        <w:rPr>
          <w:b/>
          <w:bCs/>
        </w:rPr>
      </w:pPr>
      <w:r w:rsidRPr="00782D6D">
        <w:t>To identify the most common risk factors leading to UTIs in adult women</w:t>
      </w:r>
    </w:p>
    <w:p w14:paraId="2FDD5B61" w14:textId="26B26336" w:rsidR="00625DB0" w:rsidRPr="007F21F6" w:rsidRDefault="00625DB0" w:rsidP="00625DB0">
      <w:pPr>
        <w:rPr>
          <w:lang w:val="en-US"/>
        </w:rPr>
      </w:pPr>
      <w:r w:rsidRPr="00625DB0">
        <w:t>The reviewed UK evidence indicates that UTIs create a significant primary and community care burden, but the burden is distributed unequally based on age and clinical vulnerability. Working-age women contribute high absolute volumes of episodes and consultations and reflect common uncomplicated presentations and repeated re-attendance for symptomatic recurrence. In contrast, older women tend to have clinical complexity and diagnostic uncertainty, which is linked to increased likelihood of repeat consultations, care escalation and repeated antibiotic exposure</w:t>
      </w:r>
      <w:r w:rsidR="007F21F6">
        <w:t xml:space="preserve"> </w:t>
      </w:r>
      <w:r w:rsidR="007F21F6" w:rsidRPr="007F21F6">
        <w:rPr>
          <w:lang w:val="en-US"/>
        </w:rPr>
        <w:t>(Critchlow et al., 2025)</w:t>
      </w:r>
      <w:r w:rsidRPr="00625DB0">
        <w:t xml:space="preserve">. Overall, the burden can best be understood as the cumulative effect of the </w:t>
      </w:r>
      <w:r w:rsidRPr="00625DB0">
        <w:lastRenderedPageBreak/>
        <w:t>frequency of episodes, the frequency of repeat service use, and the intensity of prescribing antibiotics.</w:t>
      </w:r>
    </w:p>
    <w:p w14:paraId="5A075AEC" w14:textId="77777777" w:rsidR="00625DB0" w:rsidRPr="00782D6D" w:rsidRDefault="00625DB0" w:rsidP="00771060">
      <w:pPr>
        <w:pStyle w:val="ListParagraph"/>
        <w:numPr>
          <w:ilvl w:val="0"/>
          <w:numId w:val="2"/>
        </w:numPr>
        <w:rPr>
          <w:b/>
          <w:bCs/>
        </w:rPr>
      </w:pPr>
      <w:r w:rsidRPr="00782D6D">
        <w:t>To assess the prevalence of UTIs among adult women within a defined population or setting</w:t>
      </w:r>
    </w:p>
    <w:p w14:paraId="673802E6" w14:textId="18AF87F3" w:rsidR="00625DB0" w:rsidRPr="00DB0D20" w:rsidRDefault="00625DB0" w:rsidP="00625DB0">
      <w:pPr>
        <w:rPr>
          <w:lang w:val="en-US"/>
        </w:rPr>
      </w:pPr>
      <w:r w:rsidRPr="00625DB0">
        <w:t>The most consistent groups of risk factors point to an interacting biopsychosocial profile of risk factors rather than to single risk factors. Biological and life course transitions - especially age-related and physiological changes in peri- and post-menopause - seem to create susceptibility and to alter the symptom patterns. Clinical vulnerability is enhanced by multimorbidity and iatrogenic causes such as catheterisation or urinary tract abnormalities, which are related to complicated episodes and repeated healthcare contact</w:t>
      </w:r>
      <w:r w:rsidR="00DB0D20">
        <w:t xml:space="preserve"> </w:t>
      </w:r>
      <w:r w:rsidR="00DB0D20" w:rsidRPr="00DB0D20">
        <w:rPr>
          <w:lang w:val="en-US"/>
        </w:rPr>
        <w:t>(Jacobsen et al., 2008)</w:t>
      </w:r>
      <w:r w:rsidRPr="00625DB0">
        <w:t>. Prior UTI history and prior antibiotic exposure are quite strong predictors of recurrence risk, representing both underlying susceptibility and accumulation of care pathway effects, including repeated treatment and re-presentation.</w:t>
      </w:r>
    </w:p>
    <w:p w14:paraId="6AD4125C" w14:textId="77777777" w:rsidR="00625DB0" w:rsidRPr="00782D6D" w:rsidRDefault="00625DB0" w:rsidP="00D84E2F">
      <w:pPr>
        <w:pStyle w:val="ListParagraph"/>
        <w:numPr>
          <w:ilvl w:val="0"/>
          <w:numId w:val="2"/>
        </w:numPr>
        <w:rPr>
          <w:b/>
          <w:bCs/>
        </w:rPr>
      </w:pPr>
      <w:r w:rsidRPr="00782D6D">
        <w:t>To evaluate the effectiveness of current prevention and management strategies for UTIs in adult women</w:t>
      </w:r>
    </w:p>
    <w:p w14:paraId="64D14756" w14:textId="38C0DC12" w:rsidR="00625DB0" w:rsidRPr="00700D64" w:rsidRDefault="00625DB0" w:rsidP="00625DB0">
      <w:pPr>
        <w:rPr>
          <w:lang w:val="en-US"/>
        </w:rPr>
      </w:pPr>
      <w:r w:rsidRPr="00625DB0">
        <w:t>The overall conclusion is that the management of recurrent UTI in UK primary care should be stewardship-sensitive and multi-level. Patient-level prevention and tailored counselling are important but are unlikely to be sufficient when there is no change in diagnostic uncertainty and routine empiric prescribing patterns. Evidence from UK primary care suggests that over-reliance on dipsticks, lack of confirmatory testing and pressure to prescribe can perpetuate treatment cycles when symptoms return, or infection is difficult to differentiate from colonisation</w:t>
      </w:r>
      <w:r w:rsidR="00700D64">
        <w:t xml:space="preserve"> </w:t>
      </w:r>
      <w:r w:rsidR="00700D64" w:rsidRPr="00700D64">
        <w:rPr>
          <w:lang w:val="en-US"/>
        </w:rPr>
        <w:t>(Kurotschka et al., 2024)</w:t>
      </w:r>
      <w:r w:rsidRPr="00625DB0">
        <w:t>. Therefore, best management includes a combination of prevention support and clearer diagnostic pathways, prescription review and evaluable service level stewardship interventions.</w:t>
      </w:r>
    </w:p>
    <w:p w14:paraId="4BAA8815" w14:textId="77777777" w:rsidR="00625DB0" w:rsidRPr="00782D6D" w:rsidRDefault="00625DB0" w:rsidP="00D84E2F">
      <w:pPr>
        <w:pStyle w:val="Heading2"/>
      </w:pPr>
      <w:bookmarkStart w:id="120" w:name="_Toc220833853"/>
      <w:r w:rsidRPr="00782D6D">
        <w:t>6.3 Key findings</w:t>
      </w:r>
      <w:bookmarkEnd w:id="120"/>
      <w:r w:rsidRPr="00782D6D">
        <w:t> </w:t>
      </w:r>
    </w:p>
    <w:p w14:paraId="68335F4C" w14:textId="77777777" w:rsidR="00625DB0" w:rsidRPr="00782D6D" w:rsidRDefault="00625DB0" w:rsidP="00D84E2F">
      <w:pPr>
        <w:pStyle w:val="Heading3"/>
      </w:pPr>
      <w:bookmarkStart w:id="121" w:name="_Toc220833854"/>
      <w:r w:rsidRPr="00782D6D">
        <w:t>Theme 1</w:t>
      </w:r>
      <w:bookmarkEnd w:id="121"/>
    </w:p>
    <w:p w14:paraId="15DBE65D" w14:textId="0B296C1B" w:rsidR="00625DB0" w:rsidRPr="00EB7D6B" w:rsidRDefault="00625DB0" w:rsidP="00625DB0">
      <w:pPr>
        <w:rPr>
          <w:lang w:val="en-US"/>
        </w:rPr>
      </w:pPr>
      <w:r w:rsidRPr="00625DB0">
        <w:t xml:space="preserve">The results confirm that susceptibility to first and recurrent UTIs in adult women is the result of interacting biological, behavioural, clinical and social influences. Life course transitions, in particular peri-/post-menopausal physiological change, are a plausible period of increased vulnerability and altered symptom expression. Multimorbidity and iatrogenic exposures (e.g. </w:t>
      </w:r>
      <w:r w:rsidRPr="00625DB0">
        <w:lastRenderedPageBreak/>
        <w:t>catheterisation, urinary abnormalities, incontinence and diabetes) are linked with repeated contact with healthcare services and complicated presentations</w:t>
      </w:r>
      <w:r w:rsidR="00EB7D6B">
        <w:t xml:space="preserve"> </w:t>
      </w:r>
      <w:r w:rsidR="00EB7D6B" w:rsidRPr="00EB7D6B">
        <w:rPr>
          <w:lang w:val="en-US"/>
        </w:rPr>
        <w:t>(Thakur and Dhall, 2025)</w:t>
      </w:r>
      <w:r w:rsidRPr="00625DB0">
        <w:t>. Behaviours and health-seeking behaviours, such as sexual activity and contraception behaviours, and the influence of social context for prevention and seeking care in a timely manner, seem to modulate risk and pathways to care</w:t>
      </w:r>
      <w:r w:rsidR="00227361">
        <w:t xml:space="preserve"> </w:t>
      </w:r>
      <w:r w:rsidR="00227361" w:rsidRPr="00227361">
        <w:rPr>
          <w:lang w:val="en-US"/>
        </w:rPr>
        <w:t>(Ravi and Kulasekaran, 2014)</w:t>
      </w:r>
      <w:r w:rsidRPr="00625DB0">
        <w:t>. Prior UTI history is likely a reflection of underlying vulnerability and care pathways rather than an isolated cause</w:t>
      </w:r>
      <w:r w:rsidR="003412DA">
        <w:t xml:space="preserve"> </w:t>
      </w:r>
      <w:r w:rsidR="003412DA" w:rsidRPr="003412DA">
        <w:rPr>
          <w:lang w:val="en-US"/>
        </w:rPr>
        <w:t>(Aggarwal and Leslie, 2025)</w:t>
      </w:r>
      <w:r w:rsidRPr="00625DB0">
        <w:t>.</w:t>
      </w:r>
    </w:p>
    <w:p w14:paraId="30214C03" w14:textId="77777777" w:rsidR="00625DB0" w:rsidRPr="00782D6D" w:rsidRDefault="00625DB0" w:rsidP="00D84E2F">
      <w:pPr>
        <w:pStyle w:val="Heading3"/>
      </w:pPr>
      <w:bookmarkStart w:id="122" w:name="_Toc220833855"/>
      <w:r w:rsidRPr="00782D6D">
        <w:t>Theme 2</w:t>
      </w:r>
      <w:bookmarkEnd w:id="122"/>
    </w:p>
    <w:p w14:paraId="086DDAD9" w14:textId="6EF7AB43" w:rsidR="00625DB0" w:rsidRPr="006329B1" w:rsidRDefault="00625DB0" w:rsidP="00625DB0">
      <w:pPr>
        <w:rPr>
          <w:lang w:val="en-US"/>
        </w:rPr>
      </w:pPr>
      <w:r w:rsidRPr="00625DB0">
        <w:t>The review provides evidence of a high and age-patterned burden of UTIs in UK primary and community care. Working-age women generate high absolute volumes of consultations, which implies a significant routine workload, whilst older women exhibit a more concentrated burden, which is characterised by clinical complexity, repeat consultations and a higher risk of escalation. Recurrence clustering within individuals is strongly linked to persistent healthcare utilisation</w:t>
      </w:r>
      <w:r w:rsidR="00FB72AC">
        <w:t xml:space="preserve"> </w:t>
      </w:r>
      <w:r w:rsidR="00FB72AC" w:rsidRPr="00FB72AC">
        <w:rPr>
          <w:lang w:val="en-US"/>
        </w:rPr>
        <w:t>(Recchia et al., 2022)</w:t>
      </w:r>
      <w:r w:rsidRPr="00625DB0">
        <w:t>. In this dissertation, "burden" is defined not only in terms of episode occurrence, but also repeat consultations, re-attendance and antibiotic utilisation represent high demands on services and help to reinforce the importance of recurrent UTI being a priority for routine care improvement</w:t>
      </w:r>
      <w:r w:rsidR="006329B1">
        <w:t xml:space="preserve"> </w:t>
      </w:r>
      <w:r w:rsidR="006329B1" w:rsidRPr="006329B1">
        <w:rPr>
          <w:lang w:val="en-US"/>
        </w:rPr>
        <w:t>(Thompson et al., 2023)</w:t>
      </w:r>
      <w:r w:rsidRPr="00625DB0">
        <w:t>.</w:t>
      </w:r>
    </w:p>
    <w:p w14:paraId="79715C71" w14:textId="77777777" w:rsidR="00625DB0" w:rsidRPr="00782D6D" w:rsidRDefault="00625DB0" w:rsidP="00D84E2F">
      <w:pPr>
        <w:pStyle w:val="Heading3"/>
      </w:pPr>
      <w:bookmarkStart w:id="123" w:name="_Toc220833856"/>
      <w:r w:rsidRPr="00782D6D">
        <w:t>Theme 3</w:t>
      </w:r>
      <w:bookmarkEnd w:id="123"/>
    </w:p>
    <w:p w14:paraId="0CF4624D" w14:textId="61005551" w:rsidR="00625DB0" w:rsidRPr="007D7486" w:rsidRDefault="00625DB0" w:rsidP="00625DB0">
      <w:pPr>
        <w:rPr>
          <w:lang w:val="en-US"/>
        </w:rPr>
      </w:pPr>
      <w:r w:rsidRPr="00625DB0">
        <w:t>The synthesis suggests that current prevention and management are highly influenced by real-world prescribing and diagnostic processes and less by comparative effectiveness based on clear evidence. High empiric and same-day antibiotic prescribing is common, and repeat prescribing is more likely in women with older age, greater comorbidity and prior antibiotic exposure, suggesting a cycle of re-presentation and re-treatment in higher risk groups</w:t>
      </w:r>
      <w:r w:rsidR="003F3F4A">
        <w:t xml:space="preserve"> </w:t>
      </w:r>
      <w:r w:rsidR="003F3F4A" w:rsidRPr="003F3F4A">
        <w:rPr>
          <w:lang w:val="en-US"/>
        </w:rPr>
        <w:t>(Soraci et al., 2023)</w:t>
      </w:r>
      <w:r w:rsidRPr="00625DB0">
        <w:t>. Clinician-perceived diagnostic uncertainty and the use of point-of-care tests may make the distinction between colonisation and infection hard to determine, supporting empiric treatment</w:t>
      </w:r>
      <w:r w:rsidR="007D7486">
        <w:t xml:space="preserve"> </w:t>
      </w:r>
      <w:r w:rsidR="007D7486" w:rsidRPr="007D7486">
        <w:rPr>
          <w:lang w:val="en-US"/>
        </w:rPr>
        <w:t>(Lau et al., 2024)</w:t>
      </w:r>
      <w:r w:rsidRPr="00625DB0">
        <w:t>. Multi-component stewardship and prevention initiatives are being implemented, but formal evaluation and consistent outcome measurement have been limited, limiting the ability to reach confident conclusions regarding impact</w:t>
      </w:r>
      <w:r w:rsidR="00997C32">
        <w:t xml:space="preserve"> </w:t>
      </w:r>
      <w:r w:rsidR="00997C32" w:rsidRPr="00997C32">
        <w:rPr>
          <w:lang w:val="en-US"/>
        </w:rPr>
        <w:t>(Barlam et al., 2016)</w:t>
      </w:r>
      <w:r w:rsidRPr="00625DB0">
        <w:t>.</w:t>
      </w:r>
    </w:p>
    <w:p w14:paraId="166BD235" w14:textId="77777777" w:rsidR="00625DB0" w:rsidRPr="00782D6D" w:rsidRDefault="00625DB0" w:rsidP="00D84E2F">
      <w:pPr>
        <w:pStyle w:val="Heading2"/>
      </w:pPr>
      <w:bookmarkStart w:id="124" w:name="_Toc220833857"/>
      <w:r w:rsidRPr="00782D6D">
        <w:lastRenderedPageBreak/>
        <w:t>6.4 Reflection on the review approach</w:t>
      </w:r>
      <w:bookmarkEnd w:id="124"/>
      <w:r w:rsidRPr="00782D6D">
        <w:t> </w:t>
      </w:r>
    </w:p>
    <w:p w14:paraId="416BF181" w14:textId="3B8A3E06" w:rsidR="00625DB0" w:rsidRPr="00EB4850" w:rsidRDefault="00625DB0" w:rsidP="00625DB0">
      <w:pPr>
        <w:rPr>
          <w:lang w:val="en-US"/>
        </w:rPr>
      </w:pPr>
      <w:r w:rsidRPr="00625DB0">
        <w:t>A systematic thematic synthesis was appropriate because included studies varied substantially in design, setting, populations and outcome definitions, and the evidence base ranged from routine electronic health records, microbiology-linked cohorts, surveys, qualitative studies and commissioning-level reports. The approach worked in the integration of epidemiological burden and "real-world" system mechanisms, and in the triangulation of patient and clinician perspectives to provide the reasons for recurrence and repeat prescribing. However, uncertainty persisted because of heterogeneous UTI definitions, limited ability to do causal inference in observational designs, and variable reporting quality, especially for conference abstracts</w:t>
      </w:r>
      <w:r w:rsidR="00EB4850">
        <w:t xml:space="preserve"> </w:t>
      </w:r>
      <w:r w:rsidR="00EB4850" w:rsidRPr="00EB4850">
        <w:rPr>
          <w:lang w:val="en-US"/>
        </w:rPr>
        <w:t>(Harimurthi et al., 2026)</w:t>
      </w:r>
      <w:r w:rsidRPr="00625DB0">
        <w:t>. Quality appraisal assisted the calibration of confidence and provided for cautious interpretation in situations where there was a greater risk of bias or reporting limitations.</w:t>
      </w:r>
    </w:p>
    <w:p w14:paraId="651CA8D2" w14:textId="77777777" w:rsidR="00625DB0" w:rsidRPr="00782D6D" w:rsidRDefault="00625DB0" w:rsidP="00D84E2F">
      <w:pPr>
        <w:pStyle w:val="Heading2"/>
      </w:pPr>
      <w:bookmarkStart w:id="125" w:name="_Toc220833858"/>
      <w:r w:rsidRPr="00782D6D">
        <w:t>6.5 Policy recommendations</w:t>
      </w:r>
      <w:bookmarkEnd w:id="125"/>
    </w:p>
    <w:p w14:paraId="17855AA8" w14:textId="19B5A13B" w:rsidR="00625DB0" w:rsidRPr="00C23FBB" w:rsidRDefault="00625DB0" w:rsidP="00625DB0">
      <w:pPr>
        <w:rPr>
          <w:lang w:val="en-US"/>
        </w:rPr>
      </w:pPr>
      <w:r w:rsidRPr="00625DB0">
        <w:t>Practice and policy should consider targeted antimicrobial stewardship for older and clinically complex women, including structured review of recurrent antibiotic exposure and clearer pathways for recurrent presentations. Diagnostic support may be reinforced to minimise uncertainty and dipstick and default empiric prescribing reliance, and may include consistent local protocols and decision support in line with barriers identified by clinicians</w:t>
      </w:r>
      <w:r w:rsidR="000E15F3">
        <w:t xml:space="preserve"> </w:t>
      </w:r>
      <w:r w:rsidR="000E15F3" w:rsidRPr="000E15F3">
        <w:rPr>
          <w:lang w:val="en-US"/>
        </w:rPr>
        <w:t>(Skender et al., 2025)</w:t>
      </w:r>
      <w:r w:rsidRPr="00625DB0">
        <w:t>. Patient-facing information should be standardised both in person and remotely to clarify self-care, when they need to seek urgent review and available prevention options, recognising variation in care-seeking patterns</w:t>
      </w:r>
      <w:r w:rsidR="004E493C">
        <w:t xml:space="preserve"> </w:t>
      </w:r>
      <w:r w:rsidR="004E493C" w:rsidRPr="004E493C">
        <w:rPr>
          <w:lang w:val="en-US"/>
        </w:rPr>
        <w:t>(Schutz et al., 2022)</w:t>
      </w:r>
      <w:r w:rsidRPr="00625DB0">
        <w:t>. Commissioning bodies should focus on measurable evaluation, repeat prescribing, recurrence-related reattendance, culture utilisation and resistance indicators where possible.</w:t>
      </w:r>
      <w:r w:rsidR="00530D16">
        <w:t xml:space="preserve"> </w:t>
      </w:r>
      <w:r w:rsidR="00530D16" w:rsidRPr="00530D16">
        <w:rPr>
          <w:lang w:val="en-US"/>
        </w:rPr>
        <w:t>Implement</w:t>
      </w:r>
      <w:r w:rsidR="00530D16">
        <w:rPr>
          <w:lang w:val="en-US"/>
        </w:rPr>
        <w:t>ing</w:t>
      </w:r>
      <w:r w:rsidR="00530D16" w:rsidRPr="00530D16">
        <w:rPr>
          <w:lang w:val="en-US"/>
        </w:rPr>
        <w:t xml:space="preserve"> a symptom-led approach to assessment with a clear exclusion of routine dipstick testing in adults over the age of 65</w:t>
      </w:r>
      <w:r w:rsidR="004F4F5F">
        <w:rPr>
          <w:lang w:val="en-US"/>
        </w:rPr>
        <w:t xml:space="preserve"> can be recommended</w:t>
      </w:r>
      <w:r w:rsidR="0065675F">
        <w:rPr>
          <w:lang w:val="en-US"/>
        </w:rPr>
        <w:t xml:space="preserve"> </w:t>
      </w:r>
      <w:r w:rsidR="0065675F" w:rsidRPr="0065675F">
        <w:rPr>
          <w:lang w:val="en-US"/>
        </w:rPr>
        <w:t>(Joseph, 2020)</w:t>
      </w:r>
      <w:r w:rsidR="00530D16" w:rsidRPr="00530D16">
        <w:rPr>
          <w:lang w:val="en-US"/>
        </w:rPr>
        <w:t>. UKHSA (2024) states that dipsticks are unreliable in this group, and positive results have often been asymptomatic bacteriuria rather than infection. Implementation should require the use of structured safety-netting text within clinical systems and specify the triggers for culture and urgent review.</w:t>
      </w:r>
      <w:r w:rsidR="00262B9B">
        <w:rPr>
          <w:lang w:val="en-US"/>
        </w:rPr>
        <w:t xml:space="preserve"> </w:t>
      </w:r>
      <w:r w:rsidR="00262B9B" w:rsidRPr="00262B9B">
        <w:rPr>
          <w:lang w:val="en-US"/>
        </w:rPr>
        <w:t>Standardis</w:t>
      </w:r>
      <w:r w:rsidR="00262B9B">
        <w:rPr>
          <w:lang w:val="en-US"/>
        </w:rPr>
        <w:t>ing</w:t>
      </w:r>
      <w:r w:rsidR="00262B9B" w:rsidRPr="00262B9B">
        <w:rPr>
          <w:lang w:val="en-US"/>
        </w:rPr>
        <w:t xml:space="preserve"> management of culture-driven presentations for recurrent and treatment failure presentations to minimise misclassification and guide targeted therapy</w:t>
      </w:r>
      <w:r w:rsidR="007B7464">
        <w:rPr>
          <w:lang w:val="en-US"/>
        </w:rPr>
        <w:t xml:space="preserve"> also could be recommended</w:t>
      </w:r>
      <w:r w:rsidR="00262B9B" w:rsidRPr="00262B9B">
        <w:rPr>
          <w:lang w:val="en-US"/>
        </w:rPr>
        <w:t xml:space="preserve">. UKHSA (2025) surveillance and stewardship as system levers that need </w:t>
      </w:r>
      <w:r w:rsidR="00262B9B" w:rsidRPr="00262B9B">
        <w:rPr>
          <w:lang w:val="en-US"/>
        </w:rPr>
        <w:lastRenderedPageBreak/>
        <w:t>microbiology-linked prescribing data to be actionable. Implementation should include minimum culture submission requirements for recurrences and auditing of compliance quarterly.</w:t>
      </w:r>
      <w:r w:rsidR="0095104F">
        <w:rPr>
          <w:lang w:val="en-US"/>
        </w:rPr>
        <w:t xml:space="preserve"> </w:t>
      </w:r>
      <w:r w:rsidR="0095104F" w:rsidRPr="0095104F">
        <w:rPr>
          <w:lang w:val="en-US"/>
        </w:rPr>
        <w:t>Adopt</w:t>
      </w:r>
      <w:r w:rsidR="0095104F">
        <w:rPr>
          <w:lang w:val="en-US"/>
        </w:rPr>
        <w:t>ing</w:t>
      </w:r>
      <w:r w:rsidR="0095104F" w:rsidRPr="0095104F">
        <w:rPr>
          <w:lang w:val="en-US"/>
        </w:rPr>
        <w:t xml:space="preserve"> a stepped prevention pathway from behavioural measures to menopausal management to non-antibiotic prophylaxis prior to daily antibiotics where appropriate</w:t>
      </w:r>
      <w:r w:rsidR="0095104F">
        <w:rPr>
          <w:lang w:val="en-US"/>
        </w:rPr>
        <w:t xml:space="preserve"> could be recommended</w:t>
      </w:r>
      <w:r w:rsidR="0095104F" w:rsidRPr="0095104F">
        <w:rPr>
          <w:lang w:val="en-US"/>
        </w:rPr>
        <w:t>. NICE (2018) recommends the consideration of methenamine hippurate as an alternative to daily antibiotic prophylaxis with planned review intervals. Harding et al (2022) support this approach with the finding of methenamine hippurate being non-inferior to daily antibiotic prophylaxis in preventing recurrent UTI in women. Implementation should require documented review at 6 months and at least annually, with culture results informing any prophylactic antibiotic choice.</w:t>
      </w:r>
      <w:r w:rsidR="00C23FBB">
        <w:rPr>
          <w:lang w:val="en-US"/>
        </w:rPr>
        <w:t xml:space="preserve"> Furthermore, it also can be recommended to c</w:t>
      </w:r>
      <w:r w:rsidR="00C23FBB" w:rsidRPr="00C23FBB">
        <w:rPr>
          <w:lang w:val="en-US"/>
        </w:rPr>
        <w:t>reate an electronic flag for recurrent UTI high utilizers to trigger proactive follow-up and stewardship review following recurrent prescriptions. Bou-Antoun et al (2026) propose that shifting uncomplicated UTI management into community pathways changes where prescribing risk accumulates. Implementation should involve setting thresholds for case review and having pharmacy and GP prescribing records integrated to avoid duplicated courses.</w:t>
      </w:r>
    </w:p>
    <w:p w14:paraId="71F394C1" w14:textId="77777777" w:rsidR="00625DB0" w:rsidRPr="00782D6D" w:rsidRDefault="00625DB0" w:rsidP="00D84E2F">
      <w:pPr>
        <w:pStyle w:val="Heading2"/>
      </w:pPr>
      <w:bookmarkStart w:id="126" w:name="_Toc220833859"/>
      <w:r w:rsidRPr="00782D6D">
        <w:t>6.6 Recommendations for further studies</w:t>
      </w:r>
      <w:bookmarkEnd w:id="126"/>
    </w:p>
    <w:p w14:paraId="289E9305" w14:textId="77777777" w:rsidR="00625DB0" w:rsidRPr="00625DB0" w:rsidRDefault="00625DB0" w:rsidP="00625DB0">
      <w:r w:rsidRPr="00625DB0">
        <w:t>Future studies should focus on UK-based pragmatic evaluation of non-antibiotic prevention options and pathways of integrated stewardship embedded in routine primary and community care. Studies should use standardised definitions for UTI and recurrent UTI and core outcome sets to capture the symptoms burden, reconsultation, antibiotic exposure and microbiological endpoints where available and allow for meaningful comparison between data sources. Equity-focused analyses are necessary to stratify by age, deprivation and ethnicity and to assess the role of remote care pathways in determining access, management decisions and subsequent antibiotic use. Mixed-methods work could further explain the barriers to uptake of prevention and adherence to the pathway.</w:t>
      </w:r>
    </w:p>
    <w:p w14:paraId="667AF7A9" w14:textId="77777777" w:rsidR="00625DB0" w:rsidRPr="00782D6D" w:rsidRDefault="00625DB0" w:rsidP="00D84E2F">
      <w:pPr>
        <w:pStyle w:val="Heading2"/>
      </w:pPr>
      <w:bookmarkStart w:id="127" w:name="_Toc220833860"/>
      <w:r w:rsidRPr="00782D6D">
        <w:t>6.7 Conclusion</w:t>
      </w:r>
      <w:bookmarkEnd w:id="127"/>
    </w:p>
    <w:p w14:paraId="167C0E3A" w14:textId="77777777" w:rsidR="00625DB0" w:rsidRPr="00625DB0" w:rsidRDefault="00625DB0" w:rsidP="00625DB0">
      <w:r w:rsidRPr="00625DB0">
        <w:t xml:space="preserve">This study makes a UK-relevant contribution that brings together synthesis and age-patterned burden and multifactorial risk factor profiles and stewardship-focused prevention and management </w:t>
      </w:r>
      <w:r w:rsidRPr="00625DB0">
        <w:lastRenderedPageBreak/>
        <w:t>considerations across routine data, microbiology-linked, survey, and qualitative and commissioning evidence. By providing a link between patient-level susceptibility and the process of diagnosis and prescribing, it will help explain why recurrence and repeat utilisation are concentrated in clinically vulnerable groups. Reducing recurrent episodes and unnecessary exposure to antibiotics is crucial to maintaining the effective capacity of the NHS primary care system and to reinforcing antimicrobial stewardship in the community.</w:t>
      </w:r>
    </w:p>
    <w:p w14:paraId="37767FD6" w14:textId="025B490C" w:rsidR="00A04756" w:rsidRPr="00782D6D" w:rsidRDefault="00A04756">
      <w:r w:rsidRPr="00782D6D">
        <w:br w:type="page"/>
      </w:r>
    </w:p>
    <w:p w14:paraId="78CA4E6E" w14:textId="2AB4334E" w:rsidR="0034369D" w:rsidRPr="00782D6D" w:rsidRDefault="00A04756" w:rsidP="00A04756">
      <w:pPr>
        <w:pStyle w:val="Heading1"/>
      </w:pPr>
      <w:bookmarkStart w:id="128" w:name="_Toc220833861"/>
      <w:r w:rsidRPr="00782D6D">
        <w:lastRenderedPageBreak/>
        <w:t>References</w:t>
      </w:r>
      <w:bookmarkEnd w:id="128"/>
      <w:r w:rsidRPr="00782D6D">
        <w:t xml:space="preserve"> </w:t>
      </w:r>
    </w:p>
    <w:p w14:paraId="231D7137" w14:textId="77777777" w:rsidR="00592DD4" w:rsidRPr="005E66E4" w:rsidRDefault="00592DD4" w:rsidP="005E66E4">
      <w:pPr>
        <w:ind w:left="360"/>
        <w:rPr>
          <w:lang w:val="en-US"/>
        </w:rPr>
      </w:pPr>
      <w:r w:rsidRPr="005E66E4">
        <w:rPr>
          <w:lang w:val="en-US"/>
        </w:rPr>
        <w:t xml:space="preserve">Aggarwal, N. and Leslie, S.W. (2025). </w:t>
      </w:r>
      <w:r w:rsidRPr="005E66E4">
        <w:rPr>
          <w:i/>
          <w:iCs/>
          <w:lang w:val="en-US"/>
        </w:rPr>
        <w:t>Recurrent urinary tract infections</w:t>
      </w:r>
      <w:r w:rsidRPr="005E66E4">
        <w:rPr>
          <w:lang w:val="en-US"/>
        </w:rPr>
        <w:t>. [online] PubMed. Available at: https://www.ncbi.nlm.nih.gov/books/NBK557479/.</w:t>
      </w:r>
    </w:p>
    <w:p w14:paraId="3B8D1FA6" w14:textId="77777777" w:rsidR="00592DD4" w:rsidRPr="00782D6D" w:rsidRDefault="00592DD4" w:rsidP="005E66E4">
      <w:pPr>
        <w:ind w:left="360"/>
      </w:pPr>
      <w:r w:rsidRPr="00782D6D">
        <w:t xml:space="preserve">Ahmed, H., Farewell, D., Jones, H.M., Francis, N.A., Paranjothy, S. and Butler, C.C. (2018). Incidence and antibiotic prescribing for clinically diagnosed urinary tract infection in older adults in UK primary care, 2004-2014. </w:t>
      </w:r>
      <w:r w:rsidRPr="005E66E4">
        <w:rPr>
          <w:i/>
          <w:iCs/>
        </w:rPr>
        <w:t>PloS One</w:t>
      </w:r>
      <w:r w:rsidRPr="00782D6D">
        <w:t>, [online] 13(1), p.e0190521. doi:https://doi.org/10.1371/journal.pone.0190521.</w:t>
      </w:r>
    </w:p>
    <w:p w14:paraId="300406E3" w14:textId="77777777" w:rsidR="00592DD4" w:rsidRPr="005E66E4" w:rsidRDefault="00592DD4" w:rsidP="005E66E4">
      <w:pPr>
        <w:ind w:left="360"/>
        <w:rPr>
          <w:lang w:val="en-US"/>
        </w:rPr>
      </w:pPr>
      <w:r w:rsidRPr="005E66E4">
        <w:rPr>
          <w:lang w:val="en-US"/>
        </w:rPr>
        <w:t xml:space="preserve">Anger, J., Lee, U., Ackerman, A.L., Chou, R., Chughtai, B., Clemens, J.Q., Hickling, D., Kapoor, A., Kenton, K.S., Kaufman, M.R., Rondanina, M.A., Stapleton, A., Stothers, L. and Chai, T.C. (2019). Recurrent Uncomplicated Urinary Tract Infections in Women: AUA/CUA/SUFU Guideline. </w:t>
      </w:r>
      <w:r w:rsidRPr="005E66E4">
        <w:rPr>
          <w:i/>
          <w:iCs/>
          <w:lang w:val="en-US"/>
        </w:rPr>
        <w:t>Journal of Urology</w:t>
      </w:r>
      <w:r w:rsidRPr="005E66E4">
        <w:rPr>
          <w:lang w:val="en-US"/>
        </w:rPr>
        <w:t>, 202(2), pp.282–289. doi:https://doi.org/10.1097/ju.0000000000000296.</w:t>
      </w:r>
    </w:p>
    <w:p w14:paraId="2588F54E" w14:textId="77777777" w:rsidR="00592DD4" w:rsidRPr="005E66E4" w:rsidRDefault="00592DD4" w:rsidP="005E66E4">
      <w:pPr>
        <w:ind w:left="360"/>
        <w:rPr>
          <w:lang w:val="en-US"/>
        </w:rPr>
      </w:pPr>
      <w:r w:rsidRPr="005E66E4">
        <w:rPr>
          <w:lang w:val="en-US"/>
        </w:rPr>
        <w:t xml:space="preserve">Barlam, T.F., Cosgrove, S.E., Abbo, L.M., MacDougall, C., Schuetz, A.N., Septimus, E.J., Srinivasan, A., Dellit, T.H., Falck-Ytter, Y.T., Fishman, N.O., Hamilton, C.W., Jenkins, T.C., Lipsett, P.A., Malani, P.N., May, L.S., Moran, G.J., Neuhauser, M.M., Newland, J.G., Ohl, C.A. and Samore, M.H. (2016). Implementing an Antibiotic Stewardship Program: Guidelines by the Infectious Diseases Society of America and the Society for Healthcare Epidemiology of America. </w:t>
      </w:r>
      <w:r w:rsidRPr="005E66E4">
        <w:rPr>
          <w:i/>
          <w:iCs/>
          <w:lang w:val="en-US"/>
        </w:rPr>
        <w:t>Clinical Infectious Diseases</w:t>
      </w:r>
      <w:r w:rsidRPr="005E66E4">
        <w:rPr>
          <w:lang w:val="en-US"/>
        </w:rPr>
        <w:t>, [online] 62(10), pp.e51–e77. doi:https://doi.org/10.1093/cid/ciw118.</w:t>
      </w:r>
    </w:p>
    <w:p w14:paraId="123765B7" w14:textId="77777777" w:rsidR="00592DD4" w:rsidRPr="005E66E4" w:rsidRDefault="00592DD4" w:rsidP="005E66E4">
      <w:pPr>
        <w:ind w:left="360"/>
        <w:rPr>
          <w:lang w:val="en-US"/>
        </w:rPr>
      </w:pPr>
      <w:r w:rsidRPr="005E66E4">
        <w:rPr>
          <w:lang w:val="en-US"/>
        </w:rPr>
        <w:t xml:space="preserve">Bono, M.J., Reygaert, W.C. and Leslie, S.W. (2025). </w:t>
      </w:r>
      <w:r w:rsidRPr="005E66E4">
        <w:rPr>
          <w:i/>
          <w:iCs/>
          <w:lang w:val="en-US"/>
        </w:rPr>
        <w:t>Uncomplicated Urinary tract infections</w:t>
      </w:r>
      <w:r w:rsidRPr="005E66E4">
        <w:rPr>
          <w:lang w:val="en-US"/>
        </w:rPr>
        <w:t>. [online] National Library of Medicine. Available at: https://www.ncbi.nlm.nih.gov/books/NBK470195/.</w:t>
      </w:r>
    </w:p>
    <w:p w14:paraId="7245CFAE" w14:textId="77777777" w:rsidR="00592DD4" w:rsidRPr="00782D6D" w:rsidRDefault="00592DD4" w:rsidP="005E66E4">
      <w:pPr>
        <w:ind w:left="360"/>
      </w:pPr>
      <w:r w:rsidRPr="00782D6D">
        <w:t xml:space="preserve">Booth, A., Clarke, M., Dooley, G., Ghersi, D., Moher, D., Petticrew, M. and Stewart, L. (2012). The nuts and bolts of PROSPERO: an international prospective register of systematic reviews. </w:t>
      </w:r>
      <w:r w:rsidRPr="005E66E4">
        <w:rPr>
          <w:i/>
          <w:iCs/>
        </w:rPr>
        <w:t>Systematic Reviews</w:t>
      </w:r>
      <w:r w:rsidRPr="00782D6D">
        <w:t>, 1(1). doi:https://doi.org/10.1186/2046-4053-1-2.</w:t>
      </w:r>
    </w:p>
    <w:p w14:paraId="7B3D3ADF" w14:textId="77777777" w:rsidR="00592DD4" w:rsidRPr="00782D6D" w:rsidRDefault="00592DD4" w:rsidP="005E66E4">
      <w:pPr>
        <w:ind w:left="360"/>
      </w:pPr>
      <w:r w:rsidRPr="00782D6D">
        <w:t xml:space="preserve">Borenstein, M. , Hedges, L. , Rothstein, H. and Higgins, J. , (2021). </w:t>
      </w:r>
      <w:r w:rsidRPr="005E66E4">
        <w:rPr>
          <w:i/>
          <w:iCs/>
        </w:rPr>
        <w:t>Introduction to Meta-Analysis</w:t>
      </w:r>
      <w:r w:rsidRPr="00782D6D">
        <w:t>. [online] Google Books. Available at: https://books.google.com/books?hl=en&amp;lr=&amp;id=pdQnEAAAQBAJ&amp;oi=fnd&amp;pg=PP1&amp;dq=Borenstein.</w:t>
      </w:r>
    </w:p>
    <w:p w14:paraId="7708762B" w14:textId="77777777" w:rsidR="00592DD4" w:rsidRPr="005E66E4" w:rsidRDefault="00592DD4" w:rsidP="005E66E4">
      <w:pPr>
        <w:ind w:left="360"/>
        <w:rPr>
          <w:lang w:val="en-US"/>
        </w:rPr>
      </w:pPr>
      <w:r w:rsidRPr="005E66E4">
        <w:rPr>
          <w:lang w:val="en-US"/>
        </w:rPr>
        <w:t xml:space="preserve">Bou-Antoun, S. , Beattie, A. , Stevens, C. , Falola , A. , Oettle , R. , Budd, E. , Opoku, A. , Brown, C. , Hope, R. , Muller-Pebody, B. , and Demirjian, A. (2026). Antimicrobial </w:t>
      </w:r>
      <w:r w:rsidRPr="005E66E4">
        <w:rPr>
          <w:lang w:val="en-US"/>
        </w:rPr>
        <w:lastRenderedPageBreak/>
        <w:t>Consumption in England, 2019 to 2024: ESPAUR Report 2024-25 . doi:https://doi.org/10.1093/jacamr/dlaf243.002.</w:t>
      </w:r>
    </w:p>
    <w:p w14:paraId="1AAA44E3" w14:textId="77777777" w:rsidR="00592DD4" w:rsidRPr="00782D6D" w:rsidRDefault="00592DD4" w:rsidP="005E66E4">
      <w:pPr>
        <w:ind w:left="360"/>
      </w:pPr>
      <w:r w:rsidRPr="00782D6D">
        <w:t xml:space="preserve">Bright, A.-M., Doody, O. and Tuohy, T. (2022). Women with perinatal suicidal ideation–A scoping review of the biopsychosocial risk factors to inform health service provision and research. </w:t>
      </w:r>
      <w:r w:rsidRPr="005E66E4">
        <w:rPr>
          <w:i/>
          <w:iCs/>
        </w:rPr>
        <w:t>PLOS ONE</w:t>
      </w:r>
      <w:r w:rsidRPr="00782D6D">
        <w:t>, 17(9), p.e0274862. doi:https://doi.org/10.1371/journal.pone.0274862.</w:t>
      </w:r>
    </w:p>
    <w:p w14:paraId="11217649" w14:textId="77777777" w:rsidR="00592DD4" w:rsidRPr="00782D6D" w:rsidRDefault="00592DD4" w:rsidP="005E66E4">
      <w:pPr>
        <w:ind w:left="360"/>
      </w:pPr>
      <w:r w:rsidRPr="00782D6D">
        <w:t xml:space="preserve">Büchter, R.B., Weise, A. and Pieper, D. (2020). Development, Testing and Use of Data Extraction Forms in Systematic reviews: a Review of Methodological Guidance. </w:t>
      </w:r>
      <w:r w:rsidRPr="005E66E4">
        <w:rPr>
          <w:i/>
          <w:iCs/>
        </w:rPr>
        <w:t>BMC Medical Research Methodology</w:t>
      </w:r>
      <w:r w:rsidRPr="00782D6D">
        <w:t>, [online] 20(1), pp.1–14. Available at: https://bmcmedresmethodol.biomedcentral.com/articles/10.1186/s12874-020-01143-3.</w:t>
      </w:r>
    </w:p>
    <w:p w14:paraId="4BC37C60" w14:textId="77777777" w:rsidR="00592DD4" w:rsidRPr="00782D6D" w:rsidRDefault="00592DD4" w:rsidP="005E66E4">
      <w:pPr>
        <w:ind w:left="360"/>
      </w:pPr>
      <w:r w:rsidRPr="00782D6D">
        <w:t xml:space="preserve">Chawla, N. and Sarkar, S. (2019). Defining ‘High-risk Sexual Behavior’ in the Context of Substance Use. </w:t>
      </w:r>
      <w:r w:rsidRPr="005E66E4">
        <w:rPr>
          <w:i/>
          <w:iCs/>
        </w:rPr>
        <w:t>Journal of Psychosexual Health</w:t>
      </w:r>
      <w:r w:rsidRPr="00782D6D">
        <w:t>, 1(1), pp.26–31. doi:https://doi.org/10.1177/2631831818822015.</w:t>
      </w:r>
    </w:p>
    <w:p w14:paraId="25874F03" w14:textId="77777777" w:rsidR="00592DD4" w:rsidRPr="00782D6D" w:rsidRDefault="00592DD4" w:rsidP="005E66E4">
      <w:pPr>
        <w:ind w:left="360"/>
      </w:pPr>
      <w:r w:rsidRPr="00782D6D">
        <w:t xml:space="preserve">Cooper, E., Jones, L., Joseph, A., Allison, R., Gold, N., Larcombe, J., Moore, P. and McNulty, C. (2020). Diagnosis and Management of UTI in Primary Care Settings—A Qualitative Study to Inform a Diagnostic Quick Reference Tool for Women Under 65 Years. </w:t>
      </w:r>
      <w:r w:rsidRPr="005E66E4">
        <w:rPr>
          <w:i/>
          <w:iCs/>
        </w:rPr>
        <w:t>Antibiotics</w:t>
      </w:r>
      <w:r w:rsidRPr="00782D6D">
        <w:t>, [online] 9(9), p.581. doi:https://doi.org/10.3390/antibiotics9090581.</w:t>
      </w:r>
    </w:p>
    <w:p w14:paraId="52EEDB4A" w14:textId="77777777" w:rsidR="00592DD4" w:rsidRPr="00782D6D" w:rsidRDefault="00592DD4" w:rsidP="005E66E4">
      <w:pPr>
        <w:ind w:left="360"/>
      </w:pPr>
      <w:r w:rsidRPr="00782D6D">
        <w:t xml:space="preserve">Cooper, E., Read, B., Sanyaolu, L., Ahmed, H. and Lecky, D. (2023). Impact of sociodemographic status and UTI symptoms on women’s health-care seeking and management in England: findings from an e-survey conducted during the first year of the COVID-19 pandemic. </w:t>
      </w:r>
      <w:r w:rsidRPr="005E66E4">
        <w:rPr>
          <w:i/>
          <w:iCs/>
        </w:rPr>
        <w:t>BJGP Open</w:t>
      </w:r>
      <w:r w:rsidRPr="00782D6D">
        <w:t>, [online] 7(4), p.BJGPO.2023.0039. doi:https://doi.org/10.3399/bjgpo.2023.0039.</w:t>
      </w:r>
    </w:p>
    <w:p w14:paraId="305F7E60" w14:textId="77777777" w:rsidR="00592DD4" w:rsidRPr="00782D6D" w:rsidRDefault="00592DD4" w:rsidP="005E66E4">
      <w:pPr>
        <w:ind w:left="360"/>
      </w:pPr>
      <w:r w:rsidRPr="00782D6D">
        <w:t xml:space="preserve">Coque, T.M., Cantón, R., Pérez-Cobas, A.E., Fernández-de-Bobadilla, M.D. and Baquero, F. (2023). Antimicrobial Resistance in the Global Health Network: Known Unknowns and Challenges for Efficient Responses in the 21st Century. </w:t>
      </w:r>
      <w:r w:rsidRPr="005E66E4">
        <w:rPr>
          <w:i/>
          <w:iCs/>
        </w:rPr>
        <w:t>Microorganisms</w:t>
      </w:r>
      <w:r w:rsidRPr="00782D6D">
        <w:t>, [online] 11(4), p.1050. doi:https://doi.org/10.3390/microorganisms11041050.</w:t>
      </w:r>
    </w:p>
    <w:p w14:paraId="5A7FF035" w14:textId="77777777" w:rsidR="00592DD4" w:rsidRPr="00782D6D" w:rsidRDefault="00592DD4" w:rsidP="005E66E4">
      <w:pPr>
        <w:ind w:left="360"/>
      </w:pPr>
      <w:r w:rsidRPr="00782D6D">
        <w:t xml:space="preserve">Costelloe, C., Metcalfe, C., Lovering, A., Mant, D. and Hay, A.D. (2010). Effect of antibiotic prescribing in primary care on antimicrobial resistance in individual patients: systematic review and meta-analysis. </w:t>
      </w:r>
      <w:r w:rsidRPr="005E66E4">
        <w:rPr>
          <w:i/>
          <w:iCs/>
        </w:rPr>
        <w:t>BMJ</w:t>
      </w:r>
      <w:r w:rsidRPr="00782D6D">
        <w:t>, [online] 340(may18 2), pp.c2096–c2096. doi:https://doi.org/10.1136/bmj.c2096.</w:t>
      </w:r>
    </w:p>
    <w:p w14:paraId="792EF818" w14:textId="77777777" w:rsidR="00592DD4" w:rsidRPr="005E66E4" w:rsidRDefault="00592DD4" w:rsidP="005E66E4">
      <w:pPr>
        <w:ind w:left="360"/>
        <w:rPr>
          <w:lang w:val="en-US"/>
        </w:rPr>
      </w:pPr>
      <w:r w:rsidRPr="005E66E4">
        <w:rPr>
          <w:lang w:val="en-US"/>
        </w:rPr>
        <w:t xml:space="preserve">Costelloe, C., Metcalfe, C., Lovering, A., Mant, D. and Hay, A.D. (2010). Effect of antibiotic prescribing in primary care on antimicrobial resistance in individual patients: systematic </w:t>
      </w:r>
      <w:r w:rsidRPr="005E66E4">
        <w:rPr>
          <w:lang w:val="en-US"/>
        </w:rPr>
        <w:lastRenderedPageBreak/>
        <w:t xml:space="preserve">review and meta-analysis. </w:t>
      </w:r>
      <w:r w:rsidRPr="005E66E4">
        <w:rPr>
          <w:i/>
          <w:iCs/>
          <w:lang w:val="en-US"/>
        </w:rPr>
        <w:t>BMJ</w:t>
      </w:r>
      <w:r w:rsidRPr="005E66E4">
        <w:rPr>
          <w:lang w:val="en-US"/>
        </w:rPr>
        <w:t>, [online] 340(may18 2), pp.c2096–c2096. doi:https://doi.org/10.1136/bmj.c2096.</w:t>
      </w:r>
    </w:p>
    <w:p w14:paraId="19F09E91" w14:textId="77777777" w:rsidR="00592DD4" w:rsidRPr="005E66E4" w:rsidRDefault="00592DD4" w:rsidP="005E66E4">
      <w:pPr>
        <w:ind w:left="360"/>
        <w:rPr>
          <w:lang w:val="en-US"/>
        </w:rPr>
      </w:pPr>
      <w:r w:rsidRPr="005E66E4">
        <w:rPr>
          <w:lang w:val="en-US"/>
        </w:rPr>
        <w:t xml:space="preserve">Critchlow, E., Kuzma, A., Koelper, N., Agrawal, S., Dutcher, L. and Arya, L. (2025). Unnecessary Antibiotics in Older Female Patients with Recurrent Urinary Tract Infections. </w:t>
      </w:r>
      <w:r w:rsidRPr="005E66E4">
        <w:rPr>
          <w:i/>
          <w:iCs/>
          <w:lang w:val="en-US"/>
        </w:rPr>
        <w:t>International Urogynecology Journal</w:t>
      </w:r>
      <w:r w:rsidRPr="005E66E4">
        <w:rPr>
          <w:lang w:val="en-US"/>
        </w:rPr>
        <w:t>, 36(6), pp.1319–1326. doi:https://doi.org/10.1007/s00192-025-06141-x.</w:t>
      </w:r>
    </w:p>
    <w:p w14:paraId="3EFFDF3E" w14:textId="77777777" w:rsidR="00592DD4" w:rsidRPr="00D7585C" w:rsidRDefault="00592DD4" w:rsidP="005E66E4">
      <w:pPr>
        <w:ind w:left="360"/>
      </w:pPr>
      <w:r w:rsidRPr="00D7585C">
        <w:t xml:space="preserve">Davis, S.R., Pinkerton, J.V., Santoro, N. and Simoncini, T. (2023). Menopause—Biology, consequences, supportive care, and therapeutic options. </w:t>
      </w:r>
      <w:r w:rsidRPr="005E66E4">
        <w:rPr>
          <w:i/>
          <w:iCs/>
        </w:rPr>
        <w:t>Cell</w:t>
      </w:r>
      <w:r w:rsidRPr="00D7585C">
        <w:t>, 186(19). doi:https://doi.org/10.1016/j.cell.2023.08.016.</w:t>
      </w:r>
    </w:p>
    <w:p w14:paraId="79241AB2" w14:textId="77777777" w:rsidR="00592DD4" w:rsidRPr="005E66E4" w:rsidRDefault="00592DD4" w:rsidP="005E66E4">
      <w:pPr>
        <w:ind w:left="360"/>
        <w:rPr>
          <w:lang w:val="en-US"/>
        </w:rPr>
      </w:pPr>
      <w:r w:rsidRPr="005E66E4">
        <w:rPr>
          <w:lang w:val="en-US"/>
        </w:rPr>
        <w:t xml:space="preserve">Elmore, N., Burt, J., Abel, G., Maratos, F.A., Montague, J., Campbell, J. and Roland, M. (2016). Investigating the relationship between consultation length and patient experience: a cross-sectional study in primary care. </w:t>
      </w:r>
      <w:r w:rsidRPr="005E66E4">
        <w:rPr>
          <w:i/>
          <w:iCs/>
          <w:lang w:val="en-US"/>
        </w:rPr>
        <w:t>British Journal of General Practice</w:t>
      </w:r>
      <w:r w:rsidRPr="005E66E4">
        <w:rPr>
          <w:lang w:val="en-US"/>
        </w:rPr>
        <w:t>, 66(653), pp.e896–e903. doi:https://doi.org/10.3399/bjgp16x687733.</w:t>
      </w:r>
    </w:p>
    <w:p w14:paraId="7921224F" w14:textId="77777777" w:rsidR="00592DD4" w:rsidRPr="00782D6D" w:rsidRDefault="00592DD4" w:rsidP="005E66E4">
      <w:pPr>
        <w:ind w:left="360"/>
      </w:pPr>
      <w:r w:rsidRPr="00782D6D">
        <w:t xml:space="preserve">Engel, G.L. (1977). The Need for a New Medical model: a Challenge for Biomedicine. </w:t>
      </w:r>
      <w:r w:rsidRPr="005E66E4">
        <w:rPr>
          <w:i/>
          <w:iCs/>
        </w:rPr>
        <w:t>Science</w:t>
      </w:r>
      <w:r w:rsidRPr="00782D6D">
        <w:t>, [online] 196(4286), pp.129–136. doi:https://doi.org/10.1126/science.847460.</w:t>
      </w:r>
    </w:p>
    <w:p w14:paraId="072E3673" w14:textId="77777777" w:rsidR="00592DD4" w:rsidRPr="005E66E4" w:rsidRDefault="00592DD4" w:rsidP="005E66E4">
      <w:pPr>
        <w:ind w:left="360"/>
        <w:rPr>
          <w:lang w:val="en-US"/>
        </w:rPr>
      </w:pPr>
      <w:r w:rsidRPr="005E66E4">
        <w:rPr>
          <w:lang w:val="en-US"/>
        </w:rPr>
        <w:t xml:space="preserve">ESPAUR (2025). </w:t>
      </w:r>
      <w:r w:rsidRPr="005E66E4">
        <w:rPr>
          <w:i/>
          <w:iCs/>
          <w:lang w:val="en-US"/>
        </w:rPr>
        <w:t>English surveillance programme for antimicrobial utilisation and resistance (ESPAUR)</w:t>
      </w:r>
      <w:r w:rsidRPr="005E66E4">
        <w:rPr>
          <w:lang w:val="en-US"/>
        </w:rPr>
        <w:t>. [online] Available at: https://assets.publishing.service.gov.uk/media/6936ac34b612700b2cb73607/ESPAUR-report-2024-to-2025.pdf.</w:t>
      </w:r>
    </w:p>
    <w:p w14:paraId="12EB9619" w14:textId="77777777" w:rsidR="00592DD4" w:rsidRPr="00782D6D" w:rsidRDefault="00592DD4" w:rsidP="005E66E4">
      <w:pPr>
        <w:ind w:left="360"/>
      </w:pPr>
      <w:r w:rsidRPr="00782D6D">
        <w:t xml:space="preserve">Flores-Mireles, A.L., Walker, J.N., Caparon, M. and Hultgren, S.J. (2015). Urinary Tract infections: epidemiology, Mechanisms of Infection and Treatment Options. </w:t>
      </w:r>
      <w:r w:rsidRPr="005E66E4">
        <w:rPr>
          <w:i/>
          <w:iCs/>
        </w:rPr>
        <w:t>Nature Reviews Microbiology</w:t>
      </w:r>
      <w:r w:rsidRPr="00782D6D">
        <w:t>, [online] 13(5), pp.269–284. doi:https://doi.org/10.1038/nrmicro3432.</w:t>
      </w:r>
    </w:p>
    <w:p w14:paraId="72E9F906" w14:textId="77777777" w:rsidR="00592DD4" w:rsidRPr="005E66E4" w:rsidRDefault="00592DD4" w:rsidP="005E66E4">
      <w:pPr>
        <w:ind w:left="360"/>
        <w:rPr>
          <w:lang w:val="en-US"/>
        </w:rPr>
      </w:pPr>
      <w:r w:rsidRPr="005E66E4">
        <w:rPr>
          <w:lang w:val="en-US"/>
        </w:rPr>
        <w:t xml:space="preserve">Foxman, B. (2002). Epidemiology of urinary tract infections: incidence, morbidity, and economic costs. </w:t>
      </w:r>
      <w:r w:rsidRPr="005E66E4">
        <w:rPr>
          <w:i/>
          <w:iCs/>
          <w:lang w:val="en-US"/>
        </w:rPr>
        <w:t>The American Journal of Medicine</w:t>
      </w:r>
      <w:r w:rsidRPr="005E66E4">
        <w:rPr>
          <w:lang w:val="en-US"/>
        </w:rPr>
        <w:t>, [online] 113(1), pp.5–13. doi:https://doi.org/10.1016/s0002-9343(02)01054-9.</w:t>
      </w:r>
    </w:p>
    <w:p w14:paraId="15034103" w14:textId="77777777" w:rsidR="00592DD4" w:rsidRPr="00782D6D" w:rsidRDefault="00592DD4" w:rsidP="005E66E4">
      <w:pPr>
        <w:ind w:left="360"/>
      </w:pPr>
      <w:r w:rsidRPr="00782D6D">
        <w:t xml:space="preserve">Foxman, B. (2010). The epidemiology of urinary tract infection. </w:t>
      </w:r>
      <w:r w:rsidRPr="005E66E4">
        <w:rPr>
          <w:i/>
          <w:iCs/>
        </w:rPr>
        <w:t>Nature Reviews Urology</w:t>
      </w:r>
      <w:r w:rsidRPr="00782D6D">
        <w:t>, [online] 7(12), pp.653–660. doi:https://doi.org/10.1038/nrurol.2010.190.</w:t>
      </w:r>
    </w:p>
    <w:p w14:paraId="38E1BDDF" w14:textId="77777777" w:rsidR="00592DD4" w:rsidRPr="00782D6D" w:rsidRDefault="00592DD4" w:rsidP="005E66E4">
      <w:pPr>
        <w:ind w:left="360"/>
      </w:pPr>
      <w:r w:rsidRPr="00782D6D">
        <w:t xml:space="preserve">Foxman, B. (2014). Urinary Tract Infection Syndromes. </w:t>
      </w:r>
      <w:r w:rsidRPr="005E66E4">
        <w:rPr>
          <w:i/>
          <w:iCs/>
        </w:rPr>
        <w:t>Infectious Disease Clinics of North America</w:t>
      </w:r>
      <w:r w:rsidRPr="00782D6D">
        <w:t>, 28(1), pp.1–13. doi:https://doi.org/10.1016/j.idc.2013.09.003.</w:t>
      </w:r>
    </w:p>
    <w:p w14:paraId="473DED2D" w14:textId="77777777" w:rsidR="00592DD4" w:rsidRPr="00782D6D" w:rsidRDefault="00592DD4" w:rsidP="005E66E4">
      <w:pPr>
        <w:ind w:left="360"/>
      </w:pPr>
      <w:r w:rsidRPr="00782D6D">
        <w:lastRenderedPageBreak/>
        <w:t xml:space="preserve">Garg, A.X., Hackam, D. and Tonelli, M. (2008). Systematic Review and Meta-analysis: When One Study Is Just not Enough. </w:t>
      </w:r>
      <w:r w:rsidRPr="005E66E4">
        <w:rPr>
          <w:i/>
          <w:iCs/>
        </w:rPr>
        <w:t>Clinical Journal of the American Society of Nephrology</w:t>
      </w:r>
      <w:r w:rsidRPr="00782D6D">
        <w:t>, [online] 3(1), pp.253–260. doi:https://doi.org/10.2215/cjn.01430307.</w:t>
      </w:r>
    </w:p>
    <w:p w14:paraId="2DC0B708" w14:textId="77777777" w:rsidR="00592DD4" w:rsidRPr="005E66E4" w:rsidRDefault="00592DD4" w:rsidP="005E66E4">
      <w:pPr>
        <w:ind w:left="360"/>
        <w:rPr>
          <w:lang w:val="en-US"/>
        </w:rPr>
      </w:pPr>
      <w:r w:rsidRPr="005E66E4">
        <w:rPr>
          <w:lang w:val="en-US"/>
        </w:rPr>
        <w:t xml:space="preserve">Gov.uk (2025). </w:t>
      </w:r>
      <w:r w:rsidRPr="005E66E4">
        <w:rPr>
          <w:i/>
          <w:iCs/>
          <w:lang w:val="en-US"/>
        </w:rPr>
        <w:t>Diagnosis of Urinary Tract infections: Quick Reference Tools for Primary Care</w:t>
      </w:r>
      <w:r w:rsidRPr="005E66E4">
        <w:rPr>
          <w:lang w:val="en-US"/>
        </w:rPr>
        <w:t>. [online] GOV.UK. Available at: https://www.gov.uk/government/publications/urinary-tract-infection-diagnosis/diagnosis-of-urinary-tract-infections-quick-reference-tools-for-primary-care.</w:t>
      </w:r>
    </w:p>
    <w:p w14:paraId="553A8605" w14:textId="77777777" w:rsidR="00592DD4" w:rsidRPr="00D7585C" w:rsidRDefault="00592DD4" w:rsidP="005E66E4">
      <w:pPr>
        <w:ind w:left="360"/>
      </w:pPr>
      <w:r w:rsidRPr="00D7585C">
        <w:t xml:space="preserve">Gupta, K. and Trautner, B.W. (2013). Diagnosis and management of recurrent urinary tract infections in non-pregnant women. </w:t>
      </w:r>
      <w:r w:rsidRPr="005E66E4">
        <w:rPr>
          <w:i/>
          <w:iCs/>
        </w:rPr>
        <w:t>BMJ</w:t>
      </w:r>
      <w:r w:rsidRPr="00D7585C">
        <w:t>, 346(may29 4), pp.f3140–f3140. doi:https://doi.org/10.1136/bmj.f3140.</w:t>
      </w:r>
    </w:p>
    <w:p w14:paraId="41345F09" w14:textId="77777777" w:rsidR="00592DD4" w:rsidRPr="00782D6D" w:rsidRDefault="00592DD4" w:rsidP="005E66E4">
      <w:pPr>
        <w:ind w:left="360"/>
      </w:pPr>
      <w:r w:rsidRPr="00782D6D">
        <w:t xml:space="preserve">Gupta, K., Grigoryan, L. and Trautner, B. (2017). Urinary Tract Infection. </w:t>
      </w:r>
      <w:r w:rsidRPr="005E66E4">
        <w:rPr>
          <w:i/>
          <w:iCs/>
        </w:rPr>
        <w:t>Annals of Internal Medicine</w:t>
      </w:r>
      <w:r w:rsidRPr="00782D6D">
        <w:t>, [online] 167(7), p.ITC49. doi:https://doi.org/10.7326/aitc201710030.</w:t>
      </w:r>
    </w:p>
    <w:p w14:paraId="112EA15B" w14:textId="77777777" w:rsidR="00592DD4" w:rsidRPr="005E66E4" w:rsidRDefault="00592DD4" w:rsidP="005E66E4">
      <w:pPr>
        <w:ind w:left="360"/>
        <w:rPr>
          <w:lang w:val="en-US"/>
        </w:rPr>
      </w:pPr>
      <w:r w:rsidRPr="005E66E4">
        <w:rPr>
          <w:lang w:val="en-US"/>
        </w:rPr>
        <w:t xml:space="preserve">Gusenbauer, M. and Haddaway, N.R. (2020). Which Academic Search Systems Are Suitable for Systematic Reviews or meta‐analyses? Evaluating Retrieval Qualities of Google Scholar, PubMed, and 26 Other Resources. </w:t>
      </w:r>
      <w:r w:rsidRPr="005E66E4">
        <w:rPr>
          <w:i/>
          <w:iCs/>
          <w:lang w:val="en-US"/>
        </w:rPr>
        <w:t>Research Synthesis Methods</w:t>
      </w:r>
      <w:r w:rsidRPr="005E66E4">
        <w:rPr>
          <w:lang w:val="en-US"/>
        </w:rPr>
        <w:t>, [online] 11(2), pp.181–217. doi:https://doi.org/10.1002/jrsm.1378.</w:t>
      </w:r>
    </w:p>
    <w:p w14:paraId="44F0E5AB" w14:textId="77777777" w:rsidR="00592DD4" w:rsidRPr="005E66E4" w:rsidRDefault="00592DD4" w:rsidP="005E66E4">
      <w:pPr>
        <w:ind w:left="360"/>
        <w:rPr>
          <w:lang w:val="en-US"/>
        </w:rPr>
      </w:pPr>
      <w:r w:rsidRPr="005E66E4">
        <w:rPr>
          <w:lang w:val="en-US"/>
        </w:rPr>
        <w:t xml:space="preserve">Guyatt, G.H., Oxman, A.D., Vist, G.E., Kunz, R., Falck-Ytter, Y., Alonso-Coello, P. and Schünemann, H.J. (2008). GRADE: an emerging consensus on rating quality of evidence and strength of recommendations. </w:t>
      </w:r>
      <w:r w:rsidRPr="005E66E4">
        <w:rPr>
          <w:i/>
          <w:iCs/>
          <w:lang w:val="en-US"/>
        </w:rPr>
        <w:t>BMJ</w:t>
      </w:r>
      <w:r w:rsidRPr="005E66E4">
        <w:rPr>
          <w:lang w:val="en-US"/>
        </w:rPr>
        <w:t>, [online] 336(7650), pp.924–926. doi:https://doi.org/10.1136/bmj.39489.470347.ad.</w:t>
      </w:r>
    </w:p>
    <w:p w14:paraId="68A7A124" w14:textId="77777777" w:rsidR="00592DD4" w:rsidRPr="005E66E4" w:rsidRDefault="00592DD4" w:rsidP="005E66E4">
      <w:pPr>
        <w:ind w:left="360"/>
        <w:rPr>
          <w:lang w:val="en-US"/>
        </w:rPr>
      </w:pPr>
      <w:r w:rsidRPr="005E66E4">
        <w:rPr>
          <w:lang w:val="en-US"/>
        </w:rPr>
        <w:t xml:space="preserve">Harding, C., Mossop, H., Homer, T., Chadwick, T., King, W., Carnell, S., Lecouturier, J., Abouhajar, A., Vale, L., Watson, G., Forbes, R., Currer, S., Pickard, R., Eardley, I., Pearce, I., Thiruchelvam, N., Guerrero, K., Walton, K., Hussain, Z. and Lazarowicz, H. (2022). Alternative to prophylactic antibiotics for the treatment of recurrent urinary tract infections in women: multicentre, open label, randomised, non-inferiority trial. </w:t>
      </w:r>
      <w:r w:rsidRPr="005E66E4">
        <w:rPr>
          <w:i/>
          <w:iCs/>
          <w:lang w:val="en-US"/>
        </w:rPr>
        <w:t>BMJ</w:t>
      </w:r>
      <w:r w:rsidRPr="005E66E4">
        <w:rPr>
          <w:lang w:val="en-US"/>
        </w:rPr>
        <w:t>, [online] 376(376), p.e068229. doi:https://doi.org/10.1136/bmj-2021-0068229.</w:t>
      </w:r>
    </w:p>
    <w:p w14:paraId="01DDE1FC" w14:textId="77777777" w:rsidR="00592DD4" w:rsidRPr="005E66E4" w:rsidRDefault="00592DD4" w:rsidP="005E66E4">
      <w:pPr>
        <w:ind w:left="360"/>
        <w:rPr>
          <w:lang w:val="en-US"/>
        </w:rPr>
      </w:pPr>
      <w:r w:rsidRPr="005E66E4">
        <w:rPr>
          <w:lang w:val="en-US"/>
        </w:rPr>
        <w:t xml:space="preserve">Harimurthi, R.A., Widia, F., Situmorang, G.R., Rahardjo, H.E., Wahyudi, I., Rodjani, A. and Raharja, P.A.R. (2026). Efficacy of percutaneous tibial nerve stimulation in pediatric bladder dysfunction: A systematic review and meta-analysis. </w:t>
      </w:r>
      <w:r w:rsidRPr="005E66E4">
        <w:rPr>
          <w:i/>
          <w:iCs/>
          <w:lang w:val="en-US"/>
        </w:rPr>
        <w:t>Continence</w:t>
      </w:r>
      <w:r w:rsidRPr="005E66E4">
        <w:rPr>
          <w:lang w:val="en-US"/>
        </w:rPr>
        <w:t>, 17, pp.102316–102316. doi:https://doi.org/10.1016/j.cont.2026.102316.</w:t>
      </w:r>
    </w:p>
    <w:p w14:paraId="38333659" w14:textId="77777777" w:rsidR="00592DD4" w:rsidRPr="00782D6D" w:rsidRDefault="00592DD4" w:rsidP="005E66E4">
      <w:pPr>
        <w:ind w:left="360"/>
      </w:pPr>
      <w:r w:rsidRPr="00782D6D">
        <w:lastRenderedPageBreak/>
        <w:t xml:space="preserve">He, Y., Zhao, J., Wang, L., Han, C., Yan, R., Zhu, P., Qian, T., Yu, S., Zhu, X. and He, W. (2025). Epidemiological trends and predictions of urinary tract infections in the global burden of disease study 2021. </w:t>
      </w:r>
      <w:r w:rsidRPr="005E66E4">
        <w:rPr>
          <w:i/>
          <w:iCs/>
        </w:rPr>
        <w:t>Scientific Reports</w:t>
      </w:r>
      <w:r w:rsidRPr="00782D6D">
        <w:t>, 15(1). doi:https://doi.org/10.1038/s41598-025-89240-5.</w:t>
      </w:r>
    </w:p>
    <w:p w14:paraId="1FB8B7D9" w14:textId="77777777" w:rsidR="00592DD4" w:rsidRPr="005E66E4" w:rsidRDefault="00592DD4" w:rsidP="005E66E4">
      <w:pPr>
        <w:ind w:left="360"/>
        <w:rPr>
          <w:lang w:val="en-US"/>
        </w:rPr>
      </w:pPr>
      <w:r w:rsidRPr="005E66E4">
        <w:rPr>
          <w:lang w:val="en-US"/>
        </w:rPr>
        <w:t>Higgins , J., Thomas , J., Chandler , J., Cumpston , M., Li , T. and Page , M., et al (2024). Cochrane handbook for systematic reviews of interventions version 6.2. [online] p.-. Available at: https://cir.nii.ac.jp/crid/1370306905171816321 [Accessed 1 Feb. 2026].</w:t>
      </w:r>
    </w:p>
    <w:p w14:paraId="0C71BD34" w14:textId="77777777" w:rsidR="00592DD4" w:rsidRPr="00782D6D" w:rsidRDefault="00592DD4" w:rsidP="005E66E4">
      <w:pPr>
        <w:ind w:left="360"/>
      </w:pPr>
      <w:r w:rsidRPr="00782D6D">
        <w:t xml:space="preserve">Higgins, J.P.T. , Thomas, J. , Chandler, J. , Cumpston, M. , Li, T. , Page, M.J. , and Welch, V.A. (2019). </w:t>
      </w:r>
      <w:r w:rsidRPr="005E66E4">
        <w:rPr>
          <w:i/>
          <w:iCs/>
        </w:rPr>
        <w:t>Cochrane Handbook for Systematic Reviews of Interventions</w:t>
      </w:r>
      <w:r w:rsidRPr="00782D6D">
        <w:t>. [online] Wiley. doi:https://doi.org/10.1002/9781119536604.</w:t>
      </w:r>
    </w:p>
    <w:p w14:paraId="02741E4E" w14:textId="77777777" w:rsidR="00592DD4" w:rsidRPr="005E66E4" w:rsidRDefault="00592DD4" w:rsidP="005E66E4">
      <w:pPr>
        <w:ind w:left="360"/>
        <w:rPr>
          <w:lang w:val="en-US"/>
        </w:rPr>
      </w:pPr>
      <w:r w:rsidRPr="005E66E4">
        <w:rPr>
          <w:lang w:val="en-US"/>
        </w:rPr>
        <w:t xml:space="preserve">Hooton, T.M. (2001). Recurrent urinary tract infection in women. </w:t>
      </w:r>
      <w:r w:rsidRPr="005E66E4">
        <w:rPr>
          <w:i/>
          <w:iCs/>
          <w:lang w:val="en-US"/>
        </w:rPr>
        <w:t>International Journal of Antimicrobial Agents</w:t>
      </w:r>
      <w:r w:rsidRPr="005E66E4">
        <w:rPr>
          <w:lang w:val="en-US"/>
        </w:rPr>
        <w:t>, [online] 17(4), pp.259–268. doi:https://doi.org/10.1016/s0924-8579(00)00350-2.</w:t>
      </w:r>
    </w:p>
    <w:p w14:paraId="3BBB4278" w14:textId="77777777" w:rsidR="00592DD4" w:rsidRPr="00782D6D" w:rsidRDefault="00592DD4" w:rsidP="005E66E4">
      <w:pPr>
        <w:ind w:left="360"/>
      </w:pPr>
      <w:r w:rsidRPr="00782D6D">
        <w:t xml:space="preserve">Hooton, T.M. (2012). Uncomplicated Urinary Tract Infection. </w:t>
      </w:r>
      <w:r w:rsidRPr="005E66E4">
        <w:rPr>
          <w:i/>
          <w:iCs/>
        </w:rPr>
        <w:t>New England Journal of Medicine</w:t>
      </w:r>
      <w:r w:rsidRPr="00782D6D">
        <w:t>, 366(11), pp.1028–1037. doi:https://doi.org/10.1056/nejmcp1104429.</w:t>
      </w:r>
    </w:p>
    <w:p w14:paraId="19F1CEEA" w14:textId="77777777" w:rsidR="00592DD4" w:rsidRPr="00782D6D" w:rsidRDefault="00592DD4" w:rsidP="005E66E4">
      <w:pPr>
        <w:ind w:left="360"/>
      </w:pPr>
      <w:r w:rsidRPr="00782D6D">
        <w:t xml:space="preserve">Ioannidis, J.P.A. (2016). Why Most Clinical Research Is Not Useful. </w:t>
      </w:r>
      <w:r w:rsidRPr="005E66E4">
        <w:rPr>
          <w:i/>
          <w:iCs/>
        </w:rPr>
        <w:t>PLOS Medicine</w:t>
      </w:r>
      <w:r w:rsidRPr="00782D6D">
        <w:t>, [online] 13(6), p.e1002049. doi:https://doi.org/10.1371/journal.pmed.1002049.</w:t>
      </w:r>
    </w:p>
    <w:p w14:paraId="6C9B9EE7" w14:textId="77777777" w:rsidR="00592DD4" w:rsidRPr="005E66E4" w:rsidRDefault="00592DD4" w:rsidP="005E66E4">
      <w:pPr>
        <w:ind w:left="360"/>
        <w:rPr>
          <w:lang w:val="en-US"/>
        </w:rPr>
      </w:pPr>
      <w:r w:rsidRPr="005E66E4">
        <w:rPr>
          <w:lang w:val="en-US"/>
        </w:rPr>
        <w:t xml:space="preserve">Jacobsen, S.M., Stickler, D.J., Mobley, H.L.T. and Shirtliff, M.E. (2008). Complicated Catheter-Associated Urinary Tract Infections Due to Escherichia coli and Proteus mirabilis. </w:t>
      </w:r>
      <w:r w:rsidRPr="005E66E4">
        <w:rPr>
          <w:i/>
          <w:iCs/>
          <w:lang w:val="en-US"/>
        </w:rPr>
        <w:t>Clinical Microbiology Reviews</w:t>
      </w:r>
      <w:r w:rsidRPr="005E66E4">
        <w:rPr>
          <w:lang w:val="en-US"/>
        </w:rPr>
        <w:t>, [online] 21(1), pp.26–59. doi:https://doi.org/10.1128/cmr.00019-07.</w:t>
      </w:r>
    </w:p>
    <w:p w14:paraId="292BF117" w14:textId="77777777" w:rsidR="00592DD4" w:rsidRPr="00782D6D" w:rsidRDefault="00592DD4" w:rsidP="005E66E4">
      <w:pPr>
        <w:ind w:left="360"/>
      </w:pPr>
      <w:r w:rsidRPr="00782D6D">
        <w:t xml:space="preserve">Jangid, H., Shidiki, A. and Kumar, G. (2025). Cranberry-derived bioactives for the prevention and treatment of urinary tract infections: antimicrobial mechanisms and global research trends in nutraceutical applications. </w:t>
      </w:r>
      <w:r w:rsidRPr="005E66E4">
        <w:rPr>
          <w:i/>
          <w:iCs/>
        </w:rPr>
        <w:t>Frontiers in Nutrition</w:t>
      </w:r>
      <w:r w:rsidRPr="00782D6D">
        <w:t>, [online] 12. doi:https://doi.org/10.3389/fnut.2025.1502720.</w:t>
      </w:r>
    </w:p>
    <w:p w14:paraId="15CCCBDC" w14:textId="77777777" w:rsidR="00592DD4" w:rsidRPr="005E66E4" w:rsidRDefault="00592DD4" w:rsidP="005E66E4">
      <w:pPr>
        <w:ind w:left="360"/>
        <w:rPr>
          <w:lang w:val="en-US"/>
        </w:rPr>
      </w:pPr>
      <w:r w:rsidRPr="005E66E4">
        <w:rPr>
          <w:lang w:val="en-US"/>
        </w:rPr>
        <w:t xml:space="preserve">JBI (2021). </w:t>
      </w:r>
      <w:r w:rsidRPr="005E66E4">
        <w:rPr>
          <w:i/>
          <w:iCs/>
          <w:lang w:val="en-US"/>
        </w:rPr>
        <w:t>JBI Manual for Evidence Synthesis</w:t>
      </w:r>
      <w:r w:rsidRPr="005E66E4">
        <w:rPr>
          <w:lang w:val="en-US"/>
        </w:rPr>
        <w:t>. [online] Refined.site. Available at: https://jbi-global-wiki.refined.site/space/MANUAL.</w:t>
      </w:r>
    </w:p>
    <w:p w14:paraId="6CB57BDA" w14:textId="77777777" w:rsidR="00592DD4" w:rsidRPr="005E66E4" w:rsidRDefault="00592DD4" w:rsidP="005E66E4">
      <w:pPr>
        <w:ind w:left="360"/>
        <w:rPr>
          <w:lang w:val="en-US"/>
        </w:rPr>
      </w:pPr>
      <w:r w:rsidRPr="005E66E4">
        <w:rPr>
          <w:lang w:val="en-US"/>
        </w:rPr>
        <w:t xml:space="preserve">Joseph, A. (2020). The Diagnosis and Management of UTI in &gt;65s: To Dipstick or Not? The Argument Against Dipsticks. </w:t>
      </w:r>
      <w:r w:rsidRPr="005E66E4">
        <w:rPr>
          <w:i/>
          <w:iCs/>
          <w:lang w:val="en-US"/>
        </w:rPr>
        <w:t>Infection Prevention in Practice</w:t>
      </w:r>
      <w:r w:rsidRPr="005E66E4">
        <w:rPr>
          <w:lang w:val="en-US"/>
        </w:rPr>
        <w:t>, 2(3), p.100063. doi:https://doi.org/10.1016/j.infpip.2020.100063.</w:t>
      </w:r>
    </w:p>
    <w:p w14:paraId="095D5E99" w14:textId="77777777" w:rsidR="00592DD4" w:rsidRPr="005E66E4" w:rsidRDefault="00592DD4" w:rsidP="005E66E4">
      <w:pPr>
        <w:ind w:left="360"/>
        <w:rPr>
          <w:lang w:val="en-US"/>
        </w:rPr>
      </w:pPr>
      <w:r w:rsidRPr="005E66E4">
        <w:rPr>
          <w:lang w:val="en-US"/>
        </w:rPr>
        <w:lastRenderedPageBreak/>
        <w:t xml:space="preserve">Joseph, A. (2020). The Diagnosis and Management of UTI in &gt;65s: To Dipstick or Not? The Argument Against Dipsticks. </w:t>
      </w:r>
      <w:r w:rsidRPr="005E66E4">
        <w:rPr>
          <w:i/>
          <w:iCs/>
          <w:lang w:val="en-US"/>
        </w:rPr>
        <w:t>Infection Prevention in Practice</w:t>
      </w:r>
      <w:r w:rsidRPr="005E66E4">
        <w:rPr>
          <w:lang w:val="en-US"/>
        </w:rPr>
        <w:t>, 2(3), p.100063. doi:https://doi.org/10.1016/j.infpip.2020.100063.</w:t>
      </w:r>
    </w:p>
    <w:p w14:paraId="5E02C58F" w14:textId="77777777" w:rsidR="00592DD4" w:rsidRPr="005E66E4" w:rsidRDefault="00592DD4" w:rsidP="005E66E4">
      <w:pPr>
        <w:ind w:left="360"/>
        <w:rPr>
          <w:lang w:val="en-US"/>
        </w:rPr>
      </w:pPr>
      <w:r w:rsidRPr="005E66E4">
        <w:rPr>
          <w:lang w:val="en-US"/>
        </w:rPr>
        <w:t xml:space="preserve">King, W., Homer, T., Harding, C., Mossop, H., Chadwick, T., Abouhajar, A. and Vale, L. (2024). Cost-effectiveness of methenamine hippurate compared with antibiotic prophylaxis for the management of recurrent urinary tract infections in secondary care: a multicentre, open-label, randomised, non-inferiority trial. </w:t>
      </w:r>
      <w:r w:rsidRPr="005E66E4">
        <w:rPr>
          <w:i/>
          <w:iCs/>
          <w:lang w:val="en-US"/>
        </w:rPr>
        <w:t>BMJ Open</w:t>
      </w:r>
      <w:r w:rsidRPr="005E66E4">
        <w:rPr>
          <w:lang w:val="en-US"/>
        </w:rPr>
        <w:t>, [online] 14(4), p.e074445. doi:https://doi.org/10.1136/bmjopen-2023-074445.</w:t>
      </w:r>
    </w:p>
    <w:p w14:paraId="2B61DEB6" w14:textId="77777777" w:rsidR="00592DD4" w:rsidRPr="005E66E4" w:rsidRDefault="00592DD4" w:rsidP="005E66E4">
      <w:pPr>
        <w:ind w:left="360"/>
        <w:rPr>
          <w:lang w:val="en-US"/>
        </w:rPr>
      </w:pPr>
      <w:r w:rsidRPr="005E66E4">
        <w:rPr>
          <w:lang w:val="en-US"/>
        </w:rPr>
        <w:t xml:space="preserve">Kranz, J., Bartoletti, R., Franck Bruyère, Cai, T., Geerlings, S., Bela Köves, Schubert, S., Pilatz, A., Rajan Veeratterapillay, Florian, Bausch, K., Wout Devlies, József Horváth, Leitner, L., Mantica, G., Mezei, T., Smith, E.J. and Gernot Bonkat (2024). European Association of Urology Guidelines on Urological Infections: Summary of the 2024 Guidelines. </w:t>
      </w:r>
      <w:r w:rsidRPr="005E66E4">
        <w:rPr>
          <w:i/>
          <w:iCs/>
          <w:lang w:val="en-US"/>
        </w:rPr>
        <w:t>European Urology</w:t>
      </w:r>
      <w:r w:rsidRPr="005E66E4">
        <w:rPr>
          <w:lang w:val="en-US"/>
        </w:rPr>
        <w:t>, 86(1). doi:https://doi.org/10.1016/j.eururo.2024.03.035.</w:t>
      </w:r>
    </w:p>
    <w:p w14:paraId="64A9A4D6" w14:textId="77777777" w:rsidR="00592DD4" w:rsidRPr="00592DD4" w:rsidRDefault="00592DD4" w:rsidP="00592DD4">
      <w:pPr>
        <w:ind w:left="360"/>
        <w:rPr>
          <w:lang w:val="en-US"/>
        </w:rPr>
      </w:pPr>
      <w:r w:rsidRPr="00592DD4">
        <w:rPr>
          <w:lang w:val="en-US"/>
        </w:rPr>
        <w:t xml:space="preserve">Kurotschka, P.K., Borgulya, G., Bucher, E., Endrich, I., Figueiras, A., Gensichen, J., Hay, A.D., Hapfelmeier, A., Kretzschmann, C., Kurzai, O., Lam, T.-T., Massidda, O., Sanftenberg, L., Schmiemann, G., Schneider, A., Simmenroth, A., Stark, S., Warkentin, L., Ebell, M.H. and Gàgyor, I. (2024). Dipsticks and point-of-care Microscopy to reduce antibiotic use in women with an uncomplicated Urinary Tract Infection (MicUTI): protocol of a randomised controlled pilot trial in primary care. </w:t>
      </w:r>
      <w:r w:rsidRPr="00592DD4">
        <w:rPr>
          <w:i/>
          <w:iCs/>
          <w:lang w:val="en-US"/>
        </w:rPr>
        <w:t>BMJ open</w:t>
      </w:r>
      <w:r w:rsidRPr="00592DD4">
        <w:rPr>
          <w:lang w:val="en-US"/>
        </w:rPr>
        <w:t>, [online] 14(3), p.e079345. doi:https://doi.org/10.1136/bmjopen-2023-079345.</w:t>
      </w:r>
    </w:p>
    <w:p w14:paraId="5B2592D6" w14:textId="77777777" w:rsidR="00592DD4" w:rsidRPr="005E66E4" w:rsidRDefault="00592DD4" w:rsidP="005E66E4">
      <w:pPr>
        <w:ind w:left="360"/>
        <w:rPr>
          <w:lang w:val="en-US"/>
        </w:rPr>
      </w:pPr>
      <w:r w:rsidRPr="005E66E4">
        <w:rPr>
          <w:lang w:val="en-US"/>
        </w:rPr>
        <w:t xml:space="preserve">Lau, T., Nurek, M., Singhal, A., Moore, L., Mughal, N. and Singh, S. (2024). Point-of-care tests, diagnostic uncertainty and antimicrobial stewardship in the ICU: procalcitonin or PCR to aid antibiotic-stop decisions – an observational cohort study. </w:t>
      </w:r>
      <w:r w:rsidRPr="005E66E4">
        <w:rPr>
          <w:i/>
          <w:iCs/>
          <w:lang w:val="en-US"/>
        </w:rPr>
        <w:t>BMJ Open</w:t>
      </w:r>
      <w:r w:rsidRPr="005E66E4">
        <w:rPr>
          <w:lang w:val="en-US"/>
        </w:rPr>
        <w:t>, [online] 14(12), pp.e084872–e084872. doi:https://doi.org/10.1136/bmjopen-2024-084872.</w:t>
      </w:r>
    </w:p>
    <w:p w14:paraId="4B7F0790" w14:textId="77777777" w:rsidR="00592DD4" w:rsidRPr="005E66E4" w:rsidRDefault="00592DD4" w:rsidP="005E66E4">
      <w:pPr>
        <w:ind w:left="360"/>
        <w:rPr>
          <w:lang w:val="en-US"/>
        </w:rPr>
      </w:pPr>
      <w:r w:rsidRPr="005E66E4">
        <w:rPr>
          <w:lang w:val="en-US"/>
        </w:rPr>
        <w:t xml:space="preserve">Lewin, S., Booth, A., Glenton, C., Munthe-Kaas, H., Rashidian, A., Wainwright, M., Bohren, M.A., Tunçalp, Ö., Colvin, C.J., Garside, R., Carlsen, B., Langlois, E.V. and Noyes, J. (2018). Applying GRADE-CERQual to qualitative evidence synthesis findings: introduction to the series. </w:t>
      </w:r>
      <w:r w:rsidRPr="005E66E4">
        <w:rPr>
          <w:i/>
          <w:iCs/>
          <w:lang w:val="en-US"/>
        </w:rPr>
        <w:t>Implementation Science</w:t>
      </w:r>
      <w:r w:rsidRPr="005E66E4">
        <w:rPr>
          <w:lang w:val="en-US"/>
        </w:rPr>
        <w:t>, [online] 13(S1). doi:https://doi.org/10.1186/s13012-017-0688-3.</w:t>
      </w:r>
    </w:p>
    <w:p w14:paraId="635207C3" w14:textId="77777777" w:rsidR="00592DD4" w:rsidRPr="005E66E4" w:rsidRDefault="00592DD4" w:rsidP="005E66E4">
      <w:pPr>
        <w:ind w:left="360"/>
        <w:rPr>
          <w:lang w:val="en-US"/>
        </w:rPr>
      </w:pPr>
      <w:r w:rsidRPr="005E66E4">
        <w:rPr>
          <w:lang w:val="en-US"/>
        </w:rPr>
        <w:lastRenderedPageBreak/>
        <w:t xml:space="preserve">Leydon, G.M., Turner, S., Smith, H. and Little, P. (2010). Women’s views about management and cause of urinary tract infection: qualitative interview study. </w:t>
      </w:r>
      <w:r w:rsidRPr="005E66E4">
        <w:rPr>
          <w:i/>
          <w:iCs/>
          <w:lang w:val="en-US"/>
        </w:rPr>
        <w:t>BMJ</w:t>
      </w:r>
      <w:r w:rsidRPr="005E66E4">
        <w:rPr>
          <w:lang w:val="en-US"/>
        </w:rPr>
        <w:t>, 340(feb05 1), pp.c279–c279. doi:https://doi.org/10.1136/bmj.c279.</w:t>
      </w:r>
    </w:p>
    <w:p w14:paraId="5D00A59F" w14:textId="77777777" w:rsidR="00592DD4" w:rsidRPr="005E66E4" w:rsidRDefault="00592DD4" w:rsidP="005E66E4">
      <w:pPr>
        <w:ind w:left="360"/>
        <w:rPr>
          <w:lang w:val="en-US"/>
        </w:rPr>
      </w:pPr>
      <w:r w:rsidRPr="005E66E4">
        <w:rPr>
          <w:lang w:val="en-US"/>
        </w:rPr>
        <w:t xml:space="preserve">Leydon, G.M., Turner, S., Smith, H., Little, P. and Team, on behalf of the U. (2009). The journey from self-care to GP care: a qualitative interview study of women presenting with symptoms of urinary tract infection. </w:t>
      </w:r>
      <w:r w:rsidRPr="005E66E4">
        <w:rPr>
          <w:i/>
          <w:iCs/>
          <w:lang w:val="en-US"/>
        </w:rPr>
        <w:t>British Journal of General Practice</w:t>
      </w:r>
      <w:r w:rsidRPr="005E66E4">
        <w:rPr>
          <w:lang w:val="en-US"/>
        </w:rPr>
        <w:t>, [online] 59(564), pp.e219–e225. doi:https://doi.org/10.3399/bjgp09X453459.</w:t>
      </w:r>
    </w:p>
    <w:p w14:paraId="7CDEA02C" w14:textId="77777777" w:rsidR="00592DD4" w:rsidRPr="00782D6D" w:rsidRDefault="00592DD4" w:rsidP="005E66E4">
      <w:pPr>
        <w:ind w:left="360"/>
      </w:pPr>
      <w:r w:rsidRPr="00782D6D">
        <w:t xml:space="preserve">Mancuso, G., Midiri, A., Gerace, E., Marra, M., Zummo, S. and Biondo, C. (2023). Urinary Tract Infections: The Current Scenario and Future Prospects. </w:t>
      </w:r>
      <w:r w:rsidRPr="005E66E4">
        <w:rPr>
          <w:i/>
          <w:iCs/>
        </w:rPr>
        <w:t>Pathogens</w:t>
      </w:r>
      <w:r w:rsidRPr="00782D6D">
        <w:t>, [online] 12(4), p.623. doi:https://doi.org/10.3390/pathogens12040623.</w:t>
      </w:r>
    </w:p>
    <w:p w14:paraId="03B3A8E8" w14:textId="77777777" w:rsidR="00592DD4" w:rsidRPr="005E66E4" w:rsidRDefault="00592DD4" w:rsidP="005E66E4">
      <w:pPr>
        <w:ind w:left="360"/>
        <w:rPr>
          <w:lang w:val="en-US"/>
        </w:rPr>
      </w:pPr>
      <w:r w:rsidRPr="005E66E4">
        <w:rPr>
          <w:lang w:val="en-US"/>
        </w:rPr>
        <w:t xml:space="preserve">McGowan, J., Sampson, M., Salzwedel, D.M., Cogo, E., Foerster, V. and Lefebvre, C. (2016). PRESS Peer Review of Electronic Search Strategies: 2015 Guideline Statement. </w:t>
      </w:r>
      <w:r w:rsidRPr="005E66E4">
        <w:rPr>
          <w:i/>
          <w:iCs/>
          <w:lang w:val="en-US"/>
        </w:rPr>
        <w:t>Journal of Clinical Epidemiology</w:t>
      </w:r>
      <w:r w:rsidRPr="005E66E4">
        <w:rPr>
          <w:lang w:val="en-US"/>
        </w:rPr>
        <w:t>, [online] 75(1), pp.40–46. Available at: https://www.sciencedirect.com/science/article/pii/S0895435616000585.</w:t>
      </w:r>
    </w:p>
    <w:p w14:paraId="1E637592" w14:textId="77777777" w:rsidR="00592DD4" w:rsidRPr="00782D6D" w:rsidRDefault="00592DD4" w:rsidP="005E66E4">
      <w:pPr>
        <w:ind w:left="360"/>
      </w:pPr>
      <w:r w:rsidRPr="00782D6D">
        <w:t xml:space="preserve">Medina, M. and Castillo-Pino, E. (2019). An introduction to the epidemiology and burden of urinary tract infections. </w:t>
      </w:r>
      <w:r w:rsidRPr="005E66E4">
        <w:rPr>
          <w:i/>
          <w:iCs/>
        </w:rPr>
        <w:t>Therapeutic Advances in Urology</w:t>
      </w:r>
      <w:r w:rsidRPr="00782D6D">
        <w:t>, 11(1), p.175628721983217. doi:https://doi.org/10.1177/1756287219832172.</w:t>
      </w:r>
    </w:p>
    <w:p w14:paraId="68A218BC" w14:textId="77777777" w:rsidR="00592DD4" w:rsidRPr="00782D6D" w:rsidRDefault="00592DD4" w:rsidP="005E66E4">
      <w:pPr>
        <w:ind w:left="360"/>
      </w:pPr>
      <w:r w:rsidRPr="00782D6D">
        <w:t xml:space="preserve">Methley, A.M., Campbell, S., Chew-Graham, C., McNally, R. and Cheraghi-Sohi, S. (2014). PICO, PICOS and SPIDER: a Comparison Study of Specificity and Sensitivity in Three Search Tools for Qualitative Systematic Reviews. </w:t>
      </w:r>
      <w:r w:rsidRPr="005E66E4">
        <w:rPr>
          <w:i/>
          <w:iCs/>
        </w:rPr>
        <w:t>BMC Health Services Research</w:t>
      </w:r>
      <w:r w:rsidRPr="00782D6D">
        <w:t>, 14(1), pp.1–10. doi:https://doi.org/10.1186/s12913-014-0579-0.</w:t>
      </w:r>
    </w:p>
    <w:p w14:paraId="2D9BD511" w14:textId="77777777" w:rsidR="00592DD4" w:rsidRPr="00782D6D" w:rsidRDefault="00592DD4" w:rsidP="005E66E4">
      <w:pPr>
        <w:ind w:left="360"/>
      </w:pPr>
      <w:r w:rsidRPr="00782D6D">
        <w:t xml:space="preserve">Micaela, C., Garegnani, L., Garrote, V., Iván Solà and Víctor, J. (2023). Search strategies (filters) to identify systematic reviews in MEDLINE and Embase. </w:t>
      </w:r>
      <w:r w:rsidRPr="005E66E4">
        <w:rPr>
          <w:i/>
          <w:iCs/>
        </w:rPr>
        <w:t>The Cochrane library</w:t>
      </w:r>
      <w:r w:rsidRPr="00782D6D">
        <w:t>, 2023(9). doi:https://doi.org/10.1002/14651858.mr000054.pub2.</w:t>
      </w:r>
    </w:p>
    <w:p w14:paraId="4E49AED0" w14:textId="77777777" w:rsidR="00592DD4" w:rsidRPr="00D7585C" w:rsidRDefault="00592DD4" w:rsidP="005E66E4">
      <w:pPr>
        <w:ind w:left="360"/>
      </w:pPr>
      <w:r w:rsidRPr="00D7585C">
        <w:t xml:space="preserve">Micek, S.T., Vazquez Guillamet, M.C., Reynolds, D., Matuszak, S., Kolodziej, L. and Kollef, M.H. (2025). Optimal antibiotic use in the intensive care unit. </w:t>
      </w:r>
      <w:r w:rsidRPr="005E66E4">
        <w:rPr>
          <w:i/>
          <w:iCs/>
        </w:rPr>
        <w:t>Critical care (London, England)</w:t>
      </w:r>
      <w:r w:rsidRPr="00D7585C">
        <w:t>, [online] 29(1), p.434. doi:https://doi.org/10.1186/s13054-025-05653-8.</w:t>
      </w:r>
    </w:p>
    <w:p w14:paraId="7BC43FE5" w14:textId="77777777" w:rsidR="00592DD4" w:rsidRPr="005E66E4" w:rsidRDefault="00592DD4" w:rsidP="005E66E4">
      <w:pPr>
        <w:ind w:left="360"/>
        <w:rPr>
          <w:lang w:val="en-US"/>
        </w:rPr>
      </w:pPr>
      <w:r w:rsidRPr="005E66E4">
        <w:rPr>
          <w:lang w:val="en-US"/>
        </w:rPr>
        <w:t xml:space="preserve">Mishra, B., Srivastava, R., Agarwal, J., Srivastava, S. and Pandey, A. (2016). Behavioral and Psychosocial Risk Factors Associated with First and Recurrent Cystitis in Indian Women: A Case-control Study. </w:t>
      </w:r>
      <w:r w:rsidRPr="005E66E4">
        <w:rPr>
          <w:i/>
          <w:iCs/>
          <w:lang w:val="en-US"/>
        </w:rPr>
        <w:t xml:space="preserve">Indian Journal of Community Medicine : Official Publication of Indian </w:t>
      </w:r>
      <w:r w:rsidRPr="005E66E4">
        <w:rPr>
          <w:i/>
          <w:iCs/>
          <w:lang w:val="en-US"/>
        </w:rPr>
        <w:lastRenderedPageBreak/>
        <w:t>Association of Preventive &amp; Social Medicine</w:t>
      </w:r>
      <w:r w:rsidRPr="005E66E4">
        <w:rPr>
          <w:lang w:val="en-US"/>
        </w:rPr>
        <w:t>, [online] 41(1), pp.27–33. doi:https://doi.org/10.4103/0970-0218.170962.</w:t>
      </w:r>
    </w:p>
    <w:p w14:paraId="32D42855" w14:textId="77777777" w:rsidR="00592DD4" w:rsidRPr="00782D6D" w:rsidRDefault="00592DD4" w:rsidP="005E66E4">
      <w:pPr>
        <w:ind w:left="360"/>
      </w:pPr>
      <w:r w:rsidRPr="00782D6D">
        <w:t xml:space="preserve">Moher, D., Liberati, A., Tetzlaff, J. and Altman, D.G. (2009). Preferred reporting items for systematic reviews and meta-analyses: The PRISMA statement. </w:t>
      </w:r>
      <w:r w:rsidRPr="005E66E4">
        <w:rPr>
          <w:i/>
          <w:iCs/>
        </w:rPr>
        <w:t>PLoS Medicine</w:t>
      </w:r>
      <w:r w:rsidRPr="00782D6D">
        <w:t>, [online] 6(7), p.e1000097. doi:https://doi.org/10.1371/journal.pmed.1000097.</w:t>
      </w:r>
    </w:p>
    <w:p w14:paraId="101C0D56" w14:textId="77777777" w:rsidR="00592DD4" w:rsidRPr="00782D6D" w:rsidRDefault="00592DD4" w:rsidP="005E66E4">
      <w:pPr>
        <w:ind w:left="360"/>
      </w:pPr>
      <w:r w:rsidRPr="00782D6D">
        <w:t xml:space="preserve">Moola, S., Munn, Z., Sears, K., Sfetcu, R., Currie, M., Lisy, K., Tufanaru, C., Qureshi, R., Mattis, P. and Mu, P. (2015). Conducting Systematic Reviews of Association (etiology). </w:t>
      </w:r>
      <w:r w:rsidRPr="005E66E4">
        <w:rPr>
          <w:i/>
          <w:iCs/>
        </w:rPr>
        <w:t>International Journal of Evidence-Based Healthcare</w:t>
      </w:r>
      <w:r w:rsidRPr="00782D6D">
        <w:t>, [online] 13(3), pp.163–169. doi:https://doi.org/10.1097/XEB.0000000000000064.</w:t>
      </w:r>
    </w:p>
    <w:p w14:paraId="1F386886" w14:textId="77777777" w:rsidR="00592DD4" w:rsidRPr="00782D6D" w:rsidRDefault="00592DD4" w:rsidP="005E66E4">
      <w:pPr>
        <w:ind w:left="360"/>
      </w:pPr>
      <w:r w:rsidRPr="00782D6D">
        <w:t xml:space="preserve">NHS (2022). </w:t>
      </w:r>
      <w:r w:rsidRPr="005E66E4">
        <w:rPr>
          <w:i/>
          <w:iCs/>
        </w:rPr>
        <w:t>Urinary tract infections (UTIs)</w:t>
      </w:r>
      <w:r w:rsidRPr="00782D6D">
        <w:t>. [online] NHS. Available at: https://www.nhs.uk/conditions/urinary-tract-infections-utis/.</w:t>
      </w:r>
    </w:p>
    <w:p w14:paraId="520E8CB5" w14:textId="77777777" w:rsidR="00592DD4" w:rsidRPr="00782D6D" w:rsidRDefault="00592DD4" w:rsidP="005E66E4">
      <w:pPr>
        <w:ind w:left="360"/>
      </w:pPr>
      <w:r w:rsidRPr="00782D6D">
        <w:t xml:space="preserve">NICE (2018). </w:t>
      </w:r>
      <w:r w:rsidRPr="005E66E4">
        <w:rPr>
          <w:i/>
          <w:iCs/>
        </w:rPr>
        <w:t>Overview | Urinary Tract Infection (lower): Antimicrobial Prescribing | Guidance | NICE</w:t>
      </w:r>
      <w:r w:rsidRPr="00782D6D">
        <w:t>. [online] Nice.org.uk. Available at: https://www.nice.org.uk/guidance/ng109.</w:t>
      </w:r>
    </w:p>
    <w:p w14:paraId="1338E628" w14:textId="77777777" w:rsidR="00592DD4" w:rsidRPr="005E66E4" w:rsidRDefault="00592DD4" w:rsidP="005E66E4">
      <w:pPr>
        <w:ind w:left="360"/>
        <w:rPr>
          <w:lang w:val="en-US"/>
        </w:rPr>
      </w:pPr>
      <w:r w:rsidRPr="005E66E4">
        <w:rPr>
          <w:lang w:val="en-US"/>
        </w:rPr>
        <w:t xml:space="preserve">NICE (2018). </w:t>
      </w:r>
      <w:r w:rsidRPr="005E66E4">
        <w:rPr>
          <w:i/>
          <w:iCs/>
          <w:lang w:val="en-US"/>
        </w:rPr>
        <w:t>Overview | Urinary Tract Infection (Recurrent): Antimicrobial Prescribing | Guidance | NICE</w:t>
      </w:r>
      <w:r w:rsidRPr="005E66E4">
        <w:rPr>
          <w:lang w:val="en-US"/>
        </w:rPr>
        <w:t>. [online] Nice.org.uk. Available at: https://www.nice.org.uk/guidance/ng112.</w:t>
      </w:r>
    </w:p>
    <w:p w14:paraId="08E23D50" w14:textId="77777777" w:rsidR="00592DD4" w:rsidRPr="00782D6D" w:rsidRDefault="00592DD4" w:rsidP="005E66E4">
      <w:pPr>
        <w:ind w:left="360"/>
      </w:pPr>
      <w:r w:rsidRPr="00782D6D">
        <w:t xml:space="preserve">Nicolle, L.E. (2008). Uncomplicated Urinary Tract Infection in Adults Including Uncomplicated Pyelonephritis. </w:t>
      </w:r>
      <w:r w:rsidRPr="005E66E4">
        <w:rPr>
          <w:i/>
          <w:iCs/>
        </w:rPr>
        <w:t>Urologic Clinics of North America</w:t>
      </w:r>
      <w:r w:rsidRPr="00782D6D">
        <w:t>, 35(1), pp.1–12. doi:https://doi.org/10.1016/j.ucl.2007.09.004.</w:t>
      </w:r>
    </w:p>
    <w:p w14:paraId="6A56E30D" w14:textId="77777777" w:rsidR="00592DD4" w:rsidRPr="005E66E4" w:rsidRDefault="00592DD4" w:rsidP="005E66E4">
      <w:pPr>
        <w:ind w:left="360"/>
        <w:rPr>
          <w:lang w:val="en-US"/>
        </w:rPr>
      </w:pPr>
      <w:r w:rsidRPr="005E66E4">
        <w:rPr>
          <w:lang w:val="en-US"/>
        </w:rPr>
        <w:t xml:space="preserve">Nicolle, L.E., Gupta, K., Bradley, S.F., Colgan, R., DeMuri, G.P., Drekonja, D., Eckert, L.O., Geerlings, S.E., Köves, B., Hooton, T.M., Juthani-Mehta, M., Knight, S.L., Saint, S., Schaeffer, A.J., Trautner, B., Wullt, B. and Siemieniuk, R. (2019). Clinical Practice Guideline for the Management of Asymptomatic Bacteriuria: 2019 Update by the Infectious Diseases Society of Americaa. </w:t>
      </w:r>
      <w:r w:rsidRPr="005E66E4">
        <w:rPr>
          <w:i/>
          <w:iCs/>
          <w:lang w:val="en-US"/>
        </w:rPr>
        <w:t>Clinical Infectious Diseases</w:t>
      </w:r>
      <w:r w:rsidRPr="005E66E4">
        <w:rPr>
          <w:lang w:val="en-US"/>
        </w:rPr>
        <w:t>, [online] 68(10). doi:https://doi.org/10.1093/cid/ciy1121.</w:t>
      </w:r>
    </w:p>
    <w:p w14:paraId="22516462" w14:textId="77777777" w:rsidR="00592DD4" w:rsidRPr="00782D6D" w:rsidRDefault="00592DD4" w:rsidP="005E66E4">
      <w:pPr>
        <w:ind w:left="360"/>
      </w:pPr>
      <w:r w:rsidRPr="00782D6D">
        <w:t xml:space="preserve">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w:t>
      </w:r>
      <w:r w:rsidRPr="00782D6D">
        <w:lastRenderedPageBreak/>
        <w:t xml:space="preserve">systematic reviews. </w:t>
      </w:r>
      <w:r w:rsidRPr="005E66E4">
        <w:rPr>
          <w:i/>
          <w:iCs/>
        </w:rPr>
        <w:t>British Medical Journal</w:t>
      </w:r>
      <w:r w:rsidRPr="00782D6D">
        <w:t>, [online] 372(71). doi:https://doi.org/10.1136/bmj.n71.</w:t>
      </w:r>
    </w:p>
    <w:p w14:paraId="2784C457" w14:textId="77777777" w:rsidR="00592DD4" w:rsidRPr="005E66E4" w:rsidRDefault="00592DD4" w:rsidP="005E66E4">
      <w:pPr>
        <w:ind w:left="360"/>
        <w:rPr>
          <w:lang w:val="en-US"/>
        </w:rPr>
      </w:pPr>
      <w:r w:rsidRPr="005E66E4">
        <w:rPr>
          <w:lang w:val="en-US"/>
        </w:rPr>
        <w:t xml:space="preserve">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systematic reviews. </w:t>
      </w:r>
      <w:r w:rsidRPr="005E66E4">
        <w:rPr>
          <w:i/>
          <w:iCs/>
          <w:lang w:val="en-US"/>
        </w:rPr>
        <w:t>British Medical Journal</w:t>
      </w:r>
      <w:r w:rsidRPr="005E66E4">
        <w:rPr>
          <w:lang w:val="en-US"/>
        </w:rPr>
        <w:t>, [online] 372(71). doi:https://doi.org/10.1136/bmj.n71.</w:t>
      </w:r>
    </w:p>
    <w:p w14:paraId="2B6D150C" w14:textId="77777777" w:rsidR="00592DD4" w:rsidRPr="00782D6D" w:rsidRDefault="00592DD4" w:rsidP="005E66E4">
      <w:pPr>
        <w:ind w:left="360"/>
      </w:pPr>
      <w:r w:rsidRPr="00782D6D">
        <w:t xml:space="preserve">Perrin, O.D., Cho, J., Cokely, E.T., Allan, J.N., Feltz, A. and Garcia-Retamero, R. (2025). Numerate people are less likely to be biased by regular science reporting: the critical roles of scientific reasoning and causal misunderstanding. </w:t>
      </w:r>
      <w:r w:rsidRPr="005E66E4">
        <w:rPr>
          <w:i/>
          <w:iCs/>
        </w:rPr>
        <w:t>Cognitive Research Principles and Implications</w:t>
      </w:r>
      <w:r w:rsidRPr="00782D6D">
        <w:t>, 10(1). doi:https://doi.org/10.1186/s41235-025-00641-6.</w:t>
      </w:r>
    </w:p>
    <w:p w14:paraId="12CD463A" w14:textId="77777777" w:rsidR="00592DD4" w:rsidRPr="005E66E4" w:rsidRDefault="00592DD4" w:rsidP="005E66E4">
      <w:pPr>
        <w:ind w:left="360"/>
        <w:rPr>
          <w:lang w:val="en-US"/>
        </w:rPr>
      </w:pPr>
      <w:r w:rsidRPr="005E66E4">
        <w:rPr>
          <w:lang w:val="en-US"/>
        </w:rPr>
        <w:t xml:space="preserve">Perrotta, C., Aznar, M., Mejia, R., Albert, X. and Ng, C.W. (2008). Oestrogens for preventing recurrent urinary tract infection in postmenopausal women. </w:t>
      </w:r>
      <w:r w:rsidRPr="005E66E4">
        <w:rPr>
          <w:i/>
          <w:iCs/>
          <w:lang w:val="en-US"/>
        </w:rPr>
        <w:t>Cochrane Database of Systematic Reviews</w:t>
      </w:r>
      <w:r w:rsidRPr="005E66E4">
        <w:rPr>
          <w:lang w:val="en-US"/>
        </w:rPr>
        <w:t>, (2). doi:https://doi.org/10.1002/14651858.cd005131.pub2.</w:t>
      </w:r>
    </w:p>
    <w:p w14:paraId="680BE2E1" w14:textId="77777777" w:rsidR="00592DD4" w:rsidRPr="00782D6D" w:rsidRDefault="00592DD4" w:rsidP="005E66E4">
      <w:pPr>
        <w:ind w:left="360"/>
      </w:pPr>
      <w:r w:rsidRPr="00782D6D">
        <w:t xml:space="preserve">Popay, J., Roberts, H., Sowden, A., Petticrew, M., Arai, L., Rodgers, M. and Britten, N. (2006). </w:t>
      </w:r>
      <w:r w:rsidRPr="005E66E4">
        <w:rPr>
          <w:i/>
          <w:iCs/>
        </w:rPr>
        <w:t>Guidance on the conduct of narrative synthesis in systematic Reviews. A Product from the ESRC Methods Programme. Version 1</w:t>
      </w:r>
      <w:r w:rsidRPr="00782D6D">
        <w:t>. [online] Semantic Scholar. doi:https://doi.org/10.13140/2.1.1018.4643.</w:t>
      </w:r>
    </w:p>
    <w:p w14:paraId="2B0BBA57" w14:textId="77777777" w:rsidR="00592DD4" w:rsidRPr="00782D6D" w:rsidRDefault="00592DD4" w:rsidP="005E66E4">
      <w:pPr>
        <w:ind w:left="360"/>
      </w:pPr>
      <w:r w:rsidRPr="00782D6D">
        <w:t xml:space="preserve">Pujades-Rodriguez, M., West, R.M., Wilcox, M.H. and Sandoe, J. (2019). Lower Urinary Tract Infections: Management, Outcomes and Risk Factors for Antibiotic Re-prescription in Primary Care. </w:t>
      </w:r>
      <w:r w:rsidRPr="005E66E4">
        <w:rPr>
          <w:i/>
          <w:iCs/>
        </w:rPr>
        <w:t>EClinicalMedicine</w:t>
      </w:r>
      <w:r w:rsidRPr="00782D6D">
        <w:t>, [online] 14(2), pp.23–31. doi:https://doi.org/10.1016/j.eclinm.2019.07.012.</w:t>
      </w:r>
    </w:p>
    <w:p w14:paraId="7BF864F5" w14:textId="77777777" w:rsidR="00592DD4" w:rsidRPr="005E66E4" w:rsidRDefault="00592DD4" w:rsidP="005E66E4">
      <w:pPr>
        <w:ind w:left="360"/>
        <w:rPr>
          <w:lang w:val="en-US"/>
        </w:rPr>
      </w:pPr>
      <w:r w:rsidRPr="005E66E4">
        <w:rPr>
          <w:lang w:val="en-US"/>
        </w:rPr>
        <w:t xml:space="preserve">Pujades-Rodriguez, M., West, R.M., Wilcox, M.H. and Sandoe, J. (2019). Lower Urinary Tract Infections: Management, Outcomes and Risk Factors for Antibiotic Re-prescription in Primary Care. </w:t>
      </w:r>
      <w:r w:rsidRPr="005E66E4">
        <w:rPr>
          <w:i/>
          <w:iCs/>
          <w:lang w:val="en-US"/>
        </w:rPr>
        <w:t>EClinicalMedicine</w:t>
      </w:r>
      <w:r w:rsidRPr="005E66E4">
        <w:rPr>
          <w:lang w:val="en-US"/>
        </w:rPr>
        <w:t>, [online] 14(2), pp.23–31. doi:https://doi.org/10.1016/j.eclinm.2019.07.012.</w:t>
      </w:r>
    </w:p>
    <w:p w14:paraId="0346048B" w14:textId="77777777" w:rsidR="00592DD4" w:rsidRPr="005E66E4" w:rsidRDefault="00592DD4" w:rsidP="005E66E4">
      <w:pPr>
        <w:ind w:left="360"/>
        <w:rPr>
          <w:lang w:val="en-US"/>
        </w:rPr>
      </w:pPr>
      <w:r w:rsidRPr="005E66E4">
        <w:rPr>
          <w:lang w:val="en-US"/>
        </w:rPr>
        <w:t xml:space="preserve">Ravi, R.P. and Kulasekaran, R.A. (2014). Care Seeking Behaviour and Barriers to Accessing Services for Sexual Health Problems among Women in Rural Areas of Tamilnadu State in India. </w:t>
      </w:r>
      <w:r w:rsidRPr="005E66E4">
        <w:rPr>
          <w:i/>
          <w:iCs/>
          <w:lang w:val="en-US"/>
        </w:rPr>
        <w:t>Journal of Sexually Transmitted Diseases</w:t>
      </w:r>
      <w:r w:rsidRPr="005E66E4">
        <w:rPr>
          <w:lang w:val="en-US"/>
        </w:rPr>
        <w:t>, 2014, pp.1–8. doi:https://doi.org/10.1155/2014/292157.</w:t>
      </w:r>
    </w:p>
    <w:p w14:paraId="3028ED96" w14:textId="77777777" w:rsidR="00592DD4" w:rsidRPr="005E66E4" w:rsidRDefault="00592DD4" w:rsidP="005E66E4">
      <w:pPr>
        <w:ind w:left="360"/>
        <w:rPr>
          <w:lang w:val="en-US"/>
        </w:rPr>
      </w:pPr>
      <w:r w:rsidRPr="005E66E4">
        <w:rPr>
          <w:lang w:val="en-US"/>
        </w:rPr>
        <w:lastRenderedPageBreak/>
        <w:t xml:space="preserve">Raz, R. and Stamm, W.E. (1993). A Controlled Trial of Intravaginal Estriol in Postmenopausal Women with Recurrent Urinary Tract Infections. </w:t>
      </w:r>
      <w:r w:rsidRPr="005E66E4">
        <w:rPr>
          <w:i/>
          <w:iCs/>
          <w:lang w:val="en-US"/>
        </w:rPr>
        <w:t>New England Journal of Medicine</w:t>
      </w:r>
      <w:r w:rsidRPr="005E66E4">
        <w:rPr>
          <w:lang w:val="en-US"/>
        </w:rPr>
        <w:t>, 329(11), pp.753–756. doi:https://doi.org/10.1056/nejm199309093291102.</w:t>
      </w:r>
    </w:p>
    <w:p w14:paraId="2D2F69F7" w14:textId="77777777" w:rsidR="00592DD4" w:rsidRPr="005E66E4" w:rsidRDefault="00592DD4" w:rsidP="005E66E4">
      <w:pPr>
        <w:ind w:left="360"/>
        <w:rPr>
          <w:lang w:val="en-US"/>
        </w:rPr>
      </w:pPr>
      <w:r w:rsidRPr="005E66E4">
        <w:rPr>
          <w:lang w:val="en-US"/>
        </w:rPr>
        <w:t xml:space="preserve">Recchia, D.R., Cramer, H., Wardle, J., Lee, D.J., Ostermann, T. and Lauche, R. (2022). Profiles and predictors of healthcare utilization: using a cluster-analytic approach to identify typical users across conventional, allied and complementary medicine, and self-care. </w:t>
      </w:r>
      <w:r w:rsidRPr="005E66E4">
        <w:rPr>
          <w:i/>
          <w:iCs/>
          <w:lang w:val="en-US"/>
        </w:rPr>
        <w:t>BMC Health Services Research</w:t>
      </w:r>
      <w:r w:rsidRPr="005E66E4">
        <w:rPr>
          <w:lang w:val="en-US"/>
        </w:rPr>
        <w:t>, 22(1). doi:https://doi.org/10.1186/s12913-021-07426-9.</w:t>
      </w:r>
    </w:p>
    <w:p w14:paraId="0F00E460" w14:textId="77777777" w:rsidR="00592DD4" w:rsidRPr="005E66E4" w:rsidRDefault="00592DD4" w:rsidP="005E66E4">
      <w:pPr>
        <w:ind w:left="360"/>
        <w:rPr>
          <w:lang w:val="en-US"/>
        </w:rPr>
      </w:pPr>
      <w:r w:rsidRPr="005E66E4">
        <w:rPr>
          <w:lang w:val="en-US"/>
        </w:rPr>
        <w:t xml:space="preserve">Rethlefsen, M.L., Kirtley, S., Waffenschmidt, S., Ayala, A.P., Moher, D., Page, M.J. and Koffel, J.B. (2021). PRISMA-S: an Extension to the PRISMA Statement for Reporting Literature Searches in Systematic Reviews. </w:t>
      </w:r>
      <w:r w:rsidRPr="005E66E4">
        <w:rPr>
          <w:i/>
          <w:iCs/>
          <w:lang w:val="en-US"/>
        </w:rPr>
        <w:t>Systematic Reviews</w:t>
      </w:r>
      <w:r w:rsidRPr="005E66E4">
        <w:rPr>
          <w:lang w:val="en-US"/>
        </w:rPr>
        <w:t>, [online] 10(1). doi:https://doi.org/10.1186/s13643-020-01542-z.</w:t>
      </w:r>
    </w:p>
    <w:p w14:paraId="304600D5" w14:textId="77777777" w:rsidR="00592DD4" w:rsidRPr="005E66E4" w:rsidRDefault="00592DD4" w:rsidP="005E66E4">
      <w:pPr>
        <w:ind w:left="360"/>
        <w:rPr>
          <w:lang w:val="en-US"/>
        </w:rPr>
      </w:pPr>
      <w:r w:rsidRPr="005E66E4">
        <w:rPr>
          <w:lang w:val="en-US"/>
        </w:rPr>
        <w:t xml:space="preserve">Rosen, D.A., Hooton, T.M., Stamm, W.E., Humphrey, P.A. and Hultgren, S.J. (2007). Detection of Intracellular Bacterial Communities in Human Urinary Tract Infection. </w:t>
      </w:r>
      <w:r w:rsidRPr="005E66E4">
        <w:rPr>
          <w:i/>
          <w:iCs/>
          <w:lang w:val="en-US"/>
        </w:rPr>
        <w:t>PLoS Medicine</w:t>
      </w:r>
      <w:r w:rsidRPr="005E66E4">
        <w:rPr>
          <w:lang w:val="en-US"/>
        </w:rPr>
        <w:t>, [online] 4(12). doi:https://doi.org/10.1371/journal.pmed.0040329.</w:t>
      </w:r>
    </w:p>
    <w:p w14:paraId="089AA993" w14:textId="77777777" w:rsidR="00592DD4" w:rsidRPr="005E66E4" w:rsidRDefault="00592DD4" w:rsidP="005E66E4">
      <w:pPr>
        <w:ind w:left="360"/>
        <w:rPr>
          <w:lang w:val="en-US"/>
        </w:rPr>
      </w:pPr>
      <w:r w:rsidRPr="005E66E4">
        <w:rPr>
          <w:lang w:val="en-US"/>
        </w:rPr>
        <w:t xml:space="preserve">Rosenstock, I.M. (1974). Historical Origins of the Health Belief Model. </w:t>
      </w:r>
      <w:r w:rsidRPr="005E66E4">
        <w:rPr>
          <w:i/>
          <w:iCs/>
          <w:lang w:val="en-US"/>
        </w:rPr>
        <w:t>Health Education Monographs</w:t>
      </w:r>
      <w:r w:rsidRPr="005E66E4">
        <w:rPr>
          <w:lang w:val="en-US"/>
        </w:rPr>
        <w:t>, 2(4), pp.328–335. doi:https://doi.org/10.1177/109019817400200403.</w:t>
      </w:r>
    </w:p>
    <w:p w14:paraId="306816BD" w14:textId="77777777" w:rsidR="00592DD4" w:rsidRPr="00782D6D" w:rsidRDefault="00592DD4" w:rsidP="005E66E4">
      <w:pPr>
        <w:ind w:left="360"/>
      </w:pPr>
      <w:r w:rsidRPr="00782D6D">
        <w:t xml:space="preserve">Rosenstock, I.M., Strecher, V.J. and Becker, M.H. (1988). Social Learning Theory and the Health Belief Model. </w:t>
      </w:r>
      <w:r w:rsidRPr="005E66E4">
        <w:rPr>
          <w:i/>
          <w:iCs/>
        </w:rPr>
        <w:t>Health Education Quarterly</w:t>
      </w:r>
      <w:r w:rsidRPr="00782D6D">
        <w:t>, [online] 15(2), pp.175–183. doi:https://doi.org/10.1177/109019818801500203.</w:t>
      </w:r>
    </w:p>
    <w:p w14:paraId="243D1C31" w14:textId="77777777" w:rsidR="00592DD4" w:rsidRPr="00782D6D" w:rsidRDefault="00592DD4" w:rsidP="005E66E4">
      <w:pPr>
        <w:ind w:left="360"/>
      </w:pPr>
      <w:r w:rsidRPr="00782D6D">
        <w:t xml:space="preserve">Sanyaolu, L., Best, V., Cannings-John, R., Wood, F., Edwards, A., Akbari, A., Hayward, G. and Ahmed, H. (2024). Recurrent urinary tract infections and prophylactic antibiotic use in women: cross-sectional study. </w:t>
      </w:r>
      <w:r w:rsidRPr="005E66E4">
        <w:rPr>
          <w:i/>
          <w:iCs/>
        </w:rPr>
        <w:t>British journal of general practice</w:t>
      </w:r>
      <w:r w:rsidRPr="00782D6D">
        <w:t>, [online] pp.BJGP.2024.0015–BJGP.2024.0015. doi:https://doi.org/10.3399/bjgp.2024.0015.</w:t>
      </w:r>
    </w:p>
    <w:p w14:paraId="576F3ADF" w14:textId="77777777" w:rsidR="00592DD4" w:rsidRPr="005E66E4" w:rsidRDefault="00592DD4" w:rsidP="005E66E4">
      <w:pPr>
        <w:ind w:left="360"/>
        <w:rPr>
          <w:lang w:val="en-US"/>
        </w:rPr>
      </w:pPr>
      <w:r w:rsidRPr="005E66E4">
        <w:rPr>
          <w:lang w:val="en-US"/>
        </w:rPr>
        <w:t xml:space="preserve">Sanyaolu, L., Best, V., Cannings-John, R., Wood, F., Edwards, A., Akbari, A., Hayward, G. and Ahmed, H. (2024). Recurrent urinary tract infections and prophylactic antibiotic use in women: cross-sectional study. </w:t>
      </w:r>
      <w:r w:rsidRPr="005E66E4">
        <w:rPr>
          <w:i/>
          <w:iCs/>
          <w:lang w:val="en-US"/>
        </w:rPr>
        <w:t>British journal of general practice</w:t>
      </w:r>
      <w:r w:rsidRPr="005E66E4">
        <w:rPr>
          <w:lang w:val="en-US"/>
        </w:rPr>
        <w:t>, [online] pp.BJGP.2024.0015–BJGP.2024.0015. doi:https://doi.org/10.3399/bjgp.2024.0015.</w:t>
      </w:r>
    </w:p>
    <w:p w14:paraId="61326A41" w14:textId="77777777" w:rsidR="00592DD4" w:rsidRPr="00782D6D" w:rsidRDefault="00592DD4" w:rsidP="005E66E4">
      <w:pPr>
        <w:ind w:left="360"/>
      </w:pPr>
      <w:r w:rsidRPr="00782D6D">
        <w:t xml:space="preserve">Sanyaolu, L., Cooper, E., Read, B., Ahmed, H. and Lecky, D.M. (2023). P07 Impact of menopausal status and recurrent urinary tract infections (UTIs) on symptoms, severity, and daily life: findings from an online survey of women reporting a recent UTI. </w:t>
      </w:r>
      <w:r w:rsidRPr="005E66E4">
        <w:rPr>
          <w:i/>
          <w:iCs/>
        </w:rPr>
        <w:t>JAC-antimicrobial resistance</w:t>
      </w:r>
      <w:r w:rsidRPr="00782D6D">
        <w:t>, 5(Supplement_3). doi:https://doi.org/10.1093/jacamr/dlad077.011.</w:t>
      </w:r>
    </w:p>
    <w:p w14:paraId="6623395F" w14:textId="77777777" w:rsidR="00592DD4" w:rsidRPr="005E66E4" w:rsidRDefault="00592DD4" w:rsidP="005E66E4">
      <w:pPr>
        <w:ind w:left="360"/>
        <w:rPr>
          <w:lang w:val="en-US"/>
        </w:rPr>
      </w:pPr>
      <w:r w:rsidRPr="005E66E4">
        <w:rPr>
          <w:lang w:val="en-US"/>
        </w:rPr>
        <w:lastRenderedPageBreak/>
        <w:t xml:space="preserve">Sanyaolu, L.N., Hayes, C.V., Lecky, D.M., Ahmed, H., Cannings-John, R., Weightman, A., Edwards, A. and Wood, F. (2023). Patients’ and Healthcare Professionals’ Experiences and Views of Recurrent Urinary Tract Infections in Women: Qualitative Evidence Synthesis and Meta-Ethnography. </w:t>
      </w:r>
      <w:r w:rsidRPr="005E66E4">
        <w:rPr>
          <w:i/>
          <w:iCs/>
          <w:lang w:val="en-US"/>
        </w:rPr>
        <w:t>Antibiotics</w:t>
      </w:r>
      <w:r w:rsidRPr="005E66E4">
        <w:rPr>
          <w:lang w:val="en-US"/>
        </w:rPr>
        <w:t>, 12(3), p.434. doi:https://doi.org/10.3390/antibiotics12030434.</w:t>
      </w:r>
    </w:p>
    <w:p w14:paraId="705CD1B8" w14:textId="77777777" w:rsidR="00592DD4" w:rsidRPr="005E66E4" w:rsidRDefault="00592DD4" w:rsidP="005E66E4">
      <w:pPr>
        <w:ind w:left="360"/>
        <w:rPr>
          <w:lang w:val="en-US"/>
        </w:rPr>
      </w:pPr>
      <w:r w:rsidRPr="005E66E4">
        <w:rPr>
          <w:lang w:val="en-US"/>
        </w:rPr>
        <w:t xml:space="preserve">Schutz, S., Walthall, H., Snowball, J., Vagner, R., Fernandez, N., Bartram, E. and Merriman, C. (2022). Patient and clinician experiences of remote consultation during the SARS-CoV-2 pandemic: A service evaluation. </w:t>
      </w:r>
      <w:r w:rsidRPr="005E66E4">
        <w:rPr>
          <w:i/>
          <w:iCs/>
          <w:lang w:val="en-US"/>
        </w:rPr>
        <w:t>DIGITAL HEALTH</w:t>
      </w:r>
      <w:r w:rsidRPr="005E66E4">
        <w:rPr>
          <w:lang w:val="en-US"/>
        </w:rPr>
        <w:t>, 8, p.205520762211150. doi:https://doi.org/10.1177/20552076221115022.</w:t>
      </w:r>
    </w:p>
    <w:p w14:paraId="33E66260" w14:textId="77777777" w:rsidR="00592DD4" w:rsidRPr="005E66E4" w:rsidRDefault="00592DD4" w:rsidP="005E66E4">
      <w:pPr>
        <w:ind w:left="360"/>
        <w:rPr>
          <w:lang w:val="en-US"/>
        </w:rPr>
      </w:pPr>
      <w:r w:rsidRPr="005E66E4">
        <w:rPr>
          <w:lang w:val="en-US"/>
        </w:rPr>
        <w:t xml:space="preserve">Scott, V.C.S., Haake, D.A., Churchill, B.M., Justice, S.S. and Kim, J.-H. (2015). Intracellular Bacterial Communities: A Potential Etiology for Chronic Lower Urinary Tract Symptoms. </w:t>
      </w:r>
      <w:r w:rsidRPr="005E66E4">
        <w:rPr>
          <w:i/>
          <w:iCs/>
          <w:lang w:val="en-US"/>
        </w:rPr>
        <w:t>Urology</w:t>
      </w:r>
      <w:r w:rsidRPr="005E66E4">
        <w:rPr>
          <w:lang w:val="en-US"/>
        </w:rPr>
        <w:t>, 86(3), pp.425–431. doi:https://doi.org/10.1016/j.urology.2015.04.002.</w:t>
      </w:r>
    </w:p>
    <w:p w14:paraId="2858D152" w14:textId="77777777" w:rsidR="00592DD4" w:rsidRPr="00782D6D" w:rsidRDefault="00592DD4" w:rsidP="005E66E4">
      <w:pPr>
        <w:ind w:left="360"/>
      </w:pPr>
      <w:r w:rsidRPr="00782D6D">
        <w:t xml:space="preserve">Sides, E., Lecky, D.M., Taborn, E., O’Neill, L. and Cooper, E. (2025). Preventing and managing urinary tract infections: Exploring interventions and strategies implemented by NHS commissioning organisations in English primary care, 2017–2022. </w:t>
      </w:r>
      <w:r w:rsidRPr="005E66E4">
        <w:rPr>
          <w:i/>
          <w:iCs/>
        </w:rPr>
        <w:t>Journal of Infection Prevention</w:t>
      </w:r>
      <w:r w:rsidRPr="00782D6D">
        <w:t>. doi:https://doi.org/10.1177/17571774251330536.</w:t>
      </w:r>
    </w:p>
    <w:p w14:paraId="72630576" w14:textId="77777777" w:rsidR="00592DD4" w:rsidRPr="005E66E4" w:rsidRDefault="00592DD4" w:rsidP="005E66E4">
      <w:pPr>
        <w:ind w:left="360"/>
        <w:rPr>
          <w:lang w:val="en-US"/>
        </w:rPr>
      </w:pPr>
      <w:r w:rsidRPr="005E66E4">
        <w:rPr>
          <w:lang w:val="en-US"/>
        </w:rPr>
        <w:t xml:space="preserve">Skender, K., Machowska, A., Khare, S., Singh, V., Lundborg, C.S. and Sharma, M. (2025). Antibiotic prescribing practices, perceived constraints, and views on antimicrobial resistance among general and orthopedic surgeons in central India. </w:t>
      </w:r>
      <w:r w:rsidRPr="005E66E4">
        <w:rPr>
          <w:i/>
          <w:iCs/>
          <w:lang w:val="en-US"/>
        </w:rPr>
        <w:t>Scientific reports</w:t>
      </w:r>
      <w:r w:rsidRPr="005E66E4">
        <w:rPr>
          <w:lang w:val="en-US"/>
        </w:rPr>
        <w:t>, [online] 15(1), p.25099. doi:https://doi.org/10.1038/s41598-025-11173-w.</w:t>
      </w:r>
    </w:p>
    <w:p w14:paraId="5BD5756E" w14:textId="77777777" w:rsidR="00592DD4" w:rsidRPr="005E66E4" w:rsidRDefault="00592DD4" w:rsidP="005E66E4">
      <w:pPr>
        <w:ind w:left="360"/>
        <w:rPr>
          <w:lang w:val="en-US"/>
        </w:rPr>
      </w:pPr>
      <w:r w:rsidRPr="005E66E4">
        <w:rPr>
          <w:lang w:val="en-US"/>
        </w:rPr>
        <w:t xml:space="preserve">Soraci, L., Cherubini, A., Paoletti, L., Filippelli, G., Luciani, F., Pasqualina Laganà, Maria Elsa Gambuzza, Filicetti, E., Corsonello, A. and Lattanzio, F. (2023). Safety and Tolerability of Antimicrobial Agents in the Older Patient. </w:t>
      </w:r>
      <w:r w:rsidRPr="005E66E4">
        <w:rPr>
          <w:i/>
          <w:iCs/>
          <w:lang w:val="en-US"/>
        </w:rPr>
        <w:t>Safety and Tolerability of Antimicrobial Agents in the Older Patient</w:t>
      </w:r>
      <w:r w:rsidRPr="005E66E4">
        <w:rPr>
          <w:lang w:val="en-US"/>
        </w:rPr>
        <w:t>. doi:https://doi.org/10.1007/s40266-023-01019-3.</w:t>
      </w:r>
    </w:p>
    <w:p w14:paraId="2706D6A7" w14:textId="77777777" w:rsidR="00592DD4" w:rsidRPr="005E66E4" w:rsidRDefault="00592DD4" w:rsidP="005E66E4">
      <w:pPr>
        <w:ind w:left="360"/>
        <w:rPr>
          <w:lang w:val="en-US"/>
        </w:rPr>
      </w:pPr>
      <w:r w:rsidRPr="005E66E4">
        <w:rPr>
          <w:lang w:val="en-US"/>
        </w:rPr>
        <w:t xml:space="preserve">Sterne, J.A.C., Savović, J., Page, M.J., Elbers, R.G., Blencowe, N.S., Boutron, I., Cates, C.J., Cheng, H.-Y., Corbett, M.S., Eldridge, S.M., Emberson, J.R., Hernán, M.A., Hopewell, S., Hróbjartsson, A., Junqueira, D.R., Jüni, P., Kirkham, J.J., Lasserson, T., Li, T. and McAleenan, A. (2019). RoB 2: a revised tool for assessing risk of bias in randomised trials. </w:t>
      </w:r>
      <w:r w:rsidRPr="005E66E4">
        <w:rPr>
          <w:i/>
          <w:iCs/>
          <w:lang w:val="en-US"/>
        </w:rPr>
        <w:t>BMJ</w:t>
      </w:r>
      <w:r w:rsidRPr="005E66E4">
        <w:rPr>
          <w:lang w:val="en-US"/>
        </w:rPr>
        <w:t>, 366(1), p.l4898. doi:https://doi.org/10.1136/bmj.l4898.</w:t>
      </w:r>
    </w:p>
    <w:p w14:paraId="4C658867" w14:textId="77777777" w:rsidR="00592DD4" w:rsidRPr="00782D6D" w:rsidRDefault="00592DD4" w:rsidP="005E66E4">
      <w:pPr>
        <w:ind w:left="360"/>
      </w:pPr>
      <w:r w:rsidRPr="00782D6D">
        <w:t xml:space="preserve">Subedi, S., Filho, W.L. and Adedeji, A. (2023). An assessment of the health belief model (HBM) properties as predictors of COVID-19 preventive behaviour. </w:t>
      </w:r>
      <w:r w:rsidRPr="005E66E4">
        <w:rPr>
          <w:i/>
          <w:iCs/>
        </w:rPr>
        <w:t>Journal of Public Health</w:t>
      </w:r>
      <w:r w:rsidRPr="00782D6D">
        <w:t>. [online] doi:https://doi.org/10.1007/s10389-023-02109-7.</w:t>
      </w:r>
    </w:p>
    <w:p w14:paraId="6E2EB90C" w14:textId="77777777" w:rsidR="00592DD4" w:rsidRPr="00782D6D" w:rsidRDefault="00592DD4" w:rsidP="005E66E4">
      <w:pPr>
        <w:ind w:left="360"/>
      </w:pPr>
      <w:r w:rsidRPr="00782D6D">
        <w:lastRenderedPageBreak/>
        <w:t xml:space="preserve">Sujith, S., Solomon, A.P. and Bosco, J. (2024). Comprehensive insights into UTIs: from pathophysiology to precision diagnosis and management. </w:t>
      </w:r>
      <w:r w:rsidRPr="005E66E4">
        <w:rPr>
          <w:i/>
          <w:iCs/>
        </w:rPr>
        <w:t>Frontiers in Cellular and Infection Microbiology</w:t>
      </w:r>
      <w:r w:rsidRPr="00782D6D">
        <w:t>, [online] 14(1). doi:https://doi.org/10.3389/fcimb.2024.1402941.</w:t>
      </w:r>
    </w:p>
    <w:p w14:paraId="117DF534" w14:textId="77777777" w:rsidR="00592DD4" w:rsidRPr="005E66E4" w:rsidRDefault="00592DD4" w:rsidP="005E66E4">
      <w:pPr>
        <w:ind w:left="360"/>
        <w:rPr>
          <w:lang w:val="en-US"/>
        </w:rPr>
      </w:pPr>
      <w:r w:rsidRPr="005E66E4">
        <w:rPr>
          <w:lang w:val="en-US"/>
        </w:rPr>
        <w:t xml:space="preserve">Thakur, R. and Dhall, M. (2025). Transitions in Silence: Menopause and Well-being Among Midlife Women. </w:t>
      </w:r>
      <w:r w:rsidRPr="005E66E4">
        <w:rPr>
          <w:i/>
          <w:iCs/>
          <w:lang w:val="en-US"/>
        </w:rPr>
        <w:t>Journal of Mid-life Health</w:t>
      </w:r>
      <w:r w:rsidRPr="005E66E4">
        <w:rPr>
          <w:lang w:val="en-US"/>
        </w:rPr>
        <w:t>, [online] 16(4), pp.416–424. doi:https://doi.org/10.4103/jmh.jmh_41_25.</w:t>
      </w:r>
    </w:p>
    <w:p w14:paraId="2834787A" w14:textId="77777777" w:rsidR="00592DD4" w:rsidRPr="005E66E4" w:rsidRDefault="00592DD4" w:rsidP="005E66E4">
      <w:pPr>
        <w:ind w:left="360"/>
        <w:rPr>
          <w:lang w:val="en-US"/>
        </w:rPr>
      </w:pPr>
      <w:r w:rsidRPr="005E66E4">
        <w:rPr>
          <w:lang w:val="en-US"/>
        </w:rPr>
        <w:t xml:space="preserve">Thomas, J. and Harden, A. (2008). Methods for the Thematic Synthesis of Qualitative Research in Systematic Reviews. </w:t>
      </w:r>
      <w:r w:rsidRPr="005E66E4">
        <w:rPr>
          <w:i/>
          <w:iCs/>
          <w:lang w:val="en-US"/>
        </w:rPr>
        <w:t>BMC Medical Research Methodology</w:t>
      </w:r>
      <w:r w:rsidRPr="005E66E4">
        <w:rPr>
          <w:lang w:val="en-US"/>
        </w:rPr>
        <w:t>, 8(1), pp.1–10. doi:https://doi.org/10.1186/1471-2288-8-45.</w:t>
      </w:r>
    </w:p>
    <w:p w14:paraId="7FFE96B7" w14:textId="77777777" w:rsidR="00592DD4" w:rsidRPr="005E66E4" w:rsidRDefault="00592DD4" w:rsidP="005E66E4">
      <w:pPr>
        <w:ind w:left="360"/>
        <w:rPr>
          <w:lang w:val="en-US"/>
        </w:rPr>
      </w:pPr>
      <w:r w:rsidRPr="005E66E4">
        <w:rPr>
          <w:lang w:val="en-US"/>
        </w:rPr>
        <w:t xml:space="preserve">Thompson, J., Marijam, A., Mitrani-Gold, F.S., Wright, J. and Joshi, A.V. (2023). Activity impairment, health-related quality of life, productivity, and self-reported resource use and associated costs of uncomplicated urinary tract infection among women in the United States. </w:t>
      </w:r>
      <w:r w:rsidRPr="005E66E4">
        <w:rPr>
          <w:i/>
          <w:iCs/>
          <w:lang w:val="en-US"/>
        </w:rPr>
        <w:t>PLOS ONE</w:t>
      </w:r>
      <w:r w:rsidRPr="005E66E4">
        <w:rPr>
          <w:lang w:val="en-US"/>
        </w:rPr>
        <w:t>, 18(2), p.e0277728. doi:https://doi.org/10.1371/journal.pone.0277728.</w:t>
      </w:r>
    </w:p>
    <w:p w14:paraId="64E8E5BC" w14:textId="77777777" w:rsidR="00592DD4" w:rsidRPr="00782D6D" w:rsidRDefault="00592DD4" w:rsidP="005E66E4">
      <w:pPr>
        <w:ind w:left="360"/>
      </w:pPr>
      <w:r w:rsidRPr="00782D6D">
        <w:t xml:space="preserve">UKHSA (2014). </w:t>
      </w:r>
      <w:r w:rsidRPr="005E66E4">
        <w:rPr>
          <w:i/>
          <w:iCs/>
        </w:rPr>
        <w:t>English surveillance programme for antimicrobial utilisation and resistance (ESPAUR) report</w:t>
      </w:r>
      <w:r w:rsidRPr="00782D6D">
        <w:t>. [online] GOV.UK. Available at: https://www.gov.uk/government/publications/english-surveillance-programme-antimicrobial-utilisation-and-resistance-espaur-report.</w:t>
      </w:r>
    </w:p>
    <w:p w14:paraId="55C255DB" w14:textId="77777777" w:rsidR="00592DD4" w:rsidRPr="00782D6D" w:rsidRDefault="00592DD4" w:rsidP="005E66E4">
      <w:pPr>
        <w:ind w:left="360"/>
      </w:pPr>
      <w:r w:rsidRPr="00782D6D">
        <w:t xml:space="preserve">Vazquez-Montes, M., Fanshawe, T.R., Stoesser, N., Walker, A.S., Butler, C. and Hayward, G. (2023). Epidemiology and microbiology of recurrent UTI in women in the community in Oxfordshire, UK. </w:t>
      </w:r>
      <w:r w:rsidRPr="005E66E4">
        <w:rPr>
          <w:i/>
          <w:iCs/>
        </w:rPr>
        <w:t>JAC-antimicrobial resistance</w:t>
      </w:r>
      <w:r w:rsidRPr="00782D6D">
        <w:t>, [online] 6(1). doi:https://doi.org/10.1093/jacamr/dlad156.</w:t>
      </w:r>
    </w:p>
    <w:p w14:paraId="1B64965E" w14:textId="77777777" w:rsidR="00592DD4" w:rsidRPr="005E66E4" w:rsidRDefault="00592DD4" w:rsidP="005E66E4">
      <w:pPr>
        <w:ind w:left="360"/>
        <w:rPr>
          <w:lang w:val="en-US"/>
        </w:rPr>
      </w:pPr>
      <w:r w:rsidRPr="005E66E4">
        <w:rPr>
          <w:lang w:val="en-US"/>
        </w:rPr>
        <w:t xml:space="preserve">Vestesson, E.M., De Corte, K.L.A., Crellin, E., Ledger, J., Bakhai, M. and Clarke, G.M. (2023). Consultation Rate and Mode by Deprivation in English General Practice From 2018 to 2022: Population-Based Study. </w:t>
      </w:r>
      <w:r w:rsidRPr="005E66E4">
        <w:rPr>
          <w:i/>
          <w:iCs/>
          <w:lang w:val="en-US"/>
        </w:rPr>
        <w:t>JMIR public health and surveillance</w:t>
      </w:r>
      <w:r w:rsidRPr="005E66E4">
        <w:rPr>
          <w:lang w:val="en-US"/>
        </w:rPr>
        <w:t>, [online] 9, p.e44944. doi:https://doi.org/10.2196/44944.</w:t>
      </w:r>
    </w:p>
    <w:p w14:paraId="7CE94586" w14:textId="77777777" w:rsidR="00592DD4" w:rsidRPr="00782D6D" w:rsidRDefault="00592DD4" w:rsidP="005E66E4">
      <w:pPr>
        <w:ind w:left="360"/>
      </w:pPr>
      <w:r w:rsidRPr="00782D6D">
        <w:t xml:space="preserve">WHO (2023). </w:t>
      </w:r>
      <w:r w:rsidRPr="005E66E4">
        <w:rPr>
          <w:i/>
          <w:iCs/>
        </w:rPr>
        <w:t>Monitoring Health for the SDGs Sustainable Development Goals</w:t>
      </w:r>
      <w:r w:rsidRPr="00782D6D">
        <w:t>. [online] Available at: https://cdn.who.int/media/docs/default-source/gho-documents/world-health-statistic-reports/2023/world-health-statistics-2023_20230519_.pdf.</w:t>
      </w:r>
    </w:p>
    <w:p w14:paraId="1C1D1A6C" w14:textId="77777777" w:rsidR="00592DD4" w:rsidRPr="00782D6D" w:rsidRDefault="00592DD4" w:rsidP="005E66E4">
      <w:pPr>
        <w:ind w:left="360"/>
      </w:pPr>
      <w:r w:rsidRPr="00782D6D">
        <w:t xml:space="preserve">Wilcox, M., Heaton, D., Aruni Mulgirigama, Joshi, A.V., Viktor Chirikov, Gibbons, D.C., Webb, D., Marston, X.L., Alexander, M. and Mitrani-Gold, F.S. (2023a). P18 Treatment patterns and extent of inappropriate antimicrobial treatment among female patients with </w:t>
      </w:r>
      <w:r w:rsidRPr="00782D6D">
        <w:lastRenderedPageBreak/>
        <w:t xml:space="preserve">uncomplicated urinary tract infection in England. </w:t>
      </w:r>
      <w:r w:rsidRPr="005E66E4">
        <w:rPr>
          <w:i/>
          <w:iCs/>
        </w:rPr>
        <w:t>JAC-antimicrobial resistance</w:t>
      </w:r>
      <w:r w:rsidRPr="00782D6D">
        <w:t>, 5(Supplement_3). doi:https://doi.org/10.1093/jacamr/dlad077.022.</w:t>
      </w:r>
    </w:p>
    <w:p w14:paraId="238B54B6" w14:textId="77777777" w:rsidR="00592DD4" w:rsidRDefault="00592DD4" w:rsidP="005E66E4">
      <w:pPr>
        <w:ind w:left="360"/>
      </w:pPr>
      <w:r w:rsidRPr="00782D6D">
        <w:t xml:space="preserve">Wilcox, M., Heaton, D., Mulgirigama, A., Joshi, A.V., Chirikov, V., Gibbons, D.C., Webb, D., Marston, X.L., Alexander, M. and Mitrani-Gold, F.S. (2023b). P17 Baseline characteristics, disease progression rates and risk factors among female patients with uncomplicated urinary tract infection in England. </w:t>
      </w:r>
      <w:r w:rsidRPr="005E66E4">
        <w:rPr>
          <w:i/>
          <w:iCs/>
        </w:rPr>
        <w:t>JAC-Antimicrobial Resistance</w:t>
      </w:r>
      <w:r w:rsidRPr="00782D6D">
        <w:t>, [online] 5(Supplement_3). doi:https://doi.org/10.1093/jacamr/dlad077.021.</w:t>
      </w:r>
      <w:r>
        <w:t xml:space="preserve"> </w:t>
      </w:r>
    </w:p>
    <w:p w14:paraId="0487F9AC" w14:textId="77777777" w:rsidR="00B07AC2" w:rsidRPr="00723A49" w:rsidRDefault="00B07AC2" w:rsidP="005E66E4">
      <w:pPr>
        <w:ind w:left="360"/>
      </w:pPr>
    </w:p>
    <w:sectPr w:rsidR="00B07AC2" w:rsidRPr="00723A49" w:rsidSect="00273A7F">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4CAB30" w14:textId="77777777" w:rsidR="003A0375" w:rsidRPr="00782D6D" w:rsidRDefault="003A0375" w:rsidP="00273A7F">
      <w:pPr>
        <w:spacing w:line="240" w:lineRule="auto"/>
      </w:pPr>
      <w:r w:rsidRPr="00782D6D">
        <w:separator/>
      </w:r>
    </w:p>
  </w:endnote>
  <w:endnote w:type="continuationSeparator" w:id="0">
    <w:p w14:paraId="3F481BEF" w14:textId="77777777" w:rsidR="003A0375" w:rsidRPr="00782D6D" w:rsidRDefault="003A0375" w:rsidP="00273A7F">
      <w:pPr>
        <w:spacing w:line="240" w:lineRule="auto"/>
      </w:pPr>
      <w:r w:rsidRPr="00782D6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1ED94B2-C987-4F0B-A1E0-2248489BCCF5}"/>
    <w:embedBold r:id="rId2" w:fontKey="{F7216662-DCCD-43DD-A15E-EA4710EAA780}"/>
  </w:font>
  <w:font w:name="Cambria">
    <w:panose1 w:val="02040503050406030204"/>
    <w:charset w:val="00"/>
    <w:family w:val="roman"/>
    <w:pitch w:val="variable"/>
    <w:sig w:usb0="E00006FF" w:usb1="420024FF" w:usb2="02000000" w:usb3="00000000" w:csb0="0000019F" w:csb1="00000000"/>
    <w:embedRegular r:id="rId3" w:fontKey="{8309E796-39E9-4C3C-9CBE-3935FE7B6E2F}"/>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945941"/>
      <w:docPartObj>
        <w:docPartGallery w:val="Page Numbers (Bottom of Page)"/>
        <w:docPartUnique/>
      </w:docPartObj>
    </w:sdtPr>
    <w:sdtEndPr/>
    <w:sdtContent>
      <w:p w14:paraId="564FDF00" w14:textId="40AE64FB" w:rsidR="00273A7F" w:rsidRPr="00782D6D" w:rsidRDefault="00273A7F">
        <w:pPr>
          <w:pStyle w:val="Footer"/>
          <w:jc w:val="right"/>
        </w:pPr>
        <w:r w:rsidRPr="00782D6D">
          <w:fldChar w:fldCharType="begin"/>
        </w:r>
        <w:r w:rsidRPr="00782D6D">
          <w:instrText xml:space="preserve"> PAGE   \* MERGEFORMAT </w:instrText>
        </w:r>
        <w:r w:rsidRPr="00782D6D">
          <w:fldChar w:fldCharType="separate"/>
        </w:r>
        <w:r w:rsidR="00410B64">
          <w:rPr>
            <w:noProof/>
          </w:rPr>
          <w:t>1</w:t>
        </w:r>
        <w:r w:rsidRPr="00782D6D">
          <w:fldChar w:fldCharType="end"/>
        </w:r>
      </w:p>
    </w:sdtContent>
  </w:sdt>
  <w:p w14:paraId="14A3EA0A" w14:textId="77777777" w:rsidR="00273A7F" w:rsidRPr="00782D6D" w:rsidRDefault="00273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129E62" w14:textId="77777777" w:rsidR="003A0375" w:rsidRPr="00782D6D" w:rsidRDefault="003A0375" w:rsidP="00273A7F">
      <w:pPr>
        <w:spacing w:line="240" w:lineRule="auto"/>
      </w:pPr>
      <w:r w:rsidRPr="00782D6D">
        <w:separator/>
      </w:r>
    </w:p>
  </w:footnote>
  <w:footnote w:type="continuationSeparator" w:id="0">
    <w:p w14:paraId="0D1158B2" w14:textId="77777777" w:rsidR="003A0375" w:rsidRPr="00782D6D" w:rsidRDefault="003A0375" w:rsidP="00273A7F">
      <w:pPr>
        <w:spacing w:line="240" w:lineRule="auto"/>
      </w:pPr>
      <w:r w:rsidRPr="00782D6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072303"/>
    <w:multiLevelType w:val="hybridMultilevel"/>
    <w:tmpl w:val="301E4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68433A"/>
    <w:multiLevelType w:val="multilevel"/>
    <w:tmpl w:val="B9F6A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2A5E8F"/>
    <w:multiLevelType w:val="hybridMultilevel"/>
    <w:tmpl w:val="D66ED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E15890"/>
    <w:multiLevelType w:val="hybridMultilevel"/>
    <w:tmpl w:val="96026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B25497"/>
    <w:multiLevelType w:val="hybridMultilevel"/>
    <w:tmpl w:val="C14883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69D"/>
    <w:rsid w:val="000046A3"/>
    <w:rsid w:val="0001224F"/>
    <w:rsid w:val="00046BF0"/>
    <w:rsid w:val="000635A1"/>
    <w:rsid w:val="0009149D"/>
    <w:rsid w:val="000A6A9C"/>
    <w:rsid w:val="000E15F3"/>
    <w:rsid w:val="000F6AD6"/>
    <w:rsid w:val="00100731"/>
    <w:rsid w:val="00124D83"/>
    <w:rsid w:val="001428D9"/>
    <w:rsid w:val="001534E3"/>
    <w:rsid w:val="00170FF5"/>
    <w:rsid w:val="001A1014"/>
    <w:rsid w:val="001A3942"/>
    <w:rsid w:val="001D49D6"/>
    <w:rsid w:val="001F6C62"/>
    <w:rsid w:val="00207727"/>
    <w:rsid w:val="00227361"/>
    <w:rsid w:val="00230940"/>
    <w:rsid w:val="0024503F"/>
    <w:rsid w:val="00262B9B"/>
    <w:rsid w:val="002659DA"/>
    <w:rsid w:val="00273A7F"/>
    <w:rsid w:val="002A0451"/>
    <w:rsid w:val="002F5AB9"/>
    <w:rsid w:val="00301F61"/>
    <w:rsid w:val="00331E17"/>
    <w:rsid w:val="003412DA"/>
    <w:rsid w:val="0034369D"/>
    <w:rsid w:val="003443E3"/>
    <w:rsid w:val="00357957"/>
    <w:rsid w:val="003A0375"/>
    <w:rsid w:val="003F3F4A"/>
    <w:rsid w:val="00410B64"/>
    <w:rsid w:val="00424A2A"/>
    <w:rsid w:val="00427C37"/>
    <w:rsid w:val="00434AF6"/>
    <w:rsid w:val="00457C5C"/>
    <w:rsid w:val="0048067F"/>
    <w:rsid w:val="004964A8"/>
    <w:rsid w:val="004A2BBD"/>
    <w:rsid w:val="004C25D2"/>
    <w:rsid w:val="004E493C"/>
    <w:rsid w:val="004F4E2F"/>
    <w:rsid w:val="004F4F5F"/>
    <w:rsid w:val="00516488"/>
    <w:rsid w:val="005209FF"/>
    <w:rsid w:val="00530D16"/>
    <w:rsid w:val="005577D8"/>
    <w:rsid w:val="005652BA"/>
    <w:rsid w:val="00592DD4"/>
    <w:rsid w:val="005A6F23"/>
    <w:rsid w:val="005B1F29"/>
    <w:rsid w:val="005D788A"/>
    <w:rsid w:val="005E66E4"/>
    <w:rsid w:val="00625DB0"/>
    <w:rsid w:val="006329B1"/>
    <w:rsid w:val="00646661"/>
    <w:rsid w:val="0065675F"/>
    <w:rsid w:val="006B0308"/>
    <w:rsid w:val="006B790F"/>
    <w:rsid w:val="006D738C"/>
    <w:rsid w:val="006F56BD"/>
    <w:rsid w:val="00700D64"/>
    <w:rsid w:val="007010A9"/>
    <w:rsid w:val="00723A49"/>
    <w:rsid w:val="00724E78"/>
    <w:rsid w:val="00726982"/>
    <w:rsid w:val="00757C1B"/>
    <w:rsid w:val="00766FBD"/>
    <w:rsid w:val="00771060"/>
    <w:rsid w:val="00782D6D"/>
    <w:rsid w:val="007B7464"/>
    <w:rsid w:val="007C16E8"/>
    <w:rsid w:val="007D3901"/>
    <w:rsid w:val="007D7486"/>
    <w:rsid w:val="007E5B70"/>
    <w:rsid w:val="007F21F6"/>
    <w:rsid w:val="00862AFB"/>
    <w:rsid w:val="0086454E"/>
    <w:rsid w:val="008B0DF3"/>
    <w:rsid w:val="008E1BC2"/>
    <w:rsid w:val="008F3975"/>
    <w:rsid w:val="008F7E1E"/>
    <w:rsid w:val="0095104F"/>
    <w:rsid w:val="00951D74"/>
    <w:rsid w:val="009533E9"/>
    <w:rsid w:val="0097621C"/>
    <w:rsid w:val="00995F69"/>
    <w:rsid w:val="00997C32"/>
    <w:rsid w:val="009D4F89"/>
    <w:rsid w:val="009F7444"/>
    <w:rsid w:val="00A04756"/>
    <w:rsid w:val="00A172E1"/>
    <w:rsid w:val="00A173A8"/>
    <w:rsid w:val="00A341AE"/>
    <w:rsid w:val="00A85755"/>
    <w:rsid w:val="00A922E9"/>
    <w:rsid w:val="00A927D8"/>
    <w:rsid w:val="00A9463F"/>
    <w:rsid w:val="00AC2302"/>
    <w:rsid w:val="00B02CE3"/>
    <w:rsid w:val="00B07AC2"/>
    <w:rsid w:val="00B10410"/>
    <w:rsid w:val="00B31415"/>
    <w:rsid w:val="00B744F2"/>
    <w:rsid w:val="00B850D7"/>
    <w:rsid w:val="00B85629"/>
    <w:rsid w:val="00BC7C30"/>
    <w:rsid w:val="00BD4164"/>
    <w:rsid w:val="00C164B4"/>
    <w:rsid w:val="00C20962"/>
    <w:rsid w:val="00C23FBB"/>
    <w:rsid w:val="00C26202"/>
    <w:rsid w:val="00C364CD"/>
    <w:rsid w:val="00C50D54"/>
    <w:rsid w:val="00C52A34"/>
    <w:rsid w:val="00C92A3C"/>
    <w:rsid w:val="00CE014E"/>
    <w:rsid w:val="00CF230E"/>
    <w:rsid w:val="00D47235"/>
    <w:rsid w:val="00D554BE"/>
    <w:rsid w:val="00D7585C"/>
    <w:rsid w:val="00D80B96"/>
    <w:rsid w:val="00D84E2F"/>
    <w:rsid w:val="00D947CC"/>
    <w:rsid w:val="00DB0D20"/>
    <w:rsid w:val="00DB7731"/>
    <w:rsid w:val="00DD08DA"/>
    <w:rsid w:val="00DD5FC3"/>
    <w:rsid w:val="00DF0CE0"/>
    <w:rsid w:val="00E028DF"/>
    <w:rsid w:val="00E22978"/>
    <w:rsid w:val="00E240AD"/>
    <w:rsid w:val="00E77B24"/>
    <w:rsid w:val="00E867AF"/>
    <w:rsid w:val="00E86EF7"/>
    <w:rsid w:val="00E92B3B"/>
    <w:rsid w:val="00EB4850"/>
    <w:rsid w:val="00EB6952"/>
    <w:rsid w:val="00EB7D6B"/>
    <w:rsid w:val="00F1459C"/>
    <w:rsid w:val="00F346FE"/>
    <w:rsid w:val="00F42AC2"/>
    <w:rsid w:val="00F52038"/>
    <w:rsid w:val="00FA3B28"/>
    <w:rsid w:val="00FB72AC"/>
    <w:rsid w:val="00FD0F64"/>
    <w:rsid w:val="00FF7B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A728E"/>
  <w15:docId w15:val="{4322AC09-3677-47E4-9C29-D1852F6EC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bCs/>
      <w:sz w:val="32"/>
      <w:szCs w:val="32"/>
    </w:rPr>
  </w:style>
  <w:style w:type="paragraph" w:styleId="Heading2">
    <w:name w:val="heading 2"/>
    <w:basedOn w:val="Normal"/>
    <w:next w:val="Normal"/>
    <w:uiPriority w:val="9"/>
    <w:unhideWhenUsed/>
    <w:qFormat/>
    <w:pPr>
      <w:keepNext/>
      <w:keepLines/>
      <w:spacing w:before="360" w:after="120"/>
      <w:outlineLvl w:val="1"/>
    </w:pPr>
    <w:rPr>
      <w:b/>
      <w:bCs/>
      <w:sz w:val="28"/>
      <w:szCs w:val="28"/>
    </w:rPr>
  </w:style>
  <w:style w:type="paragraph" w:styleId="Heading3">
    <w:name w:val="heading 3"/>
    <w:basedOn w:val="Normal"/>
    <w:next w:val="Normal"/>
    <w:uiPriority w:val="9"/>
    <w:unhideWhenUsed/>
    <w:qFormat/>
    <w:pPr>
      <w:keepNext/>
      <w:keepLines/>
      <w:spacing w:before="320" w:after="80"/>
      <w:outlineLvl w:val="2"/>
    </w:pPr>
    <w:rPr>
      <w:b/>
      <w:bCs/>
      <w:sz w:val="26"/>
      <w:szCs w:val="26"/>
    </w:rPr>
  </w:style>
  <w:style w:type="paragraph" w:styleId="Heading4">
    <w:name w:val="heading 4"/>
    <w:basedOn w:val="Normal"/>
    <w:next w:val="Normal"/>
    <w:uiPriority w:val="9"/>
    <w:unhideWhenUsed/>
    <w:qFormat/>
    <w:rsid w:val="00B10410"/>
    <w:pPr>
      <w:keepNext/>
      <w:keepLines/>
      <w:spacing w:before="280" w:after="80"/>
      <w:outlineLvl w:val="3"/>
    </w:pPr>
    <w:rPr>
      <w:b/>
      <w:i/>
      <w:color w:val="000000" w:themeColor="text1"/>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73A7F"/>
    <w:pPr>
      <w:tabs>
        <w:tab w:val="center" w:pos="4680"/>
        <w:tab w:val="right" w:pos="9360"/>
      </w:tabs>
      <w:spacing w:line="240" w:lineRule="auto"/>
    </w:pPr>
  </w:style>
  <w:style w:type="character" w:customStyle="1" w:styleId="HeaderChar">
    <w:name w:val="Header Char"/>
    <w:basedOn w:val="DefaultParagraphFont"/>
    <w:link w:val="Header"/>
    <w:uiPriority w:val="99"/>
    <w:rsid w:val="00273A7F"/>
  </w:style>
  <w:style w:type="paragraph" w:styleId="Footer">
    <w:name w:val="footer"/>
    <w:basedOn w:val="Normal"/>
    <w:link w:val="FooterChar"/>
    <w:uiPriority w:val="99"/>
    <w:unhideWhenUsed/>
    <w:rsid w:val="00273A7F"/>
    <w:pPr>
      <w:tabs>
        <w:tab w:val="center" w:pos="4680"/>
        <w:tab w:val="right" w:pos="9360"/>
      </w:tabs>
      <w:spacing w:line="240" w:lineRule="auto"/>
    </w:pPr>
  </w:style>
  <w:style w:type="character" w:customStyle="1" w:styleId="FooterChar">
    <w:name w:val="Footer Char"/>
    <w:basedOn w:val="DefaultParagraphFont"/>
    <w:link w:val="Footer"/>
    <w:uiPriority w:val="99"/>
    <w:rsid w:val="00273A7F"/>
  </w:style>
  <w:style w:type="paragraph" w:styleId="TOCHeading">
    <w:name w:val="TOC Heading"/>
    <w:basedOn w:val="Heading1"/>
    <w:next w:val="Normal"/>
    <w:uiPriority w:val="39"/>
    <w:unhideWhenUsed/>
    <w:qFormat/>
    <w:rsid w:val="00726982"/>
    <w:pPr>
      <w:spacing w:before="240" w:after="0" w:line="259" w:lineRule="auto"/>
      <w:jc w:val="left"/>
      <w:outlineLvl w:val="9"/>
    </w:pPr>
    <w:rPr>
      <w:rFonts w:asciiTheme="majorHAnsi" w:eastAsiaTheme="majorEastAsia" w:hAnsiTheme="majorHAnsi" w:cstheme="majorBidi"/>
      <w:b w:val="0"/>
      <w:bCs w:val="0"/>
      <w:color w:val="365F91" w:themeColor="accent1" w:themeShade="BF"/>
      <w:lang w:val="en-US"/>
    </w:rPr>
  </w:style>
  <w:style w:type="paragraph" w:styleId="TOC1">
    <w:name w:val="toc 1"/>
    <w:basedOn w:val="Normal"/>
    <w:next w:val="Normal"/>
    <w:autoRedefine/>
    <w:uiPriority w:val="39"/>
    <w:unhideWhenUsed/>
    <w:rsid w:val="00726982"/>
    <w:pPr>
      <w:spacing w:after="100"/>
    </w:pPr>
  </w:style>
  <w:style w:type="paragraph" w:styleId="TOC2">
    <w:name w:val="toc 2"/>
    <w:basedOn w:val="Normal"/>
    <w:next w:val="Normal"/>
    <w:autoRedefine/>
    <w:uiPriority w:val="39"/>
    <w:unhideWhenUsed/>
    <w:rsid w:val="00726982"/>
    <w:pPr>
      <w:spacing w:after="100"/>
      <w:ind w:left="240"/>
    </w:pPr>
  </w:style>
  <w:style w:type="paragraph" w:styleId="TOC3">
    <w:name w:val="toc 3"/>
    <w:basedOn w:val="Normal"/>
    <w:next w:val="Normal"/>
    <w:autoRedefine/>
    <w:uiPriority w:val="39"/>
    <w:unhideWhenUsed/>
    <w:rsid w:val="00726982"/>
    <w:pPr>
      <w:spacing w:after="100"/>
      <w:ind w:left="480"/>
    </w:pPr>
  </w:style>
  <w:style w:type="character" w:styleId="Hyperlink">
    <w:name w:val="Hyperlink"/>
    <w:basedOn w:val="DefaultParagraphFont"/>
    <w:uiPriority w:val="99"/>
    <w:unhideWhenUsed/>
    <w:rsid w:val="00726982"/>
    <w:rPr>
      <w:color w:val="0000FF" w:themeColor="hyperlink"/>
      <w:u w:val="single"/>
    </w:rPr>
  </w:style>
  <w:style w:type="paragraph" w:styleId="ListParagraph">
    <w:name w:val="List Paragraph"/>
    <w:basedOn w:val="Normal"/>
    <w:uiPriority w:val="34"/>
    <w:qFormat/>
    <w:rsid w:val="00771060"/>
    <w:pPr>
      <w:ind w:left="720"/>
      <w:contextualSpacing/>
    </w:pPr>
  </w:style>
  <w:style w:type="table" w:styleId="TableGrid">
    <w:name w:val="Table Grid"/>
    <w:basedOn w:val="TableNormal"/>
    <w:uiPriority w:val="39"/>
    <w:rsid w:val="00427C3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30940"/>
  </w:style>
  <w:style w:type="paragraph" w:styleId="TOC4">
    <w:name w:val="toc 4"/>
    <w:basedOn w:val="Normal"/>
    <w:next w:val="Normal"/>
    <w:autoRedefine/>
    <w:uiPriority w:val="39"/>
    <w:unhideWhenUsed/>
    <w:rsid w:val="00046BF0"/>
    <w:pPr>
      <w:spacing w:after="100" w:line="278" w:lineRule="auto"/>
      <w:ind w:left="720"/>
      <w:jc w:val="left"/>
    </w:pPr>
    <w:rPr>
      <w:rFonts w:asciiTheme="minorHAnsi" w:eastAsiaTheme="minorEastAsia" w:hAnsiTheme="minorHAnsi" w:cstheme="minorBidi"/>
      <w:kern w:val="2"/>
      <w:lang w:val="en-US"/>
      <w14:ligatures w14:val="standardContextual"/>
    </w:rPr>
  </w:style>
  <w:style w:type="paragraph" w:styleId="TOC5">
    <w:name w:val="toc 5"/>
    <w:basedOn w:val="Normal"/>
    <w:next w:val="Normal"/>
    <w:autoRedefine/>
    <w:uiPriority w:val="39"/>
    <w:unhideWhenUsed/>
    <w:rsid w:val="00046BF0"/>
    <w:pPr>
      <w:spacing w:after="100" w:line="278" w:lineRule="auto"/>
      <w:ind w:left="960"/>
      <w:jc w:val="left"/>
    </w:pPr>
    <w:rPr>
      <w:rFonts w:asciiTheme="minorHAnsi" w:eastAsiaTheme="minorEastAsia" w:hAnsiTheme="minorHAnsi" w:cstheme="minorBidi"/>
      <w:kern w:val="2"/>
      <w:lang w:val="en-US"/>
      <w14:ligatures w14:val="standardContextual"/>
    </w:rPr>
  </w:style>
  <w:style w:type="paragraph" w:styleId="TOC6">
    <w:name w:val="toc 6"/>
    <w:basedOn w:val="Normal"/>
    <w:next w:val="Normal"/>
    <w:autoRedefine/>
    <w:uiPriority w:val="39"/>
    <w:unhideWhenUsed/>
    <w:rsid w:val="00046BF0"/>
    <w:pPr>
      <w:spacing w:after="100" w:line="278" w:lineRule="auto"/>
      <w:ind w:left="1200"/>
      <w:jc w:val="left"/>
    </w:pPr>
    <w:rPr>
      <w:rFonts w:asciiTheme="minorHAnsi" w:eastAsiaTheme="minorEastAsia" w:hAnsiTheme="minorHAnsi" w:cstheme="minorBidi"/>
      <w:kern w:val="2"/>
      <w:lang w:val="en-US"/>
      <w14:ligatures w14:val="standardContextual"/>
    </w:rPr>
  </w:style>
  <w:style w:type="paragraph" w:styleId="TOC7">
    <w:name w:val="toc 7"/>
    <w:basedOn w:val="Normal"/>
    <w:next w:val="Normal"/>
    <w:autoRedefine/>
    <w:uiPriority w:val="39"/>
    <w:unhideWhenUsed/>
    <w:rsid w:val="00046BF0"/>
    <w:pPr>
      <w:spacing w:after="100" w:line="278" w:lineRule="auto"/>
      <w:ind w:left="1440"/>
      <w:jc w:val="left"/>
    </w:pPr>
    <w:rPr>
      <w:rFonts w:asciiTheme="minorHAnsi" w:eastAsiaTheme="minorEastAsia" w:hAnsiTheme="minorHAnsi" w:cstheme="minorBidi"/>
      <w:kern w:val="2"/>
      <w:lang w:val="en-US"/>
      <w14:ligatures w14:val="standardContextual"/>
    </w:rPr>
  </w:style>
  <w:style w:type="paragraph" w:styleId="TOC8">
    <w:name w:val="toc 8"/>
    <w:basedOn w:val="Normal"/>
    <w:next w:val="Normal"/>
    <w:autoRedefine/>
    <w:uiPriority w:val="39"/>
    <w:unhideWhenUsed/>
    <w:rsid w:val="00046BF0"/>
    <w:pPr>
      <w:spacing w:after="100" w:line="278" w:lineRule="auto"/>
      <w:ind w:left="1680"/>
      <w:jc w:val="left"/>
    </w:pPr>
    <w:rPr>
      <w:rFonts w:asciiTheme="minorHAnsi" w:eastAsiaTheme="minorEastAsia" w:hAnsiTheme="minorHAnsi" w:cstheme="minorBidi"/>
      <w:kern w:val="2"/>
      <w:lang w:val="en-US"/>
      <w14:ligatures w14:val="standardContextual"/>
    </w:rPr>
  </w:style>
  <w:style w:type="paragraph" w:styleId="TOC9">
    <w:name w:val="toc 9"/>
    <w:basedOn w:val="Normal"/>
    <w:next w:val="Normal"/>
    <w:autoRedefine/>
    <w:uiPriority w:val="39"/>
    <w:unhideWhenUsed/>
    <w:rsid w:val="00046BF0"/>
    <w:pPr>
      <w:spacing w:after="100" w:line="278" w:lineRule="auto"/>
      <w:ind w:left="1920"/>
      <w:jc w:val="left"/>
    </w:pPr>
    <w:rPr>
      <w:rFonts w:asciiTheme="minorHAnsi" w:eastAsiaTheme="minorEastAsia" w:hAnsiTheme="minorHAnsi" w:cstheme="minorBidi"/>
      <w:kern w:val="2"/>
      <w:lang w:val="en-US"/>
      <w14:ligatures w14:val="standardContextual"/>
    </w:rPr>
  </w:style>
  <w:style w:type="character" w:customStyle="1" w:styleId="UnresolvedMention">
    <w:name w:val="Unresolved Mention"/>
    <w:basedOn w:val="DefaultParagraphFont"/>
    <w:uiPriority w:val="99"/>
    <w:semiHidden/>
    <w:unhideWhenUsed/>
    <w:rsid w:val="00046B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DBB8B-C462-4771-82A2-02D959A3B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90</Pages>
  <Words>22792</Words>
  <Characters>129920</Characters>
  <Application>Microsoft Office Word</Application>
  <DocSecurity>0</DocSecurity>
  <Lines>1082</Lines>
  <Paragraphs>304</Paragraphs>
  <ScaleCrop>false</ScaleCrop>
  <Company/>
  <LinksUpToDate>false</LinksUpToDate>
  <CharactersWithSpaces>152408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DELL</cp:lastModifiedBy>
  <cp:revision>5</cp:revision>
  <dcterms:created xsi:type="dcterms:W3CDTF">2026-02-02T07:42:00Z</dcterms:created>
  <dcterms:modified xsi:type="dcterms:W3CDTF">2026-02-02T10:27:00Z</dcterms:modified>
</cp:coreProperties>
</file>