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numbering.xml" ContentType="application/vnd.openxmlformats-officedocument.wordprocessingml.numbering+xml"/>
  <Override PartName="/word/settings.xml" ContentType="application/vnd.openxmlformats-officedocument.wordprocessingml.settings+xml"/>
  <Override PartName="/word/webSettings.xml" ContentType="application/vnd.openxmlformats-officedocument.wordprocessingml.webSettings+xml"/>
  <Override PartName="/word/document.xml" ContentType="application/vnd.openxmlformats-officedocument.wordprocessingml.document.main+xml"/>
  <Override PartName="/word/endnotes.xml" ContentType="application/vnd.openxmlformats-officedocument.wordprocessingml.endnotes+xml"/>
  <Override PartName="/customXml/itemProps1.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body>
    <w:p w14:paraId="00000005">
      <w:pPr>
        <w:spacing w:line="480" w:lineRule="auto"/>
        <w:jc w:val="center"/>
        <w:rPr>
          <w:rFonts w:ascii="Arial" w:cs="Arial" w:hAnsi="Arial"/>
          <w:b/>
          <w:bCs/>
          <w:sz w:val="32"/>
          <w:szCs w:val="32"/>
        </w:rPr>
      </w:pPr>
      <w:r>
        <w:rPr>
          <w:rFonts w:ascii="Arial" w:cs="Arial" w:hAnsi="Arial"/>
          <w:b/>
          <w:bCs/>
          <w:sz w:val="32"/>
          <w:szCs w:val="32"/>
        </w:rPr>
        <w:drawing xmlns:mc="http://schemas.openxmlformats.org/markup-compatibility/2006">
          <wp:anchor allowOverlap="1" behindDoc="0" distT="0" distB="0" distL="114300" distR="114300" layoutInCell="1" locked="0" relativeHeight="251658240" simplePos="0">
            <wp:simplePos x="0" y="0"/>
            <wp:positionH relativeFrom="margin">
              <wp:align>center</wp:align>
            </wp:positionH>
            <wp:positionV relativeFrom="paragraph">
              <wp:posOffset>19050</wp:posOffset>
            </wp:positionV>
            <wp:extent cx="2918460" cy="1621367"/>
            <wp:effectExtent l="0" t="0" r="0" b="0"/>
            <wp:wrapNone/>
            <wp:docPr id="1660376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37615" name="Picture 1"/>
                    <pic:cNvPicPr>
                      <a:picLocks noChangeAspect="1" noChangeArrowheads="1"/>
                    </pic:cNvPicPr>
                  </pic:nvPicPr>
                  <pic:blipFill>
                    <a:blip r:embed="rId13"/>
                    <a:srcRect/>
                    <a:stretch>
                      <a:fillRect/>
                    </a:stretch>
                  </pic:blipFill>
                  <pic:spPr>
                    <a:xfrm>
                      <a:off x="0" y="0"/>
                      <a:ext cx="2918460" cy="1621367"/>
                    </a:xfrm>
                    <a:prstGeom prst="rect">
                      <a:avLst/>
                    </a:prstGeom>
                    <a:noFill/>
                  </pic:spPr>
                </pic:pic>
              </a:graphicData>
            </a:graphic>
          </wp:anchor>
        </w:drawing>
      </w:r>
    </w:p>
    <w:p w14:paraId="00000006">
      <w:pPr>
        <w:spacing w:line="480" w:lineRule="auto"/>
        <w:jc w:val="center"/>
        <w:rPr>
          <w:rFonts w:ascii="Arial" w:cs="Arial" w:hAnsi="Arial"/>
          <w:b/>
          <w:bCs/>
          <w:sz w:val="32"/>
          <w:szCs w:val="32"/>
        </w:rPr>
      </w:pPr>
    </w:p>
    <w:p w14:paraId="00000007">
      <w:pPr>
        <w:spacing w:line="480" w:lineRule="auto"/>
        <w:jc w:val="center"/>
        <w:rPr>
          <w:rFonts w:ascii="Arial" w:cs="Arial" w:hAnsi="Arial"/>
          <w:b/>
          <w:bCs/>
          <w:sz w:val="32"/>
          <w:szCs w:val="32"/>
        </w:rPr>
      </w:pPr>
    </w:p>
    <w:p w14:paraId="00000008">
      <w:pPr>
        <w:spacing w:line="480" w:lineRule="auto"/>
        <w:jc w:val="center"/>
        <w:rPr>
          <w:rFonts w:ascii="Arial" w:cs="Arial" w:hAnsi="Arial"/>
          <w:b/>
          <w:bCs/>
          <w:sz w:val="32"/>
          <w:szCs w:val="32"/>
        </w:rPr>
      </w:pPr>
    </w:p>
    <w:p w14:paraId="00000009">
      <w:pPr>
        <w:spacing w:line="480" w:lineRule="auto"/>
        <w:jc w:val="center"/>
        <w:rPr>
          <w:rFonts w:cs="Times New Roman"/>
          <w:b/>
          <w:bCs/>
          <w:sz w:val="32"/>
          <w:szCs w:val="32"/>
        </w:rPr>
      </w:pPr>
      <w:r>
        <w:rPr>
          <w:rFonts w:cs="Times New Roman"/>
          <w:b/>
          <w:bCs/>
          <w:sz w:val="32"/>
          <w:szCs w:val="32"/>
        </w:rPr>
        <w:t>BMIH5004</w:t>
      </w:r>
    </w:p>
    <w:p w14:paraId="0000000A">
      <w:pPr>
        <w:spacing w:line="480" w:lineRule="auto"/>
        <w:jc w:val="center"/>
        <w:rPr>
          <w:rFonts w:cs="Times New Roman"/>
          <w:b/>
          <w:bCs/>
          <w:sz w:val="32"/>
          <w:szCs w:val="32"/>
        </w:rPr>
      </w:pPr>
      <w:r>
        <w:rPr>
          <w:rFonts w:cs="Times New Roman"/>
          <w:b/>
          <w:bCs/>
          <w:sz w:val="32"/>
          <w:szCs w:val="32"/>
        </w:rPr>
        <w:t>Management &amp; Organisational Behaviour</w:t>
      </w:r>
    </w:p>
    <w:p w14:paraId="0000000B">
      <w:pPr>
        <w:spacing w:line="480" w:lineRule="auto"/>
        <w:jc w:val="center"/>
        <w:rPr>
          <w:rFonts w:cs="Times New Roman"/>
          <w:b/>
          <w:bCs/>
          <w:sz w:val="32"/>
          <w:szCs w:val="32"/>
        </w:rPr>
      </w:pPr>
      <w:r>
        <w:rPr>
          <w:rFonts w:cs="Times New Roman"/>
          <w:b/>
          <w:bCs/>
          <w:sz w:val="32"/>
          <w:szCs w:val="32"/>
        </w:rPr>
        <w:t>Written Report</w:t>
      </w:r>
    </w:p>
    <w:p w14:paraId="0000000C">
      <w:pPr>
        <w:spacing w:line="480" w:lineRule="auto"/>
        <w:jc w:val="center"/>
        <w:rPr>
          <w:rFonts w:cs="Times New Roman"/>
          <w:b/>
          <w:bCs/>
          <w:vanish/>
          <w:sz w:val="32"/>
          <w:szCs w:val="32"/>
        </w:rPr>
      </w:pPr>
      <w:r>
        <w:rPr>
          <w:rFonts w:cs="Times New Roman"/>
          <w:b/>
          <w:bCs/>
          <w:sz w:val="32"/>
          <w:szCs w:val="32"/>
        </w:rPr>
        <w:t>Critical evaluation</w:t>
      </w:r>
      <w:r>
        <w:rPr>
          <w:rFonts w:cs="Times New Roman"/>
          <w:b/>
          <w:bCs/>
          <w:sz w:val="32"/>
          <w:szCs w:val="32"/>
        </w:rPr>
        <w:t xml:space="preserve"> report</w:t>
      </w:r>
      <w:r>
        <w:rPr>
          <w:rFonts w:cs="Times New Roman"/>
          <w:b/>
          <w:bCs/>
          <w:sz w:val="32"/>
          <w:szCs w:val="32"/>
        </w:rPr>
        <w:t xml:space="preserve"> on IHG Hotel Group </w:t>
      </w:r>
    </w:p>
    <w:p w14:paraId="0000000D">
      <w:pPr>
        <w:spacing w:line="480" w:lineRule="auto"/>
        <w:jc w:val="center"/>
        <w:rPr>
          <w:rFonts w:cs="Times New Roman"/>
          <w:b/>
          <w:bCs/>
          <w:vanish/>
          <w:sz w:val="32"/>
          <w:szCs w:val="32"/>
        </w:rPr>
      </w:pPr>
      <w:r>
        <w:rPr>
          <w:rFonts w:cs="Times New Roman"/>
          <w:b/>
          <w:bCs/>
          <w:sz w:val="32"/>
          <w:szCs w:val="32"/>
        </w:rPr>
        <w:t xml:space="preserve"> </w:t>
      </w:r>
    </w:p>
    <w:p w14:paraId="0000000E">
      <w:pPr>
        <w:spacing w:line="480" w:lineRule="auto"/>
        <w:jc w:val="center"/>
        <w:rPr>
          <w:rFonts w:cs="Times New Roman"/>
          <w:b/>
          <w:bCs/>
          <w:sz w:val="32"/>
          <w:szCs w:val="32"/>
        </w:rPr>
      </w:pPr>
    </w:p>
    <w:p w14:paraId="0000000F">
      <w:pPr>
        <w:jc w:val="center"/>
        <w:rPr>
          <w:rFonts w:cs="Times New Roman"/>
          <w:b w:val="off"/>
          <w:bCs w:val="off"/>
          <w:sz w:val="32"/>
          <w:szCs w:val="32"/>
        </w:rPr>
      </w:pPr>
      <w:r>
        <w:rPr>
          <w:rFonts w:cs="Times New Roman"/>
          <w:b w:val="off"/>
          <w:bCs w:val="off"/>
          <w:sz w:val="32"/>
          <w:szCs w:val="32"/>
        </w:rPr>
        <w:t xml:space="preserve">Student name: Alexandra Stroe </w:t>
      </w:r>
    </w:p>
    <w:p w14:paraId="00000010">
      <w:pPr>
        <w:jc w:val="center"/>
        <w:rPr>
          <w:rFonts w:cs="Times New Roman"/>
          <w:b w:val="off"/>
          <w:bCs w:val="off"/>
          <w:sz w:val="32"/>
          <w:szCs w:val="32"/>
        </w:rPr>
      </w:pPr>
      <w:r>
        <w:rPr>
          <w:rFonts w:cs="Times New Roman"/>
          <w:b w:val="off"/>
          <w:bCs w:val="off"/>
          <w:sz w:val="32"/>
          <w:szCs w:val="32"/>
        </w:rPr>
        <w:t>Student number: 2029014</w:t>
      </w:r>
    </w:p>
    <w:p w14:paraId="00000011">
      <w:pPr>
        <w:jc w:val="center"/>
        <w:rPr>
          <w:rFonts w:cs="Times New Roman"/>
          <w:b/>
          <w:bCs/>
          <w:sz w:val="32"/>
          <w:szCs w:val="32"/>
        </w:rPr>
      </w:pPr>
      <w:r>
        <w:rPr>
          <w:rFonts w:cs="Times New Roman"/>
          <w:b w:val="off"/>
          <w:bCs w:val="off"/>
          <w:sz w:val="32"/>
          <w:szCs w:val="32"/>
        </w:rPr>
        <w:t>Module Lead: Charlotte Joyner BA( Hons)</w:t>
      </w:r>
      <w:r>
        <w:rPr>
          <w:rFonts w:cs="Times New Roman"/>
          <w:b/>
          <w:bCs/>
          <w:sz w:val="32"/>
          <w:szCs w:val="32"/>
        </w:rPr>
        <w:br w:type="page"/>
      </w:r>
    </w:p>
    <w:p w14:paraId="00000012">
      <w:pPr>
        <w:pStyle w:val="TOCHeading"/>
        <w:jc w:val="center"/>
        <w:rPr>
          <w:rFonts w:ascii="Times New Roman" w:cs="Times New Roman" w:hAnsi="Times New Roman"/>
          <w:b/>
          <w:bCs/>
          <w:color w:val="auto"/>
          <w:u w:val="single"/>
          <w:lang w:val="en-GB"/>
        </w:rPr>
      </w:pPr>
      <w:r>
        <w:rPr>
          <w:rFonts w:ascii="Times New Roman" w:cs="Times New Roman" w:hAnsi="Times New Roman"/>
          <w:b/>
          <w:bCs/>
          <w:color w:val="auto"/>
          <w:u w:val="single"/>
          <w:lang w:val="en-GB"/>
        </w:rPr>
        <w:t>Contents</w:t>
      </w:r>
    </w:p>
    <w:p w14:paraId="00000013">
      <w:pPr>
        <w:pStyle w:val="Toc1"/>
        <w:tabs>
          <w:tab w:val="right" w:leader="dot" w:pos="9350"/>
        </w:tabs>
        <w:rPr/>
      </w:pPr>
    </w:p>
    <w:p w14:paraId="00000014">
      <w:pPr>
        <w:pStyle w:val="Toc1"/>
        <w:tabs>
          <w:tab w:val="right" w:leader="dot" w:pos="9016"/>
        </w:tabs>
        <w:rPr>
          <w:rFonts w:asciiTheme="minorHAnsi" w:eastAsiaTheme="minorEastAsia" w:hAnsiTheme="minorHAnsi"/>
          <w:sz w:val="22"/>
          <w:lang w:eastAsia="en-GB"/>
        </w:rPr>
      </w:pPr>
      <w:r>
        <w:fldChar w:fldCharType="begin"/>
      </w:r>
      <w:r>
        <w:instrText xml:space="preserve"> TOC \o "1-3" \h \z \u </w:instrText>
      </w:r>
      <w:r>
        <w:fldChar w:fldCharType="separate"/>
      </w:r>
      <w:r>
        <w:fldChar w:fldCharType="begin"/>
      </w:r>
      <w:r>
        <w:instrText xml:space="preserve">HYPERLINK \l "_Toc159857849" </w:instrText>
      </w:r>
      <w:r>
        <w:fldChar w:fldCharType="separate"/>
      </w:r>
      <w:r>
        <w:rPr>
          <w:rStyle w:val="Hyperlink"/>
          <w:rFonts w:cs="Times New Roman"/>
          <w:b/>
          <w:bCs/>
        </w:rPr>
        <w:t>1.0 INTRODUCTION</w:t>
      </w:r>
      <w:r>
        <w:tab/>
      </w:r>
      <w:r>
        <w:fldChar w:fldCharType="begin"/>
      </w:r>
      <w:r>
        <w:instrText xml:space="preserve"> PAGEREF _Toc159857849 \h </w:instrText>
      </w:r>
      <w:r>
        <w:fldChar w:fldCharType="separate"/>
      </w:r>
      <w:r>
        <w:t>2</w:t>
      </w:r>
      <w:r>
        <w:fldChar w:fldCharType="end"/>
      </w:r>
      <w:r>
        <w:fldChar w:fldCharType="end"/>
      </w:r>
    </w:p>
    <w:p w14:paraId="00000015">
      <w:pPr>
        <w:pStyle w:val="Toc1"/>
        <w:tabs>
          <w:tab w:val="right" w:leader="dot" w:pos="9016"/>
        </w:tabs>
        <w:rPr>
          <w:rFonts w:asciiTheme="minorHAnsi" w:eastAsiaTheme="minorEastAsia" w:hAnsiTheme="minorHAnsi"/>
          <w:sz w:val="22"/>
          <w:lang w:eastAsia="en-GB"/>
        </w:rPr>
      </w:pPr>
      <w:r>
        <w:fldChar w:fldCharType="begin"/>
      </w:r>
      <w:r>
        <w:instrText xml:space="preserve">HYPERLINK \l "_Toc159857850" </w:instrText>
      </w:r>
      <w:r>
        <w:fldChar w:fldCharType="separate"/>
      </w:r>
      <w:r>
        <w:rPr>
          <w:rStyle w:val="Hyperlink"/>
          <w:rFonts w:cs="Times New Roman"/>
          <w:b/>
          <w:bCs/>
        </w:rPr>
        <w:t>2.0 KEY FINDINGS</w:t>
      </w:r>
      <w:r>
        <w:tab/>
      </w:r>
      <w:r>
        <w:fldChar w:fldCharType="begin"/>
      </w:r>
      <w:r>
        <w:instrText xml:space="preserve"> PAGEREF _Toc159857850 \h </w:instrText>
      </w:r>
      <w:r>
        <w:fldChar w:fldCharType="separate"/>
      </w:r>
      <w:r>
        <w:t>3</w:t>
      </w:r>
      <w:r>
        <w:fldChar w:fldCharType="end"/>
      </w:r>
      <w:r>
        <w:fldChar w:fldCharType="end"/>
      </w:r>
    </w:p>
    <w:p w14:paraId="00000016">
      <w:pPr>
        <w:pStyle w:val="Toc2"/>
        <w:tabs>
          <w:tab w:val="right" w:leader="dot" w:pos="9016"/>
        </w:tabs>
        <w:rPr>
          <w:rFonts w:asciiTheme="minorHAnsi" w:eastAsiaTheme="minorEastAsia" w:hAnsiTheme="minorHAnsi"/>
          <w:sz w:val="22"/>
          <w:lang w:eastAsia="en-GB"/>
        </w:rPr>
      </w:pPr>
      <w:r>
        <w:fldChar w:fldCharType="begin"/>
      </w:r>
      <w:r>
        <w:instrText xml:space="preserve">HYPERLINK \l "_Toc159857851" </w:instrText>
      </w:r>
      <w:r>
        <w:fldChar w:fldCharType="separate"/>
      </w:r>
      <w:r>
        <w:rPr>
          <w:rStyle w:val="Hyperlink"/>
          <w:rFonts w:cs="Times New Roman"/>
          <w:b/>
          <w:bCs/>
        </w:rPr>
        <w:t>2.1 Organisational structure, culture, and goals</w:t>
      </w:r>
      <w:r>
        <w:tab/>
      </w:r>
      <w:r>
        <w:fldChar w:fldCharType="begin"/>
      </w:r>
      <w:r>
        <w:instrText xml:space="preserve"> PAGEREF _Toc159857851 \h </w:instrText>
      </w:r>
      <w:r>
        <w:fldChar w:fldCharType="separate"/>
      </w:r>
      <w:r>
        <w:t>3</w:t>
      </w:r>
      <w:r>
        <w:fldChar w:fldCharType="end"/>
      </w:r>
      <w:r>
        <w:fldChar w:fldCharType="end"/>
      </w:r>
    </w:p>
    <w:p w14:paraId="00000017">
      <w:pPr>
        <w:pStyle w:val="Toc2"/>
        <w:tabs>
          <w:tab w:val="right" w:leader="dot" w:pos="9016"/>
        </w:tabs>
        <w:rPr>
          <w:rFonts w:asciiTheme="minorHAnsi" w:eastAsiaTheme="minorEastAsia" w:hAnsiTheme="minorHAnsi"/>
          <w:sz w:val="22"/>
          <w:lang w:eastAsia="en-GB"/>
        </w:rPr>
      </w:pPr>
      <w:r>
        <w:fldChar w:fldCharType="begin"/>
      </w:r>
      <w:r>
        <w:instrText xml:space="preserve">HYPERLINK \l "_Toc159857852" </w:instrText>
      </w:r>
      <w:r>
        <w:fldChar w:fldCharType="separate"/>
      </w:r>
      <w:r>
        <w:rPr>
          <w:rStyle w:val="Hyperlink"/>
          <w:rFonts w:cs="Times New Roman"/>
          <w:b/>
          <w:bCs/>
        </w:rPr>
        <w:t>2.2 Recent change initiatives, impact and management</w:t>
      </w:r>
      <w:r>
        <w:tab/>
      </w:r>
      <w:r>
        <w:fldChar w:fldCharType="begin"/>
      </w:r>
      <w:r>
        <w:instrText xml:space="preserve"> PAGEREF _Toc159857852 \h </w:instrText>
      </w:r>
      <w:r>
        <w:fldChar w:fldCharType="separate"/>
      </w:r>
      <w:r>
        <w:t>4</w:t>
      </w:r>
      <w:r>
        <w:fldChar w:fldCharType="end"/>
      </w:r>
      <w:r>
        <w:fldChar w:fldCharType="end"/>
      </w:r>
    </w:p>
    <w:p w14:paraId="00000018">
      <w:pPr>
        <w:pStyle w:val="Toc2"/>
        <w:tabs>
          <w:tab w:val="right" w:leader="dot" w:pos="9016"/>
        </w:tabs>
        <w:rPr>
          <w:rFonts w:asciiTheme="minorHAnsi" w:eastAsiaTheme="minorEastAsia" w:hAnsiTheme="minorHAnsi"/>
          <w:sz w:val="22"/>
          <w:lang w:eastAsia="en-GB"/>
        </w:rPr>
      </w:pPr>
      <w:r>
        <w:fldChar w:fldCharType="begin"/>
      </w:r>
      <w:r>
        <w:instrText xml:space="preserve">HYPERLINK \l "_Toc159857853" </w:instrText>
      </w:r>
      <w:r>
        <w:fldChar w:fldCharType="separate"/>
      </w:r>
      <w:r>
        <w:rPr>
          <w:rStyle w:val="Hyperlink"/>
          <w:rFonts w:cs="Times New Roman"/>
          <w:b/>
          <w:bCs/>
        </w:rPr>
        <w:t>2.3 Strategic Direction &amp; Current Business Performance</w:t>
      </w:r>
      <w:r>
        <w:tab/>
      </w:r>
      <w:r>
        <w:fldChar w:fldCharType="begin"/>
      </w:r>
      <w:r>
        <w:instrText xml:space="preserve"> PAGEREF _Toc159857853 \h </w:instrText>
      </w:r>
      <w:r>
        <w:fldChar w:fldCharType="separate"/>
      </w:r>
      <w:r>
        <w:t>6</w:t>
      </w:r>
      <w:r>
        <w:fldChar w:fldCharType="end"/>
      </w:r>
      <w:r>
        <w:fldChar w:fldCharType="end"/>
      </w:r>
    </w:p>
    <w:p w14:paraId="00000019">
      <w:pPr>
        <w:pStyle w:val="Toc1"/>
        <w:tabs>
          <w:tab w:val="right" w:leader="dot" w:pos="9016"/>
        </w:tabs>
        <w:rPr>
          <w:rFonts w:asciiTheme="minorHAnsi" w:eastAsiaTheme="minorEastAsia" w:hAnsiTheme="minorHAnsi"/>
          <w:sz w:val="22"/>
          <w:lang w:eastAsia="en-GB"/>
        </w:rPr>
      </w:pPr>
      <w:r>
        <w:fldChar w:fldCharType="begin"/>
      </w:r>
      <w:r>
        <w:instrText xml:space="preserve">HYPERLINK \l "_Toc159857854" </w:instrText>
      </w:r>
      <w:r>
        <w:fldChar w:fldCharType="separate"/>
      </w:r>
      <w:r>
        <w:rPr>
          <w:rStyle w:val="Hyperlink"/>
          <w:rFonts w:cs="Times New Roman"/>
          <w:b/>
          <w:bCs/>
        </w:rPr>
        <w:t>3.0 COMPARISON</w:t>
      </w:r>
      <w:r>
        <w:tab/>
      </w:r>
      <w:r>
        <w:fldChar w:fldCharType="begin"/>
      </w:r>
      <w:r>
        <w:instrText xml:space="preserve"> PAGEREF _Toc159857854 \h </w:instrText>
      </w:r>
      <w:r>
        <w:fldChar w:fldCharType="separate"/>
      </w:r>
      <w:r>
        <w:t>6</w:t>
      </w:r>
      <w:r>
        <w:fldChar w:fldCharType="end"/>
      </w:r>
      <w:r>
        <w:fldChar w:fldCharType="end"/>
      </w:r>
    </w:p>
    <w:p w14:paraId="0000001A">
      <w:pPr>
        <w:pStyle w:val="Toc1"/>
        <w:tabs>
          <w:tab w:val="right" w:leader="dot" w:pos="9016"/>
        </w:tabs>
        <w:rPr>
          <w:rFonts w:asciiTheme="minorHAnsi" w:eastAsiaTheme="minorEastAsia" w:hAnsiTheme="minorHAnsi"/>
          <w:sz w:val="22"/>
          <w:lang w:eastAsia="en-GB"/>
        </w:rPr>
      </w:pPr>
      <w:r>
        <w:fldChar w:fldCharType="begin"/>
      </w:r>
      <w:r>
        <w:instrText xml:space="preserve">HYPERLINK \l "_Toc159857855" </w:instrText>
      </w:r>
      <w:r>
        <w:fldChar w:fldCharType="separate"/>
      </w:r>
      <w:r>
        <w:rPr>
          <w:rStyle w:val="Hyperlink"/>
          <w:rFonts w:cs="Times New Roman"/>
          <w:b/>
          <w:bCs/>
        </w:rPr>
        <w:t>4.0 RECOMMENDATIONS</w:t>
      </w:r>
      <w:r>
        <w:tab/>
      </w:r>
      <w:r>
        <w:fldChar w:fldCharType="begin"/>
      </w:r>
      <w:r>
        <w:instrText xml:space="preserve"> PAGEREF _Toc159857855 \h </w:instrText>
      </w:r>
      <w:r>
        <w:fldChar w:fldCharType="separate"/>
      </w:r>
      <w:r>
        <w:t>7</w:t>
      </w:r>
      <w:r>
        <w:fldChar w:fldCharType="end"/>
      </w:r>
      <w:r>
        <w:fldChar w:fldCharType="end"/>
      </w:r>
    </w:p>
    <w:p w14:paraId="0000001B">
      <w:pPr>
        <w:pStyle w:val="Toc1"/>
        <w:tabs>
          <w:tab w:val="right" w:leader="dot" w:pos="9016"/>
        </w:tabs>
        <w:rPr>
          <w:rFonts w:asciiTheme="minorHAnsi" w:eastAsiaTheme="minorEastAsia" w:hAnsiTheme="minorHAnsi"/>
          <w:sz w:val="22"/>
          <w:lang w:eastAsia="en-GB"/>
        </w:rPr>
      </w:pPr>
      <w:r>
        <w:fldChar w:fldCharType="begin"/>
      </w:r>
      <w:r>
        <w:instrText xml:space="preserve">HYPERLINK \l "_Toc159857856" </w:instrText>
      </w:r>
      <w:r>
        <w:fldChar w:fldCharType="separate"/>
      </w:r>
      <w:r>
        <w:rPr>
          <w:rStyle w:val="Hyperlink"/>
          <w:rFonts w:cs="Times New Roman"/>
          <w:b/>
          <w:bCs/>
        </w:rPr>
        <w:t>5.0 CONCLUSION</w:t>
      </w:r>
      <w:r>
        <w:tab/>
      </w:r>
      <w:r>
        <w:fldChar w:fldCharType="begin"/>
      </w:r>
      <w:r>
        <w:instrText xml:space="preserve"> PAGEREF _Toc159857856 \h </w:instrText>
      </w:r>
      <w:r>
        <w:fldChar w:fldCharType="separate"/>
      </w:r>
      <w:r>
        <w:t>8</w:t>
      </w:r>
      <w:r>
        <w:fldChar w:fldCharType="end"/>
      </w:r>
      <w:r>
        <w:fldChar w:fldCharType="end"/>
      </w:r>
    </w:p>
    <w:p w14:paraId="0000001C">
      <w:pPr>
        <w:pStyle w:val="Toc1"/>
        <w:tabs>
          <w:tab w:val="right" w:leader="dot" w:pos="9016"/>
        </w:tabs>
        <w:rPr>
          <w:rFonts w:asciiTheme="minorHAnsi" w:eastAsiaTheme="minorEastAsia" w:hAnsiTheme="minorHAnsi"/>
          <w:sz w:val="22"/>
          <w:lang w:eastAsia="en-GB"/>
        </w:rPr>
      </w:pPr>
      <w:r>
        <w:fldChar w:fldCharType="begin"/>
      </w:r>
      <w:r>
        <w:instrText xml:space="preserve">HYPERLINK \l "_Toc159857857" </w:instrText>
      </w:r>
      <w:r>
        <w:fldChar w:fldCharType="separate"/>
      </w:r>
      <w:r>
        <w:rPr>
          <w:rStyle w:val="Hyperlink"/>
          <w:rFonts w:cs="Times New Roman"/>
          <w:b/>
          <w:bCs/>
        </w:rPr>
        <w:t>6.0 REFERENCES</w:t>
      </w:r>
      <w:r>
        <w:tab/>
      </w:r>
      <w:r>
        <w:fldChar w:fldCharType="begin"/>
      </w:r>
      <w:r>
        <w:instrText xml:space="preserve"> PAGEREF _Toc159857857 \h </w:instrText>
      </w:r>
      <w:r>
        <w:fldChar w:fldCharType="separate"/>
      </w:r>
      <w:r>
        <w:t>9</w:t>
      </w:r>
      <w:r>
        <w:fldChar w:fldCharType="end"/>
      </w:r>
      <w:r>
        <w:fldChar w:fldCharType="end"/>
      </w:r>
    </w:p>
    <w:p w14:paraId="0000001D">
      <w:pPr>
        <w:rPr>
          <w:rFonts w:cs="Times New Roman"/>
          <w:szCs w:val="24"/>
        </w:rPr>
        <w:sectPr>
          <w:footerReference w:type="default" r:id="rId14"/>
          <w:type w:val="continuous"/>
          <w:pgSz w:w="11906" w:h="16838"/>
          <w:pgMar w:top="1440" w:right="1440" w:bottom="1440" w:left="1440" w:header="720" w:footer="720" w:gutter="0"/>
          <w:cols w:space="720"/>
        </w:sectPr>
      </w:pPr>
      <w:r>
        <w:fldChar w:fldCharType="end"/>
      </w:r>
      <w:r>
        <w:rPr>
          <w:b/>
          <w:bCs/>
        </w:rPr>
        <w:t>
</w:t>
      </w:r>
    </w:p>
    <w:p w14:paraId="0000001E">
      <w:pPr>
        <w:rPr>
          <w:rFonts w:cs="Times New Roman" w:eastAsiaTheme="majorEastAsia"/>
          <w:b/>
          <w:bCs/>
          <w:sz w:val="32"/>
          <w:szCs w:val="32"/>
        </w:rPr>
      </w:pPr>
      <w:bookmarkStart w:id="0" w:name="_Toc159682322"/>
      <w:r>
        <w:rPr>
          <w:rFonts w:cs="Times New Roman"/>
          <w:b/>
          <w:bCs/>
        </w:rPr>
        <w:br w:type="page"/>
      </w:r>
    </w:p>
    <w:p w14:paraId="0000001F">
      <w:pPr>
        <w:pStyle w:val="Heading1"/>
        <w:spacing w:before="0" w:after="120" w:line="360" w:lineRule="auto"/>
        <w:jc w:val="both"/>
        <w:rPr>
          <w:rFonts w:ascii="Times New Roman" w:cs="Times New Roman" w:hAnsi="Times New Roman"/>
          <w:b/>
          <w:bCs/>
          <w:color w:val="auto"/>
        </w:rPr>
      </w:pPr>
      <w:bookmarkStart w:id="1" w:name="_Toc159857849"/>
      <w:r>
        <w:rPr>
          <w:rFonts w:ascii="Times New Roman" w:cs="Times New Roman" w:hAnsi="Times New Roman"/>
          <w:b/>
          <w:bCs/>
          <w:color w:val="auto"/>
        </w:rPr>
        <w:t>1.</w:t>
      </w:r>
      <w:r>
        <w:rPr>
          <w:rFonts w:ascii="Times New Roman" w:cs="Times New Roman" w:hAnsi="Times New Roman"/>
          <w:b/>
          <w:bCs/>
          <w:color w:val="auto"/>
        </w:rPr>
        <w:t>0</w:t>
      </w:r>
      <w:r>
        <w:rPr>
          <w:rFonts w:ascii="Times New Roman" w:cs="Times New Roman" w:hAnsi="Times New Roman"/>
          <w:b/>
          <w:bCs/>
          <w:color w:val="auto"/>
        </w:rPr>
        <w:t xml:space="preserve"> INTRODUCTION</w:t>
      </w:r>
      <w:bookmarkEnd w:id="0"/>
      <w:bookmarkEnd w:id="1"/>
      <w:r>
        <w:rPr>
          <w:rFonts w:ascii="Times New Roman" w:cs="Times New Roman" w:hAnsi="Times New Roman"/>
          <w:b/>
          <w:bCs/>
          <w:color w:val="auto"/>
        </w:rPr>
        <w:t xml:space="preserve"> </w:t>
      </w:r>
    </w:p>
    <w:p w14:paraId="00000020">
      <w:pPr>
        <w:spacing w:after="120" w:line="360" w:lineRule="auto"/>
        <w:jc w:val="both"/>
        <w:rPr>
          <w:rFonts w:cs="Times New Roman"/>
          <w:szCs w:val="24"/>
        </w:rPr>
      </w:pPr>
      <w:r>
        <w:rPr>
          <w:rFonts w:cs="Times New Roman"/>
          <w:szCs w:val="24"/>
        </w:rPr>
        <w:t>I</w:t>
      </w:r>
      <w:r>
        <w:rPr>
          <w:rFonts w:cs="Times New Roman"/>
          <w:szCs w:val="24"/>
        </w:rPr>
        <w:t xml:space="preserve">HG </w:t>
      </w:r>
      <w:r>
        <w:rPr>
          <w:rFonts w:cs="Times New Roman"/>
          <w:szCs w:val="24"/>
        </w:rPr>
        <w:t>Hotels &amp; Resorts, which stands for InterContinental Hotels Group</w:t>
      </w:r>
      <w:r>
        <w:rPr>
          <w:rFonts w:cs="Times New Roman"/>
          <w:szCs w:val="24"/>
        </w:rPr>
        <w:t xml:space="preserve"> is a British multinational hospitality company</w:t>
      </w:r>
      <w:r>
        <w:rPr>
          <w:rFonts w:cs="Times New Roman"/>
          <w:szCs w:val="24"/>
        </w:rPr>
        <w:t xml:space="preserve"> that has been on the peak of hospitality business for decades</w:t>
      </w:r>
      <w:r>
        <w:rPr>
          <w:rFonts w:cs="Times New Roman"/>
          <w:szCs w:val="24"/>
        </w:rPr>
        <w:t>. This company is based in Windsor, Berkshire, England. Elie W. Maalouf, under whose supervision and execution, IHG has seen a great amount of success has been the CEO of the company since July 2023.  This company has been on top of the business for years due to its well-</w:t>
      </w:r>
      <w:r>
        <w:rPr>
          <w:rFonts w:cs="Times New Roman"/>
          <w:szCs w:val="24"/>
        </w:rPr>
        <w:t>strategized</w:t>
      </w:r>
      <w:r>
        <w:rPr>
          <w:rFonts w:cs="Times New Roman"/>
          <w:szCs w:val="24"/>
        </w:rPr>
        <w:t xml:space="preserve"> marketing direction and hospitality while keeping a very high business performance. With the growing economy and demand, they’ve been able to maintain their quality of service through the years. IHG Hotel Group has acquired the position of one of the leading hospitality companies in the world </w:t>
      </w:r>
      <w:r>
        <w:rPr>
          <w:rFonts w:cs="Times New Roman"/>
          <w:szCs w:val="24"/>
        </w:rPr>
        <w:t>to provide</w:t>
      </w:r>
      <w:r>
        <w:rPr>
          <w:rFonts w:cs="Times New Roman"/>
          <w:szCs w:val="24"/>
        </w:rPr>
        <w:t xml:space="preserve"> ‘True Hospitality for Good’.</w:t>
      </w:r>
      <w:r>
        <w:rPr>
          <w:rFonts w:cs="Times New Roman"/>
          <w:szCs w:val="24"/>
        </w:rPr>
        <w:t xml:space="preserve"> </w:t>
      </w:r>
      <w:r>
        <w:rPr>
          <w:rFonts w:cs="Times New Roman"/>
          <w:szCs w:val="24"/>
        </w:rPr>
        <w:t>To decrease the management and opera</w:t>
      </w:r>
      <w:r>
        <w:rPr>
          <w:rFonts w:cs="Times New Roman"/>
          <w:szCs w:val="24"/>
        </w:rPr>
        <w:t>ting co</w:t>
      </w:r>
      <w:r>
        <w:rPr>
          <w:rFonts w:cs="Times New Roman"/>
          <w:szCs w:val="24"/>
        </w:rPr>
        <w:t>sts to some extent, t</w:t>
      </w:r>
      <w:r>
        <w:rPr>
          <w:rFonts w:cs="Times New Roman"/>
          <w:szCs w:val="24"/>
        </w:rPr>
        <w:t>he hot</w:t>
      </w:r>
      <w:r>
        <w:rPr>
          <w:rFonts w:cs="Times New Roman"/>
          <w:szCs w:val="24"/>
        </w:rPr>
        <w:t>el did some reformation in some areas including</w:t>
      </w:r>
      <w:r>
        <w:rPr>
          <w:rFonts w:cs="Times New Roman"/>
          <w:szCs w:val="24"/>
        </w:rPr>
        <w:t xml:space="preserve"> the Asia Pacific region </w:t>
      </w:r>
      <w:r>
        <w:rPr>
          <w:rFonts w:cs="Times New Roman"/>
          <w:szCs w:val="24"/>
        </w:rPr>
        <w:t>between</w:t>
      </w:r>
      <w:r>
        <w:rPr>
          <w:rFonts w:cs="Times New Roman"/>
          <w:szCs w:val="24"/>
        </w:rPr>
        <w:t xml:space="preserve"> </w:t>
      </w:r>
      <w:r>
        <w:rPr>
          <w:rFonts w:cs="Times New Roman"/>
          <w:szCs w:val="24"/>
        </w:rPr>
        <w:t>2002-2003</w:t>
      </w:r>
      <w:r>
        <w:rPr>
          <w:rFonts w:cs="Times New Roman"/>
          <w:szCs w:val="24"/>
        </w:rPr>
        <w:t xml:space="preserve"> </w:t>
      </w:r>
      <w:r>
        <w:rPr>
          <w:rFonts w:cs="Times New Roman"/>
        </w:rPr>
        <w:t>(Prezi, 2013)</w:t>
      </w:r>
      <w:r>
        <w:rPr>
          <w:rFonts w:cs="Times New Roman"/>
          <w:szCs w:val="24"/>
        </w:rPr>
        <w:t xml:space="preserve">. </w:t>
      </w:r>
      <w:bookmarkStart w:id="2" w:name="_Hlk159672435"/>
    </w:p>
    <w:p w14:paraId="00000021">
      <w:pPr>
        <w:spacing w:after="120" w:line="360" w:lineRule="auto"/>
        <w:jc w:val="both"/>
        <w:rPr>
          <w:rFonts w:cs="Times New Roman" w:eastAsiaTheme="majorEastAsia"/>
          <w:b/>
          <w:bCs/>
          <w:sz w:val="32"/>
          <w:szCs w:val="32"/>
        </w:rPr>
      </w:pPr>
      <w:bookmarkStart w:id="3" w:name="_Toc159682323"/>
      <w:r>
        <w:rPr>
          <w:rFonts w:cs="Times New Roman"/>
          <w:b/>
          <w:bCs/>
        </w:rPr>
        <w:br w:type="page"/>
      </w:r>
    </w:p>
    <w:p w14:paraId="00000022">
      <w:pPr>
        <w:pStyle w:val="Heading1"/>
        <w:spacing w:before="0" w:after="120" w:line="360" w:lineRule="auto"/>
        <w:jc w:val="both"/>
        <w:rPr>
          <w:rFonts w:ascii="Times New Roman" w:cs="Times New Roman" w:hAnsi="Times New Roman"/>
          <w:b/>
          <w:bCs/>
          <w:color w:val="auto"/>
        </w:rPr>
      </w:pPr>
      <w:bookmarkStart w:id="4" w:name="_Toc159857850"/>
      <w:r>
        <w:rPr>
          <w:rFonts w:ascii="Times New Roman" w:cs="Times New Roman" w:hAnsi="Times New Roman"/>
          <w:b/>
          <w:bCs/>
          <w:color w:val="auto"/>
        </w:rPr>
        <w:t>2.</w:t>
      </w:r>
      <w:r>
        <w:rPr>
          <w:rFonts w:ascii="Times New Roman" w:cs="Times New Roman" w:hAnsi="Times New Roman"/>
          <w:b/>
          <w:bCs/>
          <w:color w:val="auto"/>
        </w:rPr>
        <w:t>0</w:t>
      </w:r>
      <w:r>
        <w:rPr>
          <w:rFonts w:ascii="Times New Roman" w:cs="Times New Roman" w:hAnsi="Times New Roman"/>
          <w:b/>
          <w:bCs/>
          <w:color w:val="auto"/>
        </w:rPr>
        <w:t xml:space="preserve"> </w:t>
      </w:r>
      <w:r>
        <w:rPr>
          <w:rFonts w:ascii="Times New Roman" w:cs="Times New Roman" w:hAnsi="Times New Roman"/>
          <w:b/>
          <w:bCs/>
          <w:color w:val="auto"/>
        </w:rPr>
        <w:t>KEY FINDINGS</w:t>
      </w:r>
      <w:bookmarkEnd w:id="3"/>
      <w:bookmarkEnd w:id="4"/>
    </w:p>
    <w:p w14:paraId="00000023">
      <w:pPr>
        <w:pStyle w:val="Heading2"/>
        <w:spacing w:before="0" w:after="120" w:line="360" w:lineRule="auto"/>
        <w:jc w:val="both"/>
        <w:rPr>
          <w:rFonts w:ascii="Times New Roman" w:cs="Times New Roman" w:hAnsi="Times New Roman"/>
          <w:b/>
          <w:bCs/>
          <w:color w:val="auto"/>
          <w:sz w:val="28"/>
          <w:szCs w:val="28"/>
        </w:rPr>
      </w:pPr>
      <w:bookmarkEnd w:id="2"/>
      <w:bookmarkStart w:id="5" w:name="_Toc159682324"/>
      <w:bookmarkStart w:id="6" w:name="_Toc159857851"/>
      <w:bookmarkStart w:id="7" w:name="_Hlk159663152"/>
      <w:r>
        <w:rPr>
          <w:rFonts w:ascii="Times New Roman" w:cs="Times New Roman" w:hAnsi="Times New Roman"/>
          <w:b/>
          <w:bCs/>
          <w:color w:val="auto"/>
          <w:sz w:val="28"/>
          <w:szCs w:val="28"/>
        </w:rPr>
        <w:t xml:space="preserve">2.1 </w:t>
      </w:r>
      <w:r>
        <w:rPr>
          <w:rFonts w:ascii="Times New Roman" w:cs="Times New Roman" w:hAnsi="Times New Roman"/>
          <w:b/>
          <w:bCs/>
          <w:color w:val="auto"/>
          <w:sz w:val="28"/>
          <w:szCs w:val="28"/>
        </w:rPr>
        <w:t>Organisation</w:t>
      </w:r>
      <w:r>
        <w:rPr>
          <w:rFonts w:ascii="Times New Roman" w:cs="Times New Roman" w:hAnsi="Times New Roman"/>
          <w:b/>
          <w:bCs/>
          <w:color w:val="auto"/>
          <w:sz w:val="28"/>
          <w:szCs w:val="28"/>
        </w:rPr>
        <w:t>al</w:t>
      </w:r>
      <w:r>
        <w:rPr>
          <w:rFonts w:ascii="Times New Roman" w:cs="Times New Roman" w:hAnsi="Times New Roman"/>
          <w:b/>
          <w:bCs/>
          <w:color w:val="auto"/>
          <w:sz w:val="28"/>
          <w:szCs w:val="28"/>
        </w:rPr>
        <w:t xml:space="preserve"> structure, culture</w:t>
      </w:r>
      <w:r>
        <w:rPr>
          <w:rFonts w:ascii="Times New Roman" w:cs="Times New Roman" w:hAnsi="Times New Roman"/>
          <w:b/>
          <w:bCs/>
          <w:color w:val="auto"/>
          <w:sz w:val="28"/>
          <w:szCs w:val="28"/>
        </w:rPr>
        <w:t>,</w:t>
      </w:r>
      <w:r>
        <w:rPr>
          <w:rFonts w:ascii="Times New Roman" w:cs="Times New Roman" w:hAnsi="Times New Roman"/>
          <w:b/>
          <w:bCs/>
          <w:color w:val="auto"/>
          <w:sz w:val="28"/>
          <w:szCs w:val="28"/>
        </w:rPr>
        <w:t xml:space="preserve"> and goals</w:t>
      </w:r>
      <w:bookmarkEnd w:id="5"/>
      <w:bookmarkEnd w:id="6"/>
    </w:p>
    <w:p w14:paraId="00000024">
      <w:pPr>
        <w:spacing w:after="120" w:line="360" w:lineRule="auto"/>
        <w:jc w:val="both"/>
        <w:rPr>
          <w:rFonts w:cs="Times New Roman"/>
        </w:rPr>
      </w:pPr>
      <w:bookmarkEnd w:id="7"/>
      <w:r>
        <w:rPr>
          <w:rFonts w:cs="Times New Roman"/>
          <w:szCs w:val="24"/>
        </w:rPr>
        <w:t xml:space="preserve">IHG Hotels Group functions in </w:t>
      </w:r>
      <w:r>
        <w:rPr>
          <w:rFonts w:cs="Times New Roman"/>
          <w:szCs w:val="24"/>
        </w:rPr>
        <w:t xml:space="preserve">three total sectors which include </w:t>
      </w:r>
      <w:r>
        <w:rPr>
          <w:rFonts w:cs="Times New Roman"/>
          <w:szCs w:val="24"/>
        </w:rPr>
        <w:t xml:space="preserve">the </w:t>
      </w:r>
      <w:r>
        <w:rPr>
          <w:rFonts w:cs="Times New Roman"/>
          <w:szCs w:val="24"/>
        </w:rPr>
        <w:t>franchised model, managed model</w:t>
      </w:r>
      <w:r>
        <w:rPr>
          <w:rFonts w:cs="Times New Roman"/>
          <w:szCs w:val="24"/>
        </w:rPr>
        <w:t>,</w:t>
      </w:r>
      <w:r>
        <w:rPr>
          <w:rFonts w:cs="Times New Roman"/>
          <w:szCs w:val="24"/>
        </w:rPr>
        <w:t xml:space="preserve"> and owned model</w:t>
      </w:r>
      <w:r>
        <w:rPr>
          <w:rFonts w:cs="Times New Roman"/>
          <w:szCs w:val="24"/>
        </w:rPr>
        <w:t>.</w:t>
      </w:r>
      <w:r>
        <w:rPr>
          <w:rFonts w:cs="Times New Roman"/>
          <w:szCs w:val="24"/>
        </w:rPr>
        <w:t xml:space="preserve"> </w:t>
      </w:r>
      <w:r>
        <w:rPr>
          <w:rFonts w:cs="Times New Roman"/>
          <w:szCs w:val="24"/>
        </w:rPr>
        <w:t xml:space="preserve">There are a lot of </w:t>
      </w:r>
      <w:r>
        <w:rPr>
          <w:rFonts w:cs="Times New Roman"/>
          <w:szCs w:val="24"/>
        </w:rPr>
        <w:t>franchisees</w:t>
      </w:r>
      <w:r>
        <w:rPr>
          <w:rFonts w:cs="Times New Roman"/>
          <w:szCs w:val="24"/>
        </w:rPr>
        <w:t xml:space="preserve"> who </w:t>
      </w:r>
      <w:r>
        <w:rPr>
          <w:rFonts w:cs="Times New Roman"/>
          <w:szCs w:val="24"/>
        </w:rPr>
        <w:t>want</w:t>
      </w:r>
      <w:r>
        <w:rPr>
          <w:rFonts w:cs="Times New Roman"/>
          <w:szCs w:val="24"/>
        </w:rPr>
        <w:t xml:space="preserve"> to be in the hospitality business </w:t>
      </w:r>
      <w:r>
        <w:rPr>
          <w:rFonts w:cs="Times New Roman"/>
          <w:szCs w:val="24"/>
        </w:rPr>
        <w:t>not by themselves but with a strong brand name. IHG primarily serves the</w:t>
      </w:r>
      <w:r>
        <w:rPr>
          <w:rFonts w:cs="Times New Roman"/>
          <w:szCs w:val="24"/>
        </w:rPr>
        <w:t xml:space="preserve"> role of a strong franchisor in</w:t>
      </w:r>
      <w:r>
        <w:rPr>
          <w:rFonts w:cs="Times New Roman"/>
          <w:szCs w:val="24"/>
        </w:rPr>
        <w:t xml:space="preserve"> over 100</w:t>
      </w:r>
      <w:r>
        <w:rPr>
          <w:rFonts w:cs="Times New Roman"/>
          <w:szCs w:val="24"/>
        </w:rPr>
        <w:t xml:space="preserve"> different countries all over the world.</w:t>
      </w:r>
      <w:r>
        <w:rPr>
          <w:rFonts w:cs="Times New Roman"/>
          <w:szCs w:val="24"/>
        </w:rPr>
        <w:t xml:space="preserve"> </w:t>
      </w:r>
      <w:r>
        <w:rPr>
          <w:rFonts w:cs="Times New Roman"/>
          <w:szCs w:val="24"/>
        </w:rPr>
        <w:t xml:space="preserve">The credit is due to the strong management strategy and loyalty built on years of </w:t>
      </w:r>
      <w:r>
        <w:rPr>
          <w:rFonts w:cs="Times New Roman"/>
          <w:szCs w:val="24"/>
        </w:rPr>
        <w:t xml:space="preserve">endless service that these many franchisees are eager to collaborate with the </w:t>
      </w:r>
      <w:r>
        <w:rPr>
          <w:rFonts w:cs="Times New Roman"/>
          <w:szCs w:val="24"/>
        </w:rPr>
        <w:t xml:space="preserve">company. </w:t>
      </w:r>
      <w:r>
        <w:rPr>
          <w:rFonts w:cs="Times New Roman"/>
          <w:szCs w:val="24"/>
        </w:rPr>
        <w:t>I</w:t>
      </w:r>
      <w:r>
        <w:rPr>
          <w:rFonts w:cs="Times New Roman"/>
          <w:szCs w:val="24"/>
        </w:rPr>
        <w:t xml:space="preserve">HG has gained a position in Entrepreneur’s Franchise 500 </w:t>
      </w:r>
      <w:r>
        <w:rPr>
          <w:rFonts w:cs="Times New Roman"/>
          <w:szCs w:val="24"/>
        </w:rPr>
        <w:t xml:space="preserve">which is done </w:t>
      </w:r>
      <w:r>
        <w:rPr>
          <w:rFonts w:cs="Times New Roman"/>
          <w:szCs w:val="24"/>
        </w:rPr>
        <w:t xml:space="preserve">by keeping the brand value, </w:t>
      </w:r>
      <w:r>
        <w:rPr>
          <w:rFonts w:cs="Times New Roman"/>
          <w:szCs w:val="24"/>
        </w:rPr>
        <w:t xml:space="preserve">franchisee </w:t>
      </w:r>
      <w:r>
        <w:rPr>
          <w:rFonts w:cs="Times New Roman"/>
          <w:szCs w:val="24"/>
        </w:rPr>
        <w:t xml:space="preserve">contribution, growth in size and </w:t>
      </w:r>
      <w:r>
        <w:rPr>
          <w:rFonts w:cs="Times New Roman"/>
          <w:szCs w:val="24"/>
        </w:rPr>
        <w:t>financial cost and stability as the evaluation f</w:t>
      </w:r>
      <w:r>
        <w:rPr>
          <w:rFonts w:cs="Times New Roman"/>
          <w:szCs w:val="24"/>
        </w:rPr>
        <w:t>actors</w:t>
      </w:r>
      <w:r>
        <w:rPr>
          <w:rFonts w:cs="Times New Roman"/>
        </w:rPr>
        <w:t xml:space="preserve"> </w:t>
      </w:r>
      <w:r>
        <w:rPr>
          <w:rFonts w:cs="Times New Roman"/>
          <w:szCs w:val="24"/>
        </w:rPr>
        <w:t>(Entr</w:t>
      </w:r>
      <w:r>
        <w:rPr>
          <w:rFonts w:cs="Times New Roman"/>
          <w:szCs w:val="24"/>
        </w:rPr>
        <w:t xml:space="preserve">epreneur, </w:t>
      </w:r>
      <w:r>
        <w:rPr>
          <w:rFonts w:cs="Times New Roman"/>
          <w:szCs w:val="24"/>
        </w:rPr>
        <w:t>2022).</w:t>
      </w:r>
      <w:r>
        <w:rPr>
          <w:rFonts w:cs="Times New Roman"/>
          <w:szCs w:val="24"/>
        </w:rPr>
        <w:t xml:space="preserve"> </w:t>
      </w:r>
      <w:r>
        <w:rPr>
          <w:rFonts w:cs="Times New Roman"/>
          <w:szCs w:val="24"/>
        </w:rPr>
        <w:t xml:space="preserve">As IHG is one of the leading hospitality companies, </w:t>
      </w:r>
      <w:r>
        <w:rPr>
          <w:rFonts w:cs="Times New Roman"/>
          <w:szCs w:val="24"/>
        </w:rPr>
        <w:t>a thorough investigation and verification</w:t>
      </w:r>
      <w:r>
        <w:rPr>
          <w:rFonts w:cs="Times New Roman"/>
          <w:szCs w:val="24"/>
        </w:rPr>
        <w:t xml:space="preserve"> process</w:t>
      </w:r>
      <w:r>
        <w:rPr>
          <w:rFonts w:cs="Times New Roman"/>
          <w:szCs w:val="24"/>
        </w:rPr>
        <w:t xml:space="preserve"> must be </w:t>
      </w:r>
      <w:r>
        <w:rPr>
          <w:rFonts w:cs="Times New Roman"/>
          <w:szCs w:val="24"/>
        </w:rPr>
        <w:t>done</w:t>
      </w:r>
      <w:r>
        <w:rPr>
          <w:rFonts w:cs="Times New Roman"/>
          <w:szCs w:val="24"/>
        </w:rPr>
        <w:t xml:space="preserve"> to collaborate with the group. </w:t>
      </w:r>
      <w:r>
        <w:rPr>
          <w:rFonts w:cs="Times New Roman"/>
          <w:szCs w:val="24"/>
        </w:rPr>
        <w:t xml:space="preserve">Great communication </w:t>
      </w:r>
      <w:r>
        <w:rPr>
          <w:rFonts w:cs="Times New Roman"/>
          <w:szCs w:val="24"/>
        </w:rPr>
        <w:t xml:space="preserve">and clear vision are needed to back up the business collaborative experience. </w:t>
      </w:r>
      <w:r>
        <w:rPr>
          <w:rFonts w:cs="Times New Roman"/>
          <w:szCs w:val="24"/>
        </w:rPr>
        <w:t xml:space="preserve">With startup companies, to be successful </w:t>
      </w:r>
      <w:r>
        <w:rPr>
          <w:rFonts w:cs="Times New Roman"/>
          <w:szCs w:val="24"/>
        </w:rPr>
        <w:t xml:space="preserve">in </w:t>
      </w:r>
      <w:r>
        <w:rPr>
          <w:rFonts w:cs="Times New Roman"/>
          <w:szCs w:val="24"/>
        </w:rPr>
        <w:t xml:space="preserve">the </w:t>
      </w:r>
      <w:r>
        <w:rPr>
          <w:rFonts w:cs="Times New Roman"/>
          <w:szCs w:val="24"/>
        </w:rPr>
        <w:t xml:space="preserve">hospitality business, an experienced managerial authority </w:t>
      </w:r>
      <w:r>
        <w:rPr>
          <w:rFonts w:cs="Times New Roman"/>
          <w:szCs w:val="24"/>
        </w:rPr>
        <w:t>with highly trained professionals</w:t>
      </w:r>
      <w:r>
        <w:rPr>
          <w:rFonts w:cs="Times New Roman"/>
          <w:szCs w:val="24"/>
        </w:rPr>
        <w:t xml:space="preserve"> is a crucial need. Being a franchiser</w:t>
      </w:r>
      <w:r>
        <w:rPr>
          <w:rFonts w:cs="Times New Roman"/>
          <w:szCs w:val="24"/>
        </w:rPr>
        <w:t>,</w:t>
      </w:r>
      <w:r>
        <w:rPr>
          <w:rFonts w:cs="Times New Roman"/>
          <w:szCs w:val="24"/>
        </w:rPr>
        <w:t xml:space="preserve"> IHG </w:t>
      </w:r>
      <w:r>
        <w:rPr>
          <w:rFonts w:cs="Times New Roman"/>
          <w:szCs w:val="24"/>
        </w:rPr>
        <w:t xml:space="preserve">makes sure that the franchisees connected with them all over the world are </w:t>
      </w:r>
      <w:r>
        <w:rPr>
          <w:rFonts w:cs="Times New Roman"/>
          <w:szCs w:val="24"/>
        </w:rPr>
        <w:t xml:space="preserve">being supervised </w:t>
      </w:r>
      <w:r>
        <w:rPr>
          <w:rFonts w:cs="Times New Roman"/>
          <w:szCs w:val="24"/>
        </w:rPr>
        <w:t>by</w:t>
      </w:r>
      <w:r>
        <w:rPr>
          <w:rFonts w:cs="Times New Roman"/>
          <w:szCs w:val="24"/>
        </w:rPr>
        <w:t xml:space="preserve"> experienced and trained business and marketing </w:t>
      </w:r>
      <w:r>
        <w:rPr>
          <w:rFonts w:cs="Times New Roman"/>
          <w:szCs w:val="24"/>
        </w:rPr>
        <w:t>personnel</w:t>
      </w:r>
      <w:r>
        <w:rPr>
          <w:rFonts w:cs="Times New Roman"/>
          <w:szCs w:val="24"/>
        </w:rPr>
        <w:t>.</w:t>
      </w:r>
      <w:r>
        <w:rPr>
          <w:rFonts w:cs="Times New Roman"/>
          <w:szCs w:val="24"/>
        </w:rPr>
        <w:t xml:space="preserve"> According to Mark Younadam, when a hotel becomes part of a well-known franchise, it instantly gains credibility and trust in the eyes of potential guests</w:t>
      </w:r>
      <w:r>
        <w:rPr>
          <w:rFonts w:cs="Times New Roman"/>
        </w:rPr>
        <w:t xml:space="preserve"> </w:t>
      </w:r>
      <w:r>
        <w:rPr>
          <w:rFonts w:cs="Times New Roman"/>
          <w:szCs w:val="24"/>
        </w:rPr>
        <w:t>(Younadam, 2023)</w:t>
      </w:r>
      <w:r>
        <w:rPr>
          <w:rFonts w:cs="Times New Roman"/>
          <w:szCs w:val="24"/>
        </w:rPr>
        <w:t>.</w:t>
      </w:r>
      <w:r>
        <w:rPr>
          <w:rFonts w:cs="Times New Roman"/>
          <w:szCs w:val="24"/>
        </w:rPr>
        <w:t xml:space="preserve"> </w:t>
      </w:r>
      <w:r>
        <w:rPr>
          <w:rFonts w:cs="Times New Roman"/>
          <w:szCs w:val="24"/>
        </w:rPr>
        <w:t xml:space="preserve">But before starting the collaborative process, the franchisees should keep the financial </w:t>
      </w:r>
      <w:r>
        <w:rPr>
          <w:rFonts w:cs="Times New Roman"/>
          <w:szCs w:val="24"/>
        </w:rPr>
        <w:t xml:space="preserve">and initial investment </w:t>
      </w:r>
      <w:r>
        <w:rPr>
          <w:rFonts w:cs="Times New Roman"/>
          <w:szCs w:val="24"/>
        </w:rPr>
        <w:t>factors</w:t>
      </w:r>
      <w:r>
        <w:rPr>
          <w:rFonts w:cs="Times New Roman"/>
          <w:szCs w:val="24"/>
        </w:rPr>
        <w:t xml:space="preserve"> in mind. </w:t>
      </w:r>
      <w:r>
        <w:rPr>
          <w:rFonts w:cs="Times New Roman"/>
          <w:szCs w:val="24"/>
        </w:rPr>
        <w:t xml:space="preserve">IHG also serves in </w:t>
      </w:r>
      <w:r>
        <w:rPr>
          <w:rFonts w:cs="Times New Roman"/>
          <w:szCs w:val="24"/>
        </w:rPr>
        <w:t xml:space="preserve">the </w:t>
      </w:r>
      <w:r>
        <w:rPr>
          <w:rFonts w:cs="Times New Roman"/>
          <w:szCs w:val="24"/>
        </w:rPr>
        <w:t xml:space="preserve">management sector where </w:t>
      </w:r>
      <w:r>
        <w:rPr>
          <w:rFonts w:cs="Times New Roman"/>
          <w:szCs w:val="24"/>
        </w:rPr>
        <w:t xml:space="preserve">hotels owned by third parties get their companies managed by professional </w:t>
      </w:r>
      <w:r>
        <w:rPr>
          <w:rFonts w:cs="Times New Roman"/>
          <w:szCs w:val="24"/>
        </w:rPr>
        <w:t xml:space="preserve">employees of the group. In this way, </w:t>
      </w:r>
      <w:r>
        <w:rPr>
          <w:rFonts w:cs="Times New Roman"/>
          <w:szCs w:val="24"/>
        </w:rPr>
        <w:t>third-party</w:t>
      </w:r>
      <w:r>
        <w:rPr>
          <w:rFonts w:cs="Times New Roman"/>
          <w:szCs w:val="24"/>
        </w:rPr>
        <w:t xml:space="preserve"> owners can get </w:t>
      </w:r>
      <w:r>
        <w:rPr>
          <w:rFonts w:cs="Times New Roman"/>
          <w:szCs w:val="24"/>
        </w:rPr>
        <w:t>their business supervised by highly trained professionals without changing the ownership.</w:t>
      </w:r>
      <w:r>
        <w:rPr>
          <w:rFonts w:cs="Times New Roman"/>
          <w:szCs w:val="24"/>
        </w:rPr>
        <w:t xml:space="preserve"> The process of </w:t>
      </w:r>
      <w:r>
        <w:rPr>
          <w:rFonts w:cs="Times New Roman"/>
          <w:szCs w:val="24"/>
        </w:rPr>
        <w:t xml:space="preserve">the </w:t>
      </w:r>
      <w:r>
        <w:rPr>
          <w:rFonts w:cs="Times New Roman"/>
          <w:szCs w:val="24"/>
        </w:rPr>
        <w:t>managerial deal</w:t>
      </w:r>
      <w:r>
        <w:rPr>
          <w:rFonts w:cs="Times New Roman"/>
          <w:szCs w:val="24"/>
        </w:rPr>
        <w:t xml:space="preserve"> is that the management team will </w:t>
      </w:r>
      <w:r>
        <w:rPr>
          <w:rFonts w:cs="Times New Roman"/>
          <w:szCs w:val="24"/>
        </w:rPr>
        <w:t xml:space="preserve">run the hotels on behalf of the real owners according to </w:t>
      </w:r>
      <w:r>
        <w:rPr>
          <w:rFonts w:cs="Times New Roman"/>
          <w:szCs w:val="24"/>
        </w:rPr>
        <w:t xml:space="preserve">brand policy and standards </w:t>
      </w:r>
      <w:r>
        <w:rPr>
          <w:rFonts w:cs="Times New Roman"/>
        </w:rPr>
        <w:t>(</w:t>
      </w:r>
      <w:r>
        <w:rPr>
          <w:rFonts w:cs="Times New Roman"/>
        </w:rPr>
        <w:t xml:space="preserve">Ravanat, 2019). </w:t>
      </w:r>
      <w:r>
        <w:rPr>
          <w:rFonts w:cs="Times New Roman"/>
        </w:rPr>
        <w:t xml:space="preserve">As an asset-light business model, IHG also serves in </w:t>
      </w:r>
      <w:r>
        <w:rPr>
          <w:rFonts w:cs="Times New Roman"/>
        </w:rPr>
        <w:t xml:space="preserve">the </w:t>
      </w:r>
      <w:r>
        <w:rPr>
          <w:rFonts w:cs="Times New Roman"/>
        </w:rPr>
        <w:t xml:space="preserve">real estate sector </w:t>
      </w:r>
      <w:r>
        <w:rPr>
          <w:rFonts w:cs="Times New Roman"/>
        </w:rPr>
        <w:t xml:space="preserve">by building high to mid-tier hotels and selling them to </w:t>
      </w:r>
      <w:r>
        <w:rPr>
          <w:rFonts w:cs="Times New Roman"/>
        </w:rPr>
        <w:t xml:space="preserve">business holders or financial groups. This is the third </w:t>
      </w:r>
      <w:r>
        <w:rPr>
          <w:rFonts w:cs="Times New Roman"/>
        </w:rPr>
        <w:t>operation of IHG that has helped the company for the financial growth through the years.</w:t>
      </w:r>
      <w:r>
        <w:rPr>
          <w:rFonts w:cs="Times New Roman"/>
        </w:rPr>
        <w:t xml:space="preserve"> Generally, the real estate investment groups </w:t>
      </w:r>
      <w:r>
        <w:rPr>
          <w:rFonts w:cs="Times New Roman"/>
        </w:rPr>
        <w:t>pull money from different investors to own the hotels and land so to speak</w:t>
      </w:r>
      <w:r>
        <w:rPr>
          <w:rFonts w:cs="Times New Roman"/>
        </w:rPr>
        <w:t xml:space="preserve"> (Msourceadmin and Msourceadmin, 2022). </w:t>
      </w:r>
    </w:p>
    <w:p w14:paraId="00000025">
      <w:pPr>
        <w:spacing w:after="120" w:line="360" w:lineRule="auto"/>
        <w:jc w:val="both"/>
        <w:rPr>
          <w:rFonts w:cs="Times New Roman"/>
        </w:rPr>
      </w:pPr>
      <w:r>
        <w:rPr>
          <w:rFonts w:cs="Times New Roman"/>
        </w:rPr>
        <w:t xml:space="preserve">IHG believes in </w:t>
      </w:r>
      <w:r>
        <w:rPr>
          <w:rFonts w:cs="Times New Roman"/>
        </w:rPr>
        <w:t xml:space="preserve">nurturing a warm environment for </w:t>
      </w:r>
      <w:r>
        <w:rPr>
          <w:rFonts w:cs="Times New Roman"/>
        </w:rPr>
        <w:t>its</w:t>
      </w:r>
      <w:r>
        <w:rPr>
          <w:rFonts w:cs="Times New Roman"/>
        </w:rPr>
        <w:t xml:space="preserve"> </w:t>
      </w:r>
      <w:r>
        <w:rPr>
          <w:rFonts w:cs="Times New Roman"/>
        </w:rPr>
        <w:t>diverse</w:t>
      </w:r>
      <w:r>
        <w:rPr>
          <w:rFonts w:cs="Times New Roman"/>
        </w:rPr>
        <w:t xml:space="preserve"> </w:t>
      </w:r>
      <w:r>
        <w:rPr>
          <w:rFonts w:cs="Times New Roman"/>
        </w:rPr>
        <w:t>employees, guests, investors</w:t>
      </w:r>
      <w:r>
        <w:rPr>
          <w:rFonts w:cs="Times New Roman"/>
        </w:rPr>
        <w:t>,</w:t>
      </w:r>
      <w:r>
        <w:rPr>
          <w:rFonts w:cs="Times New Roman"/>
        </w:rPr>
        <w:t xml:space="preserve"> and collaborators.</w:t>
      </w:r>
      <w:r>
        <w:rPr>
          <w:rFonts w:cs="Times New Roman"/>
        </w:rPr>
        <w:t xml:space="preserve"> Any established compan</w:t>
      </w:r>
      <w:r>
        <w:rPr>
          <w:rFonts w:cs="Times New Roman"/>
        </w:rPr>
        <w:t xml:space="preserve">y has to maintain an employee-friendly culture to reign </w:t>
      </w:r>
      <w:r>
        <w:rPr>
          <w:rFonts w:cs="Times New Roman"/>
        </w:rPr>
        <w:t xml:space="preserve">in the industry. </w:t>
      </w:r>
      <w:r>
        <w:rPr>
          <w:rFonts w:cs="Times New Roman"/>
        </w:rPr>
        <w:t xml:space="preserve">IHG is no different in that case. </w:t>
      </w:r>
      <w:r>
        <w:rPr>
          <w:rFonts w:cs="Times New Roman"/>
        </w:rPr>
        <w:t>According to Joanna Kurowksa, VP and UK&amp;I MD,</w:t>
      </w:r>
      <w:r>
        <w:rPr>
          <w:rFonts w:cs="Times New Roman"/>
        </w:rPr>
        <w:t xml:space="preserve"> IHG believes in valuing, respecting </w:t>
      </w:r>
      <w:r>
        <w:rPr>
          <w:rFonts w:cs="Times New Roman"/>
        </w:rPr>
        <w:t>and including all the employees as people by default become the best version of themselves and contribute their best when they feel the strong sense of belonging</w:t>
      </w:r>
      <w:r>
        <w:rPr>
          <w:rFonts w:cs="Times New Roman"/>
        </w:rPr>
        <w:t xml:space="preserve"> (Nawrat, 2022).</w:t>
      </w:r>
      <w:r>
        <w:rPr>
          <w:rFonts w:cs="Times New Roman"/>
        </w:rPr>
        <w:t xml:space="preserve"> </w:t>
      </w:r>
      <w:r>
        <w:rPr>
          <w:rFonts w:cs="Times New Roman"/>
        </w:rPr>
        <w:t xml:space="preserve">With the huge global impact </w:t>
      </w:r>
      <w:r>
        <w:rPr>
          <w:rFonts w:cs="Times New Roman"/>
        </w:rPr>
        <w:t xml:space="preserve">that IHG has, there are employees from all different races, </w:t>
      </w:r>
      <w:r>
        <w:rPr>
          <w:rFonts w:cs="Times New Roman"/>
        </w:rPr>
        <w:t>cultures</w:t>
      </w:r>
      <w:r>
        <w:rPr>
          <w:rFonts w:cs="Times New Roman"/>
        </w:rPr>
        <w:t>,</w:t>
      </w:r>
      <w:r>
        <w:rPr>
          <w:rFonts w:cs="Times New Roman"/>
        </w:rPr>
        <w:t xml:space="preserve"> and </w:t>
      </w:r>
      <w:r>
        <w:rPr>
          <w:rFonts w:cs="Times New Roman"/>
        </w:rPr>
        <w:t xml:space="preserve">sexual orientations. </w:t>
      </w:r>
      <w:r>
        <w:rPr>
          <w:rFonts w:cs="Times New Roman"/>
        </w:rPr>
        <w:t>So,</w:t>
      </w:r>
      <w:r>
        <w:rPr>
          <w:rFonts w:cs="Times New Roman"/>
        </w:rPr>
        <w:t xml:space="preserve"> it’s crucial to maintain such a working environment where people from every background feel equally included.</w:t>
      </w:r>
      <w:r>
        <w:rPr>
          <w:rFonts w:cs="Times New Roman"/>
        </w:rPr>
        <w:t xml:space="preserve"> Implementing diverse opinions from </w:t>
      </w:r>
      <w:r>
        <w:rPr>
          <w:rFonts w:cs="Times New Roman"/>
        </w:rPr>
        <w:t xml:space="preserve">employees from diverse cultures and backgrounds also adds value to the strategic development of the company. </w:t>
      </w:r>
    </w:p>
    <w:p w14:paraId="00000026">
      <w:pPr>
        <w:spacing w:after="120" w:line="360" w:lineRule="auto"/>
        <w:jc w:val="both"/>
        <w:rPr>
          <w:rFonts w:cs="Times New Roman"/>
        </w:rPr>
      </w:pPr>
      <w:r>
        <w:rPr>
          <w:rFonts w:cs="Times New Roman"/>
        </w:rPr>
        <w:t>IHG collectively believes</w:t>
      </w:r>
      <w:r>
        <w:rPr>
          <w:rFonts w:cs="Times New Roman"/>
        </w:rPr>
        <w:t xml:space="preserve"> and is committed to implementing</w:t>
      </w:r>
      <w:r>
        <w:rPr>
          <w:rFonts w:cs="Times New Roman"/>
        </w:rPr>
        <w:t xml:space="preserve"> </w:t>
      </w:r>
      <w:r>
        <w:rPr>
          <w:rFonts w:cs="Times New Roman"/>
        </w:rPr>
        <w:t xml:space="preserve">D, E &amp; </w:t>
      </w:r>
      <w:r>
        <w:rPr>
          <w:rFonts w:cs="Times New Roman"/>
        </w:rPr>
        <w:t>focused</w:t>
      </w:r>
      <w:r>
        <w:rPr>
          <w:rFonts w:cs="Times New Roman"/>
        </w:rPr>
        <w:t xml:space="preserve"> </w:t>
      </w:r>
      <w:r>
        <w:rPr>
          <w:rFonts w:cs="Times New Roman"/>
        </w:rPr>
        <w:t>goals</w:t>
      </w:r>
      <w:r>
        <w:rPr>
          <w:rFonts w:cs="Times New Roman"/>
        </w:rPr>
        <w:t xml:space="preserve"> that </w:t>
      </w:r>
      <w:r>
        <w:rPr>
          <w:rFonts w:cs="Times New Roman"/>
        </w:rPr>
        <w:t>refer to diversity, equity, and inclusion</w:t>
      </w:r>
      <w:r>
        <w:rPr>
          <w:rFonts w:cs="Times New Roman"/>
        </w:rPr>
        <w:t xml:space="preserve"> </w:t>
      </w:r>
      <w:r>
        <w:rPr>
          <w:rFonts w:cs="Times New Roman"/>
        </w:rPr>
        <w:t xml:space="preserve">(Nawrat, 2022). They have made it their ultimate goal to </w:t>
      </w:r>
      <w:r>
        <w:rPr>
          <w:rFonts w:cs="Times New Roman"/>
        </w:rPr>
        <w:t>make sure that their employees feel like they belong the</w:t>
      </w:r>
      <w:r>
        <w:rPr>
          <w:rFonts w:cs="Times New Roman"/>
        </w:rPr>
        <w:t>re not just out of financial need but creative desire.</w:t>
      </w:r>
      <w:r>
        <w:rPr>
          <w:rFonts w:cs="Times New Roman"/>
        </w:rPr>
        <w:t xml:space="preserve"> Even after facing </w:t>
      </w:r>
      <w:r>
        <w:rPr>
          <w:rFonts w:cs="Times New Roman"/>
        </w:rPr>
        <w:t xml:space="preserve">financial challenges throughout the year of 2009, the core strategy of IHG has been developing </w:t>
      </w:r>
      <w:r>
        <w:rPr>
          <w:rFonts w:cs="Times New Roman"/>
        </w:rPr>
        <w:t>significantly</w:t>
      </w:r>
      <w:r>
        <w:rPr>
          <w:rFonts w:cs="Times New Roman"/>
        </w:rPr>
        <w:t xml:space="preserve"> (Business Bliss FZE, 2023). </w:t>
      </w:r>
      <w:r>
        <w:rPr>
          <w:rFonts w:cs="Times New Roman"/>
        </w:rPr>
        <w:t xml:space="preserve">According to the former CEO of IHG </w:t>
      </w:r>
      <w:r>
        <w:rPr>
          <w:rFonts w:cs="Times New Roman"/>
        </w:rPr>
        <w:t>Mr. Andrew Cosslett,</w:t>
      </w:r>
      <w:r>
        <w:rPr>
          <w:rFonts w:cs="Times New Roman"/>
        </w:rPr>
        <w:t xml:space="preserve"> if</w:t>
      </w:r>
      <w:r>
        <w:rPr>
          <w:rFonts w:cs="Times New Roman"/>
        </w:rPr>
        <w:t xml:space="preserve"> </w:t>
      </w:r>
      <w:r>
        <w:rPr>
          <w:rFonts w:cs="Times New Roman"/>
        </w:rPr>
        <w:t>the team spirit</w:t>
      </w:r>
      <w:r>
        <w:rPr>
          <w:rFonts w:cs="Times New Roman"/>
        </w:rPr>
        <w:t xml:space="preserve">, unity and </w:t>
      </w:r>
      <w:r>
        <w:rPr>
          <w:rFonts w:cs="Times New Roman"/>
        </w:rPr>
        <w:t>winning</w:t>
      </w:r>
      <w:r>
        <w:rPr>
          <w:rFonts w:cs="Times New Roman"/>
        </w:rPr>
        <w:t xml:space="preserve"> zeal</w:t>
      </w:r>
      <w:r>
        <w:rPr>
          <w:rFonts w:cs="Times New Roman"/>
        </w:rPr>
        <w:t xml:space="preserve"> remain intact in the company, IHG will </w:t>
      </w:r>
      <w:r>
        <w:rPr>
          <w:rFonts w:cs="Times New Roman"/>
        </w:rPr>
        <w:t>make the most of the success when it arrives</w:t>
      </w:r>
      <w:r>
        <w:rPr>
          <w:rFonts w:cs="Times New Roman"/>
        </w:rPr>
        <w:t xml:space="preserve"> (Business Bliss FZE, 2023). </w:t>
      </w:r>
    </w:p>
    <w:p w14:paraId="00000027">
      <w:pPr>
        <w:pStyle w:val="Heading2"/>
        <w:spacing w:before="0" w:after="120" w:line="360" w:lineRule="auto"/>
        <w:jc w:val="both"/>
        <w:rPr>
          <w:rFonts w:ascii="Times New Roman" w:cs="Times New Roman" w:hAnsi="Times New Roman"/>
          <w:b/>
          <w:bCs/>
          <w:color w:val="auto"/>
          <w:sz w:val="28"/>
          <w:szCs w:val="28"/>
        </w:rPr>
      </w:pPr>
      <w:bookmarkStart w:id="8" w:name="_Toc159682325"/>
      <w:bookmarkStart w:id="9" w:name="_Toc159857852"/>
      <w:bookmarkStart w:id="10" w:name="_Hlk159670068"/>
      <w:r>
        <w:rPr>
          <w:rFonts w:ascii="Times New Roman" w:cs="Times New Roman" w:hAnsi="Times New Roman"/>
          <w:b/>
          <w:bCs/>
          <w:color w:val="auto"/>
          <w:sz w:val="28"/>
          <w:szCs w:val="28"/>
        </w:rPr>
        <w:t xml:space="preserve">2.2 Recent change initiatives, impact </w:t>
      </w:r>
      <w:r>
        <w:rPr>
          <w:rFonts w:ascii="Times New Roman" w:cs="Times New Roman" w:hAnsi="Times New Roman"/>
          <w:b/>
          <w:bCs/>
          <w:color w:val="auto"/>
          <w:sz w:val="28"/>
          <w:szCs w:val="28"/>
        </w:rPr>
        <w:t>and management</w:t>
      </w:r>
      <w:bookmarkEnd w:id="8"/>
      <w:bookmarkEnd w:id="9"/>
      <w:r>
        <w:rPr>
          <w:rFonts w:ascii="Times New Roman" w:cs="Times New Roman" w:hAnsi="Times New Roman"/>
          <w:b/>
          <w:bCs/>
          <w:color w:val="auto"/>
          <w:sz w:val="28"/>
          <w:szCs w:val="28"/>
        </w:rPr>
        <w:t xml:space="preserve"> </w:t>
      </w:r>
    </w:p>
    <w:p w14:paraId="00000028">
      <w:pPr>
        <w:spacing w:after="120" w:line="360" w:lineRule="auto"/>
        <w:jc w:val="both"/>
        <w:rPr>
          <w:rFonts w:cs="Times New Roman"/>
        </w:rPr>
      </w:pPr>
      <w:bookmarkEnd w:id="10"/>
      <w:r>
        <w:rPr>
          <w:rFonts w:cs="Times New Roman"/>
          <w:szCs w:val="24"/>
        </w:rPr>
        <w:t xml:space="preserve">In recent years, IHG has </w:t>
      </w:r>
      <w:r>
        <w:rPr>
          <w:rFonts w:cs="Times New Roman"/>
          <w:szCs w:val="24"/>
        </w:rPr>
        <w:t xml:space="preserve">set an example for other hospitality companies by exploring and taking different effective initiatives to improve </w:t>
      </w:r>
      <w:r>
        <w:rPr>
          <w:rFonts w:cs="Times New Roman"/>
          <w:szCs w:val="24"/>
        </w:rPr>
        <w:t>from all sides. IHG</w:t>
      </w:r>
      <w:r>
        <w:rPr>
          <w:rFonts w:cs="Times New Roman"/>
          <w:szCs w:val="24"/>
        </w:rPr>
        <w:t xml:space="preserve"> introduced a new and </w:t>
      </w:r>
      <w:r>
        <w:rPr>
          <w:rFonts w:cs="Times New Roman"/>
          <w:szCs w:val="24"/>
        </w:rPr>
        <w:t>forward-thinking</w:t>
      </w:r>
      <w:r>
        <w:rPr>
          <w:rFonts w:cs="Times New Roman"/>
          <w:szCs w:val="24"/>
        </w:rPr>
        <w:t xml:space="preserve"> sustainability program that commits a </w:t>
      </w:r>
      <w:r>
        <w:rPr>
          <w:rFonts w:cs="Times New Roman"/>
          <w:szCs w:val="24"/>
        </w:rPr>
        <w:t>betterment of the company,</w:t>
      </w:r>
      <w:r>
        <w:rPr>
          <w:rFonts w:cs="Times New Roman"/>
          <w:szCs w:val="24"/>
        </w:rPr>
        <w:t xml:space="preserve"> partners,</w:t>
      </w:r>
      <w:r>
        <w:rPr>
          <w:rFonts w:cs="Times New Roman"/>
          <w:szCs w:val="24"/>
        </w:rPr>
        <w:t xml:space="preserve"> employees</w:t>
      </w:r>
      <w:r>
        <w:rPr>
          <w:rFonts w:cs="Times New Roman"/>
          <w:szCs w:val="24"/>
        </w:rPr>
        <w:t>, travellers around the world</w:t>
      </w:r>
      <w:r>
        <w:rPr>
          <w:rFonts w:cs="Times New Roman"/>
          <w:szCs w:val="24"/>
        </w:rPr>
        <w:t>,</w:t>
      </w:r>
      <w:r>
        <w:rPr>
          <w:rFonts w:cs="Times New Roman"/>
          <w:szCs w:val="24"/>
        </w:rPr>
        <w:t xml:space="preserve"> and the planet altogether</w:t>
      </w:r>
      <w:r>
        <w:rPr>
          <w:rFonts w:cs="Times New Roman"/>
          <w:szCs w:val="24"/>
        </w:rPr>
        <w:t xml:space="preserve"> over the next 10 years</w:t>
      </w:r>
      <w:r>
        <w:rPr>
          <w:rFonts w:cs="Times New Roman"/>
          <w:szCs w:val="24"/>
        </w:rPr>
        <w:t xml:space="preserve"> and they named</w:t>
      </w:r>
      <w:r>
        <w:rPr>
          <w:rFonts w:cs="Times New Roman"/>
          <w:szCs w:val="24"/>
        </w:rPr>
        <w:t xml:space="preserve"> this campaign “Journey to </w:t>
      </w:r>
      <w:r>
        <w:rPr>
          <w:rFonts w:cs="Times New Roman"/>
          <w:szCs w:val="24"/>
        </w:rPr>
        <w:t xml:space="preserve">Tomorrow” </w:t>
      </w:r>
      <w:r>
        <w:rPr>
          <w:rFonts w:cs="Times New Roman"/>
        </w:rPr>
        <w:t>(</w:t>
      </w:r>
      <w:r>
        <w:rPr>
          <w:rFonts w:cs="Times New Roman"/>
        </w:rPr>
        <w:t xml:space="preserve">Otley, 2022). </w:t>
      </w:r>
      <w:r>
        <w:rPr>
          <w:rFonts w:cs="Times New Roman"/>
        </w:rPr>
        <w:t xml:space="preserve">According to the former CEO Keith Barr, </w:t>
      </w:r>
      <w:r>
        <w:rPr>
          <w:rFonts w:cs="Times New Roman"/>
        </w:rPr>
        <w:t xml:space="preserve">IHG prioritises the service and experience of the guests as much as </w:t>
      </w:r>
      <w:r>
        <w:rPr>
          <w:rFonts w:cs="Times New Roman"/>
        </w:rPr>
        <w:t>thoughtful and permanent growth</w:t>
      </w:r>
      <w:r>
        <w:rPr>
          <w:rFonts w:cs="Times New Roman"/>
        </w:rPr>
        <w:t>,</w:t>
      </w:r>
      <w:r>
        <w:rPr>
          <w:rFonts w:cs="Times New Roman"/>
        </w:rPr>
        <w:t xml:space="preserve"> and for that very reason their Journey to Tomorrow campaign </w:t>
      </w:r>
      <w:r>
        <w:rPr>
          <w:rFonts w:cs="Times New Roman"/>
        </w:rPr>
        <w:t xml:space="preserve">links to the UN </w:t>
      </w:r>
      <w:r>
        <w:rPr>
          <w:rFonts w:cs="Times New Roman"/>
        </w:rPr>
        <w:t xml:space="preserve">SDGs promising a better future by 2030 </w:t>
      </w:r>
      <w:r>
        <w:rPr>
          <w:rFonts w:cs="Times New Roman"/>
        </w:rPr>
        <w:t>(Otley, 2022). The COVID-19 pandemic has affected the hospitality industry greatly all over the world. But this crisis has helped shape the industry in a way that business professionals have gained ideas, confidence</w:t>
      </w:r>
      <w:r>
        <w:rPr>
          <w:rFonts w:cs="Times New Roman"/>
        </w:rPr>
        <w:t>,</w:t>
      </w:r>
      <w:r>
        <w:rPr>
          <w:rFonts w:cs="Times New Roman"/>
        </w:rPr>
        <w:t xml:space="preserve"> and experience to survive in terms of critical situations. </w:t>
      </w:r>
      <w:r>
        <w:rPr>
          <w:rFonts w:cs="Times New Roman"/>
        </w:rPr>
        <w:t>Th</w:t>
      </w:r>
      <w:r>
        <w:rPr>
          <w:rFonts w:cs="Times New Roman"/>
        </w:rPr>
        <w:t>e Managing Director</w:t>
      </w:r>
      <w:r>
        <w:rPr>
          <w:rFonts w:cs="Times New Roman"/>
        </w:rPr>
        <w:t xml:space="preserve"> of South West Asia region </w:t>
      </w:r>
      <w:r>
        <w:rPr>
          <w:rFonts w:cs="Times New Roman"/>
        </w:rPr>
        <w:t xml:space="preserve">thinks that they should focus on investing in </w:t>
      </w:r>
      <w:r>
        <w:rPr>
          <w:rFonts w:cs="Times New Roman"/>
        </w:rPr>
        <w:t>technological tools, services</w:t>
      </w:r>
      <w:r>
        <w:rPr>
          <w:rFonts w:cs="Times New Roman"/>
        </w:rPr>
        <w:t xml:space="preserve">, solutions, and loyalty to make sure that the partners, investors, and guests have the best experience </w:t>
      </w:r>
      <w:r>
        <w:rPr>
          <w:rFonts w:cs="Times New Roman"/>
        </w:rPr>
        <w:t xml:space="preserve">(Khanna, 2022). </w:t>
      </w:r>
    </w:p>
    <w:p w14:paraId="00000029">
      <w:pPr>
        <w:spacing w:after="120" w:line="360" w:lineRule="auto"/>
        <w:jc w:val="both"/>
        <w:rPr>
          <w:rFonts w:cs="Times New Roman"/>
          <w:szCs w:val="24"/>
        </w:rPr>
      </w:pPr>
      <w:r>
        <w:rPr>
          <w:rFonts w:cs="Times New Roman"/>
        </w:rPr>
        <w:t xml:space="preserve">IHG has had a huge impact on the hospitality industry over the years. Be it sales, stock or customer satisfaction, InterContinental Hotels Group &amp; Resorts has stood by its name on the </w:t>
      </w:r>
      <w:r>
        <w:rPr>
          <w:rFonts w:cs="Times New Roman"/>
        </w:rPr>
        <w:t xml:space="preserve">market. They have maintained top-notch quality in managerial and technical sectors. Through the years, they’ve created sustainable relevancy in the economy. The diverse portfolio has helped greatly in branching out and to be exposed to diverse financial groups, investors and stockholders. </w:t>
      </w:r>
      <w:r>
        <w:rPr>
          <w:rFonts w:cs="Times New Roman"/>
        </w:rPr>
        <w:t xml:space="preserve">As IHG </w:t>
      </w:r>
      <w:r>
        <w:rPr>
          <w:rFonts w:cs="Times New Roman"/>
        </w:rPr>
        <w:t xml:space="preserve">owns a very diverse brand portfolio and huge amount of clients all over the world, it </w:t>
      </w:r>
      <w:r>
        <w:rPr>
          <w:rFonts w:cs="Times New Roman"/>
        </w:rPr>
        <w:t>benefits greatly with rising economy scale in different regions</w:t>
      </w:r>
      <w:r>
        <w:rPr>
          <w:rFonts w:cs="Times New Roman"/>
        </w:rPr>
        <w:t xml:space="preserve"> (</w:t>
      </w:r>
      <w:r>
        <w:rPr>
          <w:rFonts w:cs="Times New Roman"/>
          <w:i/>
          <w:iCs/>
        </w:rPr>
        <w:t>InterContinental Hotel Group PLC: Internal and External Environment - 1429 words | Report Example</w:t>
      </w:r>
      <w:r>
        <w:rPr>
          <w:rFonts w:cs="Times New Roman"/>
        </w:rPr>
        <w:t xml:space="preserve">, 2022). </w:t>
      </w:r>
    </w:p>
    <w:tbl>
      <w:tblPr>
        <w:tblpPr w:leftFromText="180" w:rightFromText="180" w:vertAnchor="page" w:horzAnchor="margin" w:tblpXSpec="center" w:tblpY="4346"/>
        <w:tblW w:w="7287" w:type="dxa"/>
        <w:tblBorders>
          <w:top w:val="single" w:color="auto" w:sz="2" w:space="0"/>
          <w:left w:val="single" w:color="auto" w:sz="2" w:space="0"/>
          <w:bottom w:val="single" w:color="auto" w:sz="2" w:space="0"/>
          <w:right w:val="single" w:color="auto" w:sz="2" w:space="0"/>
        </w:tblBorders>
        <w:shd w:val="clear" w:color="auto" w:fill="ffffff"/>
        <w:tblCellMar>
          <w:top w:w="15" w:type="dxa"/>
          <w:left w:w="15" w:type="dxa"/>
          <w:bottom w:w="15" w:type="dxa"/>
          <w:right w:w="15" w:type="dxa"/>
        </w:tblCellMar>
        <w:tblLook w:val="04A0"/>
      </w:tblPr>
      <w:tblGrid>
        <w:gridCol w:w="2157"/>
        <w:gridCol w:w="1440"/>
        <w:gridCol w:w="2070"/>
        <w:gridCol w:w="1620"/>
      </w:tblGrid>
      <w:tr>
        <w:trPr>
          <w:tblHeader w:val="on"/>
        </w:trPr>
        <w:tc>
          <w:tcPr>
            <w:cnfStyle w:val="101000000000"/>
            <w:tcW w:w="2157" w:type="dxa"/>
            <w:noWrap w:val="on"/>
            <w:tcBorders>
              <w:top w:val="single" w:color="e5e7eb" w:sz="6" w:space="0"/>
              <w:left w:val="single" w:color="e5e7eb" w:sz="2" w:space="0"/>
              <w:bottom w:val="single" w:color="e5e7eb" w:sz="6" w:space="0"/>
              <w:right w:val="single" w:color="e5e7eb" w:sz="2" w:space="0"/>
            </w:tcBorders>
            <w:shd w:val="clear" w:color="auto" w:fill="ffffff"/>
            <w:vAlign w:val="center"/>
          </w:tcPr>
          <w:p w14:paraId="0000002A">
            <w:pPr>
              <w:spacing w:after="120" w:line="360" w:lineRule="auto"/>
              <w:jc w:val="both"/>
              <w:rPr>
                <w:rFonts w:cs="Times New Roman"/>
                <w:b/>
                <w:bCs/>
              </w:rPr>
            </w:pPr>
            <w:r>
              <w:rPr>
                <w:rFonts w:cs="Times New Roman"/>
                <w:b/>
                <w:bCs/>
              </w:rPr>
              <w:t>Fiscal Year End</w:t>
            </w:r>
          </w:p>
        </w:tc>
        <w:tc>
          <w:tcPr>
            <w:cnfStyle w:val="100000000000"/>
            <w:tcW w:w="1440" w:type="dxa"/>
            <w:noWrap w:val="on"/>
            <w:tcBorders>
              <w:top w:val="single" w:color="e5e7eb" w:sz="6" w:space="0"/>
              <w:left w:val="single" w:color="e5e7eb" w:sz="2" w:space="0"/>
              <w:bottom w:val="single" w:color="e5e7eb" w:sz="6" w:space="0"/>
              <w:right w:val="single" w:color="e5e7eb" w:sz="2" w:space="0"/>
            </w:tcBorders>
            <w:shd w:val="clear" w:color="auto" w:fill="ffffff"/>
            <w:vAlign w:val="center"/>
          </w:tcPr>
          <w:p w14:paraId="0000002B">
            <w:pPr>
              <w:spacing w:after="120" w:line="360" w:lineRule="auto"/>
              <w:jc w:val="both"/>
              <w:rPr>
                <w:rFonts w:cs="Times New Roman"/>
                <w:b/>
                <w:bCs/>
              </w:rPr>
            </w:pPr>
            <w:r>
              <w:rPr>
                <w:rFonts w:cs="Times New Roman"/>
                <w:b/>
                <w:bCs/>
              </w:rPr>
              <w:t>Revenue</w:t>
            </w:r>
          </w:p>
        </w:tc>
        <w:tc>
          <w:tcPr>
            <w:cnfStyle w:val="100000000000"/>
            <w:tcW w:w="2070" w:type="dxa"/>
            <w:noWrap w:val="on"/>
            <w:tcBorders>
              <w:top w:val="single" w:color="e5e7eb" w:sz="6" w:space="0"/>
              <w:left w:val="single" w:color="e5e7eb" w:sz="2" w:space="0"/>
              <w:bottom w:val="single" w:color="e5e7eb" w:sz="6" w:space="0"/>
              <w:right w:val="single" w:color="e5e7eb" w:sz="2" w:space="0"/>
            </w:tcBorders>
            <w:shd w:val="clear" w:color="auto" w:fill="ffffff"/>
            <w:vAlign w:val="center"/>
          </w:tcPr>
          <w:p w14:paraId="0000002C">
            <w:pPr>
              <w:spacing w:after="120" w:line="360" w:lineRule="auto"/>
              <w:jc w:val="both"/>
              <w:rPr>
                <w:rFonts w:cs="Times New Roman"/>
                <w:b/>
                <w:bCs/>
              </w:rPr>
            </w:pPr>
            <w:r>
              <w:rPr>
                <w:rFonts w:cs="Times New Roman"/>
                <w:b/>
                <w:bCs/>
              </w:rPr>
              <w:t>Change</w:t>
            </w:r>
          </w:p>
        </w:tc>
        <w:tc>
          <w:tcPr>
            <w:cnfStyle w:val="100000000000"/>
            <w:tcW w:w="1620" w:type="dxa"/>
            <w:noWrap w:val="on"/>
            <w:tcBorders>
              <w:top w:val="single" w:color="e5e7eb" w:sz="6" w:space="0"/>
              <w:left w:val="single" w:color="e5e7eb" w:sz="2" w:space="0"/>
              <w:bottom w:val="single" w:color="e5e7eb" w:sz="6" w:space="0"/>
              <w:right w:val="single" w:color="e5e7eb" w:sz="2" w:space="0"/>
            </w:tcBorders>
            <w:shd w:val="clear" w:color="auto" w:fill="ffffff"/>
            <w:vAlign w:val="center"/>
          </w:tcPr>
          <w:p w14:paraId="0000002D">
            <w:pPr>
              <w:spacing w:after="120" w:line="360" w:lineRule="auto"/>
              <w:jc w:val="both"/>
              <w:rPr>
                <w:rFonts w:cs="Times New Roman"/>
                <w:b/>
                <w:bCs/>
              </w:rPr>
            </w:pPr>
            <w:r>
              <w:rPr>
                <w:rFonts w:cs="Times New Roman"/>
                <w:b/>
                <w:bCs/>
              </w:rPr>
              <w:t>Growth</w:t>
            </w:r>
          </w:p>
        </w:tc>
      </w:tr>
      <w:tr>
        <w:trPr/>
        <w:tc>
          <w:tcPr>
            <w:cnfStyle w:val="001000100000"/>
            <w:tcW w:w="2157" w:type="dxa"/>
            <w:noWrap w:val="on"/>
            <w:tcBorders>
              <w:top w:val="single" w:color="e5e7eb" w:sz="2" w:space="0"/>
              <w:left w:val="single" w:color="e5e7eb" w:sz="2" w:space="0"/>
              <w:bottom w:val="single" w:color="e5e7eb" w:sz="6" w:space="0"/>
              <w:right w:val="single" w:color="e5e7eb" w:sz="2" w:space="0"/>
            </w:tcBorders>
            <w:shd w:val="clear" w:color="auto" w:fill="f6f7f8"/>
            <w:vAlign w:val="center"/>
          </w:tcPr>
          <w:p w14:paraId="0000002E">
            <w:pPr>
              <w:spacing w:after="120" w:line="360" w:lineRule="auto"/>
              <w:jc w:val="both"/>
              <w:rPr>
                <w:rFonts w:cs="Times New Roman"/>
              </w:rPr>
            </w:pPr>
            <w:r>
              <w:rPr>
                <w:rFonts w:cs="Times New Roman"/>
              </w:rPr>
              <w:t>Dec 31, 2022</w:t>
            </w:r>
          </w:p>
        </w:tc>
        <w:tc>
          <w:tcPr>
            <w:cnfStyle w:val="000000100000"/>
            <w:tcW w:w="1440" w:type="dxa"/>
            <w:noWrap w:val="on"/>
            <w:tcBorders>
              <w:top w:val="single" w:color="e5e7eb" w:sz="2" w:space="0"/>
              <w:left w:val="single" w:color="e5e7eb" w:sz="2" w:space="0"/>
              <w:bottom w:val="single" w:color="e5e7eb" w:sz="6" w:space="0"/>
              <w:right w:val="single" w:color="e5e7eb" w:sz="2" w:space="0"/>
            </w:tcBorders>
            <w:shd w:val="clear" w:color="auto" w:fill="f6f7f8"/>
            <w:vAlign w:val="center"/>
          </w:tcPr>
          <w:p w14:paraId="0000002F">
            <w:pPr>
              <w:spacing w:after="120" w:line="360" w:lineRule="auto"/>
              <w:jc w:val="both"/>
              <w:rPr>
                <w:rFonts w:cs="Times New Roman"/>
              </w:rPr>
            </w:pPr>
            <w:r>
              <w:rPr>
                <w:rFonts w:cs="Times New Roman"/>
              </w:rPr>
              <w:t>3.89B</w:t>
            </w:r>
          </w:p>
        </w:tc>
        <w:tc>
          <w:tcPr>
            <w:cnfStyle w:val="000000100000"/>
            <w:tcW w:w="2070" w:type="dxa"/>
            <w:noWrap w:val="on"/>
            <w:tcBorders>
              <w:top w:val="single" w:color="e5e7eb" w:sz="2" w:space="0"/>
              <w:left w:val="single" w:color="e5e7eb" w:sz="2" w:space="0"/>
              <w:bottom w:val="single" w:color="e5e7eb" w:sz="6" w:space="0"/>
              <w:right w:val="single" w:color="e5e7eb" w:sz="2" w:space="0"/>
            </w:tcBorders>
            <w:shd w:val="clear" w:color="auto" w:fill="f6f7f8"/>
            <w:vAlign w:val="center"/>
          </w:tcPr>
          <w:p w14:paraId="00000030">
            <w:pPr>
              <w:spacing w:after="120" w:line="360" w:lineRule="auto"/>
              <w:jc w:val="both"/>
              <w:rPr>
                <w:rFonts w:cs="Times New Roman"/>
              </w:rPr>
            </w:pPr>
            <w:r>
              <w:rPr>
                <w:rFonts w:cs="Times New Roman"/>
              </w:rPr>
              <w:t>985.00M</w:t>
            </w:r>
          </w:p>
        </w:tc>
        <w:tc>
          <w:tcPr>
            <w:cnfStyle w:val="000000100000"/>
            <w:tcW w:w="1620" w:type="dxa"/>
            <w:noWrap w:val="on"/>
            <w:tcBorders>
              <w:top w:val="single" w:color="e5e7eb" w:sz="2" w:space="0"/>
              <w:left w:val="single" w:color="e5e7eb" w:sz="2" w:space="0"/>
              <w:bottom w:val="single" w:color="e5e7eb" w:sz="6" w:space="0"/>
              <w:right w:val="single" w:color="e5e7eb" w:sz="2" w:space="0"/>
            </w:tcBorders>
            <w:shd w:val="clear" w:color="auto" w:fill="f6f7f8"/>
            <w:vAlign w:val="center"/>
          </w:tcPr>
          <w:p w14:paraId="00000031">
            <w:pPr>
              <w:spacing w:after="120" w:line="360" w:lineRule="auto"/>
              <w:jc w:val="both"/>
              <w:rPr>
                <w:rFonts w:cs="Times New Roman"/>
              </w:rPr>
            </w:pPr>
            <w:r>
              <w:rPr>
                <w:rFonts w:cs="Times New Roman"/>
              </w:rPr>
              <w:t>33.88%</w:t>
            </w:r>
          </w:p>
        </w:tc>
      </w:tr>
      <w:tr>
        <w:trPr/>
        <w:tc>
          <w:tcPr>
            <w:cnfStyle w:val="001000010000"/>
            <w:tcW w:w="2157" w:type="dxa"/>
            <w:noWrap w:val="on"/>
            <w:tcBorders>
              <w:top w:val="single" w:color="e5e7eb" w:sz="2" w:space="0"/>
              <w:left w:val="single" w:color="e5e7eb" w:sz="2" w:space="0"/>
              <w:bottom w:val="single" w:color="e5e7eb" w:sz="6" w:space="0"/>
              <w:right w:val="single" w:color="e5e7eb" w:sz="2" w:space="0"/>
            </w:tcBorders>
            <w:shd w:val="clear" w:color="auto" w:fill="ffffff"/>
            <w:vAlign w:val="center"/>
          </w:tcPr>
          <w:p w14:paraId="00000032">
            <w:pPr>
              <w:spacing w:after="120" w:line="360" w:lineRule="auto"/>
              <w:jc w:val="both"/>
              <w:rPr>
                <w:rFonts w:cs="Times New Roman"/>
              </w:rPr>
            </w:pPr>
            <w:r>
              <w:rPr>
                <w:rFonts w:cs="Times New Roman"/>
              </w:rPr>
              <w:t>Dec 31, 2021</w:t>
            </w:r>
          </w:p>
        </w:tc>
        <w:tc>
          <w:tcPr>
            <w:cnfStyle w:val="000000010000"/>
            <w:tcW w:w="1440" w:type="dxa"/>
            <w:noWrap w:val="on"/>
            <w:tcBorders>
              <w:top w:val="single" w:color="e5e7eb" w:sz="2" w:space="0"/>
              <w:left w:val="single" w:color="e5e7eb" w:sz="2" w:space="0"/>
              <w:bottom w:val="single" w:color="e5e7eb" w:sz="6" w:space="0"/>
              <w:right w:val="single" w:color="e5e7eb" w:sz="2" w:space="0"/>
            </w:tcBorders>
            <w:shd w:val="clear" w:color="auto" w:fill="ffffff"/>
            <w:vAlign w:val="center"/>
          </w:tcPr>
          <w:p w14:paraId="00000033">
            <w:pPr>
              <w:spacing w:after="120" w:line="360" w:lineRule="auto"/>
              <w:jc w:val="both"/>
              <w:rPr>
                <w:rFonts w:cs="Times New Roman"/>
              </w:rPr>
            </w:pPr>
            <w:r>
              <w:rPr>
                <w:rFonts w:cs="Times New Roman"/>
              </w:rPr>
              <w:t>2.91B</w:t>
            </w:r>
          </w:p>
        </w:tc>
        <w:tc>
          <w:tcPr>
            <w:cnfStyle w:val="000000010000"/>
            <w:tcW w:w="2070" w:type="dxa"/>
            <w:noWrap w:val="on"/>
            <w:tcBorders>
              <w:top w:val="single" w:color="e5e7eb" w:sz="2" w:space="0"/>
              <w:left w:val="single" w:color="e5e7eb" w:sz="2" w:space="0"/>
              <w:bottom w:val="single" w:color="e5e7eb" w:sz="6" w:space="0"/>
              <w:right w:val="single" w:color="e5e7eb" w:sz="2" w:space="0"/>
            </w:tcBorders>
            <w:shd w:val="clear" w:color="auto" w:fill="ffffff"/>
            <w:vAlign w:val="center"/>
          </w:tcPr>
          <w:p w14:paraId="00000034">
            <w:pPr>
              <w:spacing w:after="120" w:line="360" w:lineRule="auto"/>
              <w:jc w:val="both"/>
              <w:rPr>
                <w:rFonts w:cs="Times New Roman"/>
              </w:rPr>
            </w:pPr>
            <w:r>
              <w:rPr>
                <w:rFonts w:cs="Times New Roman"/>
              </w:rPr>
              <w:t>513.00M</w:t>
            </w:r>
          </w:p>
        </w:tc>
        <w:tc>
          <w:tcPr>
            <w:cnfStyle w:val="000000010000"/>
            <w:tcW w:w="1620" w:type="dxa"/>
            <w:noWrap w:val="on"/>
            <w:tcBorders>
              <w:top w:val="single" w:color="e5e7eb" w:sz="2" w:space="0"/>
              <w:left w:val="single" w:color="e5e7eb" w:sz="2" w:space="0"/>
              <w:bottom w:val="single" w:color="e5e7eb" w:sz="6" w:space="0"/>
              <w:right w:val="single" w:color="e5e7eb" w:sz="2" w:space="0"/>
            </w:tcBorders>
            <w:shd w:val="clear" w:color="auto" w:fill="ffffff"/>
            <w:vAlign w:val="center"/>
          </w:tcPr>
          <w:p w14:paraId="00000035">
            <w:pPr>
              <w:spacing w:after="120" w:line="360" w:lineRule="auto"/>
              <w:jc w:val="both"/>
              <w:rPr>
                <w:rFonts w:cs="Times New Roman"/>
              </w:rPr>
            </w:pPr>
            <w:r>
              <w:rPr>
                <w:rFonts w:cs="Times New Roman"/>
              </w:rPr>
              <w:t>21.43%</w:t>
            </w:r>
          </w:p>
        </w:tc>
      </w:tr>
      <w:tr>
        <w:trPr/>
        <w:tc>
          <w:tcPr>
            <w:cnfStyle w:val="001000100000"/>
            <w:tcW w:w="2157" w:type="dxa"/>
            <w:noWrap w:val="on"/>
            <w:tcBorders>
              <w:top w:val="single" w:color="e5e7eb" w:sz="2" w:space="0"/>
              <w:left w:val="single" w:color="e5e7eb" w:sz="2" w:space="0"/>
              <w:bottom w:val="single" w:color="e5e7eb" w:sz="6" w:space="0"/>
              <w:right w:val="single" w:color="e5e7eb" w:sz="2" w:space="0"/>
            </w:tcBorders>
            <w:shd w:val="clear" w:color="auto" w:fill="f6f7f8"/>
            <w:vAlign w:val="center"/>
          </w:tcPr>
          <w:p w14:paraId="00000036">
            <w:pPr>
              <w:spacing w:after="120" w:line="360" w:lineRule="auto"/>
              <w:jc w:val="both"/>
              <w:rPr>
                <w:rFonts w:cs="Times New Roman"/>
              </w:rPr>
            </w:pPr>
            <w:r>
              <w:rPr>
                <w:rFonts w:cs="Times New Roman"/>
              </w:rPr>
              <w:t>Dec 31, 2020</w:t>
            </w:r>
          </w:p>
        </w:tc>
        <w:tc>
          <w:tcPr>
            <w:cnfStyle w:val="000000100000"/>
            <w:tcW w:w="1440" w:type="dxa"/>
            <w:noWrap w:val="on"/>
            <w:tcBorders>
              <w:top w:val="single" w:color="e5e7eb" w:sz="2" w:space="0"/>
              <w:left w:val="single" w:color="e5e7eb" w:sz="2" w:space="0"/>
              <w:bottom w:val="single" w:color="e5e7eb" w:sz="6" w:space="0"/>
              <w:right w:val="single" w:color="e5e7eb" w:sz="2" w:space="0"/>
            </w:tcBorders>
            <w:shd w:val="clear" w:color="auto" w:fill="f6f7f8"/>
            <w:vAlign w:val="center"/>
          </w:tcPr>
          <w:p w14:paraId="00000037">
            <w:pPr>
              <w:spacing w:after="120" w:line="360" w:lineRule="auto"/>
              <w:jc w:val="both"/>
              <w:rPr>
                <w:rFonts w:cs="Times New Roman"/>
              </w:rPr>
            </w:pPr>
            <w:r>
              <w:rPr>
                <w:rFonts w:cs="Times New Roman"/>
              </w:rPr>
              <w:t>2.39B</w:t>
            </w:r>
          </w:p>
        </w:tc>
        <w:tc>
          <w:tcPr>
            <w:cnfStyle w:val="000000100000"/>
            <w:tcW w:w="2070" w:type="dxa"/>
            <w:noWrap w:val="on"/>
            <w:tcBorders>
              <w:top w:val="single" w:color="e5e7eb" w:sz="2" w:space="0"/>
              <w:left w:val="single" w:color="e5e7eb" w:sz="2" w:space="0"/>
              <w:bottom w:val="single" w:color="e5e7eb" w:sz="6" w:space="0"/>
              <w:right w:val="single" w:color="e5e7eb" w:sz="2" w:space="0"/>
            </w:tcBorders>
            <w:shd w:val="clear" w:color="auto" w:fill="f6f7f8"/>
            <w:vAlign w:val="center"/>
          </w:tcPr>
          <w:p w14:paraId="00000038">
            <w:pPr>
              <w:spacing w:after="120" w:line="360" w:lineRule="auto"/>
              <w:jc w:val="both"/>
              <w:rPr>
                <w:rFonts w:cs="Times New Roman"/>
              </w:rPr>
            </w:pPr>
            <w:r>
              <w:rPr>
                <w:rFonts w:cs="Times New Roman"/>
              </w:rPr>
              <w:t>-2.23B</w:t>
            </w:r>
          </w:p>
        </w:tc>
        <w:tc>
          <w:tcPr>
            <w:cnfStyle w:val="000000100000"/>
            <w:tcW w:w="1620" w:type="dxa"/>
            <w:noWrap w:val="on"/>
            <w:tcBorders>
              <w:top w:val="single" w:color="e5e7eb" w:sz="2" w:space="0"/>
              <w:left w:val="single" w:color="e5e7eb" w:sz="2" w:space="0"/>
              <w:bottom w:val="single" w:color="e5e7eb" w:sz="6" w:space="0"/>
              <w:right w:val="single" w:color="e5e7eb" w:sz="2" w:space="0"/>
            </w:tcBorders>
            <w:shd w:val="clear" w:color="auto" w:fill="f6f7f8"/>
            <w:vAlign w:val="center"/>
          </w:tcPr>
          <w:p w14:paraId="00000039">
            <w:pPr>
              <w:spacing w:after="120" w:line="360" w:lineRule="auto"/>
              <w:jc w:val="both"/>
              <w:rPr>
                <w:rFonts w:cs="Times New Roman"/>
              </w:rPr>
            </w:pPr>
            <w:r>
              <w:rPr>
                <w:rFonts w:cs="Times New Roman"/>
              </w:rPr>
              <w:t>-48.26%</w:t>
            </w:r>
          </w:p>
        </w:tc>
      </w:tr>
      <w:tr>
        <w:trPr/>
        <w:tc>
          <w:tcPr>
            <w:cnfStyle w:val="001000010000"/>
            <w:tcW w:w="2157" w:type="dxa"/>
            <w:noWrap w:val="on"/>
            <w:tcBorders>
              <w:top w:val="single" w:color="e5e7eb" w:sz="2" w:space="0"/>
              <w:left w:val="single" w:color="e5e7eb" w:sz="2" w:space="0"/>
              <w:bottom w:val="single" w:color="e5e7eb" w:sz="6" w:space="0"/>
              <w:right w:val="single" w:color="e5e7eb" w:sz="2" w:space="0"/>
            </w:tcBorders>
            <w:shd w:val="clear" w:color="auto" w:fill="ffffff"/>
            <w:vAlign w:val="center"/>
          </w:tcPr>
          <w:p w14:paraId="0000003A">
            <w:pPr>
              <w:spacing w:after="120" w:line="360" w:lineRule="auto"/>
              <w:jc w:val="both"/>
              <w:rPr>
                <w:rFonts w:cs="Times New Roman"/>
              </w:rPr>
            </w:pPr>
            <w:r>
              <w:rPr>
                <w:rFonts w:cs="Times New Roman"/>
              </w:rPr>
              <w:t>Dec 31, 2019</w:t>
            </w:r>
          </w:p>
        </w:tc>
        <w:tc>
          <w:tcPr>
            <w:cnfStyle w:val="000000010000"/>
            <w:tcW w:w="1440" w:type="dxa"/>
            <w:noWrap w:val="on"/>
            <w:tcBorders>
              <w:top w:val="single" w:color="e5e7eb" w:sz="2" w:space="0"/>
              <w:left w:val="single" w:color="e5e7eb" w:sz="2" w:space="0"/>
              <w:bottom w:val="single" w:color="e5e7eb" w:sz="6" w:space="0"/>
              <w:right w:val="single" w:color="e5e7eb" w:sz="2" w:space="0"/>
            </w:tcBorders>
            <w:shd w:val="clear" w:color="auto" w:fill="ffffff"/>
            <w:vAlign w:val="center"/>
          </w:tcPr>
          <w:p w14:paraId="0000003B">
            <w:pPr>
              <w:spacing w:after="120" w:line="360" w:lineRule="auto"/>
              <w:jc w:val="both"/>
              <w:rPr>
                <w:rFonts w:cs="Times New Roman"/>
              </w:rPr>
            </w:pPr>
            <w:r>
              <w:rPr>
                <w:rFonts w:cs="Times New Roman"/>
              </w:rPr>
              <w:t>4.63B</w:t>
            </w:r>
          </w:p>
        </w:tc>
        <w:tc>
          <w:tcPr>
            <w:cnfStyle w:val="000000010000"/>
            <w:tcW w:w="2070" w:type="dxa"/>
            <w:noWrap w:val="on"/>
            <w:tcBorders>
              <w:top w:val="single" w:color="e5e7eb" w:sz="2" w:space="0"/>
              <w:left w:val="single" w:color="e5e7eb" w:sz="2" w:space="0"/>
              <w:bottom w:val="single" w:color="e5e7eb" w:sz="6" w:space="0"/>
              <w:right w:val="single" w:color="e5e7eb" w:sz="2" w:space="0"/>
            </w:tcBorders>
            <w:shd w:val="clear" w:color="auto" w:fill="ffffff"/>
            <w:vAlign w:val="center"/>
          </w:tcPr>
          <w:p w14:paraId="0000003C">
            <w:pPr>
              <w:spacing w:after="120" w:line="360" w:lineRule="auto"/>
              <w:jc w:val="both"/>
              <w:rPr>
                <w:rFonts w:cs="Times New Roman"/>
              </w:rPr>
            </w:pPr>
            <w:r>
              <w:rPr>
                <w:rFonts w:cs="Times New Roman"/>
              </w:rPr>
              <w:t>290.00M</w:t>
            </w:r>
          </w:p>
        </w:tc>
        <w:tc>
          <w:tcPr>
            <w:cnfStyle w:val="000000010000"/>
            <w:tcW w:w="1620" w:type="dxa"/>
            <w:noWrap w:val="on"/>
            <w:tcBorders>
              <w:top w:val="single" w:color="e5e7eb" w:sz="2" w:space="0"/>
              <w:left w:val="single" w:color="e5e7eb" w:sz="2" w:space="0"/>
              <w:bottom w:val="single" w:color="e5e7eb" w:sz="6" w:space="0"/>
              <w:right w:val="single" w:color="e5e7eb" w:sz="2" w:space="0"/>
            </w:tcBorders>
            <w:shd w:val="clear" w:color="auto" w:fill="ffffff"/>
            <w:vAlign w:val="center"/>
          </w:tcPr>
          <w:p w14:paraId="0000003D">
            <w:pPr>
              <w:spacing w:after="120" w:line="360" w:lineRule="auto"/>
              <w:jc w:val="both"/>
              <w:rPr>
                <w:rFonts w:cs="Times New Roman"/>
              </w:rPr>
            </w:pPr>
            <w:r>
              <w:rPr>
                <w:rFonts w:cs="Times New Roman"/>
              </w:rPr>
              <w:t>6.69%</w:t>
            </w:r>
          </w:p>
        </w:tc>
      </w:tr>
      <w:tr>
        <w:trPr/>
        <w:tc>
          <w:tcPr>
            <w:cnfStyle w:val="001000100000"/>
            <w:tcW w:w="2157" w:type="dxa"/>
            <w:noWrap w:val="on"/>
            <w:tcBorders>
              <w:top w:val="single" w:color="e5e7eb" w:sz="2" w:space="0"/>
              <w:left w:val="single" w:color="e5e7eb" w:sz="2" w:space="0"/>
              <w:bottom w:val="single" w:color="e5e7eb" w:sz="6" w:space="0"/>
              <w:right w:val="single" w:color="e5e7eb" w:sz="2" w:space="0"/>
            </w:tcBorders>
            <w:shd w:val="clear" w:color="auto" w:fill="f6f7f8"/>
            <w:vAlign w:val="center"/>
          </w:tcPr>
          <w:p w14:paraId="0000003E">
            <w:pPr>
              <w:spacing w:after="120" w:line="360" w:lineRule="auto"/>
              <w:jc w:val="both"/>
              <w:rPr>
                <w:rFonts w:cs="Times New Roman"/>
              </w:rPr>
            </w:pPr>
            <w:r>
              <w:rPr>
                <w:rFonts w:cs="Times New Roman"/>
              </w:rPr>
              <w:t>Dec 31, 2018</w:t>
            </w:r>
          </w:p>
        </w:tc>
        <w:tc>
          <w:tcPr>
            <w:cnfStyle w:val="000000100000"/>
            <w:tcW w:w="1440" w:type="dxa"/>
            <w:noWrap w:val="on"/>
            <w:tcBorders>
              <w:top w:val="single" w:color="e5e7eb" w:sz="2" w:space="0"/>
              <w:left w:val="single" w:color="e5e7eb" w:sz="2" w:space="0"/>
              <w:bottom w:val="single" w:color="e5e7eb" w:sz="6" w:space="0"/>
              <w:right w:val="single" w:color="e5e7eb" w:sz="2" w:space="0"/>
            </w:tcBorders>
            <w:shd w:val="clear" w:color="auto" w:fill="f6f7f8"/>
            <w:vAlign w:val="center"/>
          </w:tcPr>
          <w:p w14:paraId="0000003F">
            <w:pPr>
              <w:spacing w:after="120" w:line="360" w:lineRule="auto"/>
              <w:jc w:val="both"/>
              <w:rPr>
                <w:rFonts w:cs="Times New Roman"/>
              </w:rPr>
            </w:pPr>
            <w:r>
              <w:rPr>
                <w:rFonts w:cs="Times New Roman"/>
              </w:rPr>
              <w:t>4.34B</w:t>
            </w:r>
          </w:p>
        </w:tc>
        <w:tc>
          <w:tcPr>
            <w:cnfStyle w:val="000000100000"/>
            <w:tcW w:w="2070" w:type="dxa"/>
            <w:noWrap w:val="on"/>
            <w:tcBorders>
              <w:top w:val="single" w:color="e5e7eb" w:sz="2" w:space="0"/>
              <w:left w:val="single" w:color="e5e7eb" w:sz="2" w:space="0"/>
              <w:bottom w:val="single" w:color="e5e7eb" w:sz="6" w:space="0"/>
              <w:right w:val="single" w:color="e5e7eb" w:sz="2" w:space="0"/>
            </w:tcBorders>
            <w:shd w:val="clear" w:color="auto" w:fill="f6f7f8"/>
            <w:vAlign w:val="center"/>
          </w:tcPr>
          <w:p w14:paraId="00000040">
            <w:pPr>
              <w:spacing w:after="120" w:line="360" w:lineRule="auto"/>
              <w:jc w:val="both"/>
              <w:rPr>
                <w:rFonts w:cs="Times New Roman"/>
              </w:rPr>
            </w:pPr>
            <w:r>
              <w:rPr>
                <w:rFonts w:cs="Times New Roman"/>
              </w:rPr>
              <w:t>262.00M</w:t>
            </w:r>
          </w:p>
        </w:tc>
        <w:tc>
          <w:tcPr>
            <w:cnfStyle w:val="000000100000"/>
            <w:tcW w:w="1620" w:type="dxa"/>
            <w:noWrap w:val="on"/>
            <w:tcBorders>
              <w:top w:val="single" w:color="e5e7eb" w:sz="2" w:space="0"/>
              <w:left w:val="single" w:color="e5e7eb" w:sz="2" w:space="0"/>
              <w:bottom w:val="single" w:color="e5e7eb" w:sz="6" w:space="0"/>
              <w:right w:val="single" w:color="e5e7eb" w:sz="2" w:space="0"/>
            </w:tcBorders>
            <w:shd w:val="clear" w:color="auto" w:fill="f6f7f8"/>
            <w:vAlign w:val="center"/>
          </w:tcPr>
          <w:p w14:paraId="00000041">
            <w:pPr>
              <w:spacing w:after="120" w:line="360" w:lineRule="auto"/>
              <w:jc w:val="both"/>
              <w:rPr>
                <w:rFonts w:cs="Times New Roman"/>
              </w:rPr>
            </w:pPr>
            <w:r>
              <w:rPr>
                <w:rFonts w:cs="Times New Roman"/>
              </w:rPr>
              <w:t>6.43%</w:t>
            </w:r>
          </w:p>
        </w:tc>
      </w:tr>
      <w:tr>
        <w:trPr/>
        <w:tc>
          <w:tcPr>
            <w:cnfStyle w:val="001000010000"/>
            <w:tcW w:w="2157" w:type="dxa"/>
            <w:noWrap w:val="on"/>
            <w:tcBorders>
              <w:top w:val="single" w:color="e5e7eb" w:sz="2" w:space="0"/>
              <w:left w:val="single" w:color="e5e7eb" w:sz="2" w:space="0"/>
              <w:bottom w:val="single" w:color="e5e7eb" w:sz="6" w:space="0"/>
              <w:right w:val="single" w:color="e5e7eb" w:sz="2" w:space="0"/>
            </w:tcBorders>
            <w:shd w:val="clear" w:color="auto" w:fill="ffffff"/>
            <w:vAlign w:val="center"/>
          </w:tcPr>
          <w:p w14:paraId="00000042">
            <w:pPr>
              <w:spacing w:after="120" w:line="360" w:lineRule="auto"/>
              <w:jc w:val="both"/>
              <w:rPr>
                <w:rFonts w:cs="Times New Roman"/>
              </w:rPr>
            </w:pPr>
            <w:r>
              <w:rPr>
                <w:rFonts w:cs="Times New Roman"/>
              </w:rPr>
              <w:t>Dec 31, 2017</w:t>
            </w:r>
          </w:p>
        </w:tc>
        <w:tc>
          <w:tcPr>
            <w:cnfStyle w:val="000000010000"/>
            <w:tcW w:w="1440" w:type="dxa"/>
            <w:noWrap w:val="on"/>
            <w:tcBorders>
              <w:top w:val="single" w:color="e5e7eb" w:sz="2" w:space="0"/>
              <w:left w:val="single" w:color="e5e7eb" w:sz="2" w:space="0"/>
              <w:bottom w:val="single" w:color="e5e7eb" w:sz="6" w:space="0"/>
              <w:right w:val="single" w:color="e5e7eb" w:sz="2" w:space="0"/>
            </w:tcBorders>
            <w:shd w:val="clear" w:color="auto" w:fill="ffffff"/>
            <w:vAlign w:val="center"/>
          </w:tcPr>
          <w:p w14:paraId="00000043">
            <w:pPr>
              <w:spacing w:after="120" w:line="360" w:lineRule="auto"/>
              <w:jc w:val="both"/>
              <w:rPr>
                <w:rFonts w:cs="Times New Roman"/>
              </w:rPr>
            </w:pPr>
            <w:r>
              <w:rPr>
                <w:rFonts w:cs="Times New Roman"/>
              </w:rPr>
              <w:t>4.08B</w:t>
            </w:r>
          </w:p>
        </w:tc>
        <w:tc>
          <w:tcPr>
            <w:cnfStyle w:val="000000010000"/>
            <w:tcW w:w="2070" w:type="dxa"/>
            <w:noWrap w:val="on"/>
            <w:tcBorders>
              <w:top w:val="single" w:color="e5e7eb" w:sz="2" w:space="0"/>
              <w:left w:val="single" w:color="e5e7eb" w:sz="2" w:space="0"/>
              <w:bottom w:val="single" w:color="e5e7eb" w:sz="6" w:space="0"/>
              <w:right w:val="single" w:color="e5e7eb" w:sz="2" w:space="0"/>
            </w:tcBorders>
            <w:shd w:val="clear" w:color="auto" w:fill="ffffff"/>
            <w:vAlign w:val="center"/>
          </w:tcPr>
          <w:p w14:paraId="00000044">
            <w:pPr>
              <w:spacing w:after="120" w:line="360" w:lineRule="auto"/>
              <w:jc w:val="both"/>
              <w:rPr>
                <w:rFonts w:cs="Times New Roman"/>
              </w:rPr>
            </w:pPr>
            <w:r>
              <w:rPr>
                <w:rFonts w:cs="Times New Roman"/>
              </w:rPr>
              <w:t>163.00M</w:t>
            </w:r>
          </w:p>
        </w:tc>
        <w:tc>
          <w:tcPr>
            <w:cnfStyle w:val="000000010000"/>
            <w:tcW w:w="1620" w:type="dxa"/>
            <w:noWrap w:val="on"/>
            <w:tcBorders>
              <w:top w:val="single" w:color="e5e7eb" w:sz="2" w:space="0"/>
              <w:left w:val="single" w:color="e5e7eb" w:sz="2" w:space="0"/>
              <w:bottom w:val="single" w:color="e5e7eb" w:sz="6" w:space="0"/>
              <w:right w:val="single" w:color="e5e7eb" w:sz="2" w:space="0"/>
            </w:tcBorders>
            <w:shd w:val="clear" w:color="auto" w:fill="ffffff"/>
            <w:vAlign w:val="center"/>
          </w:tcPr>
          <w:p w14:paraId="00000045">
            <w:pPr>
              <w:spacing w:after="120" w:line="360" w:lineRule="auto"/>
              <w:jc w:val="both"/>
              <w:rPr>
                <w:rFonts w:cs="Times New Roman"/>
              </w:rPr>
            </w:pPr>
            <w:r>
              <w:rPr>
                <w:rFonts w:cs="Times New Roman"/>
              </w:rPr>
              <w:t>4.17%</w:t>
            </w:r>
          </w:p>
        </w:tc>
      </w:tr>
      <w:tr>
        <w:trPr/>
        <w:tc>
          <w:tcPr>
            <w:cnfStyle w:val="001000100000"/>
            <w:tcW w:w="2157" w:type="dxa"/>
            <w:noWrap w:val="on"/>
            <w:tcBorders>
              <w:top w:val="single" w:color="e5e7eb" w:sz="2" w:space="0"/>
              <w:left w:val="single" w:color="e5e7eb" w:sz="2" w:space="0"/>
              <w:bottom w:val="single" w:color="e5e7eb" w:sz="6" w:space="0"/>
              <w:right w:val="single" w:color="e5e7eb" w:sz="2" w:space="0"/>
            </w:tcBorders>
            <w:shd w:val="clear" w:color="auto" w:fill="f6f7f8"/>
            <w:vAlign w:val="center"/>
          </w:tcPr>
          <w:p w14:paraId="00000046">
            <w:pPr>
              <w:spacing w:after="120" w:line="360" w:lineRule="auto"/>
              <w:jc w:val="both"/>
              <w:rPr>
                <w:rFonts w:cs="Times New Roman"/>
              </w:rPr>
            </w:pPr>
            <w:r>
              <w:rPr>
                <w:rFonts w:cs="Times New Roman"/>
              </w:rPr>
              <w:t>Dec 31, 2016</w:t>
            </w:r>
          </w:p>
        </w:tc>
        <w:tc>
          <w:tcPr>
            <w:cnfStyle w:val="000000100000"/>
            <w:tcW w:w="1440" w:type="dxa"/>
            <w:noWrap w:val="on"/>
            <w:tcBorders>
              <w:top w:val="single" w:color="e5e7eb" w:sz="2" w:space="0"/>
              <w:left w:val="single" w:color="e5e7eb" w:sz="2" w:space="0"/>
              <w:bottom w:val="single" w:color="e5e7eb" w:sz="6" w:space="0"/>
              <w:right w:val="single" w:color="e5e7eb" w:sz="2" w:space="0"/>
            </w:tcBorders>
            <w:shd w:val="clear" w:color="auto" w:fill="f6f7f8"/>
            <w:vAlign w:val="center"/>
          </w:tcPr>
          <w:p w14:paraId="00000047">
            <w:pPr>
              <w:spacing w:after="120" w:line="360" w:lineRule="auto"/>
              <w:jc w:val="both"/>
              <w:rPr>
                <w:rFonts w:cs="Times New Roman"/>
              </w:rPr>
            </w:pPr>
            <w:r>
              <w:rPr>
                <w:rFonts w:cs="Times New Roman"/>
              </w:rPr>
              <w:t>3.91B</w:t>
            </w:r>
          </w:p>
        </w:tc>
        <w:tc>
          <w:tcPr>
            <w:cnfStyle w:val="000000100000"/>
            <w:tcW w:w="2070" w:type="dxa"/>
            <w:noWrap w:val="on"/>
            <w:tcBorders>
              <w:top w:val="single" w:color="e5e7eb" w:sz="2" w:space="0"/>
              <w:left w:val="single" w:color="e5e7eb" w:sz="2" w:space="0"/>
              <w:bottom w:val="single" w:color="e5e7eb" w:sz="6" w:space="0"/>
              <w:right w:val="single" w:color="e5e7eb" w:sz="2" w:space="0"/>
            </w:tcBorders>
            <w:shd w:val="clear" w:color="auto" w:fill="f6f7f8"/>
            <w:vAlign w:val="center"/>
          </w:tcPr>
          <w:p w14:paraId="00000048">
            <w:pPr>
              <w:spacing w:after="120" w:line="360" w:lineRule="auto"/>
              <w:jc w:val="both"/>
              <w:rPr>
                <w:rFonts w:cs="Times New Roman"/>
              </w:rPr>
            </w:pPr>
            <w:r>
              <w:rPr>
                <w:rFonts w:cs="Times New Roman"/>
              </w:rPr>
              <w:t>2.11B</w:t>
            </w:r>
          </w:p>
        </w:tc>
        <w:tc>
          <w:tcPr>
            <w:cnfStyle w:val="000000100000"/>
            <w:tcW w:w="1620" w:type="dxa"/>
            <w:noWrap w:val="on"/>
            <w:tcBorders>
              <w:top w:val="single" w:color="e5e7eb" w:sz="2" w:space="0"/>
              <w:left w:val="single" w:color="e5e7eb" w:sz="2" w:space="0"/>
              <w:bottom w:val="single" w:color="e5e7eb" w:sz="6" w:space="0"/>
              <w:right w:val="single" w:color="e5e7eb" w:sz="2" w:space="0"/>
            </w:tcBorders>
            <w:shd w:val="clear" w:color="auto" w:fill="f6f7f8"/>
            <w:vAlign w:val="center"/>
          </w:tcPr>
          <w:p w14:paraId="00000049">
            <w:pPr>
              <w:spacing w:after="120" w:line="360" w:lineRule="auto"/>
              <w:jc w:val="both"/>
              <w:rPr>
                <w:rFonts w:cs="Times New Roman"/>
              </w:rPr>
            </w:pPr>
            <w:r>
              <w:rPr>
                <w:rFonts w:cs="Times New Roman"/>
              </w:rPr>
              <w:t>116.97%</w:t>
            </w:r>
          </w:p>
        </w:tc>
      </w:tr>
      <w:tr>
        <w:trPr/>
        <w:tc>
          <w:tcPr>
            <w:cnfStyle w:val="001000010000"/>
            <w:tcW w:w="2157" w:type="dxa"/>
            <w:noWrap w:val="on"/>
            <w:tcBorders>
              <w:top w:val="single" w:color="e5e7eb" w:sz="2" w:space="0"/>
              <w:left w:val="single" w:color="e5e7eb" w:sz="2" w:space="0"/>
              <w:bottom w:val="single" w:color="e5e7eb" w:sz="6" w:space="0"/>
              <w:right w:val="single" w:color="e5e7eb" w:sz="2" w:space="0"/>
            </w:tcBorders>
            <w:shd w:val="clear" w:color="auto" w:fill="f2f9ff"/>
            <w:vAlign w:val="center"/>
          </w:tcPr>
          <w:p w14:paraId="0000004A">
            <w:pPr>
              <w:spacing w:after="120" w:line="360" w:lineRule="auto"/>
              <w:jc w:val="both"/>
              <w:rPr>
                <w:rFonts w:cs="Times New Roman"/>
              </w:rPr>
            </w:pPr>
            <w:r>
              <w:rPr>
                <w:rFonts w:cs="Times New Roman"/>
              </w:rPr>
              <w:t>Dec 31, 2015</w:t>
            </w:r>
          </w:p>
        </w:tc>
        <w:tc>
          <w:tcPr>
            <w:cnfStyle w:val="000000010000"/>
            <w:tcW w:w="1440" w:type="dxa"/>
            <w:noWrap w:val="on"/>
            <w:tcBorders>
              <w:top w:val="single" w:color="e5e7eb" w:sz="2" w:space="0"/>
              <w:left w:val="single" w:color="e5e7eb" w:sz="2" w:space="0"/>
              <w:bottom w:val="single" w:color="e5e7eb" w:sz="6" w:space="0"/>
              <w:right w:val="single" w:color="e5e7eb" w:sz="2" w:space="0"/>
            </w:tcBorders>
            <w:shd w:val="clear" w:color="auto" w:fill="f2f9ff"/>
            <w:vAlign w:val="center"/>
          </w:tcPr>
          <w:p w14:paraId="0000004B">
            <w:pPr>
              <w:spacing w:after="120" w:line="360" w:lineRule="auto"/>
              <w:jc w:val="both"/>
              <w:rPr>
                <w:rFonts w:cs="Times New Roman"/>
              </w:rPr>
            </w:pPr>
            <w:r>
              <w:rPr>
                <w:rFonts w:cs="Times New Roman"/>
              </w:rPr>
              <w:t>1.80B</w:t>
            </w:r>
          </w:p>
        </w:tc>
        <w:tc>
          <w:tcPr>
            <w:cnfStyle w:val="000000010000"/>
            <w:tcW w:w="2070" w:type="dxa"/>
            <w:noWrap w:val="on"/>
            <w:tcBorders>
              <w:top w:val="single" w:color="e5e7eb" w:sz="2" w:space="0"/>
              <w:left w:val="single" w:color="e5e7eb" w:sz="2" w:space="0"/>
              <w:bottom w:val="single" w:color="e5e7eb" w:sz="6" w:space="0"/>
              <w:right w:val="single" w:color="e5e7eb" w:sz="2" w:space="0"/>
            </w:tcBorders>
            <w:shd w:val="clear" w:color="auto" w:fill="f2f9ff"/>
            <w:vAlign w:val="center"/>
          </w:tcPr>
          <w:p w14:paraId="0000004C">
            <w:pPr>
              <w:spacing w:after="120" w:line="360" w:lineRule="auto"/>
              <w:jc w:val="both"/>
              <w:rPr>
                <w:rFonts w:cs="Times New Roman"/>
              </w:rPr>
            </w:pPr>
            <w:r>
              <w:rPr>
                <w:rFonts w:cs="Times New Roman"/>
              </w:rPr>
              <w:t>-55.00M</w:t>
            </w:r>
          </w:p>
        </w:tc>
        <w:tc>
          <w:tcPr>
            <w:cnfStyle w:val="000000010000"/>
            <w:tcW w:w="1620" w:type="dxa"/>
            <w:noWrap w:val="on"/>
            <w:tcBorders>
              <w:top w:val="single" w:color="e5e7eb" w:sz="2" w:space="0"/>
              <w:left w:val="single" w:color="e5e7eb" w:sz="2" w:space="0"/>
              <w:bottom w:val="single" w:color="e5e7eb" w:sz="6" w:space="0"/>
              <w:right w:val="single" w:color="e5e7eb" w:sz="2" w:space="0"/>
            </w:tcBorders>
            <w:shd w:val="clear" w:color="auto" w:fill="f2f9ff"/>
            <w:vAlign w:val="center"/>
          </w:tcPr>
          <w:p w14:paraId="0000004D">
            <w:pPr>
              <w:spacing w:after="120" w:line="360" w:lineRule="auto"/>
              <w:jc w:val="both"/>
              <w:rPr>
                <w:rFonts w:cs="Times New Roman"/>
              </w:rPr>
            </w:pPr>
            <w:r>
              <w:rPr>
                <w:rFonts w:cs="Times New Roman"/>
              </w:rPr>
              <w:t>-2.96%</w:t>
            </w:r>
          </w:p>
        </w:tc>
      </w:tr>
      <w:tr>
        <w:trPr/>
        <w:tc>
          <w:tcPr>
            <w:cnfStyle w:val="001000100000"/>
            <w:tcW w:w="2157" w:type="dxa"/>
            <w:noWrap w:val="on"/>
            <w:tcBorders>
              <w:top w:val="single" w:color="e5e7eb" w:sz="2" w:space="0"/>
              <w:left w:val="single" w:color="e5e7eb" w:sz="2" w:space="0"/>
              <w:bottom w:val="single" w:color="e5e7eb" w:sz="6" w:space="0"/>
              <w:right w:val="single" w:color="e5e7eb" w:sz="2" w:space="0"/>
            </w:tcBorders>
            <w:shd w:val="clear" w:color="auto" w:fill="f6f7f8"/>
            <w:vAlign w:val="center"/>
          </w:tcPr>
          <w:p w14:paraId="0000004E">
            <w:pPr>
              <w:spacing w:after="120" w:line="360" w:lineRule="auto"/>
              <w:jc w:val="both"/>
              <w:rPr>
                <w:rFonts w:cs="Times New Roman"/>
              </w:rPr>
            </w:pPr>
            <w:r>
              <w:rPr>
                <w:rFonts w:cs="Times New Roman"/>
              </w:rPr>
              <w:t>Dec 31, 2014</w:t>
            </w:r>
          </w:p>
        </w:tc>
        <w:tc>
          <w:tcPr>
            <w:cnfStyle w:val="000000100000"/>
            <w:tcW w:w="1440" w:type="dxa"/>
            <w:noWrap w:val="on"/>
            <w:tcBorders>
              <w:top w:val="single" w:color="e5e7eb" w:sz="2" w:space="0"/>
              <w:left w:val="single" w:color="e5e7eb" w:sz="2" w:space="0"/>
              <w:bottom w:val="single" w:color="e5e7eb" w:sz="6" w:space="0"/>
              <w:right w:val="single" w:color="e5e7eb" w:sz="2" w:space="0"/>
            </w:tcBorders>
            <w:shd w:val="clear" w:color="auto" w:fill="f6f7f8"/>
            <w:vAlign w:val="center"/>
          </w:tcPr>
          <w:p w14:paraId="0000004F">
            <w:pPr>
              <w:spacing w:after="120" w:line="360" w:lineRule="auto"/>
              <w:jc w:val="both"/>
              <w:rPr>
                <w:rFonts w:cs="Times New Roman"/>
              </w:rPr>
            </w:pPr>
            <w:r>
              <w:rPr>
                <w:rFonts w:cs="Times New Roman"/>
              </w:rPr>
              <w:t>1.86B</w:t>
            </w:r>
          </w:p>
        </w:tc>
        <w:tc>
          <w:tcPr>
            <w:cnfStyle w:val="000000100000"/>
            <w:tcW w:w="2070" w:type="dxa"/>
            <w:noWrap w:val="on"/>
            <w:tcBorders>
              <w:top w:val="single" w:color="e5e7eb" w:sz="2" w:space="0"/>
              <w:left w:val="single" w:color="e5e7eb" w:sz="2" w:space="0"/>
              <w:bottom w:val="single" w:color="e5e7eb" w:sz="6" w:space="0"/>
              <w:right w:val="single" w:color="e5e7eb" w:sz="2" w:space="0"/>
            </w:tcBorders>
            <w:shd w:val="clear" w:color="auto" w:fill="f6f7f8"/>
            <w:vAlign w:val="center"/>
          </w:tcPr>
          <w:p w14:paraId="00000050">
            <w:pPr>
              <w:spacing w:after="120" w:line="360" w:lineRule="auto"/>
              <w:jc w:val="both"/>
              <w:rPr>
                <w:rFonts w:cs="Times New Roman"/>
              </w:rPr>
            </w:pPr>
            <w:r>
              <w:rPr>
                <w:rFonts w:cs="Times New Roman"/>
              </w:rPr>
              <w:t>-45.00M</w:t>
            </w:r>
          </w:p>
        </w:tc>
        <w:tc>
          <w:tcPr>
            <w:cnfStyle w:val="000000100000"/>
            <w:tcW w:w="1620" w:type="dxa"/>
            <w:noWrap w:val="on"/>
            <w:tcBorders>
              <w:top w:val="single" w:color="e5e7eb" w:sz="2" w:space="0"/>
              <w:left w:val="single" w:color="e5e7eb" w:sz="2" w:space="0"/>
              <w:bottom w:val="single" w:color="e5e7eb" w:sz="6" w:space="0"/>
              <w:right w:val="single" w:color="e5e7eb" w:sz="2" w:space="0"/>
            </w:tcBorders>
            <w:shd w:val="clear" w:color="auto" w:fill="f6f7f8"/>
            <w:vAlign w:val="center"/>
          </w:tcPr>
          <w:p w14:paraId="00000051">
            <w:pPr>
              <w:spacing w:after="120" w:line="360" w:lineRule="auto"/>
              <w:jc w:val="both"/>
              <w:rPr>
                <w:rFonts w:cs="Times New Roman"/>
              </w:rPr>
            </w:pPr>
            <w:r>
              <w:rPr>
                <w:rFonts w:cs="Times New Roman"/>
              </w:rPr>
              <w:t>-2.36%</w:t>
            </w:r>
          </w:p>
        </w:tc>
      </w:tr>
      <w:tr>
        <w:trPr/>
        <w:tc>
          <w:tcPr>
            <w:cnfStyle w:val="001000010000"/>
            <w:tcW w:w="2157" w:type="dxa"/>
            <w:noWrap w:val="on"/>
            <w:tcBorders>
              <w:top w:val="single" w:color="e5e7eb" w:sz="2" w:space="0"/>
              <w:left w:val="single" w:color="e5e7eb" w:sz="2" w:space="0"/>
              <w:bottom w:val="single" w:color="e5e7eb" w:sz="6" w:space="0"/>
              <w:right w:val="single" w:color="e5e7eb" w:sz="2" w:space="0"/>
            </w:tcBorders>
            <w:shd w:val="clear" w:color="auto" w:fill="ffffff"/>
            <w:vAlign w:val="center"/>
          </w:tcPr>
          <w:p w14:paraId="00000052">
            <w:pPr>
              <w:spacing w:after="120" w:line="360" w:lineRule="auto"/>
              <w:jc w:val="both"/>
              <w:rPr>
                <w:rFonts w:cs="Times New Roman"/>
              </w:rPr>
            </w:pPr>
            <w:r>
              <w:rPr>
                <w:rFonts w:cs="Times New Roman"/>
              </w:rPr>
              <w:t>Dec 31, 2013</w:t>
            </w:r>
          </w:p>
        </w:tc>
        <w:tc>
          <w:tcPr>
            <w:cnfStyle w:val="000000010000"/>
            <w:tcW w:w="1440" w:type="dxa"/>
            <w:noWrap w:val="on"/>
            <w:tcBorders>
              <w:top w:val="single" w:color="e5e7eb" w:sz="2" w:space="0"/>
              <w:left w:val="single" w:color="e5e7eb" w:sz="2" w:space="0"/>
              <w:bottom w:val="single" w:color="e5e7eb" w:sz="6" w:space="0"/>
              <w:right w:val="single" w:color="e5e7eb" w:sz="2" w:space="0"/>
            </w:tcBorders>
            <w:shd w:val="clear" w:color="auto" w:fill="ffffff"/>
            <w:vAlign w:val="center"/>
          </w:tcPr>
          <w:p w14:paraId="00000053">
            <w:pPr>
              <w:spacing w:after="120" w:line="360" w:lineRule="auto"/>
              <w:jc w:val="both"/>
              <w:rPr>
                <w:rFonts w:cs="Times New Roman"/>
              </w:rPr>
            </w:pPr>
            <w:r>
              <w:rPr>
                <w:rFonts w:cs="Times New Roman"/>
              </w:rPr>
              <w:t>1.90B</w:t>
            </w:r>
          </w:p>
        </w:tc>
        <w:tc>
          <w:tcPr>
            <w:cnfStyle w:val="000000010000"/>
            <w:tcW w:w="2070" w:type="dxa"/>
            <w:noWrap w:val="on"/>
            <w:tcBorders>
              <w:top w:val="single" w:color="e5e7eb" w:sz="2" w:space="0"/>
              <w:left w:val="single" w:color="e5e7eb" w:sz="2" w:space="0"/>
              <w:bottom w:val="single" w:color="e5e7eb" w:sz="6" w:space="0"/>
              <w:right w:val="single" w:color="e5e7eb" w:sz="2" w:space="0"/>
            </w:tcBorders>
            <w:shd w:val="clear" w:color="auto" w:fill="ffffff"/>
            <w:vAlign w:val="center"/>
          </w:tcPr>
          <w:p w14:paraId="00000054">
            <w:pPr>
              <w:spacing w:after="120" w:line="360" w:lineRule="auto"/>
              <w:jc w:val="both"/>
              <w:rPr>
                <w:rFonts w:cs="Times New Roman"/>
              </w:rPr>
            </w:pPr>
            <w:r>
              <w:rPr>
                <w:rFonts w:cs="Times New Roman"/>
              </w:rPr>
              <w:t>68.00M</w:t>
            </w:r>
          </w:p>
        </w:tc>
        <w:tc>
          <w:tcPr>
            <w:cnfStyle w:val="000000010000"/>
            <w:tcW w:w="1620" w:type="dxa"/>
            <w:noWrap w:val="on"/>
            <w:tcBorders>
              <w:top w:val="single" w:color="e5e7eb" w:sz="2" w:space="0"/>
              <w:left w:val="single" w:color="e5e7eb" w:sz="2" w:space="0"/>
              <w:bottom w:val="single" w:color="e5e7eb" w:sz="6" w:space="0"/>
              <w:right w:val="single" w:color="e5e7eb" w:sz="2" w:space="0"/>
            </w:tcBorders>
            <w:shd w:val="clear" w:color="auto" w:fill="ffffff"/>
            <w:vAlign w:val="center"/>
          </w:tcPr>
          <w:p w14:paraId="00000055">
            <w:pPr>
              <w:spacing w:after="120" w:line="360" w:lineRule="auto"/>
              <w:jc w:val="both"/>
              <w:rPr>
                <w:rFonts w:cs="Times New Roman"/>
              </w:rPr>
            </w:pPr>
            <w:r>
              <w:rPr>
                <w:rFonts w:cs="Times New Roman"/>
              </w:rPr>
              <w:t>3.71%</w:t>
            </w:r>
          </w:p>
        </w:tc>
      </w:tr>
      <w:tr>
        <w:trPr/>
        <w:tc>
          <w:tcPr>
            <w:cnfStyle w:val="001000100000"/>
            <w:tcW w:w="2157" w:type="dxa"/>
            <w:noWrap w:val="on"/>
            <w:tcBorders>
              <w:top w:val="single" w:color="e5e7eb" w:sz="2" w:space="0"/>
              <w:left w:val="single" w:color="e5e7eb" w:sz="2" w:space="0"/>
              <w:bottom w:val="single" w:color="e5e7eb" w:sz="6" w:space="0"/>
              <w:right w:val="single" w:color="e5e7eb" w:sz="2" w:space="0"/>
            </w:tcBorders>
            <w:shd w:val="clear" w:color="auto" w:fill="f6f7f8"/>
            <w:vAlign w:val="center"/>
          </w:tcPr>
          <w:p w14:paraId="00000056">
            <w:pPr>
              <w:spacing w:after="120" w:line="360" w:lineRule="auto"/>
              <w:jc w:val="both"/>
              <w:rPr>
                <w:rFonts w:cs="Times New Roman"/>
              </w:rPr>
            </w:pPr>
            <w:r>
              <w:rPr>
                <w:rFonts w:cs="Times New Roman"/>
              </w:rPr>
              <w:t>Dec 31, 2012</w:t>
            </w:r>
          </w:p>
        </w:tc>
        <w:tc>
          <w:tcPr>
            <w:cnfStyle w:val="000000100000"/>
            <w:tcW w:w="1440" w:type="dxa"/>
            <w:noWrap w:val="on"/>
            <w:tcBorders>
              <w:top w:val="single" w:color="e5e7eb" w:sz="2" w:space="0"/>
              <w:left w:val="single" w:color="e5e7eb" w:sz="2" w:space="0"/>
              <w:bottom w:val="single" w:color="e5e7eb" w:sz="6" w:space="0"/>
              <w:right w:val="single" w:color="e5e7eb" w:sz="2" w:space="0"/>
            </w:tcBorders>
            <w:shd w:val="clear" w:color="auto" w:fill="f6f7f8"/>
            <w:vAlign w:val="center"/>
          </w:tcPr>
          <w:p w14:paraId="00000057">
            <w:pPr>
              <w:spacing w:after="120" w:line="360" w:lineRule="auto"/>
              <w:jc w:val="both"/>
              <w:rPr>
                <w:rFonts w:cs="Times New Roman"/>
              </w:rPr>
            </w:pPr>
            <w:r>
              <w:rPr>
                <w:rFonts w:cs="Times New Roman"/>
              </w:rPr>
              <w:t>1.84B</w:t>
            </w:r>
          </w:p>
        </w:tc>
        <w:tc>
          <w:tcPr>
            <w:cnfStyle w:val="000000100000"/>
            <w:tcW w:w="2070" w:type="dxa"/>
            <w:noWrap w:val="on"/>
            <w:tcBorders>
              <w:top w:val="single" w:color="e5e7eb" w:sz="2" w:space="0"/>
              <w:left w:val="single" w:color="e5e7eb" w:sz="2" w:space="0"/>
              <w:bottom w:val="single" w:color="e5e7eb" w:sz="6" w:space="0"/>
              <w:right w:val="single" w:color="e5e7eb" w:sz="2" w:space="0"/>
            </w:tcBorders>
            <w:shd w:val="clear" w:color="auto" w:fill="f6f7f8"/>
            <w:vAlign w:val="center"/>
          </w:tcPr>
          <w:p w14:paraId="00000058">
            <w:pPr>
              <w:spacing w:after="120" w:line="360" w:lineRule="auto"/>
              <w:jc w:val="both"/>
              <w:rPr>
                <w:rFonts w:cs="Times New Roman"/>
              </w:rPr>
            </w:pPr>
            <w:r>
              <w:rPr>
                <w:rFonts w:cs="Times New Roman"/>
              </w:rPr>
              <w:t>67.00M</w:t>
            </w:r>
          </w:p>
        </w:tc>
        <w:tc>
          <w:tcPr>
            <w:cnfStyle w:val="000000100000"/>
            <w:tcW w:w="1620" w:type="dxa"/>
            <w:noWrap w:val="on"/>
            <w:tcBorders>
              <w:top w:val="single" w:color="e5e7eb" w:sz="2" w:space="0"/>
              <w:left w:val="single" w:color="e5e7eb" w:sz="2" w:space="0"/>
              <w:bottom w:val="single" w:color="e5e7eb" w:sz="6" w:space="0"/>
              <w:right w:val="single" w:color="e5e7eb" w:sz="2" w:space="0"/>
            </w:tcBorders>
            <w:shd w:val="clear" w:color="auto" w:fill="f6f7f8"/>
            <w:vAlign w:val="center"/>
          </w:tcPr>
          <w:p w14:paraId="00000059">
            <w:pPr>
              <w:spacing w:after="120" w:line="360" w:lineRule="auto"/>
              <w:jc w:val="both"/>
              <w:rPr>
                <w:rFonts w:cs="Times New Roman"/>
              </w:rPr>
            </w:pPr>
            <w:r>
              <w:rPr>
                <w:rFonts w:cs="Times New Roman"/>
              </w:rPr>
              <w:t>3.79%</w:t>
            </w:r>
          </w:p>
        </w:tc>
      </w:tr>
      <w:tr>
        <w:trPr/>
        <w:tc>
          <w:tcPr>
            <w:cnfStyle w:val="001000010000"/>
            <w:tcW w:w="2157" w:type="dxa"/>
            <w:noWrap w:val="on"/>
            <w:tcBorders>
              <w:top w:val="single" w:color="e5e7eb" w:sz="2" w:space="0"/>
              <w:left w:val="single" w:color="e5e7eb" w:sz="2" w:space="0"/>
              <w:bottom w:val="single" w:color="e5e7eb" w:sz="6" w:space="0"/>
              <w:right w:val="single" w:color="e5e7eb" w:sz="2" w:space="0"/>
            </w:tcBorders>
            <w:shd w:val="clear" w:color="auto" w:fill="ffffff"/>
            <w:vAlign w:val="center"/>
          </w:tcPr>
          <w:p w14:paraId="0000005A">
            <w:pPr>
              <w:spacing w:after="120" w:line="360" w:lineRule="auto"/>
              <w:jc w:val="both"/>
              <w:rPr>
                <w:rFonts w:cs="Times New Roman"/>
              </w:rPr>
            </w:pPr>
            <w:r>
              <w:rPr>
                <w:rFonts w:cs="Times New Roman"/>
              </w:rPr>
              <w:t>Dec 31, 2011</w:t>
            </w:r>
          </w:p>
        </w:tc>
        <w:tc>
          <w:tcPr>
            <w:cnfStyle w:val="000000010000"/>
            <w:tcW w:w="1440" w:type="dxa"/>
            <w:noWrap w:val="on"/>
            <w:tcBorders>
              <w:top w:val="single" w:color="e5e7eb" w:sz="2" w:space="0"/>
              <w:left w:val="single" w:color="e5e7eb" w:sz="2" w:space="0"/>
              <w:bottom w:val="single" w:color="e5e7eb" w:sz="6" w:space="0"/>
              <w:right w:val="single" w:color="e5e7eb" w:sz="2" w:space="0"/>
            </w:tcBorders>
            <w:shd w:val="clear" w:color="auto" w:fill="ffffff"/>
            <w:vAlign w:val="center"/>
          </w:tcPr>
          <w:p w14:paraId="0000005B">
            <w:pPr>
              <w:spacing w:after="120" w:line="360" w:lineRule="auto"/>
              <w:jc w:val="both"/>
              <w:rPr>
                <w:rFonts w:cs="Times New Roman"/>
              </w:rPr>
            </w:pPr>
            <w:r>
              <w:rPr>
                <w:rFonts w:cs="Times New Roman"/>
              </w:rPr>
              <w:t>1.77B</w:t>
            </w:r>
          </w:p>
        </w:tc>
        <w:tc>
          <w:tcPr>
            <w:cnfStyle w:val="000000010000"/>
            <w:tcW w:w="2070" w:type="dxa"/>
            <w:noWrap w:val="on"/>
            <w:tcBorders>
              <w:top w:val="single" w:color="e5e7eb" w:sz="2" w:space="0"/>
              <w:left w:val="single" w:color="e5e7eb" w:sz="2" w:space="0"/>
              <w:bottom w:val="single" w:color="e5e7eb" w:sz="6" w:space="0"/>
              <w:right w:val="single" w:color="e5e7eb" w:sz="2" w:space="0"/>
            </w:tcBorders>
            <w:shd w:val="clear" w:color="auto" w:fill="ffffff"/>
            <w:vAlign w:val="center"/>
          </w:tcPr>
          <w:p w14:paraId="0000005C">
            <w:pPr>
              <w:spacing w:after="120" w:line="360" w:lineRule="auto"/>
              <w:jc w:val="both"/>
              <w:rPr>
                <w:rFonts w:cs="Times New Roman"/>
              </w:rPr>
            </w:pPr>
            <w:r>
              <w:rPr>
                <w:rFonts w:cs="Times New Roman"/>
              </w:rPr>
              <w:t>140.00M</w:t>
            </w:r>
          </w:p>
        </w:tc>
        <w:tc>
          <w:tcPr>
            <w:cnfStyle w:val="000000010000"/>
            <w:tcW w:w="1620" w:type="dxa"/>
            <w:noWrap w:val="on"/>
            <w:tcBorders>
              <w:top w:val="single" w:color="e5e7eb" w:sz="2" w:space="0"/>
              <w:left w:val="single" w:color="e5e7eb" w:sz="2" w:space="0"/>
              <w:bottom w:val="single" w:color="e5e7eb" w:sz="6" w:space="0"/>
              <w:right w:val="single" w:color="e5e7eb" w:sz="2" w:space="0"/>
            </w:tcBorders>
            <w:shd w:val="clear" w:color="auto" w:fill="ffffff"/>
            <w:vAlign w:val="center"/>
          </w:tcPr>
          <w:p w14:paraId="0000005D">
            <w:pPr>
              <w:spacing w:after="120" w:line="360" w:lineRule="auto"/>
              <w:jc w:val="both"/>
              <w:rPr>
                <w:rFonts w:cs="Times New Roman"/>
              </w:rPr>
            </w:pPr>
            <w:r>
              <w:rPr>
                <w:rFonts w:cs="Times New Roman"/>
              </w:rPr>
              <w:t>8.60%</w:t>
            </w:r>
          </w:p>
        </w:tc>
      </w:tr>
      <w:tr>
        <w:trPr/>
        <w:tc>
          <w:tcPr>
            <w:cnfStyle w:val="001000100000"/>
            <w:tcW w:w="2157" w:type="dxa"/>
            <w:noWrap w:val="on"/>
            <w:tcBorders>
              <w:top w:val="single" w:color="e5e7eb" w:sz="2" w:space="0"/>
              <w:left w:val="single" w:color="e5e7eb" w:sz="2" w:space="0"/>
              <w:bottom w:val="single" w:color="e5e7eb" w:sz="6" w:space="0"/>
              <w:right w:val="single" w:color="e5e7eb" w:sz="2" w:space="0"/>
            </w:tcBorders>
            <w:shd w:val="clear" w:color="auto" w:fill="f6f7f8"/>
            <w:vAlign w:val="center"/>
          </w:tcPr>
          <w:p w14:paraId="0000005E">
            <w:pPr>
              <w:spacing w:after="120" w:line="360" w:lineRule="auto"/>
              <w:jc w:val="both"/>
              <w:rPr>
                <w:rFonts w:cs="Times New Roman"/>
              </w:rPr>
            </w:pPr>
            <w:r>
              <w:rPr>
                <w:rFonts w:cs="Times New Roman"/>
              </w:rPr>
              <w:t>Dec 31, 2010</w:t>
            </w:r>
          </w:p>
        </w:tc>
        <w:tc>
          <w:tcPr>
            <w:cnfStyle w:val="000000100000"/>
            <w:tcW w:w="1440" w:type="dxa"/>
            <w:noWrap w:val="on"/>
            <w:tcBorders>
              <w:top w:val="single" w:color="e5e7eb" w:sz="2" w:space="0"/>
              <w:left w:val="single" w:color="e5e7eb" w:sz="2" w:space="0"/>
              <w:bottom w:val="single" w:color="e5e7eb" w:sz="6" w:space="0"/>
              <w:right w:val="single" w:color="e5e7eb" w:sz="2" w:space="0"/>
            </w:tcBorders>
            <w:shd w:val="clear" w:color="auto" w:fill="f6f7f8"/>
            <w:vAlign w:val="center"/>
          </w:tcPr>
          <w:p w14:paraId="0000005F">
            <w:pPr>
              <w:spacing w:after="120" w:line="360" w:lineRule="auto"/>
              <w:jc w:val="both"/>
              <w:rPr>
                <w:rFonts w:cs="Times New Roman"/>
              </w:rPr>
            </w:pPr>
            <w:r>
              <w:rPr>
                <w:rFonts w:cs="Times New Roman"/>
              </w:rPr>
              <w:t>1.63B</w:t>
            </w:r>
          </w:p>
        </w:tc>
        <w:tc>
          <w:tcPr>
            <w:cnfStyle w:val="000000100000"/>
            <w:tcW w:w="2070" w:type="dxa"/>
            <w:noWrap w:val="on"/>
            <w:tcBorders>
              <w:top w:val="single" w:color="e5e7eb" w:sz="2" w:space="0"/>
              <w:left w:val="single" w:color="e5e7eb" w:sz="2" w:space="0"/>
              <w:bottom w:val="single" w:color="e5e7eb" w:sz="6" w:space="0"/>
              <w:right w:val="single" w:color="e5e7eb" w:sz="2" w:space="0"/>
            </w:tcBorders>
            <w:shd w:val="clear" w:color="auto" w:fill="f6f7f8"/>
            <w:vAlign w:val="center"/>
          </w:tcPr>
          <w:p w14:paraId="00000060">
            <w:pPr>
              <w:spacing w:after="120" w:line="360" w:lineRule="auto"/>
              <w:jc w:val="both"/>
              <w:rPr>
                <w:rFonts w:cs="Times New Roman"/>
              </w:rPr>
            </w:pPr>
            <w:r>
              <w:rPr>
                <w:rFonts w:cs="Times New Roman"/>
              </w:rPr>
              <w:t>90.00M</w:t>
            </w:r>
          </w:p>
        </w:tc>
        <w:tc>
          <w:tcPr>
            <w:cnfStyle w:val="000000100000"/>
            <w:tcW w:w="1620" w:type="dxa"/>
            <w:noWrap w:val="on"/>
            <w:tcBorders>
              <w:top w:val="single" w:color="e5e7eb" w:sz="2" w:space="0"/>
              <w:left w:val="single" w:color="e5e7eb" w:sz="2" w:space="0"/>
              <w:bottom w:val="single" w:color="e5e7eb" w:sz="6" w:space="0"/>
              <w:right w:val="single" w:color="e5e7eb" w:sz="2" w:space="0"/>
            </w:tcBorders>
            <w:shd w:val="clear" w:color="auto" w:fill="f6f7f8"/>
            <w:vAlign w:val="center"/>
          </w:tcPr>
          <w:p w14:paraId="00000061">
            <w:pPr>
              <w:spacing w:after="120" w:line="360" w:lineRule="auto"/>
              <w:jc w:val="both"/>
              <w:rPr>
                <w:rFonts w:cs="Times New Roman"/>
              </w:rPr>
            </w:pPr>
            <w:r>
              <w:rPr>
                <w:rFonts w:cs="Times New Roman"/>
              </w:rPr>
              <w:t>5.85%</w:t>
            </w:r>
          </w:p>
        </w:tc>
      </w:tr>
    </w:tbl>
    <w:p w14:paraId="00000062">
      <w:pPr>
        <w:spacing w:after="120" w:line="360" w:lineRule="auto"/>
        <w:jc w:val="both"/>
        <w:rPr>
          <w:rFonts w:cs="Times New Roman"/>
          <w:szCs w:val="24"/>
        </w:rPr>
      </w:pPr>
    </w:p>
    <w:p w14:paraId="00000063">
      <w:pPr>
        <w:spacing w:after="120" w:line="360" w:lineRule="auto"/>
        <w:jc w:val="both"/>
        <w:rPr>
          <w:rFonts w:cs="Times New Roman"/>
          <w:szCs w:val="24"/>
        </w:rPr>
      </w:pPr>
    </w:p>
    <w:p w14:paraId="00000064">
      <w:pPr>
        <w:spacing w:after="120" w:line="360" w:lineRule="auto"/>
        <w:jc w:val="both"/>
        <w:rPr>
          <w:rFonts w:cs="Times New Roman"/>
          <w:szCs w:val="24"/>
        </w:rPr>
      </w:pPr>
    </w:p>
    <w:p w14:paraId="00000065">
      <w:pPr>
        <w:spacing w:after="120" w:line="360" w:lineRule="auto"/>
        <w:jc w:val="both"/>
        <w:rPr>
          <w:rFonts w:cs="Times New Roman"/>
          <w:szCs w:val="24"/>
        </w:rPr>
      </w:pPr>
    </w:p>
    <w:p w14:paraId="00000066">
      <w:pPr>
        <w:spacing w:after="120" w:line="360" w:lineRule="auto"/>
        <w:jc w:val="both"/>
        <w:rPr>
          <w:rFonts w:cs="Times New Roman"/>
          <w:szCs w:val="24"/>
        </w:rPr>
      </w:pPr>
    </w:p>
    <w:p w14:paraId="00000067">
      <w:pPr>
        <w:spacing w:after="120" w:line="360" w:lineRule="auto"/>
        <w:jc w:val="both"/>
        <w:rPr>
          <w:rFonts w:cs="Times New Roman"/>
          <w:szCs w:val="24"/>
        </w:rPr>
      </w:pPr>
    </w:p>
    <w:p w14:paraId="00000068">
      <w:pPr>
        <w:spacing w:after="120" w:line="360" w:lineRule="auto"/>
        <w:jc w:val="both"/>
        <w:rPr>
          <w:rFonts w:cs="Times New Roman"/>
          <w:szCs w:val="24"/>
        </w:rPr>
      </w:pPr>
    </w:p>
    <w:p w14:paraId="00000069">
      <w:pPr>
        <w:spacing w:after="120" w:line="360" w:lineRule="auto"/>
        <w:jc w:val="both"/>
        <w:rPr>
          <w:rFonts w:cs="Times New Roman"/>
          <w:b/>
          <w:bCs/>
          <w:sz w:val="28"/>
          <w:szCs w:val="28"/>
        </w:rPr>
      </w:pPr>
    </w:p>
    <w:p w14:paraId="0000006A">
      <w:pPr>
        <w:spacing w:after="120" w:line="360" w:lineRule="auto"/>
        <w:jc w:val="both"/>
        <w:rPr>
          <w:rFonts w:cs="Times New Roman"/>
          <w:szCs w:val="24"/>
        </w:rPr>
      </w:pPr>
      <w:r>
        <w:rPr>
          <w:rFonts w:cs="Times New Roman"/>
          <w:b/>
          <w:bCs/>
          <w:sz w:val="28"/>
          <w:szCs w:val="28"/>
        </w:rPr>
        <w:t>Figure 1: Revenue History</w:t>
      </w:r>
      <w:r>
        <w:rPr>
          <w:rFonts w:cs="Times New Roman"/>
        </w:rPr>
        <w:t xml:space="preserve"> (</w:t>
      </w:r>
      <w:r>
        <w:rPr>
          <w:rFonts w:cs="Times New Roman"/>
          <w:i/>
          <w:iCs/>
        </w:rPr>
        <w:t>IHG Revenue 2006-2022 - Stock analysis</w:t>
      </w:r>
      <w:r>
        <w:rPr>
          <w:rFonts w:cs="Times New Roman"/>
        </w:rPr>
        <w:t>, 2024)</w:t>
      </w:r>
    </w:p>
    <w:p w14:paraId="0000006B">
      <w:pPr>
        <w:spacing w:after="120" w:line="360" w:lineRule="auto"/>
        <w:jc w:val="both"/>
        <w:rPr>
          <w:rFonts w:cs="Times New Roman"/>
        </w:rPr>
      </w:pPr>
      <w:r>
        <w:rPr>
          <w:rFonts w:cs="Times New Roman"/>
          <w:szCs w:val="24"/>
        </w:rPr>
        <w:t>In IHG’s success story, the most integral part has been the management</w:t>
      </w:r>
      <w:r>
        <w:rPr>
          <w:rFonts w:cs="Times New Roman"/>
          <w:szCs w:val="24"/>
        </w:rPr>
        <w:t xml:space="preserve"> proficiency</w:t>
      </w:r>
      <w:r>
        <w:rPr>
          <w:rFonts w:cs="Times New Roman"/>
          <w:szCs w:val="24"/>
        </w:rPr>
        <w:t xml:space="preserve"> and forward-thinking </w:t>
      </w:r>
      <w:r>
        <w:rPr>
          <w:rFonts w:cs="Times New Roman"/>
          <w:szCs w:val="24"/>
        </w:rPr>
        <w:t xml:space="preserve">strategies. Without strong management authority and </w:t>
      </w:r>
      <w:r>
        <w:rPr>
          <w:rFonts w:cs="Times New Roman"/>
          <w:szCs w:val="24"/>
        </w:rPr>
        <w:t>business minds, this constant relevancy in the hospitality field wouldn’t have been possible.</w:t>
      </w:r>
      <w:r>
        <w:rPr>
          <w:rFonts w:cs="Times New Roman"/>
          <w:szCs w:val="24"/>
        </w:rPr>
        <w:t xml:space="preserve"> </w:t>
      </w:r>
      <w:r>
        <w:rPr>
          <w:rFonts w:cs="Times New Roman"/>
          <w:szCs w:val="24"/>
        </w:rPr>
        <w:t>CEO Elie Maalouf</w:t>
      </w:r>
      <w:r>
        <w:rPr>
          <w:rFonts w:cs="Times New Roman"/>
          <w:szCs w:val="24"/>
        </w:rPr>
        <w:t xml:space="preserve"> chalks out the plan of keeping</w:t>
      </w:r>
      <w:r>
        <w:rPr>
          <w:rFonts w:cs="Times New Roman"/>
          <w:szCs w:val="24"/>
        </w:rPr>
        <w:t xml:space="preserve"> eyes on portfolio expansion that will include</w:t>
      </w:r>
      <w:r>
        <w:rPr>
          <w:rFonts w:cs="Times New Roman"/>
          <w:szCs w:val="24"/>
        </w:rPr>
        <w:t xml:space="preserve"> every sectors like luxurious lifestyle, midscale hotels expansion, </w:t>
      </w:r>
      <w:r>
        <w:rPr>
          <w:rFonts w:cs="Times New Roman"/>
          <w:szCs w:val="24"/>
        </w:rPr>
        <w:t xml:space="preserve">geographical growth and </w:t>
      </w:r>
      <w:r>
        <w:rPr>
          <w:rFonts w:cs="Times New Roman"/>
          <w:szCs w:val="24"/>
        </w:rPr>
        <w:t>reinforcing systemati</w:t>
      </w:r>
      <w:r>
        <w:rPr>
          <w:rFonts w:cs="Times New Roman"/>
          <w:szCs w:val="24"/>
        </w:rPr>
        <w:t>c management of revenue and funds</w:t>
      </w:r>
      <w:r>
        <w:rPr>
          <w:rFonts w:cs="Times New Roman"/>
          <w:szCs w:val="24"/>
        </w:rPr>
        <w:t xml:space="preserve"> </w:t>
      </w:r>
      <w:r>
        <w:rPr>
          <w:rFonts w:cs="Times New Roman"/>
        </w:rPr>
        <w:t>(O’Neill, 2023)</w:t>
      </w:r>
      <w:r>
        <w:rPr>
          <w:rFonts w:cs="Times New Roman"/>
        </w:rPr>
        <w:t xml:space="preserve">. </w:t>
      </w:r>
    </w:p>
    <w:p w14:paraId="0000006C">
      <w:pPr>
        <w:spacing w:after="120" w:line="360" w:lineRule="auto"/>
        <w:jc w:val="both"/>
        <w:rPr>
          <w:rFonts w:cs="Times New Roman"/>
        </w:rPr>
      </w:pPr>
      <w:r>
        <w:rPr>
          <w:rFonts w:cs="Times New Roman"/>
        </w:rPr>
        <w:t xml:space="preserve">After being appointed as the latest CEO, Keith Barr has brought a revolutionary change </w:t>
      </w:r>
      <w:r>
        <w:rPr>
          <w:rFonts w:cs="Times New Roman"/>
        </w:rPr>
        <w:t>to</w:t>
      </w:r>
      <w:r>
        <w:rPr>
          <w:rFonts w:cs="Times New Roman"/>
        </w:rPr>
        <w:t xml:space="preserve"> the outlook </w:t>
      </w:r>
      <w:r>
        <w:rPr>
          <w:rFonts w:cs="Times New Roman"/>
        </w:rPr>
        <w:t xml:space="preserve">of the group by making a lot of geographical changes. His vision of making the company </w:t>
      </w:r>
      <w:r>
        <w:rPr>
          <w:rFonts w:cs="Times New Roman"/>
        </w:rPr>
        <w:t xml:space="preserve">equally appealing and relevant to guests and investors in different parts of the world has worked effectively. </w:t>
      </w:r>
      <w:r>
        <w:rPr>
          <w:rFonts w:cs="Times New Roman"/>
        </w:rPr>
        <w:t xml:space="preserve">It proves his leadership quality and supports his goal of diversity, equity and inclusion to a great extent. </w:t>
      </w:r>
      <w:r>
        <w:rPr>
          <w:rFonts w:cs="Times New Roman"/>
        </w:rPr>
        <w:t>In</w:t>
      </w:r>
      <w:r>
        <w:rPr>
          <w:rFonts w:cs="Times New Roman"/>
        </w:rPr>
        <w:t xml:space="preserve"> light of this move, hotel </w:t>
      </w:r>
      <w:r>
        <w:rPr>
          <w:rFonts w:cs="Times New Roman"/>
        </w:rPr>
        <w:t>analyst Katherine Doggrell shares,</w:t>
      </w:r>
      <w:r>
        <w:rPr>
          <w:rFonts w:cs="Times New Roman"/>
        </w:rPr>
        <w:t xml:space="preserve"> IHG is moving to expand </w:t>
      </w:r>
      <w:r>
        <w:rPr>
          <w:rFonts w:cs="Times New Roman"/>
        </w:rPr>
        <w:t xml:space="preserve">geographically in different parts of the world including Asia, Africa and </w:t>
      </w:r>
      <w:r>
        <w:rPr>
          <w:rFonts w:cs="Times New Roman"/>
        </w:rPr>
        <w:t xml:space="preserve">the </w:t>
      </w:r>
      <w:r>
        <w:rPr>
          <w:rFonts w:cs="Times New Roman"/>
        </w:rPr>
        <w:t>Middle East</w:t>
      </w:r>
      <w:r>
        <w:rPr>
          <w:rFonts w:cs="Times New Roman"/>
        </w:rPr>
        <w:t>,</w:t>
      </w:r>
      <w:r>
        <w:rPr>
          <w:rFonts w:cs="Times New Roman"/>
        </w:rPr>
        <w:t xml:space="preserve"> and plans to appoint </w:t>
      </w:r>
      <w:r>
        <w:rPr>
          <w:rFonts w:cs="Times New Roman"/>
        </w:rPr>
        <w:t>more regional CEOs to function properly</w:t>
      </w:r>
      <w:r>
        <w:rPr>
          <w:rFonts w:cs="Times New Roman"/>
        </w:rPr>
        <w:t xml:space="preserve"> </w:t>
      </w:r>
      <w:r>
        <w:rPr>
          <w:rFonts w:cs="Times New Roman"/>
        </w:rPr>
        <w:t>(Mumford, 2017)</w:t>
      </w:r>
      <w:r>
        <w:rPr>
          <w:rFonts w:cs="Times New Roman"/>
        </w:rPr>
        <w:t xml:space="preserve">. </w:t>
      </w:r>
    </w:p>
    <w:p w14:paraId="0000006D">
      <w:pPr>
        <w:pStyle w:val="Heading2"/>
        <w:spacing w:before="0" w:after="120" w:line="360" w:lineRule="auto"/>
        <w:jc w:val="both"/>
        <w:rPr>
          <w:rFonts w:ascii="Times New Roman" w:cs="Times New Roman" w:hAnsi="Times New Roman"/>
          <w:b/>
          <w:bCs/>
          <w:color w:val="auto"/>
          <w:sz w:val="28"/>
          <w:szCs w:val="28"/>
        </w:rPr>
      </w:pPr>
      <w:bookmarkStart w:id="11" w:name="_Toc159682326"/>
      <w:bookmarkStart w:id="12" w:name="_Toc159857853"/>
      <w:r>
        <w:rPr>
          <w:rFonts w:ascii="Times New Roman" w:cs="Times New Roman" w:hAnsi="Times New Roman"/>
          <w:b/>
          <w:bCs/>
          <w:color w:val="auto"/>
          <w:sz w:val="28"/>
          <w:szCs w:val="28"/>
        </w:rPr>
        <w:t xml:space="preserve">2.3 </w:t>
      </w:r>
      <w:r>
        <w:rPr>
          <w:rFonts w:ascii="Times New Roman" w:cs="Times New Roman" w:hAnsi="Times New Roman"/>
          <w:b/>
          <w:bCs/>
          <w:color w:val="auto"/>
          <w:sz w:val="28"/>
          <w:szCs w:val="28"/>
        </w:rPr>
        <w:t xml:space="preserve">Strategic </w:t>
      </w:r>
      <w:r>
        <w:rPr>
          <w:rFonts w:ascii="Times New Roman" w:cs="Times New Roman" w:hAnsi="Times New Roman"/>
          <w:b/>
          <w:bCs/>
          <w:color w:val="auto"/>
          <w:sz w:val="28"/>
          <w:szCs w:val="28"/>
        </w:rPr>
        <w:t>Direction</w:t>
      </w:r>
      <w:r>
        <w:rPr>
          <w:rFonts w:ascii="Times New Roman" w:cs="Times New Roman" w:hAnsi="Times New Roman"/>
          <w:b/>
          <w:bCs/>
          <w:color w:val="auto"/>
          <w:sz w:val="28"/>
          <w:szCs w:val="28"/>
        </w:rPr>
        <w:t xml:space="preserve"> &amp; </w:t>
      </w:r>
      <w:r>
        <w:rPr>
          <w:rFonts w:ascii="Times New Roman" w:cs="Times New Roman" w:hAnsi="Times New Roman"/>
          <w:b/>
          <w:bCs/>
          <w:color w:val="auto"/>
          <w:sz w:val="28"/>
          <w:szCs w:val="28"/>
        </w:rPr>
        <w:t>C</w:t>
      </w:r>
      <w:r>
        <w:rPr>
          <w:rFonts w:ascii="Times New Roman" w:cs="Times New Roman" w:hAnsi="Times New Roman"/>
          <w:b/>
          <w:bCs/>
          <w:color w:val="auto"/>
          <w:sz w:val="28"/>
          <w:szCs w:val="28"/>
        </w:rPr>
        <w:t xml:space="preserve">urrent </w:t>
      </w:r>
      <w:r>
        <w:rPr>
          <w:rFonts w:ascii="Times New Roman" w:cs="Times New Roman" w:hAnsi="Times New Roman"/>
          <w:b/>
          <w:bCs/>
          <w:color w:val="auto"/>
          <w:sz w:val="28"/>
          <w:szCs w:val="28"/>
        </w:rPr>
        <w:t>B</w:t>
      </w:r>
      <w:r>
        <w:rPr>
          <w:rFonts w:ascii="Times New Roman" w:cs="Times New Roman" w:hAnsi="Times New Roman"/>
          <w:b/>
          <w:bCs/>
          <w:color w:val="auto"/>
          <w:sz w:val="28"/>
          <w:szCs w:val="28"/>
        </w:rPr>
        <w:t xml:space="preserve">usiness </w:t>
      </w:r>
      <w:r>
        <w:rPr>
          <w:rFonts w:ascii="Times New Roman" w:cs="Times New Roman" w:hAnsi="Times New Roman"/>
          <w:b/>
          <w:bCs/>
          <w:color w:val="auto"/>
          <w:sz w:val="28"/>
          <w:szCs w:val="28"/>
        </w:rPr>
        <w:t>P</w:t>
      </w:r>
      <w:r>
        <w:rPr>
          <w:rFonts w:ascii="Times New Roman" w:cs="Times New Roman" w:hAnsi="Times New Roman"/>
          <w:b/>
          <w:bCs/>
          <w:color w:val="auto"/>
          <w:sz w:val="28"/>
          <w:szCs w:val="28"/>
        </w:rPr>
        <w:t>erformance</w:t>
      </w:r>
      <w:bookmarkEnd w:id="11"/>
      <w:bookmarkEnd w:id="12"/>
    </w:p>
    <w:p w14:paraId="0000006E">
      <w:pPr>
        <w:spacing w:after="120" w:line="360" w:lineRule="auto"/>
        <w:jc w:val="both"/>
        <w:rPr>
          <w:rFonts w:cs="Times New Roman"/>
        </w:rPr>
      </w:pPr>
      <w:r>
        <w:rPr>
          <w:rFonts w:cs="Times New Roman"/>
          <w:szCs w:val="24"/>
        </w:rPr>
        <w:t xml:space="preserve">IHG’s former CEO has previously talked about creating long-term strategies that include </w:t>
      </w:r>
      <w:r>
        <w:rPr>
          <w:rFonts w:cs="Times New Roman"/>
          <w:szCs w:val="24"/>
        </w:rPr>
        <w:t xml:space="preserve">building loyalty through partnerships with numerous international companies </w:t>
      </w:r>
      <w:r>
        <w:rPr>
          <w:rFonts w:cs="Times New Roman"/>
          <w:szCs w:val="24"/>
        </w:rPr>
        <w:t xml:space="preserve">and prioritising </w:t>
      </w:r>
      <w:r>
        <w:rPr>
          <w:rFonts w:cs="Times New Roman"/>
          <w:szCs w:val="24"/>
        </w:rPr>
        <w:t xml:space="preserve">the </w:t>
      </w:r>
      <w:r>
        <w:rPr>
          <w:rFonts w:cs="Times New Roman"/>
          <w:szCs w:val="24"/>
        </w:rPr>
        <w:t xml:space="preserve">guests’ demands. </w:t>
      </w:r>
      <w:r>
        <w:rPr>
          <w:rFonts w:cs="Times New Roman"/>
        </w:rPr>
        <w:t xml:space="preserve">IHG </w:t>
      </w:r>
      <w:r>
        <w:rPr>
          <w:rFonts w:cs="Times New Roman"/>
        </w:rPr>
        <w:t xml:space="preserve">has structured three different categories for its hotels to function </w:t>
      </w:r>
      <w:r>
        <w:rPr>
          <w:rFonts w:cs="Times New Roman"/>
        </w:rPr>
        <w:t>properly:</w:t>
      </w:r>
    </w:p>
    <w:p w14:paraId="0000006F">
      <w:pPr>
        <w:numPr>
          <w:ilvl w:val="0"/>
          <w:numId w:val="2"/>
        </w:numPr>
        <w:spacing w:after="120" w:line="360" w:lineRule="auto"/>
        <w:jc w:val="both"/>
        <w:rPr>
          <w:rFonts w:cs="Times New Roman"/>
          <w:szCs w:val="24"/>
        </w:rPr>
      </w:pPr>
      <w:r>
        <w:rPr>
          <w:rFonts w:cs="Times New Roman"/>
          <w:szCs w:val="24"/>
        </w:rPr>
        <w:t xml:space="preserve"> Holiday Inn, Holiday Inn Express, Candlewood Suites</w:t>
      </w:r>
      <w:r>
        <w:rPr>
          <w:rFonts w:cs="Times New Roman"/>
          <w:szCs w:val="24"/>
        </w:rPr>
        <w:t>,</w:t>
      </w:r>
      <w:r>
        <w:rPr>
          <w:rFonts w:cs="Times New Roman"/>
          <w:szCs w:val="24"/>
        </w:rPr>
        <w:t xml:space="preserve"> Staybridge Suites</w:t>
      </w:r>
      <w:r>
        <w:rPr>
          <w:rFonts w:cs="Times New Roman"/>
          <w:szCs w:val="24"/>
        </w:rPr>
        <w:t>,</w:t>
      </w:r>
      <w:r>
        <w:rPr>
          <w:rFonts w:cs="Times New Roman"/>
          <w:szCs w:val="24"/>
        </w:rPr>
        <w:t xml:space="preserve"> etc. are the mainstream hotels that bear the flag of IHG</w:t>
      </w:r>
      <w:r>
        <w:rPr>
          <w:rFonts w:cs="Times New Roman"/>
          <w:szCs w:val="24"/>
        </w:rPr>
        <w:t xml:space="preserve"> among the leading hotel companies</w:t>
      </w:r>
    </w:p>
    <w:p w14:paraId="00000070">
      <w:pPr>
        <w:numPr>
          <w:ilvl w:val="0"/>
          <w:numId w:val="2"/>
        </w:numPr>
        <w:spacing w:after="120" w:line="360" w:lineRule="auto"/>
        <w:jc w:val="both"/>
        <w:rPr>
          <w:rFonts w:cs="Times New Roman"/>
          <w:szCs w:val="24"/>
        </w:rPr>
      </w:pPr>
      <w:r>
        <w:rPr>
          <w:rFonts w:cs="Times New Roman"/>
          <w:szCs w:val="24"/>
        </w:rPr>
        <w:t xml:space="preserve"> Crowne Plaza, Even Hotels, Hotel Indigo</w:t>
      </w:r>
      <w:r>
        <w:rPr>
          <w:rFonts w:cs="Times New Roman"/>
          <w:szCs w:val="24"/>
        </w:rPr>
        <w:t>,</w:t>
      </w:r>
      <w:r>
        <w:rPr>
          <w:rFonts w:cs="Times New Roman"/>
          <w:szCs w:val="24"/>
        </w:rPr>
        <w:t xml:space="preserve"> and Hua </w:t>
      </w:r>
      <w:r>
        <w:rPr>
          <w:rFonts w:cs="Times New Roman"/>
          <w:szCs w:val="24"/>
        </w:rPr>
        <w:t>Luxe</w:t>
      </w:r>
      <w:r>
        <w:rPr>
          <w:rFonts w:cs="Times New Roman"/>
          <w:szCs w:val="24"/>
        </w:rPr>
        <w:t xml:space="preserve"> are the upscale tier that </w:t>
      </w:r>
      <w:r>
        <w:rPr>
          <w:rFonts w:cs="Times New Roman"/>
          <w:szCs w:val="24"/>
        </w:rPr>
        <w:t xml:space="preserve">serves guests of that level and choice </w:t>
      </w:r>
    </w:p>
    <w:p w14:paraId="00000071">
      <w:pPr>
        <w:numPr>
          <w:ilvl w:val="0"/>
          <w:numId w:val="2"/>
        </w:numPr>
        <w:spacing w:after="120" w:line="360" w:lineRule="auto"/>
        <w:jc w:val="both"/>
        <w:rPr>
          <w:rFonts w:cs="Times New Roman"/>
          <w:szCs w:val="24"/>
        </w:rPr>
      </w:pPr>
      <w:r>
        <w:rPr>
          <w:rFonts w:cs="Times New Roman"/>
          <w:szCs w:val="24"/>
        </w:rPr>
        <w:t xml:space="preserve"> InterContinental Hotels &amp; Resorts and Kimpton</w:t>
      </w:r>
      <w:r>
        <w:rPr>
          <w:rFonts w:cs="Times New Roman"/>
          <w:szCs w:val="24"/>
        </w:rPr>
        <w:t xml:space="preserve"> fall into the luxury section providing top-notch luxurious experiences to the guests</w:t>
      </w:r>
      <w:r>
        <w:rPr>
          <w:rFonts w:cs="Times New Roman"/>
          <w:szCs w:val="24"/>
        </w:rPr>
        <w:t xml:space="preserve"> </w:t>
      </w:r>
      <w:r>
        <w:rPr>
          <w:rFonts w:cs="Times New Roman"/>
        </w:rPr>
        <w:t xml:space="preserve">(Sickel, 2018). </w:t>
      </w:r>
    </w:p>
    <w:p w14:paraId="00000072">
      <w:pPr>
        <w:spacing w:after="120" w:line="360" w:lineRule="auto"/>
        <w:jc w:val="both"/>
        <w:rPr>
          <w:rFonts w:cs="Times New Roman"/>
        </w:rPr>
      </w:pPr>
      <w:r>
        <w:rPr>
          <w:rFonts w:cs="Times New Roman"/>
          <w:szCs w:val="24"/>
        </w:rPr>
        <w:t xml:space="preserve">Analysts have confirmed that, with the current growth, IHG might be able to see a new high in business performance by the end of 2024. </w:t>
      </w:r>
      <w:r>
        <w:rPr>
          <w:rFonts w:cs="Times New Roman"/>
          <w:szCs w:val="24"/>
        </w:rPr>
        <w:t xml:space="preserve">Analysts also </w:t>
      </w:r>
      <w:r>
        <w:rPr>
          <w:rFonts w:cs="Times New Roman"/>
          <w:szCs w:val="24"/>
        </w:rPr>
        <w:t xml:space="preserve">predict that IHG might see a growth of 6.2% </w:t>
      </w:r>
      <w:r>
        <w:rPr>
          <w:rFonts w:cs="Times New Roman"/>
          <w:szCs w:val="24"/>
        </w:rPr>
        <w:t>in revenues compared to the previous year</w:t>
      </w:r>
      <w:r>
        <w:rPr>
          <w:rFonts w:cs="Times New Roman"/>
          <w:szCs w:val="24"/>
        </w:rPr>
        <w:t xml:space="preserve"> </w:t>
      </w:r>
      <w:bookmarkStart w:id="13" w:name="_Hlk159673958"/>
      <w:r>
        <w:rPr>
          <w:rFonts w:cs="Times New Roman"/>
        </w:rPr>
        <w:t>(</w:t>
      </w:r>
      <w:r>
        <w:rPr>
          <w:rFonts w:cs="Times New Roman"/>
          <w:i/>
          <w:iCs/>
        </w:rPr>
        <w:t>Yahoo is part of the Yahoo family of brands</w:t>
      </w:r>
      <w:r>
        <w:rPr>
          <w:rFonts w:cs="Times New Roman"/>
        </w:rPr>
        <w:t>, 2024)</w:t>
      </w:r>
      <w:r>
        <w:rPr>
          <w:rFonts w:cs="Times New Roman"/>
        </w:rPr>
        <w:t xml:space="preserve">. </w:t>
      </w:r>
    </w:p>
    <w:p w14:paraId="00000073">
      <w:pPr>
        <w:pStyle w:val="Heading1"/>
        <w:spacing w:before="0" w:after="120" w:line="360" w:lineRule="auto"/>
        <w:jc w:val="both"/>
        <w:rPr>
          <w:rFonts w:ascii="Times New Roman" w:cs="Times New Roman" w:hAnsi="Times New Roman"/>
          <w:b/>
          <w:bCs/>
          <w:color w:val="auto"/>
        </w:rPr>
      </w:pPr>
      <w:bookmarkStart w:id="14" w:name="_Toc159682327"/>
      <w:bookmarkStart w:id="15" w:name="_Toc159857854"/>
      <w:r>
        <w:rPr>
          <w:rFonts w:ascii="Times New Roman" w:cs="Times New Roman" w:hAnsi="Times New Roman"/>
          <w:b/>
          <w:bCs/>
          <w:color w:val="auto"/>
        </w:rPr>
        <w:t xml:space="preserve">3.0 </w:t>
      </w:r>
      <w:r>
        <w:rPr>
          <w:rFonts w:ascii="Times New Roman" w:cs="Times New Roman" w:hAnsi="Times New Roman"/>
          <w:b/>
          <w:bCs/>
          <w:color w:val="auto"/>
        </w:rPr>
        <w:t>COMPARISON</w:t>
      </w:r>
      <w:bookmarkEnd w:id="14"/>
      <w:bookmarkEnd w:id="15"/>
    </w:p>
    <w:p w14:paraId="00000074">
      <w:pPr>
        <w:spacing w:after="120" w:line="360" w:lineRule="auto"/>
        <w:jc w:val="both"/>
        <w:rPr>
          <w:rFonts w:cs="Times New Roman"/>
          <w:szCs w:val="24"/>
        </w:rPr>
      </w:pPr>
      <w:bookmarkEnd w:id="13"/>
      <w:r>
        <w:rPr>
          <w:rFonts w:cs="Times New Roman"/>
          <w:szCs w:val="24"/>
        </w:rPr>
        <w:t xml:space="preserve">Hospitality business is a competitive industry in today’s economy. </w:t>
      </w:r>
      <w:r>
        <w:rPr>
          <w:rFonts w:cs="Times New Roman"/>
          <w:szCs w:val="24"/>
        </w:rPr>
        <w:t xml:space="preserve">Being one of the leading companies in the industry, IHG is bound to </w:t>
      </w:r>
      <w:r>
        <w:rPr>
          <w:rFonts w:cs="Times New Roman"/>
          <w:szCs w:val="24"/>
        </w:rPr>
        <w:t>have numerous competit</w:t>
      </w:r>
      <w:r>
        <w:rPr>
          <w:rFonts w:cs="Times New Roman"/>
          <w:szCs w:val="24"/>
        </w:rPr>
        <w:t>ions</w:t>
      </w:r>
      <w:bookmarkStart w:id="16" w:name="_Hlk159676754"/>
      <w:r>
        <w:rPr>
          <w:rFonts w:cs="Times New Roman"/>
          <w:szCs w:val="24"/>
        </w:rPr>
        <w:t xml:space="preserve">. </w:t>
      </w:r>
      <w:r>
        <w:rPr>
          <w:rFonts w:cs="Times New Roman"/>
          <w:szCs w:val="24"/>
        </w:rPr>
        <w:t xml:space="preserve">Mariott, Hilton, Hyatt </w:t>
      </w:r>
      <w:bookmarkEnd w:id="16"/>
      <w:r>
        <w:rPr>
          <w:rFonts w:cs="Times New Roman"/>
          <w:szCs w:val="24"/>
        </w:rPr>
        <w:t xml:space="preserve">etc. are the top competitors of IHG </w:t>
      </w:r>
      <w:r>
        <w:rPr>
          <w:rFonts w:cs="Times New Roman"/>
          <w:szCs w:val="24"/>
        </w:rPr>
        <w:t xml:space="preserve">in the current industry. These leading groups are constantly compared </w:t>
      </w:r>
      <w:r>
        <w:rPr>
          <w:rFonts w:cs="Times New Roman"/>
          <w:szCs w:val="24"/>
        </w:rPr>
        <w:t>in</w:t>
      </w:r>
      <w:r>
        <w:rPr>
          <w:rFonts w:cs="Times New Roman"/>
          <w:szCs w:val="24"/>
        </w:rPr>
        <w:t xml:space="preserve"> every sector including </w:t>
      </w:r>
      <w:r>
        <w:rPr>
          <w:rFonts w:cs="Times New Roman"/>
          <w:szCs w:val="24"/>
        </w:rPr>
        <w:t>service-providing quality, revenues, stock rate, loyalty rate etc.</w:t>
      </w:r>
      <w:r>
        <w:rPr>
          <w:rFonts w:cs="Times New Roman"/>
          <w:szCs w:val="24"/>
        </w:rPr>
        <w:t xml:space="preserve"> To stay relevant in the industry for a long time and achieve consistency, </w:t>
      </w:r>
      <w:r>
        <w:rPr>
          <w:rFonts w:cs="Times New Roman"/>
          <w:szCs w:val="24"/>
        </w:rPr>
        <w:t>a company must maintain its competitive advantage. Co</w:t>
      </w:r>
      <w:r>
        <w:rPr>
          <w:rFonts w:cs="Times New Roman"/>
          <w:szCs w:val="24"/>
        </w:rPr>
        <w:t xml:space="preserve">mpanies tend to </w:t>
      </w:r>
      <w:r>
        <w:rPr>
          <w:rFonts w:cs="Times New Roman"/>
          <w:szCs w:val="24"/>
        </w:rPr>
        <w:t>offer products, services and facilities</w:t>
      </w:r>
      <w:r>
        <w:rPr>
          <w:rFonts w:cs="Times New Roman"/>
          <w:szCs w:val="24"/>
        </w:rPr>
        <w:t xml:space="preserve"> way </w:t>
      </w:r>
      <w:r>
        <w:rPr>
          <w:rFonts w:cs="Times New Roman"/>
          <w:szCs w:val="24"/>
        </w:rPr>
        <w:t>cheaper and more unique</w:t>
      </w:r>
      <w:r>
        <w:rPr>
          <w:rFonts w:cs="Times New Roman"/>
          <w:szCs w:val="24"/>
        </w:rPr>
        <w:t xml:space="preserve"> from their rivals </w:t>
      </w:r>
      <w:r>
        <w:rPr>
          <w:rFonts w:cs="Times New Roman"/>
          <w:szCs w:val="24"/>
        </w:rPr>
        <w:t>gaining competitive advantage</w:t>
      </w:r>
      <w:r>
        <w:rPr>
          <w:rFonts w:cs="Times New Roman"/>
          <w:szCs w:val="24"/>
        </w:rPr>
        <w:t xml:space="preserve"> </w:t>
      </w:r>
      <w:r>
        <w:rPr>
          <w:rFonts w:cs="Times New Roman"/>
        </w:rPr>
        <w:t>(Twin, 2023).</w:t>
      </w:r>
      <w:r>
        <w:rPr>
          <w:rFonts w:cs="Times New Roman"/>
        </w:rPr>
        <w:t xml:space="preserve"> </w:t>
      </w:r>
      <w:r>
        <w:rPr>
          <w:rFonts w:cs="Times New Roman"/>
        </w:rPr>
        <w:t>Competitive advantage gives</w:t>
      </w:r>
      <w:r>
        <w:rPr>
          <w:rFonts w:cs="Times New Roman"/>
        </w:rPr>
        <w:t xml:space="preserve"> a</w:t>
      </w:r>
      <w:r>
        <w:rPr>
          <w:rFonts w:cs="Times New Roman"/>
        </w:rPr>
        <w:t xml:space="preserve"> competitive edge to a company</w:t>
      </w:r>
      <w:r>
        <w:rPr>
          <w:rFonts w:cs="Times New Roman"/>
        </w:rPr>
        <w:t xml:space="preserve"> which is necessary to </w:t>
      </w:r>
      <w:r>
        <w:rPr>
          <w:rFonts w:cs="Times New Roman"/>
        </w:rPr>
        <w:t>stay relevant for a long time.</w:t>
      </w:r>
      <w:r>
        <w:rPr>
          <w:rFonts w:cs="Times New Roman"/>
          <w:sz w:val="27"/>
          <w:szCs w:val="27"/>
          <w:shd w:val="clear" w:color="auto" w:fill="ffffff"/>
        </w:rPr>
        <w:t xml:space="preserve"> </w:t>
      </w:r>
      <w:r>
        <w:rPr>
          <w:rFonts w:cs="Times New Roman"/>
        </w:rPr>
        <w:t>A company must offer better deals and loyalty than other brands to benefit from competitive advantage</w:t>
      </w:r>
      <w:r>
        <w:rPr>
          <w:rFonts w:cs="Times New Roman"/>
        </w:rPr>
        <w:t xml:space="preserve"> (Amadeo, 2022)</w:t>
      </w:r>
      <w:r>
        <w:rPr>
          <w:rFonts w:cs="Times New Roman"/>
        </w:rPr>
        <w:t>.</w:t>
      </w:r>
      <w:r>
        <w:rPr>
          <w:rFonts w:cs="Times New Roman"/>
        </w:rPr>
        <w:t xml:space="preserve"> The problem is that other companies are gradually but surely taking away that competitive advantage from IHG.</w:t>
      </w:r>
      <w:r>
        <w:rPr>
          <w:rFonts w:cs="Times New Roman"/>
        </w:rPr>
        <w:t xml:space="preserve"> </w:t>
      </w:r>
      <w:r>
        <w:rPr>
          <w:rFonts w:cs="Times New Roman"/>
          <w:szCs w:val="24"/>
        </w:rPr>
        <w:t xml:space="preserve"> Mariott, Hilton, Hyatt</w:t>
      </w:r>
      <w:r>
        <w:rPr>
          <w:rFonts w:cs="Times New Roman"/>
        </w:rPr>
        <w:t>- these companies are also providing</w:t>
      </w:r>
      <w:r>
        <w:rPr>
          <w:rFonts w:cs="Times New Roman"/>
        </w:rPr>
        <w:t xml:space="preserve"> premium</w:t>
      </w:r>
      <w:r>
        <w:rPr>
          <w:rFonts w:cs="Times New Roman"/>
        </w:rPr>
        <w:t xml:space="preserve"> service</w:t>
      </w:r>
      <w:r>
        <w:rPr>
          <w:rFonts w:cs="Times New Roman"/>
        </w:rPr>
        <w:t xml:space="preserve"> nowadays</w:t>
      </w:r>
      <w:r>
        <w:rPr>
          <w:rFonts w:cs="Times New Roman"/>
        </w:rPr>
        <w:t xml:space="preserve"> i</w:t>
      </w:r>
      <w:r>
        <w:rPr>
          <w:rFonts w:cs="Times New Roman"/>
        </w:rPr>
        <w:t xml:space="preserve">f compared honestly. </w:t>
      </w:r>
      <w:r>
        <w:rPr>
          <w:rFonts w:cs="Times New Roman"/>
          <w:szCs w:val="24"/>
        </w:rPr>
        <w:t xml:space="preserve">The competitive strategy is another way to </w:t>
      </w:r>
      <w:r>
        <w:rPr>
          <w:rFonts w:cs="Times New Roman"/>
          <w:szCs w:val="24"/>
        </w:rPr>
        <w:t>highlight</w:t>
      </w:r>
      <w:r>
        <w:rPr>
          <w:rFonts w:cs="Times New Roman"/>
          <w:szCs w:val="24"/>
        </w:rPr>
        <w:t xml:space="preserve"> </w:t>
      </w:r>
      <w:r>
        <w:rPr>
          <w:rFonts w:cs="Times New Roman"/>
          <w:szCs w:val="24"/>
        </w:rPr>
        <w:t xml:space="preserve">any brand’s name out of others. </w:t>
      </w:r>
      <w:r>
        <w:rPr>
          <w:rFonts w:cs="Times New Roman"/>
          <w:szCs w:val="24"/>
        </w:rPr>
        <w:t xml:space="preserve">There’s business as long as there’s competition in any industry. Taking the competitive edge as motivation to grow can be the catalyst to success. </w:t>
      </w:r>
      <w:r>
        <w:rPr>
          <w:rFonts w:cs="Times New Roman"/>
          <w:szCs w:val="24"/>
        </w:rPr>
        <w:t xml:space="preserve"> </w:t>
      </w:r>
      <w:bookmarkStart w:id="17" w:name="_Hlk159678553"/>
    </w:p>
    <w:p w14:paraId="00000075">
      <w:pPr>
        <w:pStyle w:val="Heading1"/>
        <w:spacing w:before="0" w:after="120" w:line="360" w:lineRule="auto"/>
        <w:jc w:val="both"/>
        <w:rPr>
          <w:rFonts w:ascii="Times New Roman" w:cs="Times New Roman" w:hAnsi="Times New Roman"/>
          <w:b/>
          <w:bCs/>
          <w:color w:val="auto"/>
        </w:rPr>
      </w:pPr>
      <w:bookmarkStart w:id="18" w:name="_Toc159682328"/>
      <w:bookmarkStart w:id="19" w:name="_Toc159857855"/>
      <w:r>
        <w:rPr>
          <w:rFonts w:ascii="Times New Roman" w:cs="Times New Roman" w:hAnsi="Times New Roman"/>
          <w:b/>
          <w:bCs/>
          <w:color w:val="auto"/>
        </w:rPr>
        <w:t xml:space="preserve">4.0 </w:t>
      </w:r>
      <w:r>
        <w:rPr>
          <w:rFonts w:ascii="Times New Roman" w:cs="Times New Roman" w:hAnsi="Times New Roman"/>
          <w:b/>
          <w:bCs/>
          <w:color w:val="auto"/>
        </w:rPr>
        <w:t>RECOMMENDATIONS</w:t>
      </w:r>
      <w:bookmarkEnd w:id="17"/>
      <w:bookmarkEnd w:id="18"/>
      <w:bookmarkEnd w:id="19"/>
    </w:p>
    <w:p w14:paraId="00000076">
      <w:pPr>
        <w:spacing w:after="120" w:line="360" w:lineRule="auto"/>
        <w:jc w:val="both"/>
        <w:rPr>
          <w:rFonts w:cs="Times New Roman"/>
          <w:b/>
          <w:bCs/>
          <w:sz w:val="32"/>
          <w:szCs w:val="32"/>
        </w:rPr>
      </w:pPr>
      <w:r>
        <w:rPr>
          <w:rFonts w:cs="Times New Roman"/>
          <w:szCs w:val="24"/>
        </w:rPr>
        <w:t xml:space="preserve">IHG is still a big name in the hospitality industry all over the world. </w:t>
      </w:r>
      <w:r>
        <w:rPr>
          <w:rFonts w:cs="Times New Roman"/>
          <w:szCs w:val="24"/>
        </w:rPr>
        <w:t>If some weaknesses can be mended</w:t>
      </w:r>
      <w:r>
        <w:rPr>
          <w:rFonts w:cs="Times New Roman"/>
          <w:szCs w:val="24"/>
        </w:rPr>
        <w:t xml:space="preserve"> and certain strategies can be implemented</w:t>
      </w:r>
      <w:r>
        <w:rPr>
          <w:rFonts w:cs="Times New Roman"/>
          <w:szCs w:val="24"/>
        </w:rPr>
        <w:t xml:space="preserve">, </w:t>
      </w:r>
      <w:r>
        <w:rPr>
          <w:rFonts w:cs="Times New Roman"/>
          <w:szCs w:val="24"/>
        </w:rPr>
        <w:t>they</w:t>
      </w:r>
      <w:r>
        <w:rPr>
          <w:rFonts w:cs="Times New Roman"/>
          <w:szCs w:val="24"/>
        </w:rPr>
        <w:t xml:space="preserve"> still can reign among others in no time</w:t>
      </w:r>
      <w:r>
        <w:rPr>
          <w:rFonts w:cs="Times New Roman"/>
          <w:szCs w:val="24"/>
        </w:rPr>
        <w:t xml:space="preserve"> </w:t>
      </w:r>
      <w:r>
        <w:rPr>
          <w:rFonts w:cs="Times New Roman"/>
        </w:rPr>
        <w:t>(WowEssays, 2023)</w:t>
      </w:r>
      <w:r>
        <w:rPr>
          <w:rFonts w:cs="Times New Roman"/>
          <w:szCs w:val="24"/>
        </w:rPr>
        <w:t xml:space="preserve">. </w:t>
      </w:r>
      <w:r>
        <w:rPr>
          <w:rFonts w:cs="Times New Roman"/>
          <w:szCs w:val="24"/>
        </w:rPr>
        <w:t>To dominate in the hospitality business, IHG can</w:t>
      </w:r>
      <w:r>
        <w:rPr>
          <w:rFonts w:cs="Times New Roman"/>
          <w:szCs w:val="24"/>
        </w:rPr>
        <w:t xml:space="preserve"> implement</w:t>
      </w:r>
      <w:r>
        <w:rPr>
          <w:rFonts w:cs="Times New Roman"/>
          <w:szCs w:val="24"/>
        </w:rPr>
        <w:t xml:space="preserve"> </w:t>
      </w:r>
      <w:r>
        <w:rPr>
          <w:rFonts w:cs="Times New Roman"/>
          <w:szCs w:val="24"/>
        </w:rPr>
        <w:t>some of these sectors-</w:t>
      </w:r>
    </w:p>
    <w:p w14:paraId="00000077">
      <w:pPr>
        <w:pStyle w:val="ListParagraph"/>
        <w:numPr>
          <w:ilvl w:val="0"/>
          <w:numId w:val="3"/>
        </w:numPr>
        <w:spacing w:after="120" w:line="360" w:lineRule="auto"/>
        <w:jc w:val="both"/>
        <w:rPr>
          <w:rFonts w:cs="Times New Roman"/>
          <w:szCs w:val="24"/>
        </w:rPr>
      </w:pPr>
      <w:r>
        <w:rPr>
          <w:rFonts w:cs="Times New Roman"/>
          <w:szCs w:val="24"/>
        </w:rPr>
        <w:t xml:space="preserve">The team responsible for business and marketing should take necessary steps to bring back the competitive advantage to the group. </w:t>
      </w:r>
      <w:r>
        <w:rPr>
          <w:rFonts w:cs="Times New Roman"/>
          <w:szCs w:val="24"/>
        </w:rPr>
        <w:t xml:space="preserve">They should keep a closer watch on the other companies and make a detailed plan on how they can </w:t>
      </w:r>
      <w:r>
        <w:rPr>
          <w:rFonts w:cs="Times New Roman"/>
          <w:szCs w:val="24"/>
        </w:rPr>
        <w:t xml:space="preserve">make their own company stand out. </w:t>
      </w:r>
    </w:p>
    <w:p w14:paraId="00000078">
      <w:pPr>
        <w:pStyle w:val="ListParagraph"/>
        <w:numPr>
          <w:ilvl w:val="0"/>
          <w:numId w:val="3"/>
        </w:numPr>
        <w:spacing w:after="120" w:line="360" w:lineRule="auto"/>
        <w:jc w:val="both"/>
        <w:rPr>
          <w:rFonts w:cs="Times New Roman"/>
          <w:szCs w:val="24"/>
        </w:rPr>
      </w:pPr>
      <w:r>
        <w:rPr>
          <w:rFonts w:cs="Times New Roman"/>
          <w:szCs w:val="24"/>
        </w:rPr>
        <w:t xml:space="preserve">Introducing newer </w:t>
      </w:r>
      <w:r>
        <w:rPr>
          <w:rFonts w:cs="Times New Roman"/>
          <w:szCs w:val="24"/>
        </w:rPr>
        <w:t>facilities</w:t>
      </w:r>
      <w:r>
        <w:rPr>
          <w:rFonts w:cs="Times New Roman"/>
          <w:szCs w:val="24"/>
        </w:rPr>
        <w:t xml:space="preserve"> unique to others can be a great strategy for a strong comeback.</w:t>
      </w:r>
      <w:r>
        <w:rPr>
          <w:rFonts w:cs="Times New Roman"/>
          <w:szCs w:val="24"/>
        </w:rPr>
        <w:t xml:space="preserve"> Employee </w:t>
      </w:r>
      <w:r>
        <w:rPr>
          <w:rFonts w:cs="Times New Roman"/>
          <w:szCs w:val="24"/>
        </w:rPr>
        <w:t>suggestions</w:t>
      </w:r>
      <w:r>
        <w:rPr>
          <w:rFonts w:cs="Times New Roman"/>
          <w:szCs w:val="24"/>
        </w:rPr>
        <w:t xml:space="preserve"> should be welcomed in </w:t>
      </w:r>
      <w:r>
        <w:rPr>
          <w:rFonts w:cs="Times New Roman"/>
          <w:szCs w:val="24"/>
        </w:rPr>
        <w:t xml:space="preserve">this strategy as the diverse cultures and </w:t>
      </w:r>
      <w:r>
        <w:rPr>
          <w:rFonts w:cs="Times New Roman"/>
          <w:szCs w:val="24"/>
        </w:rPr>
        <w:t>backgrounds</w:t>
      </w:r>
      <w:r>
        <w:rPr>
          <w:rFonts w:cs="Times New Roman"/>
          <w:szCs w:val="24"/>
        </w:rPr>
        <w:t xml:space="preserve"> of the </w:t>
      </w:r>
      <w:r>
        <w:rPr>
          <w:rFonts w:cs="Times New Roman"/>
          <w:szCs w:val="24"/>
        </w:rPr>
        <w:t>company members will be of great help in generating guests from different entities.</w:t>
      </w:r>
    </w:p>
    <w:p w14:paraId="00000079">
      <w:pPr>
        <w:pStyle w:val="ListParagraph"/>
        <w:numPr>
          <w:ilvl w:val="0"/>
          <w:numId w:val="3"/>
        </w:numPr>
        <w:spacing w:after="120" w:line="360" w:lineRule="auto"/>
        <w:jc w:val="both"/>
        <w:rPr>
          <w:rFonts w:cs="Times New Roman"/>
          <w:szCs w:val="24"/>
        </w:rPr>
      </w:pPr>
      <w:r>
        <w:rPr>
          <w:rFonts w:cs="Times New Roman"/>
          <w:szCs w:val="24"/>
        </w:rPr>
        <w:t xml:space="preserve">As IHG is a global hospitality company, harmony among the respective branches from different countries is a crucial need. </w:t>
      </w:r>
      <w:r>
        <w:rPr>
          <w:rFonts w:cs="Times New Roman"/>
          <w:szCs w:val="24"/>
        </w:rPr>
        <w:t xml:space="preserve">All the branches should be equally facilitated and furnished </w:t>
      </w:r>
      <w:r>
        <w:rPr>
          <w:rFonts w:cs="Times New Roman"/>
          <w:szCs w:val="24"/>
        </w:rPr>
        <w:t xml:space="preserve">and represent the brand with equal marketing value. </w:t>
      </w:r>
    </w:p>
    <w:p w14:paraId="0000007A">
      <w:pPr>
        <w:spacing w:after="120" w:line="360" w:lineRule="auto"/>
        <w:jc w:val="both"/>
        <w:rPr>
          <w:rFonts w:cs="Times New Roman"/>
          <w:szCs w:val="24"/>
        </w:rPr>
      </w:pPr>
      <w:r>
        <w:rPr>
          <w:rFonts w:cs="Times New Roman"/>
          <w:szCs w:val="24"/>
        </w:rPr>
        <w:t xml:space="preserve">Ultimately, an annual report and meeting is necessary with the authorial body </w:t>
      </w:r>
      <w:r>
        <w:rPr>
          <w:rFonts w:cs="Times New Roman"/>
          <w:szCs w:val="24"/>
        </w:rPr>
        <w:t>and management team to address all the issues</w:t>
      </w:r>
      <w:r>
        <w:rPr>
          <w:rFonts w:cs="Times New Roman"/>
          <w:szCs w:val="24"/>
        </w:rPr>
        <w:t xml:space="preserve"> </w:t>
      </w:r>
      <w:r>
        <w:rPr>
          <w:rFonts w:cs="Times New Roman"/>
        </w:rPr>
        <w:t xml:space="preserve">(Khan, 2024). </w:t>
      </w:r>
    </w:p>
    <w:p w14:paraId="0000007B">
      <w:pPr>
        <w:pStyle w:val="Heading1"/>
        <w:spacing w:before="0" w:after="120" w:line="360" w:lineRule="auto"/>
        <w:jc w:val="both"/>
        <w:rPr>
          <w:rFonts w:ascii="Times New Roman" w:cs="Times New Roman" w:hAnsi="Times New Roman"/>
          <w:b/>
          <w:bCs/>
          <w:color w:val="auto"/>
        </w:rPr>
      </w:pPr>
      <w:bookmarkStart w:id="20" w:name="_Toc159682329"/>
      <w:bookmarkStart w:id="21" w:name="_Toc159857856"/>
      <w:r>
        <w:rPr>
          <w:rFonts w:ascii="Times New Roman" w:cs="Times New Roman" w:hAnsi="Times New Roman"/>
          <w:b/>
          <w:bCs/>
          <w:color w:val="auto"/>
        </w:rPr>
        <w:t>5.0 CONCLUSION</w:t>
      </w:r>
      <w:bookmarkEnd w:id="20"/>
      <w:bookmarkEnd w:id="21"/>
    </w:p>
    <w:p w14:paraId="0000007C">
      <w:pPr>
        <w:spacing w:after="120" w:line="360" w:lineRule="auto"/>
        <w:jc w:val="both"/>
        <w:rPr>
          <w:rFonts w:cs="Times New Roman"/>
          <w:szCs w:val="24"/>
        </w:rPr>
      </w:pPr>
      <w:r>
        <w:rPr>
          <w:rFonts w:cs="Times New Roman"/>
          <w:szCs w:val="24"/>
        </w:rPr>
        <w:t xml:space="preserve">InterContinental Hotels &amp; Resorts has brilliantly contributed </w:t>
      </w:r>
      <w:r>
        <w:rPr>
          <w:rFonts w:cs="Times New Roman"/>
          <w:szCs w:val="24"/>
        </w:rPr>
        <w:t>to</w:t>
      </w:r>
      <w:r>
        <w:rPr>
          <w:rFonts w:cs="Times New Roman"/>
          <w:szCs w:val="24"/>
        </w:rPr>
        <w:t xml:space="preserve"> the hosp</w:t>
      </w:r>
      <w:r>
        <w:rPr>
          <w:rFonts w:cs="Times New Roman"/>
          <w:szCs w:val="24"/>
        </w:rPr>
        <w:t xml:space="preserve">itality business for years. The legacy that has been created will always be significant to the discussion. </w:t>
      </w:r>
      <w:r>
        <w:rPr>
          <w:rFonts w:cs="Times New Roman"/>
          <w:szCs w:val="24"/>
        </w:rPr>
        <w:t>But to maintain the streaks of success is the real challenge in any industry</w:t>
      </w:r>
      <w:r>
        <w:rPr>
          <w:rFonts w:cs="Times New Roman"/>
          <w:szCs w:val="24"/>
        </w:rPr>
        <w:t xml:space="preserve"> be it hospitality, entertainment or marketing.</w:t>
      </w:r>
      <w:r>
        <w:rPr>
          <w:rFonts w:cs="Times New Roman"/>
          <w:szCs w:val="24"/>
        </w:rPr>
        <w:t xml:space="preserve"> IHG will have to bridge the gap </w:t>
      </w:r>
      <w:r>
        <w:rPr>
          <w:rFonts w:cs="Times New Roman"/>
          <w:szCs w:val="24"/>
        </w:rPr>
        <w:t xml:space="preserve">between investors and nurture the </w:t>
      </w:r>
      <w:r>
        <w:rPr>
          <w:rFonts w:cs="Times New Roman"/>
          <w:szCs w:val="24"/>
        </w:rPr>
        <w:t>glorious collaborative culture that they used to maintain</w:t>
      </w:r>
      <w:r>
        <w:rPr>
          <w:rFonts w:cs="Times New Roman"/>
          <w:szCs w:val="24"/>
        </w:rPr>
        <w:t xml:space="preserve"> and operate more systematically through deeper analysis</w:t>
      </w:r>
      <w:r>
        <w:rPr>
          <w:rFonts w:cs="Times New Roman"/>
          <w:szCs w:val="24"/>
        </w:rPr>
        <w:t xml:space="preserve"> </w:t>
      </w:r>
      <w:r>
        <w:rPr>
          <w:rFonts w:cs="Times New Roman"/>
        </w:rPr>
        <w:t xml:space="preserve">(Herrmann International, 2023). </w:t>
      </w:r>
      <w:r>
        <w:rPr>
          <w:rFonts w:cs="Times New Roman"/>
        </w:rPr>
        <w:t xml:space="preserve">Exploring new ideas and evolving through them can take IHG to the peak of business </w:t>
      </w:r>
      <w:r>
        <w:rPr>
          <w:rFonts w:cs="Times New Roman"/>
        </w:rPr>
        <w:t xml:space="preserve">once again. As IHG earns the most as a franchisor, that specific sector of business should be prioritised more </w:t>
      </w:r>
      <w:r>
        <w:rPr>
          <w:rFonts w:cs="Times New Roman"/>
        </w:rPr>
        <w:t>to</w:t>
      </w:r>
      <w:r>
        <w:rPr>
          <w:rFonts w:cs="Times New Roman"/>
        </w:rPr>
        <w:t xml:space="preserve"> </w:t>
      </w:r>
      <w:r>
        <w:rPr>
          <w:rFonts w:cs="Times New Roman"/>
        </w:rPr>
        <w:t xml:space="preserve">bring financial and systematic growth. </w:t>
      </w:r>
      <w:r>
        <w:rPr>
          <w:rFonts w:cs="Times New Roman"/>
        </w:rPr>
        <w:t xml:space="preserve">As the tourism industry is </w:t>
      </w:r>
      <w:r>
        <w:rPr>
          <w:rFonts w:cs="Times New Roman"/>
        </w:rPr>
        <w:t xml:space="preserve">evolving, IHG must </w:t>
      </w:r>
      <w:r>
        <w:rPr>
          <w:rFonts w:cs="Times New Roman"/>
        </w:rPr>
        <w:t>consider that</w:t>
      </w:r>
      <w:r>
        <w:rPr>
          <w:rFonts w:cs="Times New Roman"/>
        </w:rPr>
        <w:t xml:space="preserve"> and try to spread </w:t>
      </w:r>
      <w:r>
        <w:rPr>
          <w:rFonts w:cs="Times New Roman"/>
        </w:rPr>
        <w:t>its</w:t>
      </w:r>
      <w:r>
        <w:rPr>
          <w:rFonts w:cs="Times New Roman"/>
        </w:rPr>
        <w:t xml:space="preserve"> global network to expand </w:t>
      </w:r>
      <w:r>
        <w:rPr>
          <w:rFonts w:cs="Times New Roman"/>
        </w:rPr>
        <w:t>its</w:t>
      </w:r>
      <w:r>
        <w:rPr>
          <w:rFonts w:cs="Times New Roman"/>
        </w:rPr>
        <w:t xml:space="preserve"> franchise sector </w:t>
      </w:r>
      <w:r>
        <w:rPr>
          <w:rFonts w:cs="Times New Roman"/>
        </w:rPr>
        <w:t xml:space="preserve">(WowEssays, 2023). </w:t>
      </w:r>
    </w:p>
    <w:p w14:paraId="0000007D">
      <w:pPr>
        <w:jc w:val="both"/>
        <w:rPr>
          <w:rFonts w:cs="Times New Roman" w:eastAsiaTheme="majorEastAsia"/>
          <w:b/>
          <w:bCs/>
          <w:sz w:val="32"/>
          <w:szCs w:val="32"/>
        </w:rPr>
      </w:pPr>
      <w:bookmarkStart w:id="22" w:name="_Toc159682330"/>
      <w:r>
        <w:rPr>
          <w:rFonts w:cs="Times New Roman"/>
          <w:b/>
          <w:bCs/>
        </w:rPr>
        <w:br w:type="page"/>
      </w:r>
    </w:p>
    <w:p w14:paraId="0000007E">
      <w:pPr>
        <w:pStyle w:val="Heading1"/>
        <w:spacing w:before="0" w:after="120" w:line="360" w:lineRule="auto"/>
        <w:jc w:val="both"/>
        <w:rPr>
          <w:rFonts w:ascii="Times New Roman" w:cs="Times New Roman" w:hAnsi="Times New Roman"/>
          <w:b/>
          <w:bCs/>
          <w:color w:val="auto"/>
        </w:rPr>
      </w:pPr>
      <w:bookmarkStart w:id="23" w:name="_Toc159857857"/>
      <w:r>
        <w:rPr>
          <w:rFonts w:ascii="Times New Roman" w:cs="Times New Roman" w:hAnsi="Times New Roman"/>
          <w:b/>
          <w:bCs/>
          <w:color w:val="auto"/>
        </w:rPr>
        <w:t xml:space="preserve">6.0 </w:t>
      </w:r>
      <w:r>
        <w:rPr>
          <w:rFonts w:ascii="Times New Roman" w:cs="Times New Roman" w:hAnsi="Times New Roman"/>
          <w:b/>
          <w:bCs/>
          <w:color w:val="auto"/>
        </w:rPr>
        <w:t>REFERENCE</w:t>
      </w:r>
      <w:bookmarkEnd w:id="22"/>
      <w:bookmarkEnd w:id="23"/>
      <w:r>
        <w:rPr>
          <w:rFonts w:ascii="Times New Roman" w:cs="Times New Roman" w:hAnsi="Times New Roman"/>
          <w:b/>
          <w:bCs/>
          <w:color w:val="auto"/>
        </w:rPr>
        <w:t>S</w:t>
      </w:r>
    </w:p>
    <w:p w14:paraId="0000007F">
      <w:pPr>
        <w:pStyle w:val="Normal(Web)"/>
        <w:spacing w:before="240" w:after="240" w:line="360" w:lineRule="auto"/>
        <w:jc w:val="both"/>
        <w:rPr/>
      </w:pPr>
      <w:r>
        <w:t xml:space="preserve">Amadeo, K. (2022) </w:t>
      </w:r>
      <w:r>
        <w:rPr>
          <w:i/>
          <w:iCs/>
        </w:rPr>
        <w:t>What is competitive advantage?</w:t>
      </w:r>
      <w:r>
        <w:t xml:space="preserve"> </w:t>
      </w:r>
      <w:r>
        <w:rPr>
          <w:rStyle w:val="Url"/>
        </w:rPr>
        <w:t>https://www.thebalancemoney.com/what-is-competitive-advantage-3-strategies-that-work-3305828</w:t>
      </w:r>
      <w:r>
        <w:t>.</w:t>
      </w:r>
    </w:p>
    <w:p w14:paraId="00000080">
      <w:pPr>
        <w:pStyle w:val="Normal(Web)"/>
        <w:spacing w:before="240" w:after="240" w:line="360" w:lineRule="auto"/>
        <w:jc w:val="both"/>
        <w:rPr>
          <w:lang w:val="en-GB"/>
        </w:rPr>
      </w:pPr>
      <w:r>
        <w:rPr>
          <w:lang w:val="en-GB"/>
        </w:rPr>
        <w:t xml:space="preserve">Business Bliss FZE (2023) </w:t>
      </w:r>
      <w:r>
        <w:rPr>
          <w:i/>
          <w:iCs/>
          <w:lang w:val="en-GB"/>
        </w:rPr>
        <w:t>Intercontinental Hotels Group analysis</w:t>
      </w:r>
      <w:r>
        <w:rPr>
          <w:lang w:val="en-GB"/>
        </w:rPr>
        <w:t xml:space="preserve">. </w:t>
      </w:r>
      <w:r>
        <w:rPr>
          <w:rStyle w:val="Url"/>
          <w:lang w:val="en-GB"/>
        </w:rPr>
        <w:t>https://www.ukessays.com/essays/marketing/corporate-strategies-followed-by-intercontinental-hotels-group-marketing-essay.php</w:t>
      </w:r>
      <w:r>
        <w:rPr>
          <w:lang w:val="en-GB"/>
        </w:rPr>
        <w:t>.</w:t>
      </w:r>
    </w:p>
    <w:p w14:paraId="00000081">
      <w:pPr>
        <w:pStyle w:val="Normal(Web)"/>
        <w:spacing w:before="240" w:after="240" w:line="360" w:lineRule="auto"/>
        <w:jc w:val="both"/>
        <w:rPr>
          <w:lang w:val="en-GB"/>
        </w:rPr>
      </w:pPr>
      <w:r>
        <w:rPr>
          <w:lang w:val="en-GB"/>
        </w:rPr>
        <w:t xml:space="preserve">Herrmann International (2023) 'IHG: Improving Risk Management and Success Rates of Complex Project,' </w:t>
      </w:r>
      <w:r>
        <w:rPr>
          <w:i/>
          <w:iCs/>
          <w:lang w:val="en-GB"/>
        </w:rPr>
        <w:t>Whole Brain®</w:t>
      </w:r>
      <w:r>
        <w:rPr>
          <w:lang w:val="en-GB"/>
        </w:rPr>
        <w:t xml:space="preserve">, 27 August. </w:t>
      </w:r>
      <w:r>
        <w:rPr>
          <w:rStyle w:val="Url"/>
          <w:lang w:val="en-GB"/>
        </w:rPr>
        <w:t>https://www.thinkherrmann.com/case-studies/ihg</w:t>
      </w:r>
      <w:r>
        <w:rPr>
          <w:lang w:val="en-GB"/>
        </w:rPr>
        <w:t xml:space="preserve"> (Accessed: February 24, 2024).</w:t>
      </w:r>
    </w:p>
    <w:p w14:paraId="00000082">
      <w:pPr>
        <w:pStyle w:val="Normal(Web)"/>
        <w:spacing w:before="240" w:after="240" w:line="360" w:lineRule="auto"/>
        <w:jc w:val="both"/>
        <w:rPr/>
      </w:pPr>
      <w:r>
        <w:rPr>
          <w:i/>
          <w:iCs/>
        </w:rPr>
        <w:t>IHG Revenue 2006-2022 - Stock analysis</w:t>
      </w:r>
      <w:r>
        <w:t xml:space="preserve"> (2024). </w:t>
      </w:r>
      <w:r>
        <w:rPr>
          <w:rStyle w:val="Url"/>
        </w:rPr>
        <w:t>https://stockanalysis.com/stocks/ihg/revenue/</w:t>
      </w:r>
      <w:r>
        <w:t>.</w:t>
      </w:r>
    </w:p>
    <w:p w14:paraId="00000083">
      <w:pPr>
        <w:pStyle w:val="Normal(Web)"/>
        <w:spacing w:before="240" w:after="240" w:line="360" w:lineRule="auto"/>
        <w:jc w:val="both"/>
        <w:rPr>
          <w:lang w:val="en-GB"/>
        </w:rPr>
      </w:pPr>
      <w:r>
        <w:rPr>
          <w:i/>
          <w:iCs/>
          <w:lang w:val="en-GB"/>
        </w:rPr>
        <w:t>InterContinental Hotel Group PLC: Internal and External Environment - 1429 words | Report Example</w:t>
      </w:r>
      <w:r>
        <w:rPr>
          <w:lang w:val="en-GB"/>
        </w:rPr>
        <w:t xml:space="preserve"> (2022). </w:t>
      </w:r>
      <w:r>
        <w:rPr>
          <w:rStyle w:val="Url"/>
          <w:lang w:val="en-GB"/>
        </w:rPr>
        <w:t>https://ivypanda.com/essays/management-report-intercontinental-hotel-group-plc-report/</w:t>
      </w:r>
      <w:r>
        <w:rPr>
          <w:lang w:val="en-GB"/>
        </w:rPr>
        <w:t>.</w:t>
      </w:r>
    </w:p>
    <w:p w14:paraId="00000084">
      <w:pPr>
        <w:pStyle w:val="Normal(Web)"/>
        <w:spacing w:before="240" w:after="240" w:line="360" w:lineRule="auto"/>
        <w:jc w:val="both"/>
        <w:rPr>
          <w:lang w:val="en-GB"/>
        </w:rPr>
      </w:pPr>
      <w:r>
        <w:rPr>
          <w:lang w:val="en-GB"/>
        </w:rPr>
        <w:t xml:space="preserve">Khan, I. (2024) </w:t>
      </w:r>
      <w:r>
        <w:rPr>
          <w:i/>
          <w:iCs/>
          <w:lang w:val="en-GB"/>
        </w:rPr>
        <w:t>The risk of losing competitive advantage: InterContinental Hotel Groups PLC</w:t>
      </w:r>
      <w:r>
        <w:rPr>
          <w:lang w:val="en-GB"/>
        </w:rPr>
        <w:t xml:space="preserve">. </w:t>
      </w:r>
      <w:r>
        <w:rPr>
          <w:rStyle w:val="Url"/>
          <w:lang w:val="en-GB"/>
        </w:rPr>
        <w:t>https://premierdissertations.com/the-risk-of-losing-competitive-advantage-intercontinental-hotel-groups-plc/</w:t>
      </w:r>
      <w:r>
        <w:rPr>
          <w:lang w:val="en-GB"/>
        </w:rPr>
        <w:t>.</w:t>
      </w:r>
    </w:p>
    <w:p w14:paraId="00000085">
      <w:pPr>
        <w:pStyle w:val="Normal(Web)"/>
        <w:spacing w:before="240" w:after="240" w:line="360" w:lineRule="auto"/>
        <w:jc w:val="both"/>
        <w:rPr>
          <w:lang w:val="en-GB"/>
        </w:rPr>
      </w:pPr>
      <w:r>
        <w:rPr>
          <w:lang w:val="en-GB"/>
        </w:rPr>
        <w:t xml:space="preserve">Khanna, B. (2022) </w:t>
      </w:r>
      <w:r>
        <w:rPr>
          <w:i/>
          <w:iCs/>
          <w:lang w:val="en-GB"/>
        </w:rPr>
        <w:t>‘our focus is to invest in our brands, technology and Tools’</w:t>
      </w:r>
      <w:r>
        <w:rPr>
          <w:lang w:val="en-GB"/>
        </w:rPr>
        <w:t xml:space="preserve">, </w:t>
      </w:r>
      <w:r>
        <w:rPr>
          <w:i/>
          <w:iCs/>
          <w:lang w:val="en-GB"/>
        </w:rPr>
        <w:t>BW Hotelier</w:t>
      </w:r>
      <w:r>
        <w:rPr>
          <w:lang w:val="en-GB"/>
        </w:rPr>
        <w:t>. Available at: https://bwhotelier.businessworld.in/article/-Our-focus-is-to-invest-in-our-brands-technology-and-tools-/29-04-2022-426980/ (Accessed: 24 February 2024).</w:t>
      </w:r>
    </w:p>
    <w:p w14:paraId="00000086">
      <w:pPr>
        <w:pStyle w:val="Normal(Web)"/>
        <w:spacing w:before="240" w:after="240" w:line="360" w:lineRule="auto"/>
        <w:jc w:val="both"/>
        <w:rPr>
          <w:lang w:val="en-GB"/>
        </w:rPr>
      </w:pPr>
      <w:r>
        <w:rPr>
          <w:lang w:val="en-GB"/>
        </w:rPr>
        <w:t xml:space="preserve">Msourceadmin and Msourceadmin (2022) </w:t>
      </w:r>
      <w:r>
        <w:rPr>
          <w:i/>
          <w:iCs/>
          <w:lang w:val="en-GB"/>
        </w:rPr>
        <w:t>How the Hotel Industry is Structured</w:t>
      </w:r>
      <w:r>
        <w:rPr>
          <w:lang w:val="en-GB"/>
        </w:rPr>
        <w:t xml:space="preserve">. </w:t>
      </w:r>
      <w:r>
        <w:rPr>
          <w:rStyle w:val="Url"/>
          <w:lang w:val="en-GB"/>
        </w:rPr>
        <w:t>https://msourceideas.com/how-the-hotel-industry-is-structured/</w:t>
      </w:r>
      <w:r>
        <w:rPr>
          <w:lang w:val="en-GB"/>
        </w:rPr>
        <w:t>.</w:t>
      </w:r>
    </w:p>
    <w:p w14:paraId="00000087">
      <w:pPr>
        <w:pStyle w:val="Normal(Web)"/>
        <w:spacing w:before="240" w:after="240" w:line="360" w:lineRule="auto"/>
        <w:jc w:val="both"/>
        <w:rPr>
          <w:lang w:val="en-GB"/>
        </w:rPr>
      </w:pPr>
      <w:r>
        <w:rPr>
          <w:lang w:val="en-GB"/>
        </w:rPr>
        <w:t xml:space="preserve">Mumford, C. (2017) </w:t>
      </w:r>
      <w:r>
        <w:rPr>
          <w:i/>
          <w:iCs/>
          <w:lang w:val="en-GB"/>
        </w:rPr>
        <w:t>Chris Mumford on IHG’s new Global Management Structure – AETHOS Consulting Group</w:t>
      </w:r>
      <w:r>
        <w:rPr>
          <w:i/>
          <w:iCs/>
          <w:vertAlign w:val="superscript"/>
          <w:lang w:val="en-GB"/>
        </w:rPr>
        <w:t>TM</w:t>
      </w:r>
      <w:r>
        <w:rPr>
          <w:lang w:val="en-GB"/>
        </w:rPr>
        <w:t xml:space="preserve">. </w:t>
      </w:r>
      <w:r>
        <w:rPr>
          <w:rStyle w:val="Url"/>
          <w:lang w:val="en-GB"/>
        </w:rPr>
        <w:t>https://www.aethoscg.com/aethos_news/chris-mumford-on-ihgs-new-global-management-structure/</w:t>
      </w:r>
      <w:r>
        <w:rPr>
          <w:lang w:val="en-GB"/>
        </w:rPr>
        <w:t>.</w:t>
      </w:r>
    </w:p>
    <w:p w14:paraId="00000088">
      <w:pPr>
        <w:pStyle w:val="Normal(Web)"/>
        <w:spacing w:before="240" w:after="240" w:line="360" w:lineRule="auto"/>
        <w:jc w:val="both"/>
        <w:rPr>
          <w:lang w:val="en-GB"/>
        </w:rPr>
      </w:pPr>
      <w:r>
        <w:rPr>
          <w:lang w:val="en-GB"/>
        </w:rPr>
        <w:t xml:space="preserve">Nawrat, A. (2022) </w:t>
      </w:r>
      <w:r>
        <w:rPr>
          <w:i/>
          <w:iCs/>
          <w:lang w:val="en-GB"/>
        </w:rPr>
        <w:t>IHG: Employee listening is key to inclusion</w:t>
      </w:r>
      <w:r>
        <w:rPr>
          <w:lang w:val="en-GB"/>
        </w:rPr>
        <w:t xml:space="preserve">. </w:t>
      </w:r>
      <w:r>
        <w:rPr>
          <w:rStyle w:val="Url"/>
          <w:lang w:val="en-GB"/>
        </w:rPr>
        <w:t>https://www.unleash.ai/diversity-equity-inclusion/ihg-employee-listening-is-key-to-inclusion/</w:t>
      </w:r>
      <w:r>
        <w:rPr>
          <w:lang w:val="en-GB"/>
        </w:rPr>
        <w:t>.</w:t>
      </w:r>
    </w:p>
    <w:p w14:paraId="00000089">
      <w:pPr>
        <w:pStyle w:val="Normal(Web)"/>
        <w:spacing w:before="240" w:after="240" w:line="360" w:lineRule="auto"/>
        <w:jc w:val="both"/>
        <w:rPr>
          <w:lang w:val="en-GB"/>
        </w:rPr>
      </w:pPr>
      <w:r>
        <w:rPr>
          <w:lang w:val="en-GB"/>
        </w:rPr>
        <w:t xml:space="preserve">O’Neill, S. (2023) 'IHG’s New CEO on Launching a New Brand and Making Hotels Profitable,' </w:t>
      </w:r>
      <w:r>
        <w:rPr>
          <w:i/>
          <w:iCs/>
          <w:lang w:val="en-GB"/>
        </w:rPr>
        <w:t>Skift</w:t>
      </w:r>
      <w:r>
        <w:rPr>
          <w:lang w:val="en-GB"/>
        </w:rPr>
        <w:t xml:space="preserve">, 9 August. </w:t>
      </w:r>
      <w:r>
        <w:rPr>
          <w:rStyle w:val="Url"/>
          <w:lang w:val="en-GB"/>
        </w:rPr>
        <w:t>https://skift.com/2023/08/08/ihgs-new-ceo-on-launching-a-new-brand-and-making-hotels-profitable/</w:t>
      </w:r>
      <w:r>
        <w:rPr>
          <w:lang w:val="en-GB"/>
        </w:rPr>
        <w:t>.</w:t>
      </w:r>
    </w:p>
    <w:p w14:paraId="0000008A">
      <w:pPr>
        <w:pStyle w:val="Normal(Web)"/>
        <w:spacing w:before="240" w:after="240" w:line="360" w:lineRule="auto"/>
        <w:jc w:val="both"/>
        <w:rPr>
          <w:lang w:val="en-GB"/>
        </w:rPr>
      </w:pPr>
      <w:r>
        <w:rPr>
          <w:lang w:val="en-GB"/>
        </w:rPr>
        <w:t xml:space="preserve">Otley, T. (2022) </w:t>
      </w:r>
      <w:r>
        <w:rPr>
          <w:i/>
          <w:iCs/>
          <w:lang w:val="en-GB"/>
        </w:rPr>
        <w:t>IHG Hotels and Resorts launches sustainability programme – Business Traveller</w:t>
      </w:r>
      <w:r>
        <w:rPr>
          <w:lang w:val="en-GB"/>
        </w:rPr>
        <w:t xml:space="preserve">. </w:t>
      </w:r>
      <w:r>
        <w:rPr>
          <w:rStyle w:val="Url"/>
          <w:lang w:val="en-GB"/>
        </w:rPr>
        <w:t>https://www.businesstraveller.com/business-travel/2021/02/16/ihg-hotels-and-resorts-launches-sustainability-programme/</w:t>
      </w:r>
      <w:r>
        <w:rPr>
          <w:lang w:val="en-GB"/>
        </w:rPr>
        <w:t>.</w:t>
      </w:r>
    </w:p>
    <w:p w14:paraId="0000008B">
      <w:pPr>
        <w:pStyle w:val="Normal(Web)"/>
        <w:spacing w:before="240" w:after="240" w:line="360" w:lineRule="auto"/>
        <w:jc w:val="both"/>
        <w:rPr>
          <w:lang w:val="en-GB"/>
        </w:rPr>
      </w:pPr>
      <w:r>
        <w:rPr>
          <w:lang w:val="en-GB"/>
        </w:rPr>
        <w:t xml:space="preserve">Prezi, O. (2013) </w:t>
      </w:r>
      <w:r>
        <w:rPr>
          <w:i/>
          <w:iCs/>
          <w:lang w:val="en-GB"/>
        </w:rPr>
        <w:t>INTERCONTINENTAL GROUP OF HOTELS</w:t>
      </w:r>
      <w:r>
        <w:rPr>
          <w:lang w:val="en-GB"/>
        </w:rPr>
        <w:t xml:space="preserve">. </w:t>
      </w:r>
      <w:r>
        <w:rPr>
          <w:rStyle w:val="Url"/>
          <w:lang w:val="en-GB"/>
        </w:rPr>
        <w:t>https://prezi.com/stpfk6r7vkk3/intercontinental-group-of-hotels/</w:t>
      </w:r>
      <w:r>
        <w:rPr>
          <w:lang w:val="en-GB"/>
        </w:rPr>
        <w:t>.</w:t>
      </w:r>
    </w:p>
    <w:p w14:paraId="0000008C">
      <w:pPr>
        <w:pStyle w:val="Normal(Web)"/>
        <w:spacing w:before="240" w:after="240" w:line="360" w:lineRule="auto"/>
        <w:jc w:val="both"/>
        <w:rPr>
          <w:lang w:val="en-GB"/>
        </w:rPr>
      </w:pPr>
      <w:r>
        <w:rPr>
          <w:lang w:val="en-GB"/>
        </w:rPr>
        <w:t xml:space="preserve">Ravanat, C. (2019) ‘Hotel Business Explained: What is the difference between a Franchise and a Management Agreement?’, </w:t>
      </w:r>
      <w:r>
        <w:rPr>
          <w:i/>
          <w:iCs/>
          <w:lang w:val="en-GB"/>
        </w:rPr>
        <w:t>LinkedIn</w:t>
      </w:r>
      <w:r>
        <w:rPr>
          <w:lang w:val="en-GB"/>
        </w:rPr>
        <w:t xml:space="preserve">, 11 February. Available at: https://www.linkedin.com/pulse/hotel-business-explained-what-difference-between-christine-ravanat (Accessed: 23 February 2024). </w:t>
      </w:r>
    </w:p>
    <w:p w14:paraId="0000008D">
      <w:pPr>
        <w:pStyle w:val="Normal(Web)"/>
        <w:spacing w:before="240" w:after="240" w:line="360" w:lineRule="auto"/>
        <w:jc w:val="both"/>
        <w:rPr>
          <w:lang w:val="en-GB"/>
        </w:rPr>
      </w:pPr>
      <w:r>
        <w:rPr>
          <w:lang w:val="en-GB"/>
        </w:rPr>
        <w:t xml:space="preserve">Sickel, J. (2018) </w:t>
      </w:r>
      <w:r>
        <w:rPr>
          <w:i/>
          <w:iCs/>
          <w:lang w:val="en-GB"/>
        </w:rPr>
        <w:t>IHG CEO outlines new strategic plan</w:t>
      </w:r>
      <w:r>
        <w:rPr>
          <w:lang w:val="en-GB"/>
        </w:rPr>
        <w:t xml:space="preserve">. </w:t>
      </w:r>
      <w:r>
        <w:rPr>
          <w:rStyle w:val="Url"/>
          <w:lang w:val="en-GB"/>
        </w:rPr>
        <w:t>https://www.businesstravelnews.com/Procurement/IHG-CEO-Outlines-New-Strategic-Plan</w:t>
      </w:r>
      <w:r>
        <w:rPr>
          <w:lang w:val="en-GB"/>
        </w:rPr>
        <w:t>.</w:t>
      </w:r>
    </w:p>
    <w:p w14:paraId="0000008E">
      <w:pPr>
        <w:pStyle w:val="Normal(Web)"/>
        <w:spacing w:before="240" w:after="240" w:line="360" w:lineRule="auto"/>
        <w:jc w:val="both"/>
        <w:rPr>
          <w:lang w:val="en-GB"/>
        </w:rPr>
      </w:pPr>
      <w:r>
        <w:rPr>
          <w:i/>
          <w:iCs/>
          <w:lang w:val="en-GB"/>
        </w:rPr>
        <w:t>Start a InterContinental Hotels &amp; Resorts franchise in 2024</w:t>
      </w:r>
      <w:r>
        <w:rPr>
          <w:lang w:val="en-GB"/>
        </w:rPr>
        <w:t xml:space="preserve"> (2022) </w:t>
      </w:r>
      <w:r>
        <w:rPr>
          <w:i/>
          <w:iCs/>
          <w:lang w:val="en-GB"/>
        </w:rPr>
        <w:t>Entrepreneur</w:t>
      </w:r>
      <w:r>
        <w:rPr>
          <w:lang w:val="en-GB"/>
        </w:rPr>
        <w:t xml:space="preserve">. Available at: https://www.entrepreneur.com/franchises/directory/intercontinental-hotels-resorts/335296 (Accessed: 23 February 2024).  </w:t>
      </w:r>
    </w:p>
    <w:p w14:paraId="0000008F">
      <w:pPr>
        <w:pStyle w:val="Normal(Web)"/>
        <w:spacing w:before="240" w:after="240" w:line="360" w:lineRule="auto"/>
        <w:jc w:val="both"/>
        <w:rPr>
          <w:lang w:val="en-GB"/>
        </w:rPr>
      </w:pPr>
      <w:r>
        <w:rPr>
          <w:lang w:val="en-GB"/>
        </w:rPr>
        <w:t xml:space="preserve">Twin, A. (2023) </w:t>
      </w:r>
      <w:r>
        <w:rPr>
          <w:i/>
          <w:iCs/>
          <w:lang w:val="en-GB"/>
        </w:rPr>
        <w:t>Competitive Advantage Definition with types and examples</w:t>
      </w:r>
      <w:r>
        <w:rPr>
          <w:lang w:val="en-GB"/>
        </w:rPr>
        <w:t xml:space="preserve">. </w:t>
      </w:r>
      <w:r>
        <w:rPr>
          <w:rStyle w:val="Url"/>
          <w:lang w:val="en-GB"/>
        </w:rPr>
        <w:t>https://www.investopedia.com/terms/c/competitive_advantage.asp</w:t>
      </w:r>
      <w:r>
        <w:rPr>
          <w:lang w:val="en-GB"/>
        </w:rPr>
        <w:t>.</w:t>
      </w:r>
    </w:p>
    <w:p w14:paraId="00000090">
      <w:pPr>
        <w:pStyle w:val="Normal(Web)"/>
        <w:spacing w:before="240" w:after="240" w:line="360" w:lineRule="auto"/>
        <w:jc w:val="both"/>
        <w:rPr/>
      </w:pPr>
      <w:r>
        <w:t xml:space="preserve">WowEssays (2023) </w:t>
      </w:r>
      <w:r>
        <w:rPr>
          <w:i/>
          <w:iCs/>
        </w:rPr>
        <w:t>Strategic Business Analysis: Intercontinental Hotel Group Reports example</w:t>
      </w:r>
      <w:r>
        <w:t xml:space="preserve">. </w:t>
      </w:r>
      <w:r>
        <w:rPr>
          <w:rStyle w:val="Url"/>
        </w:rPr>
        <w:t>https://www.wowessays.com/free-samples/strategic-business-analysis-intercontinental-hotel-group-reports-example/</w:t>
      </w:r>
      <w:r>
        <w:t>.</w:t>
      </w:r>
    </w:p>
    <w:p w14:paraId="00000091">
      <w:pPr>
        <w:pStyle w:val="Normal(Web)"/>
        <w:spacing w:before="240" w:after="240" w:line="360" w:lineRule="auto"/>
        <w:jc w:val="both"/>
        <w:rPr/>
      </w:pPr>
      <w:r>
        <w:rPr>
          <w:i/>
          <w:iCs/>
        </w:rPr>
        <w:t>Yahoo is part of the Yahoo family of brands</w:t>
      </w:r>
      <w:r>
        <w:t xml:space="preserve"> (2024). </w:t>
      </w:r>
      <w:r>
        <w:rPr>
          <w:rStyle w:val="Url"/>
        </w:rPr>
        <w:t>https://finance.yahoo.com/news/intercontinental-hotels-group-plc-just-051436868.html</w:t>
      </w:r>
      <w:r>
        <w:t>.</w:t>
      </w:r>
    </w:p>
    <w:p w14:paraId="00000092">
      <w:pPr>
        <w:pStyle w:val="Normal(Web)"/>
        <w:spacing w:before="240" w:after="240" w:line="360" w:lineRule="auto"/>
        <w:jc w:val="both"/>
        <w:rPr>
          <w:lang w:val="en-GB"/>
        </w:rPr>
      </w:pPr>
      <w:r>
        <w:rPr>
          <w:lang w:val="en-GB"/>
        </w:rPr>
        <w:t xml:space="preserve">Younadam, M. (2023) ‘Hotel Franchising Uncovered: A Comprehensive Guide to Success’, </w:t>
      </w:r>
      <w:r>
        <w:rPr>
          <w:i/>
          <w:iCs/>
          <w:lang w:val="en-GB"/>
        </w:rPr>
        <w:t>LinkedIn</w:t>
      </w:r>
      <w:r>
        <w:rPr>
          <w:lang w:val="en-GB"/>
        </w:rPr>
        <w:t xml:space="preserve">, 14 August. Available at: https://www.linkedin.com/pulse/hotel-franchising-uncovered-comprehensive-guide-success-mark-younadam (Accessed: 23 February 2024). </w:t>
      </w:r>
    </w:p>
    <w:sectPr>
      <w:footerReference w:type="default" r:id="rId15"/>
      <w:type w:val="continuous"/>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endnote w:type="separator" w:id="0">
    <w:p w14:paraId="00000003">
      <w:pPr>
        <w:spacing w:after="0" w:line="240" w:lineRule="auto"/>
        <w:rPr/>
      </w:pPr>
      <w:r>
        <w:rPr/>
        <w:separator/>
      </w:r>
    </w:p>
  </w:endnote>
  <w:endnote w:type="continuationSeparator" w:id="1">
    <w:p w14:paraId="00000004">
      <w:pPr>
        <w:spacing w:after="0" w:line="240" w:lineRule="auto"/>
        <w:rPr/>
      </w:pPr>
      <w:r>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00000000" w:csb1="00000000"/>
  </w:font>
  <w:font w:name="Times New Roman">
    <w:panose1 w:val="02020603050405020304"/>
    <w:charset w:val="00"/>
    <w:family w:val="roman"/>
    <w:pitch w:val="variable"/>
    <w:sig w:usb0="00000000" w:usb1="00000000" w:usb2="00000009" w:usb3="00000000" w:csb0="000001ff" w:csb1="00000000"/>
  </w:font>
  <w:font w:name="Courier New">
    <w:panose1 w:val="02070309020205020404"/>
    <w:charset w:val="00"/>
    <w:family w:val="modern"/>
    <w:pitch w:val="fixed"/>
    <w:sig w:usb0="00000000" w:usb1="00000000" w:usb2="00000009" w:usb3="00000000" w:csb0="000001ff" w:csb1="00000000"/>
  </w:font>
  <w:font w:name="Wingdings">
    <w:panose1 w:val="05000000000000000000"/>
    <w:charset w:val="02"/>
    <w:family w:val="auto"/>
    <w:pitch w:val="variable"/>
    <w:sig w:usb0="00000000" w:usb1="10000000" w:usb2="00000000" w:usb3="00000000" w:csb0="00000000" w:csb1="00000000"/>
  </w:font>
  <w:font w:name="Calibri">
    <w:panose1 w:val="020f0502020204030204"/>
    <w:charset w:val="00"/>
    <w:family w:val="swiss"/>
    <w:pitch w:val="variable"/>
    <w:sig w:usb0="00000000" w:usb1="00000000"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00000000" w:usb1="00000000" w:usb2="00000009" w:usb3="00000000" w:csb0="000001ff" w:csb1="00000000"/>
  </w:font>
  <w:font w:name="Arial">
    <w:panose1 w:val="020b0604020202020204"/>
    <w:charset w:val="00"/>
    <w:family w:val="swiss"/>
    <w:pitch w:val="variable"/>
    <w:sig w:usb0="00000000" w:usb1="00000000"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roman"/>
    <w:pitch w:val="variable"/>
    <w:sig w:usb0="61002a87" w:usb1="80000000" w:usb2="00000008" w:usb3="00000000" w:csb0="000001ff" w:csb1="00000000"/>
  </w:font>
  <w:font w:name="Verdana">
    <w:panose1 w:val="020b0604030504040204"/>
    <w:charset w:val="00"/>
    <w:family w:val="roman"/>
    <w:pitch w:val="variable"/>
    <w:sig w:usb0="a10006ff" w:usb1="4000205b" w:usb2="00000010" w:usb3="00000000" w:csb0="0000019f" w:csb1="00000000"/>
  </w:font>
  <w:font w:name="Helvetica Neue">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p w14:paraId="00000093">
    <w:pPr>
      <w:pStyle w:val="Footer"/>
      <w:jc w:val="center"/>
      <w:rPr/>
    </w:pPr>
  </w:p>
  <w:p w14:paraId="00000094">
    <w:pPr>
      <w:pStyle w:val="Foote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p w14:paraId="00000095">
    <w:pPr>
      <w:pStyle w:val="Footer"/>
      <w:jc w:val="center"/>
      <w:rPr/>
    </w:pPr>
    <w:r>
      <w:fldChar w:fldCharType="begin"/>
    </w:r>
    <w:r>
      <w:instrText xml:space="preserve"> PAGE   \* MERGEFORMAT </w:instrText>
    </w:r>
    <w:r>
      <w:fldChar w:fldCharType="separate"/>
    </w:r>
    <w:r>
      <w:t>2</w:t>
    </w:r>
    <w:r>
      <w:fldChar w:fldCharType="end"/>
    </w:r>
  </w:p>
  <w:p w14:paraId="00000096">
    <w:pPr>
      <w:pStyle w:val="Foote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footnote w:type="separator" w:id="0">
    <w:p w14:paraId="00000001">
      <w:pPr>
        <w:spacing w:after="0" w:line="240" w:lineRule="auto"/>
        <w:rPr/>
      </w:pPr>
      <w:r>
        <w:rPr/>
        <w:separator/>
      </w:r>
    </w:p>
  </w:footnote>
  <w:footnote w:type="continuationSeparator" w:id="1">
    <w:p w14:paraId="00000002">
      <w:pPr>
        <w:spacing w:after="0" w:line="240" w:lineRule="auto"/>
        <w:rPr/>
      </w:pPr>
      <w:r>
        <w:rPr/>
        <w:continuationSeparato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multiLevelType w:val="hybridMultilevel"/>
    <w:lvl w:ilvl="0" w:tentative="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3">
    <w:multiLevelType w:val="hybridMultilevel"/>
    <w:lvl w:ilvl="0" w:tentative="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40F"/>
    <w:rsid w:val="0002051B"/>
    <w:rsid w:val="0002547C"/>
    <w:rsid w:val="00041837"/>
    <w:rsid w:val="00041C12"/>
    <w:rsid w:val="000629E2"/>
    <w:rsid w:val="000724A0"/>
    <w:rsid w:val="00075728"/>
    <w:rsid w:val="00087F82"/>
    <w:rsid w:val="00091320"/>
    <w:rsid w:val="000A267A"/>
    <w:rsid w:val="000B0B73"/>
    <w:rsid w:val="000B254C"/>
    <w:rsid w:val="000B46F2"/>
    <w:rsid w:val="000E1C1E"/>
    <w:rsid w:val="000E36CD"/>
    <w:rsid w:val="00102BAA"/>
    <w:rsid w:val="001046E8"/>
    <w:rsid w:val="0011679D"/>
    <w:rsid w:val="00120072"/>
    <w:rsid w:val="00130B58"/>
    <w:rsid w:val="00150EB8"/>
    <w:rsid w:val="001608F8"/>
    <w:rsid w:val="00161C36"/>
    <w:rsid w:val="001640F4"/>
    <w:rsid w:val="001734A3"/>
    <w:rsid w:val="00175958"/>
    <w:rsid w:val="00180318"/>
    <w:rsid w:val="00181649"/>
    <w:rsid w:val="00195560"/>
    <w:rsid w:val="0019694C"/>
    <w:rsid w:val="001A594B"/>
    <w:rsid w:val="001A7BC5"/>
    <w:rsid w:val="001B0C09"/>
    <w:rsid w:val="001B6206"/>
    <w:rsid w:val="001B622B"/>
    <w:rsid w:val="001B6790"/>
    <w:rsid w:val="001B6E21"/>
    <w:rsid w:val="001C15DD"/>
    <w:rsid w:val="001C6975"/>
    <w:rsid w:val="001D7180"/>
    <w:rsid w:val="001E4A8D"/>
    <w:rsid w:val="001F1AE4"/>
    <w:rsid w:val="001F4DFC"/>
    <w:rsid w:val="001F5CFD"/>
    <w:rsid w:val="002020AA"/>
    <w:rsid w:val="00206211"/>
    <w:rsid w:val="002103BA"/>
    <w:rsid w:val="00210A13"/>
    <w:rsid w:val="0021136E"/>
    <w:rsid w:val="00214806"/>
    <w:rsid w:val="00215E2B"/>
    <w:rsid w:val="00223947"/>
    <w:rsid w:val="00224296"/>
    <w:rsid w:val="002339D5"/>
    <w:rsid w:val="00235642"/>
    <w:rsid w:val="00235AE6"/>
    <w:rsid w:val="0023768A"/>
    <w:rsid w:val="00237F2F"/>
    <w:rsid w:val="002431D1"/>
    <w:rsid w:val="002534D9"/>
    <w:rsid w:val="00264527"/>
    <w:rsid w:val="00271CCE"/>
    <w:rsid w:val="0028083B"/>
    <w:rsid w:val="0029264F"/>
    <w:rsid w:val="002A19B4"/>
    <w:rsid w:val="002A390C"/>
    <w:rsid w:val="002A6F34"/>
    <w:rsid w:val="002B0A0E"/>
    <w:rsid w:val="002B1304"/>
    <w:rsid w:val="002B395B"/>
    <w:rsid w:val="002C0EE4"/>
    <w:rsid w:val="002D5667"/>
    <w:rsid w:val="002E44F7"/>
    <w:rsid w:val="002E6E0E"/>
    <w:rsid w:val="00304337"/>
    <w:rsid w:val="00304537"/>
    <w:rsid w:val="0031524C"/>
    <w:rsid w:val="00325C5F"/>
    <w:rsid w:val="00327975"/>
    <w:rsid w:val="00334E50"/>
    <w:rsid w:val="00337A8A"/>
    <w:rsid w:val="00340DEF"/>
    <w:rsid w:val="00343177"/>
    <w:rsid w:val="00347B7E"/>
    <w:rsid w:val="00354EED"/>
    <w:rsid w:val="00362CF3"/>
    <w:rsid w:val="003673B4"/>
    <w:rsid w:val="003709B9"/>
    <w:rsid w:val="00371EA5"/>
    <w:rsid w:val="00380F5F"/>
    <w:rsid w:val="00382E12"/>
    <w:rsid w:val="0038360C"/>
    <w:rsid w:val="0038530A"/>
    <w:rsid w:val="00395A56"/>
    <w:rsid w:val="003A1498"/>
    <w:rsid w:val="003A1997"/>
    <w:rsid w:val="003A4915"/>
    <w:rsid w:val="003B3A5E"/>
    <w:rsid w:val="003B5E70"/>
    <w:rsid w:val="003B68A8"/>
    <w:rsid w:val="003C402B"/>
    <w:rsid w:val="003C4FCC"/>
    <w:rsid w:val="003C6CE4"/>
    <w:rsid w:val="003C7F8B"/>
    <w:rsid w:val="003D70E6"/>
    <w:rsid w:val="003D7654"/>
    <w:rsid w:val="003D7F55"/>
    <w:rsid w:val="003E2CD3"/>
    <w:rsid w:val="003F4243"/>
    <w:rsid w:val="003F561A"/>
    <w:rsid w:val="003F7825"/>
    <w:rsid w:val="00400BC8"/>
    <w:rsid w:val="004102B0"/>
    <w:rsid w:val="0041320D"/>
    <w:rsid w:val="00424253"/>
    <w:rsid w:val="00425A14"/>
    <w:rsid w:val="004272AF"/>
    <w:rsid w:val="00444517"/>
    <w:rsid w:val="00447432"/>
    <w:rsid w:val="004501ED"/>
    <w:rsid w:val="00461E00"/>
    <w:rsid w:val="00472E33"/>
    <w:rsid w:val="00476445"/>
    <w:rsid w:val="00477038"/>
    <w:rsid w:val="00480C62"/>
    <w:rsid w:val="00481E23"/>
    <w:rsid w:val="004857A1"/>
    <w:rsid w:val="00486D05"/>
    <w:rsid w:val="0049063D"/>
    <w:rsid w:val="00494C24"/>
    <w:rsid w:val="004A2916"/>
    <w:rsid w:val="004A7291"/>
    <w:rsid w:val="004B27B2"/>
    <w:rsid w:val="004B437A"/>
    <w:rsid w:val="004B455A"/>
    <w:rsid w:val="004C32E4"/>
    <w:rsid w:val="004D45B6"/>
    <w:rsid w:val="004E4861"/>
    <w:rsid w:val="004F1AEB"/>
    <w:rsid w:val="004F6B0E"/>
    <w:rsid w:val="00500C8B"/>
    <w:rsid w:val="005044D6"/>
    <w:rsid w:val="00515645"/>
    <w:rsid w:val="00533239"/>
    <w:rsid w:val="005362A4"/>
    <w:rsid w:val="00536F7D"/>
    <w:rsid w:val="0054355F"/>
    <w:rsid w:val="00545BE2"/>
    <w:rsid w:val="0055362C"/>
    <w:rsid w:val="0056121C"/>
    <w:rsid w:val="00562466"/>
    <w:rsid w:val="00565B1E"/>
    <w:rsid w:val="005716C7"/>
    <w:rsid w:val="00575944"/>
    <w:rsid w:val="00581189"/>
    <w:rsid w:val="00582886"/>
    <w:rsid w:val="00592C2B"/>
    <w:rsid w:val="005939C7"/>
    <w:rsid w:val="00593AE5"/>
    <w:rsid w:val="005973B1"/>
    <w:rsid w:val="005A3198"/>
    <w:rsid w:val="005A4499"/>
    <w:rsid w:val="005A740F"/>
    <w:rsid w:val="005C2BFA"/>
    <w:rsid w:val="005C3E0E"/>
    <w:rsid w:val="005C464C"/>
    <w:rsid w:val="005C480D"/>
    <w:rsid w:val="005C6F00"/>
    <w:rsid w:val="005D2104"/>
    <w:rsid w:val="005D3EF9"/>
    <w:rsid w:val="005D4C80"/>
    <w:rsid w:val="005E084D"/>
    <w:rsid w:val="005F1A54"/>
    <w:rsid w:val="005F46BB"/>
    <w:rsid w:val="0061079B"/>
    <w:rsid w:val="006154B7"/>
    <w:rsid w:val="0062304C"/>
    <w:rsid w:val="0062321B"/>
    <w:rsid w:val="0062661A"/>
    <w:rsid w:val="00635EBF"/>
    <w:rsid w:val="006407F9"/>
    <w:rsid w:val="006419AD"/>
    <w:rsid w:val="00641B9A"/>
    <w:rsid w:val="006550B1"/>
    <w:rsid w:val="00677138"/>
    <w:rsid w:val="00693658"/>
    <w:rsid w:val="006A3A74"/>
    <w:rsid w:val="006A4411"/>
    <w:rsid w:val="006A66D3"/>
    <w:rsid w:val="006B0B1F"/>
    <w:rsid w:val="006B47F6"/>
    <w:rsid w:val="006C2204"/>
    <w:rsid w:val="006C3B9D"/>
    <w:rsid w:val="006C72BC"/>
    <w:rsid w:val="006D00FF"/>
    <w:rsid w:val="006D6A43"/>
    <w:rsid w:val="006D7C86"/>
    <w:rsid w:val="006E2DEB"/>
    <w:rsid w:val="007031CF"/>
    <w:rsid w:val="00704CE1"/>
    <w:rsid w:val="00707F07"/>
    <w:rsid w:val="00713A69"/>
    <w:rsid w:val="00723883"/>
    <w:rsid w:val="00725259"/>
    <w:rsid w:val="0072556F"/>
    <w:rsid w:val="00731F0E"/>
    <w:rsid w:val="007324DF"/>
    <w:rsid w:val="00733D39"/>
    <w:rsid w:val="007363B1"/>
    <w:rsid w:val="007527AF"/>
    <w:rsid w:val="00754155"/>
    <w:rsid w:val="00756E47"/>
    <w:rsid w:val="007708CC"/>
    <w:rsid w:val="007744AE"/>
    <w:rsid w:val="00780921"/>
    <w:rsid w:val="007829DF"/>
    <w:rsid w:val="00784484"/>
    <w:rsid w:val="007870AA"/>
    <w:rsid w:val="007955E8"/>
    <w:rsid w:val="007A0F50"/>
    <w:rsid w:val="007A6DCE"/>
    <w:rsid w:val="007B5786"/>
    <w:rsid w:val="007B6E81"/>
    <w:rsid w:val="007C2A6B"/>
    <w:rsid w:val="007C46BE"/>
    <w:rsid w:val="007D636B"/>
    <w:rsid w:val="007F7B13"/>
    <w:rsid w:val="00800AF9"/>
    <w:rsid w:val="00804AD1"/>
    <w:rsid w:val="00813CD0"/>
    <w:rsid w:val="008173AB"/>
    <w:rsid w:val="00823519"/>
    <w:rsid w:val="00826188"/>
    <w:rsid w:val="008266D2"/>
    <w:rsid w:val="00831186"/>
    <w:rsid w:val="00832594"/>
    <w:rsid w:val="008342D8"/>
    <w:rsid w:val="0084210F"/>
    <w:rsid w:val="008535AE"/>
    <w:rsid w:val="0086182B"/>
    <w:rsid w:val="008775BC"/>
    <w:rsid w:val="008903DA"/>
    <w:rsid w:val="008A5A0B"/>
    <w:rsid w:val="008B1620"/>
    <w:rsid w:val="008B2371"/>
    <w:rsid w:val="008B74DD"/>
    <w:rsid w:val="008C7BEB"/>
    <w:rsid w:val="008D472A"/>
    <w:rsid w:val="008E23B1"/>
    <w:rsid w:val="008E5819"/>
    <w:rsid w:val="008E713E"/>
    <w:rsid w:val="008F1211"/>
    <w:rsid w:val="00902524"/>
    <w:rsid w:val="00903FBD"/>
    <w:rsid w:val="00905F3E"/>
    <w:rsid w:val="00907F46"/>
    <w:rsid w:val="00910BB2"/>
    <w:rsid w:val="00927BEB"/>
    <w:rsid w:val="00937ADE"/>
    <w:rsid w:val="009424D1"/>
    <w:rsid w:val="00953A7A"/>
    <w:rsid w:val="00955A32"/>
    <w:rsid w:val="0097718D"/>
    <w:rsid w:val="00994A68"/>
    <w:rsid w:val="00997F9D"/>
    <w:rsid w:val="009A3185"/>
    <w:rsid w:val="009A564B"/>
    <w:rsid w:val="009B3D0A"/>
    <w:rsid w:val="009D3353"/>
    <w:rsid w:val="009D6EED"/>
    <w:rsid w:val="009D726E"/>
    <w:rsid w:val="009E3645"/>
    <w:rsid w:val="009E52DA"/>
    <w:rsid w:val="009E5FEA"/>
    <w:rsid w:val="00A0093F"/>
    <w:rsid w:val="00A01510"/>
    <w:rsid w:val="00A04C28"/>
    <w:rsid w:val="00A07739"/>
    <w:rsid w:val="00A10169"/>
    <w:rsid w:val="00A17B42"/>
    <w:rsid w:val="00A21C2E"/>
    <w:rsid w:val="00A22DB0"/>
    <w:rsid w:val="00A43D04"/>
    <w:rsid w:val="00A43F54"/>
    <w:rsid w:val="00A46596"/>
    <w:rsid w:val="00A50843"/>
    <w:rsid w:val="00A6074A"/>
    <w:rsid w:val="00A655D6"/>
    <w:rsid w:val="00A71368"/>
    <w:rsid w:val="00A77533"/>
    <w:rsid w:val="00A82A60"/>
    <w:rsid w:val="00A84E3B"/>
    <w:rsid w:val="00A916DD"/>
    <w:rsid w:val="00AA3B06"/>
    <w:rsid w:val="00AA768B"/>
    <w:rsid w:val="00AB1386"/>
    <w:rsid w:val="00AB481A"/>
    <w:rsid w:val="00AD0FDF"/>
    <w:rsid w:val="00AD2C48"/>
    <w:rsid w:val="00AD45C4"/>
    <w:rsid w:val="00AF2B97"/>
    <w:rsid w:val="00B01524"/>
    <w:rsid w:val="00B12510"/>
    <w:rsid w:val="00B23D39"/>
    <w:rsid w:val="00B24154"/>
    <w:rsid w:val="00B25B90"/>
    <w:rsid w:val="00B42111"/>
    <w:rsid w:val="00B44D28"/>
    <w:rsid w:val="00B53BBC"/>
    <w:rsid w:val="00B57BFE"/>
    <w:rsid w:val="00B671BD"/>
    <w:rsid w:val="00B70F9F"/>
    <w:rsid w:val="00B7200C"/>
    <w:rsid w:val="00B73046"/>
    <w:rsid w:val="00B738A8"/>
    <w:rsid w:val="00B76A7C"/>
    <w:rsid w:val="00B77058"/>
    <w:rsid w:val="00B81098"/>
    <w:rsid w:val="00B839F7"/>
    <w:rsid w:val="00B84B88"/>
    <w:rsid w:val="00B86518"/>
    <w:rsid w:val="00B9025B"/>
    <w:rsid w:val="00B94275"/>
    <w:rsid w:val="00BA5157"/>
    <w:rsid w:val="00BB35DE"/>
    <w:rsid w:val="00BB432E"/>
    <w:rsid w:val="00BB4740"/>
    <w:rsid w:val="00BB58C2"/>
    <w:rsid w:val="00BC62EA"/>
    <w:rsid w:val="00BE4353"/>
    <w:rsid w:val="00BF2FD9"/>
    <w:rsid w:val="00BF488F"/>
    <w:rsid w:val="00BF4D5C"/>
    <w:rsid w:val="00C0110D"/>
    <w:rsid w:val="00C06DFA"/>
    <w:rsid w:val="00C155DD"/>
    <w:rsid w:val="00C240CC"/>
    <w:rsid w:val="00C24ADA"/>
    <w:rsid w:val="00C31703"/>
    <w:rsid w:val="00C320DB"/>
    <w:rsid w:val="00C32E7C"/>
    <w:rsid w:val="00C36EB2"/>
    <w:rsid w:val="00C4118E"/>
    <w:rsid w:val="00C4584D"/>
    <w:rsid w:val="00C478F8"/>
    <w:rsid w:val="00C5345D"/>
    <w:rsid w:val="00C82011"/>
    <w:rsid w:val="00C86D66"/>
    <w:rsid w:val="00C90A1C"/>
    <w:rsid w:val="00C93F65"/>
    <w:rsid w:val="00CA2335"/>
    <w:rsid w:val="00CA2383"/>
    <w:rsid w:val="00CB3ED7"/>
    <w:rsid w:val="00CB501F"/>
    <w:rsid w:val="00CC1873"/>
    <w:rsid w:val="00CC2D6E"/>
    <w:rsid w:val="00CC54B5"/>
    <w:rsid w:val="00CC7421"/>
    <w:rsid w:val="00CC7850"/>
    <w:rsid w:val="00CE7BF9"/>
    <w:rsid w:val="00CF6523"/>
    <w:rsid w:val="00D038C6"/>
    <w:rsid w:val="00D06919"/>
    <w:rsid w:val="00D13D67"/>
    <w:rsid w:val="00D2177D"/>
    <w:rsid w:val="00D2394F"/>
    <w:rsid w:val="00D36EAC"/>
    <w:rsid w:val="00D372FC"/>
    <w:rsid w:val="00D42B93"/>
    <w:rsid w:val="00D53DBC"/>
    <w:rsid w:val="00D71FEC"/>
    <w:rsid w:val="00D738B3"/>
    <w:rsid w:val="00D74CDF"/>
    <w:rsid w:val="00D83D05"/>
    <w:rsid w:val="00D8703F"/>
    <w:rsid w:val="00DB770D"/>
    <w:rsid w:val="00DC1F6B"/>
    <w:rsid w:val="00DC7EEF"/>
    <w:rsid w:val="00DD0433"/>
    <w:rsid w:val="00DD70E4"/>
    <w:rsid w:val="00DE1916"/>
    <w:rsid w:val="00DE68E7"/>
    <w:rsid w:val="00DE7135"/>
    <w:rsid w:val="00DF0835"/>
    <w:rsid w:val="00DF25C3"/>
    <w:rsid w:val="00DF5965"/>
    <w:rsid w:val="00E0167C"/>
    <w:rsid w:val="00E12B79"/>
    <w:rsid w:val="00E23728"/>
    <w:rsid w:val="00E34FD5"/>
    <w:rsid w:val="00E5583A"/>
    <w:rsid w:val="00E61A3D"/>
    <w:rsid w:val="00E64D2A"/>
    <w:rsid w:val="00E7319F"/>
    <w:rsid w:val="00E74634"/>
    <w:rsid w:val="00E87AE0"/>
    <w:rsid w:val="00E92AD8"/>
    <w:rsid w:val="00E939D9"/>
    <w:rsid w:val="00E97828"/>
    <w:rsid w:val="00EA78E3"/>
    <w:rsid w:val="00EB1F58"/>
    <w:rsid w:val="00EB62FF"/>
    <w:rsid w:val="00EC63CF"/>
    <w:rsid w:val="00ED1448"/>
    <w:rsid w:val="00ED2950"/>
    <w:rsid w:val="00ED632A"/>
    <w:rsid w:val="00EE093F"/>
    <w:rsid w:val="00EE590F"/>
    <w:rsid w:val="00EE6E98"/>
    <w:rsid w:val="00EF5543"/>
    <w:rsid w:val="00F03EAC"/>
    <w:rsid w:val="00F140BB"/>
    <w:rsid w:val="00F14B08"/>
    <w:rsid w:val="00F201F7"/>
    <w:rsid w:val="00F30E09"/>
    <w:rsid w:val="00F33ABD"/>
    <w:rsid w:val="00F4306A"/>
    <w:rsid w:val="00F45140"/>
    <w:rsid w:val="00F5354A"/>
    <w:rsid w:val="00F73421"/>
    <w:rsid w:val="00F75E0B"/>
    <w:rsid w:val="00F82FD3"/>
    <w:rsid w:val="00F94F72"/>
    <w:rsid w:val="00F96C2B"/>
    <w:rsid w:val="00FA09B8"/>
    <w:rsid w:val="00FA0E30"/>
    <w:rsid w:val="00FA5565"/>
    <w:rsid w:val="00FB4498"/>
    <w:rsid w:val="00FC3A5E"/>
    <w:rsid w:val="00FD3357"/>
    <w:rsid w:val="00FD3CE1"/>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3F2CA3"/>
  <w15:chartTrackingRefBased/>
  <w15:docId w15:val="{79B81E43-EEBE-428C-8506-A4A0082C8C20}"/>
  <w:footnotePr>
    <w:footnote w:id="0"/>
    <w:footnote w:id="1"/>
  </w:footnotePr>
  <w:endnotePr>
    <w:endnote w:id="0"/>
    <w:endnote w:id="1"/>
  </w:endnotePr>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imes New Roman" w:cstheme="minorBidi" w:eastAsiaTheme="minorHAnsi" w:hAnsi="Times New Roman"/>
        <w:sz w:val="24"/>
        <w:szCs w:val="22"/>
        <w:lang w:val="en-US" w:bidi="ar-SA" w:eastAsia="en-US"/>
        <w14:ligatures w14:val="standardContextual"/>
      </w:rPr>
    </w:rPrDefault>
    <w:pPrDefault>
      <w:pPr>
        <w:spacing w:after="160" w:line="259" w:lineRule="auto"/>
      </w:pPr>
    </w:pPrDefault>
  </w:docDefaults>
  <w:style w:type="paragraph" w:styleId="Heading3">
    <w:name w:val="Heading 3"/>
    <w:basedOn w:val="Normal"/>
    <w:next w:val="Normal"/>
    <w:link w:val="Heading3Char"/>
    <w:uiPriority w:val="9"/>
    <w:semiHidden w:val="on"/>
    <w:unhideWhenUsed w:val="on"/>
    <w:qFormat w:val="on"/>
    <w:pPr>
      <w:keepNext w:val="on"/>
      <w:keepLines w:val="on"/>
      <w:spacing w:before="200" w:after="0"/>
    </w:pPr>
    <w:rPr>
      <w:rFonts w:asciiTheme="majorHAnsi" w:cstheme="majorBidi" w:eastAsiaTheme="majorEastAsia" w:hAnsiTheme="majorHAnsi"/>
      <w:b/>
      <w:bCs/>
      <w:color w:val="4472c4" w:themeColor="accent1"/>
    </w:rPr>
  </w:style>
  <w:style w:type="paragraph" w:styleId="Heading4">
    <w:name w:val="Heading 4"/>
    <w:basedOn w:val="Normal"/>
    <w:next w:val="Normal"/>
    <w:link w:val="Heading4Char"/>
    <w:uiPriority w:val="9"/>
    <w:semiHidden w:val="on"/>
    <w:unhideWhenUsed w:val="on"/>
    <w:qFormat w:val="on"/>
    <w:pPr>
      <w:keepNext w:val="on"/>
      <w:keepLines w:val="on"/>
      <w:spacing w:before="200" w:after="0"/>
    </w:pPr>
    <w:rPr>
      <w:rFonts w:asciiTheme="majorHAnsi" w:cstheme="majorBidi" w:eastAsiaTheme="majorEastAsia" w:hAnsiTheme="majorHAnsi"/>
      <w:b/>
      <w:bCs/>
      <w:i/>
      <w:iCs/>
      <w:color w:val="4472c4" w:themeColor="accent1"/>
    </w:rPr>
  </w:style>
  <w:style w:type="paragraph" w:styleId="Heading5">
    <w:name w:val="Heading 5"/>
    <w:basedOn w:val="Normal"/>
    <w:next w:val="Normal"/>
    <w:link w:val="Heading5Char"/>
    <w:uiPriority w:val="9"/>
    <w:semiHidden w:val="on"/>
    <w:unhideWhenUsed w:val="on"/>
    <w:qFormat w:val="on"/>
    <w:pPr>
      <w:keepNext w:val="on"/>
      <w:keepLines w:val="on"/>
      <w:spacing w:before="200" w:after="0"/>
    </w:pPr>
    <w:rPr>
      <w:rFonts w:asciiTheme="majorHAnsi" w:cstheme="majorBidi" w:eastAsiaTheme="majorEastAsia" w:hAnsiTheme="majorHAnsi"/>
      <w:color w:val="1f3763" w:themeColor="accent1" w:themeShade="7f"/>
    </w:rPr>
  </w:style>
  <w:style w:type="paragraph" w:styleId="Heading6">
    <w:name w:val="Heading 6"/>
    <w:basedOn w:val="Normal"/>
    <w:next w:val="Normal"/>
    <w:link w:val="Heading6Char"/>
    <w:uiPriority w:val="9"/>
    <w:semiHidden w:val="on"/>
    <w:unhideWhenUsed w:val="on"/>
    <w:qFormat w:val="on"/>
    <w:pPr>
      <w:keepNext w:val="on"/>
      <w:keepLines w:val="on"/>
      <w:spacing w:before="200" w:after="0"/>
    </w:pPr>
    <w:rPr>
      <w:rFonts w:asciiTheme="majorHAnsi" w:cstheme="majorBidi" w:eastAsiaTheme="majorEastAsia" w:hAnsiTheme="majorHAnsi"/>
      <w:i/>
      <w:iCs/>
      <w:color w:val="1f3763" w:themeColor="accent1" w:themeShade="7f"/>
    </w:rPr>
  </w:style>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paragraph" w:styleId="NoSpacing">
    <w:name w:val="No Spacing"/>
    <w:uiPriority w:val="1"/>
    <w:qFormat w:val="on"/>
    <w:pPr>
      <w:spacing w:after="0" w:line="240" w:lineRule="auto"/>
    </w:p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4472c4"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4472c4"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1f3763"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1f3763"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basedOn w:val="Normal"/>
    <w:next w:val="Normal"/>
    <w:link w:val="TitleChar"/>
    <w:uiPriority w:val="10"/>
    <w:qFormat w:val="on"/>
    <w:pPr>
      <w:pBdr>
        <w:bottom w:val="single" w:color="4472c4" w:themeColor="accent1" w:sz="8" w:space="4"/>
      </w:pBdr>
      <w:spacing w:after="300" w:line="240" w:lineRule="auto"/>
      <w:contextualSpacing w:val="on"/>
    </w:pPr>
    <w:rPr>
      <w:rFonts w:asciiTheme="majorHAnsi" w:cstheme="majorBidi" w:eastAsiaTheme="majorEastAsia" w:hAnsiTheme="majorHAnsi"/>
      <w:color w:val="333f4f" w:themeColor="text2" w:themeShade="bf"/>
      <w:spacing w:val="5"/>
      <w:sz w:val="52"/>
      <w:szCs w:val="52"/>
    </w:rPr>
  </w:style>
  <w:style w:type="character" w:customStyle="1" w:styleId="TitleChar">
    <w:name w:val="Title Char"/>
    <w:basedOn w:val="DefaultParagraphFont"/>
    <w:link w:val="Title"/>
    <w:uiPriority w:val="10"/>
    <w:rPr>
      <w:rFonts w:asciiTheme="majorHAnsi" w:cstheme="majorBidi" w:eastAsiaTheme="majorEastAsia" w:hAnsiTheme="majorHAnsi"/>
      <w:color w:val="333f4f" w:themeColor="text2" w:themeShade="bf"/>
      <w:spacing w:val="5"/>
      <w:sz w:val="52"/>
      <w:szCs w:val="52"/>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4472c4"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472c4"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472c4"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472c4" w:themeColor="accent1" w:sz="4" w:space="4"/>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val="on"/>
    <w:rPr>
      <w:smallCaps/>
      <w:color w:val="ed7d31" w:themeColor="accent2"/>
      <w:u w:val="single"/>
    </w:rPr>
  </w:style>
  <w:style w:type="character" w:styleId="IntenseReference">
    <w:name w:val="Intense Reference"/>
    <w:basedOn w:val="DefaultParagraphFont"/>
    <w:uiPriority w:val="32"/>
    <w:qFormat w:val="on"/>
    <w:rPr>
      <w:b/>
      <w:bCs/>
      <w:smallCaps/>
      <w:color w:val="ed7d31" w:themeColor="accent2"/>
      <w:spacing w:val="5"/>
      <w:u w:val="single"/>
    </w:rPr>
  </w:style>
  <w:style w:type="character" w:styleId="BookTitle">
    <w:name w:val="Book Title"/>
    <w:basedOn w:val="DefaultParagraphFont"/>
    <w:uiPriority w:val="33"/>
    <w:qFormat w:val="on"/>
    <w:rPr>
      <w:b/>
      <w:bCs/>
      <w:smallCaps/>
      <w:spacing w:val="5"/>
    </w:r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Caption">
    <w:name w:val="Caption"/>
    <w:basedOn w:val="Normal"/>
    <w:next w:val="Normal"/>
    <w:uiPriority w:val="35"/>
    <w:unhideWhenUsed w:val="on"/>
    <w:qFormat w:val="on"/>
    <w:pPr>
      <w:spacing w:after="200" w:line="240" w:lineRule="auto"/>
    </w:pPr>
    <w:rPr>
      <w:i/>
      <w:iCs/>
      <w:color w:val="44546a" w:themeColor="text2"/>
      <w:sz w:val="18"/>
      <w:szCs w:val="18"/>
    </w:rPr>
  </w:style>
  <w:style w:type="paragraph" w:default="1" w:styleId="Normal">
    <w:name w:val="Normal"/>
    <w:uiPriority w:val="99"/>
    <w:qFormat w:val="on"/>
    <w:rPr>
      <w:lang w:val="en-GB"/>
    </w:rPr>
  </w:style>
  <w:style w:type="paragraph" w:styleId="Heading1">
    <w:name w:val="Heading 1"/>
    <w:basedOn w:val="Normal"/>
    <w:next w:val="Normal"/>
    <w:link w:val="Heading1Char"/>
    <w:uiPriority w:val="9"/>
    <w:qFormat w:val="on"/>
    <w:pPr>
      <w:keepNext w:val="on"/>
      <w:keepLines w:val="on"/>
      <w:spacing w:before="240" w:after="0"/>
    </w:pPr>
    <w:rPr>
      <w:rFonts w:asciiTheme="majorHAnsi" w:cstheme="majorBidi" w:eastAsiaTheme="majorEastAsia" w:hAnsiTheme="majorHAnsi"/>
      <w:color w:val="2f5395" w:themeColor="accent1" w:themeShade="bf"/>
      <w:sz w:val="32"/>
      <w:szCs w:val="32"/>
    </w:rPr>
  </w:style>
  <w:style w:type="paragraph" w:styleId="Heading2">
    <w:name w:val="Heading 2"/>
    <w:basedOn w:val="Normal"/>
    <w:next w:val="Normal"/>
    <w:link w:val="Heading2Char"/>
    <w:uiPriority w:val="9"/>
    <w:unhideWhenUsed w:val="on"/>
    <w:qFormat w:val="on"/>
    <w:pPr>
      <w:keepNext w:val="on"/>
      <w:keepLines w:val="on"/>
      <w:spacing w:before="40" w:after="0"/>
    </w:pPr>
    <w:rPr>
      <w:rFonts w:asciiTheme="majorHAnsi" w:cstheme="majorBidi" w:eastAsiaTheme="majorEastAsia" w:hAnsiTheme="majorHAnsi"/>
      <w:color w:val="2f5395" w:themeColor="accent1" w:themeShade="bf"/>
      <w:sz w:val="26"/>
      <w:szCs w:val="26"/>
    </w:rPr>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paragraph" w:styleId="ListParagraph">
    <w:name w:val="List Paragraph"/>
    <w:basedOn w:val="Normal"/>
    <w:uiPriority w:val="34"/>
    <w:qFormat w:val="on"/>
    <w:pPr>
      <w:ind w:left="720"/>
      <w:contextualSpacing w:val="on"/>
    </w:pPr>
  </w:style>
  <w:style w:type="paragraph" w:styleId="Normal(Web)">
    <w:name w:val="Normal (Web)"/>
    <w:basedOn w:val="Normal"/>
    <w:uiPriority w:val="99"/>
    <w:unhideWhenUsed w:val="on"/>
    <w:pPr>
      <w:spacing w:before="100" w:after="100" w:line="240" w:lineRule="auto"/>
    </w:pPr>
    <w:rPr>
      <w:rFonts w:cs="Times New Roman" w:eastAsia="Times New Roman"/>
      <w:szCs w:val="24"/>
      <w:lang w:val="en-US"/>
    </w:rPr>
  </w:style>
  <w:style w:type="character" w:customStyle="1" w:styleId="Url">
    <w:name w:val="Url"/>
    <w:basedOn w:val="DefaultParagraphFont"/>
    <w:uiPriority w:val="99"/>
  </w:style>
  <w:style w:type="character" w:styleId="Hyperlink">
    <w:name w:val="Hyperlink"/>
    <w:basedOn w:val="DefaultParagraphFont"/>
    <w:uiPriority w:val="99"/>
    <w:unhideWhenUsed w:val="on"/>
    <w:rPr>
      <w:color w:val="0563c1" w:themeColor="hyperlink"/>
      <w:u w:val="single"/>
    </w:rPr>
  </w:style>
  <w:style w:type="character" w:styleId="UnresolvedMention">
    <w:name w:val="Unresolved Mention"/>
    <w:basedOn w:val="DefaultParagraphFont"/>
    <w:uiPriority w:val="99"/>
    <w:semiHidden w:val="on"/>
    <w:unhideWhenUsed w:val="on"/>
    <w:rPr>
      <w:color w:val="605e5c"/>
      <w:shd w:val="clear" w:color="auto" w:fill="e1dfdd"/>
    </w:rPr>
  </w:style>
  <w:style w:type="paragraph" w:styleId="Header">
    <w:name w:val="Header"/>
    <w:basedOn w:val="Normal"/>
    <w:link w:val="HeaderChar"/>
    <w:uiPriority w:val="99"/>
    <w:unhideWhenUsed w:val="on"/>
    <w:pPr>
      <w:tabs>
        <w:tab w:val="center" w:pos="4680"/>
        <w:tab w:val="right" w:pos="9360"/>
      </w:tabs>
      <w:spacing w:after="0" w:line="240" w:lineRule="auto"/>
    </w:pPr>
  </w:style>
  <w:style w:type="character" w:customStyle="1" w:styleId="HeaderChar">
    <w:name w:val="Header Char"/>
    <w:basedOn w:val="DefaultParagraphFont"/>
    <w:link w:val="Header"/>
    <w:uiPriority w:val="99"/>
    <w:rPr>
      <w:lang w:val="en-GB"/>
    </w:rPr>
  </w:style>
  <w:style w:type="paragraph" w:styleId="Footer">
    <w:name w:val="Footer"/>
    <w:basedOn w:val="Normal"/>
    <w:link w:val="FooterChar"/>
    <w:uiPriority w:val="99"/>
    <w:unhideWhenUsed w:val="on"/>
    <w:pPr>
      <w:tabs>
        <w:tab w:val="center" w:pos="4680"/>
        <w:tab w:val="right" w:pos="9360"/>
      </w:tabs>
      <w:spacing w:after="0" w:line="240" w:lineRule="auto"/>
    </w:pPr>
  </w:style>
  <w:style w:type="character" w:customStyle="1" w:styleId="FooterChar">
    <w:name w:val="Footer Char"/>
    <w:basedOn w:val="DefaultParagraphFont"/>
    <w:link w:val="Footer"/>
    <w:uiPriority w:val="99"/>
    <w:rPr>
      <w:lang w:val="en-GB"/>
    </w:rPr>
  </w:style>
  <w:style w:type="character" w:customStyle="1" w:styleId="Heading1Char">
    <w:name w:val="Heading 1 Char"/>
    <w:basedOn w:val="DefaultParagraphFont"/>
    <w:link w:val="Heading1"/>
    <w:uiPriority w:val="9"/>
    <w:rPr>
      <w:rFonts w:asciiTheme="majorHAnsi" w:cstheme="majorBidi" w:eastAsiaTheme="majorEastAsia" w:hAnsiTheme="majorHAnsi"/>
      <w:color w:val="2f5395" w:themeColor="accent1" w:themeShade="bf"/>
      <w:sz w:val="32"/>
      <w:szCs w:val="32"/>
      <w:lang w:val="en-GB"/>
    </w:rPr>
  </w:style>
  <w:style w:type="paragraph" w:styleId="TOCHeading">
    <w:name w:val="TOC Heading"/>
    <w:basedOn w:val="Heading1"/>
    <w:next w:val="Normal"/>
    <w:uiPriority w:val="39"/>
    <w:unhideWhenUsed w:val="on"/>
    <w:qFormat w:val="on"/>
    <w:pPr/>
    <w:rPr>
      <w:lang w:val="en-US"/>
    </w:rPr>
  </w:style>
  <w:style w:type="character" w:customStyle="1" w:styleId="Heading2Char">
    <w:name w:val="Heading 2 Char"/>
    <w:basedOn w:val="DefaultParagraphFont"/>
    <w:link w:val="Heading2"/>
    <w:uiPriority w:val="9"/>
    <w:rPr>
      <w:rFonts w:asciiTheme="majorHAnsi" w:cstheme="majorBidi" w:eastAsiaTheme="majorEastAsia" w:hAnsiTheme="majorHAnsi"/>
      <w:color w:val="2f5395" w:themeColor="accent1" w:themeShade="bf"/>
      <w:sz w:val="26"/>
      <w:szCs w:val="26"/>
      <w:lang w:val="en-GB"/>
    </w:rPr>
  </w:style>
  <w:style w:type="paragraph" w:styleId="Toc1">
    <w:name w:val="Toc 1"/>
    <w:basedOn w:val="Normal"/>
    <w:next w:val="Normal"/>
    <w:uiPriority w:val="39"/>
    <w:unhideWhenUsed w:val="on"/>
    <w:pPr>
      <w:spacing w:after="100"/>
    </w:pPr>
  </w:style>
  <w:style w:type="paragraph" w:styleId="Toc2">
    <w:name w:val="Toc 2"/>
    <w:basedOn w:val="Normal"/>
    <w:next w:val="Normal"/>
    <w:uiPriority w:val="39"/>
    <w:unhideWhenUsed w:val="on"/>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65074">
      <w:bodyDiv w:val="1"/>
      <w:marLeft w:val="0"/>
      <w:marRight w:val="0"/>
      <w:marTop w:val="0"/>
      <w:marBottom w:val="0"/>
      <w:divBdr>
        <w:top w:val="none" w:sz="0" w:space="0" w:color="auto"/>
        <w:left w:val="none" w:sz="0" w:space="0" w:color="auto"/>
        <w:bottom w:val="none" w:sz="0" w:space="0" w:color="auto"/>
        <w:right w:val="none" w:sz="0" w:space="0" w:color="auto"/>
      </w:divBdr>
    </w:div>
    <w:div w:id="69736983">
      <w:bodyDiv w:val="1"/>
      <w:marLeft w:val="0"/>
      <w:marRight w:val="0"/>
      <w:marTop w:val="0"/>
      <w:marBottom w:val="0"/>
      <w:divBdr>
        <w:top w:val="none" w:sz="0" w:space="0" w:color="auto"/>
        <w:left w:val="none" w:sz="0" w:space="0" w:color="auto"/>
        <w:bottom w:val="none" w:sz="0" w:space="0" w:color="auto"/>
        <w:right w:val="none" w:sz="0" w:space="0" w:color="auto"/>
      </w:divBdr>
      <w:divsChild>
        <w:div w:id="240481605">
          <w:marLeft w:val="-720"/>
          <w:marRight w:val="0"/>
          <w:marTop w:val="0"/>
          <w:marBottom w:val="0"/>
          <w:divBdr>
            <w:top w:val="none" w:sz="0" w:space="0" w:color="auto"/>
            <w:left w:val="none" w:sz="0" w:space="0" w:color="auto"/>
            <w:bottom w:val="none" w:sz="0" w:space="0" w:color="auto"/>
            <w:right w:val="none" w:sz="0" w:space="0" w:color="auto"/>
          </w:divBdr>
        </w:div>
      </w:divsChild>
    </w:div>
    <w:div w:id="93016730">
      <w:bodyDiv w:val="1"/>
      <w:marLeft w:val="0"/>
      <w:marRight w:val="0"/>
      <w:marTop w:val="0"/>
      <w:marBottom w:val="0"/>
      <w:divBdr>
        <w:top w:val="none" w:sz="0" w:space="0" w:color="auto"/>
        <w:left w:val="none" w:sz="0" w:space="0" w:color="auto"/>
        <w:bottom w:val="none" w:sz="0" w:space="0" w:color="auto"/>
        <w:right w:val="none" w:sz="0" w:space="0" w:color="auto"/>
      </w:divBdr>
      <w:divsChild>
        <w:div w:id="1841385865">
          <w:marLeft w:val="-720"/>
          <w:marRight w:val="0"/>
          <w:marTop w:val="0"/>
          <w:marBottom w:val="0"/>
          <w:divBdr>
            <w:top w:val="none" w:sz="0" w:space="0" w:color="auto"/>
            <w:left w:val="none" w:sz="0" w:space="0" w:color="auto"/>
            <w:bottom w:val="none" w:sz="0" w:space="0" w:color="auto"/>
            <w:right w:val="none" w:sz="0" w:space="0" w:color="auto"/>
          </w:divBdr>
        </w:div>
      </w:divsChild>
    </w:div>
    <w:div w:id="115295771">
      <w:bodyDiv w:val="1"/>
      <w:marLeft w:val="0"/>
      <w:marRight w:val="0"/>
      <w:marTop w:val="0"/>
      <w:marBottom w:val="0"/>
      <w:divBdr>
        <w:top w:val="none" w:sz="0" w:space="0" w:color="auto"/>
        <w:left w:val="none" w:sz="0" w:space="0" w:color="auto"/>
        <w:bottom w:val="none" w:sz="0" w:space="0" w:color="auto"/>
        <w:right w:val="none" w:sz="0" w:space="0" w:color="auto"/>
      </w:divBdr>
      <w:divsChild>
        <w:div w:id="251476376">
          <w:marLeft w:val="-720"/>
          <w:marRight w:val="0"/>
          <w:marTop w:val="0"/>
          <w:marBottom w:val="0"/>
          <w:divBdr>
            <w:top w:val="none" w:sz="0" w:space="0" w:color="auto"/>
            <w:left w:val="none" w:sz="0" w:space="0" w:color="auto"/>
            <w:bottom w:val="none" w:sz="0" w:space="0" w:color="auto"/>
            <w:right w:val="none" w:sz="0" w:space="0" w:color="auto"/>
          </w:divBdr>
        </w:div>
      </w:divsChild>
    </w:div>
    <w:div w:id="235555751">
      <w:bodyDiv w:val="1"/>
      <w:marLeft w:val="0"/>
      <w:marRight w:val="0"/>
      <w:marTop w:val="0"/>
      <w:marBottom w:val="0"/>
      <w:divBdr>
        <w:top w:val="none" w:sz="0" w:space="0" w:color="auto"/>
        <w:left w:val="none" w:sz="0" w:space="0" w:color="auto"/>
        <w:bottom w:val="none" w:sz="0" w:space="0" w:color="auto"/>
        <w:right w:val="none" w:sz="0" w:space="0" w:color="auto"/>
      </w:divBdr>
      <w:divsChild>
        <w:div w:id="872882585">
          <w:marLeft w:val="-720"/>
          <w:marRight w:val="0"/>
          <w:marTop w:val="0"/>
          <w:marBottom w:val="0"/>
          <w:divBdr>
            <w:top w:val="none" w:sz="0" w:space="0" w:color="auto"/>
            <w:left w:val="none" w:sz="0" w:space="0" w:color="auto"/>
            <w:bottom w:val="none" w:sz="0" w:space="0" w:color="auto"/>
            <w:right w:val="none" w:sz="0" w:space="0" w:color="auto"/>
          </w:divBdr>
        </w:div>
      </w:divsChild>
    </w:div>
    <w:div w:id="308944577">
      <w:bodyDiv w:val="1"/>
      <w:marLeft w:val="0"/>
      <w:marRight w:val="0"/>
      <w:marTop w:val="0"/>
      <w:marBottom w:val="0"/>
      <w:divBdr>
        <w:top w:val="none" w:sz="0" w:space="0" w:color="auto"/>
        <w:left w:val="none" w:sz="0" w:space="0" w:color="auto"/>
        <w:bottom w:val="none" w:sz="0" w:space="0" w:color="auto"/>
        <w:right w:val="none" w:sz="0" w:space="0" w:color="auto"/>
      </w:divBdr>
      <w:divsChild>
        <w:div w:id="1934513779">
          <w:marLeft w:val="-720"/>
          <w:marRight w:val="0"/>
          <w:marTop w:val="0"/>
          <w:marBottom w:val="0"/>
          <w:divBdr>
            <w:top w:val="none" w:sz="0" w:space="0" w:color="auto"/>
            <w:left w:val="none" w:sz="0" w:space="0" w:color="auto"/>
            <w:bottom w:val="none" w:sz="0" w:space="0" w:color="auto"/>
            <w:right w:val="none" w:sz="0" w:space="0" w:color="auto"/>
          </w:divBdr>
        </w:div>
      </w:divsChild>
    </w:div>
    <w:div w:id="342360522">
      <w:bodyDiv w:val="1"/>
      <w:marLeft w:val="0"/>
      <w:marRight w:val="0"/>
      <w:marTop w:val="0"/>
      <w:marBottom w:val="0"/>
      <w:divBdr>
        <w:top w:val="none" w:sz="0" w:space="0" w:color="auto"/>
        <w:left w:val="none" w:sz="0" w:space="0" w:color="auto"/>
        <w:bottom w:val="none" w:sz="0" w:space="0" w:color="auto"/>
        <w:right w:val="none" w:sz="0" w:space="0" w:color="auto"/>
      </w:divBdr>
      <w:divsChild>
        <w:div w:id="767624950">
          <w:marLeft w:val="-720"/>
          <w:marRight w:val="0"/>
          <w:marTop w:val="0"/>
          <w:marBottom w:val="0"/>
          <w:divBdr>
            <w:top w:val="none" w:sz="0" w:space="0" w:color="auto"/>
            <w:left w:val="none" w:sz="0" w:space="0" w:color="auto"/>
            <w:bottom w:val="none" w:sz="0" w:space="0" w:color="auto"/>
            <w:right w:val="none" w:sz="0" w:space="0" w:color="auto"/>
          </w:divBdr>
        </w:div>
      </w:divsChild>
    </w:div>
    <w:div w:id="442459771">
      <w:bodyDiv w:val="1"/>
      <w:marLeft w:val="0"/>
      <w:marRight w:val="0"/>
      <w:marTop w:val="0"/>
      <w:marBottom w:val="0"/>
      <w:divBdr>
        <w:top w:val="none" w:sz="0" w:space="0" w:color="auto"/>
        <w:left w:val="none" w:sz="0" w:space="0" w:color="auto"/>
        <w:bottom w:val="none" w:sz="0" w:space="0" w:color="auto"/>
        <w:right w:val="none" w:sz="0" w:space="0" w:color="auto"/>
      </w:divBdr>
      <w:divsChild>
        <w:div w:id="375198408">
          <w:marLeft w:val="-720"/>
          <w:marRight w:val="0"/>
          <w:marTop w:val="0"/>
          <w:marBottom w:val="0"/>
          <w:divBdr>
            <w:top w:val="none" w:sz="0" w:space="0" w:color="auto"/>
            <w:left w:val="none" w:sz="0" w:space="0" w:color="auto"/>
            <w:bottom w:val="none" w:sz="0" w:space="0" w:color="auto"/>
            <w:right w:val="none" w:sz="0" w:space="0" w:color="auto"/>
          </w:divBdr>
        </w:div>
      </w:divsChild>
    </w:div>
    <w:div w:id="562177906">
      <w:bodyDiv w:val="1"/>
      <w:marLeft w:val="0"/>
      <w:marRight w:val="0"/>
      <w:marTop w:val="0"/>
      <w:marBottom w:val="0"/>
      <w:divBdr>
        <w:top w:val="none" w:sz="0" w:space="0" w:color="auto"/>
        <w:left w:val="none" w:sz="0" w:space="0" w:color="auto"/>
        <w:bottom w:val="none" w:sz="0" w:space="0" w:color="auto"/>
        <w:right w:val="none" w:sz="0" w:space="0" w:color="auto"/>
      </w:divBdr>
      <w:divsChild>
        <w:div w:id="1368874458">
          <w:marLeft w:val="-720"/>
          <w:marRight w:val="0"/>
          <w:marTop w:val="0"/>
          <w:marBottom w:val="0"/>
          <w:divBdr>
            <w:top w:val="none" w:sz="0" w:space="0" w:color="auto"/>
            <w:left w:val="none" w:sz="0" w:space="0" w:color="auto"/>
            <w:bottom w:val="none" w:sz="0" w:space="0" w:color="auto"/>
            <w:right w:val="none" w:sz="0" w:space="0" w:color="auto"/>
          </w:divBdr>
        </w:div>
      </w:divsChild>
    </w:div>
    <w:div w:id="697659370">
      <w:bodyDiv w:val="1"/>
      <w:marLeft w:val="0"/>
      <w:marRight w:val="0"/>
      <w:marTop w:val="0"/>
      <w:marBottom w:val="0"/>
      <w:divBdr>
        <w:top w:val="none" w:sz="0" w:space="0" w:color="auto"/>
        <w:left w:val="none" w:sz="0" w:space="0" w:color="auto"/>
        <w:bottom w:val="none" w:sz="0" w:space="0" w:color="auto"/>
        <w:right w:val="none" w:sz="0" w:space="0" w:color="auto"/>
      </w:divBdr>
      <w:divsChild>
        <w:div w:id="1948854199">
          <w:marLeft w:val="-720"/>
          <w:marRight w:val="0"/>
          <w:marTop w:val="0"/>
          <w:marBottom w:val="0"/>
          <w:divBdr>
            <w:top w:val="none" w:sz="0" w:space="0" w:color="auto"/>
            <w:left w:val="none" w:sz="0" w:space="0" w:color="auto"/>
            <w:bottom w:val="none" w:sz="0" w:space="0" w:color="auto"/>
            <w:right w:val="none" w:sz="0" w:space="0" w:color="auto"/>
          </w:divBdr>
        </w:div>
      </w:divsChild>
    </w:div>
    <w:div w:id="858736059">
      <w:bodyDiv w:val="1"/>
      <w:marLeft w:val="0"/>
      <w:marRight w:val="0"/>
      <w:marTop w:val="0"/>
      <w:marBottom w:val="0"/>
      <w:divBdr>
        <w:top w:val="none" w:sz="0" w:space="0" w:color="auto"/>
        <w:left w:val="none" w:sz="0" w:space="0" w:color="auto"/>
        <w:bottom w:val="none" w:sz="0" w:space="0" w:color="auto"/>
        <w:right w:val="none" w:sz="0" w:space="0" w:color="auto"/>
      </w:divBdr>
      <w:divsChild>
        <w:div w:id="93981805">
          <w:marLeft w:val="-720"/>
          <w:marRight w:val="0"/>
          <w:marTop w:val="0"/>
          <w:marBottom w:val="0"/>
          <w:divBdr>
            <w:top w:val="none" w:sz="0" w:space="0" w:color="auto"/>
            <w:left w:val="none" w:sz="0" w:space="0" w:color="auto"/>
            <w:bottom w:val="none" w:sz="0" w:space="0" w:color="auto"/>
            <w:right w:val="none" w:sz="0" w:space="0" w:color="auto"/>
          </w:divBdr>
        </w:div>
      </w:divsChild>
    </w:div>
    <w:div w:id="897401219">
      <w:bodyDiv w:val="1"/>
      <w:marLeft w:val="0"/>
      <w:marRight w:val="0"/>
      <w:marTop w:val="0"/>
      <w:marBottom w:val="0"/>
      <w:divBdr>
        <w:top w:val="none" w:sz="0" w:space="0" w:color="auto"/>
        <w:left w:val="none" w:sz="0" w:space="0" w:color="auto"/>
        <w:bottom w:val="none" w:sz="0" w:space="0" w:color="auto"/>
        <w:right w:val="none" w:sz="0" w:space="0" w:color="auto"/>
      </w:divBdr>
      <w:divsChild>
        <w:div w:id="21396407">
          <w:marLeft w:val="-720"/>
          <w:marRight w:val="0"/>
          <w:marTop w:val="0"/>
          <w:marBottom w:val="0"/>
          <w:divBdr>
            <w:top w:val="none" w:sz="0" w:space="0" w:color="auto"/>
            <w:left w:val="none" w:sz="0" w:space="0" w:color="auto"/>
            <w:bottom w:val="none" w:sz="0" w:space="0" w:color="auto"/>
            <w:right w:val="none" w:sz="0" w:space="0" w:color="auto"/>
          </w:divBdr>
        </w:div>
      </w:divsChild>
    </w:div>
    <w:div w:id="905145024">
      <w:bodyDiv w:val="1"/>
      <w:marLeft w:val="0"/>
      <w:marRight w:val="0"/>
      <w:marTop w:val="0"/>
      <w:marBottom w:val="0"/>
      <w:divBdr>
        <w:top w:val="none" w:sz="0" w:space="0" w:color="auto"/>
        <w:left w:val="none" w:sz="0" w:space="0" w:color="auto"/>
        <w:bottom w:val="none" w:sz="0" w:space="0" w:color="auto"/>
        <w:right w:val="none" w:sz="0" w:space="0" w:color="auto"/>
      </w:divBdr>
      <w:divsChild>
        <w:div w:id="1702777896">
          <w:marLeft w:val="-720"/>
          <w:marRight w:val="0"/>
          <w:marTop w:val="0"/>
          <w:marBottom w:val="0"/>
          <w:divBdr>
            <w:top w:val="none" w:sz="0" w:space="0" w:color="auto"/>
            <w:left w:val="none" w:sz="0" w:space="0" w:color="auto"/>
            <w:bottom w:val="none" w:sz="0" w:space="0" w:color="auto"/>
            <w:right w:val="none" w:sz="0" w:space="0" w:color="auto"/>
          </w:divBdr>
        </w:div>
      </w:divsChild>
    </w:div>
    <w:div w:id="914826917">
      <w:bodyDiv w:val="1"/>
      <w:marLeft w:val="0"/>
      <w:marRight w:val="0"/>
      <w:marTop w:val="0"/>
      <w:marBottom w:val="0"/>
      <w:divBdr>
        <w:top w:val="none" w:sz="0" w:space="0" w:color="auto"/>
        <w:left w:val="none" w:sz="0" w:space="0" w:color="auto"/>
        <w:bottom w:val="none" w:sz="0" w:space="0" w:color="auto"/>
        <w:right w:val="none" w:sz="0" w:space="0" w:color="auto"/>
      </w:divBdr>
    </w:div>
    <w:div w:id="1006053436">
      <w:bodyDiv w:val="1"/>
      <w:marLeft w:val="0"/>
      <w:marRight w:val="0"/>
      <w:marTop w:val="0"/>
      <w:marBottom w:val="0"/>
      <w:divBdr>
        <w:top w:val="none" w:sz="0" w:space="0" w:color="auto"/>
        <w:left w:val="none" w:sz="0" w:space="0" w:color="auto"/>
        <w:bottom w:val="none" w:sz="0" w:space="0" w:color="auto"/>
        <w:right w:val="none" w:sz="0" w:space="0" w:color="auto"/>
      </w:divBdr>
      <w:divsChild>
        <w:div w:id="292295239">
          <w:marLeft w:val="-720"/>
          <w:marRight w:val="0"/>
          <w:marTop w:val="0"/>
          <w:marBottom w:val="0"/>
          <w:divBdr>
            <w:top w:val="none" w:sz="0" w:space="0" w:color="auto"/>
            <w:left w:val="none" w:sz="0" w:space="0" w:color="auto"/>
            <w:bottom w:val="none" w:sz="0" w:space="0" w:color="auto"/>
            <w:right w:val="none" w:sz="0" w:space="0" w:color="auto"/>
          </w:divBdr>
        </w:div>
      </w:divsChild>
    </w:div>
    <w:div w:id="1007244627">
      <w:bodyDiv w:val="1"/>
      <w:marLeft w:val="0"/>
      <w:marRight w:val="0"/>
      <w:marTop w:val="0"/>
      <w:marBottom w:val="0"/>
      <w:divBdr>
        <w:top w:val="none" w:sz="0" w:space="0" w:color="auto"/>
        <w:left w:val="none" w:sz="0" w:space="0" w:color="auto"/>
        <w:bottom w:val="none" w:sz="0" w:space="0" w:color="auto"/>
        <w:right w:val="none" w:sz="0" w:space="0" w:color="auto"/>
      </w:divBdr>
      <w:divsChild>
        <w:div w:id="1281646630">
          <w:marLeft w:val="-720"/>
          <w:marRight w:val="0"/>
          <w:marTop w:val="0"/>
          <w:marBottom w:val="0"/>
          <w:divBdr>
            <w:top w:val="none" w:sz="0" w:space="0" w:color="auto"/>
            <w:left w:val="none" w:sz="0" w:space="0" w:color="auto"/>
            <w:bottom w:val="none" w:sz="0" w:space="0" w:color="auto"/>
            <w:right w:val="none" w:sz="0" w:space="0" w:color="auto"/>
          </w:divBdr>
        </w:div>
      </w:divsChild>
    </w:div>
    <w:div w:id="1049257129">
      <w:bodyDiv w:val="1"/>
      <w:marLeft w:val="0"/>
      <w:marRight w:val="0"/>
      <w:marTop w:val="0"/>
      <w:marBottom w:val="0"/>
      <w:divBdr>
        <w:top w:val="none" w:sz="0" w:space="0" w:color="auto"/>
        <w:left w:val="none" w:sz="0" w:space="0" w:color="auto"/>
        <w:bottom w:val="none" w:sz="0" w:space="0" w:color="auto"/>
        <w:right w:val="none" w:sz="0" w:space="0" w:color="auto"/>
      </w:divBdr>
    </w:div>
    <w:div w:id="1059210469">
      <w:bodyDiv w:val="1"/>
      <w:marLeft w:val="0"/>
      <w:marRight w:val="0"/>
      <w:marTop w:val="0"/>
      <w:marBottom w:val="0"/>
      <w:divBdr>
        <w:top w:val="none" w:sz="0" w:space="0" w:color="auto"/>
        <w:left w:val="none" w:sz="0" w:space="0" w:color="auto"/>
        <w:bottom w:val="none" w:sz="0" w:space="0" w:color="auto"/>
        <w:right w:val="none" w:sz="0" w:space="0" w:color="auto"/>
      </w:divBdr>
      <w:divsChild>
        <w:div w:id="76901632">
          <w:marLeft w:val="-720"/>
          <w:marRight w:val="0"/>
          <w:marTop w:val="0"/>
          <w:marBottom w:val="0"/>
          <w:divBdr>
            <w:top w:val="none" w:sz="0" w:space="0" w:color="auto"/>
            <w:left w:val="none" w:sz="0" w:space="0" w:color="auto"/>
            <w:bottom w:val="none" w:sz="0" w:space="0" w:color="auto"/>
            <w:right w:val="none" w:sz="0" w:space="0" w:color="auto"/>
          </w:divBdr>
        </w:div>
      </w:divsChild>
    </w:div>
    <w:div w:id="1124931578">
      <w:bodyDiv w:val="1"/>
      <w:marLeft w:val="0"/>
      <w:marRight w:val="0"/>
      <w:marTop w:val="0"/>
      <w:marBottom w:val="0"/>
      <w:divBdr>
        <w:top w:val="none" w:sz="0" w:space="0" w:color="auto"/>
        <w:left w:val="none" w:sz="0" w:space="0" w:color="auto"/>
        <w:bottom w:val="none" w:sz="0" w:space="0" w:color="auto"/>
        <w:right w:val="none" w:sz="0" w:space="0" w:color="auto"/>
      </w:divBdr>
      <w:divsChild>
        <w:div w:id="148642596">
          <w:marLeft w:val="-720"/>
          <w:marRight w:val="0"/>
          <w:marTop w:val="0"/>
          <w:marBottom w:val="0"/>
          <w:divBdr>
            <w:top w:val="none" w:sz="0" w:space="0" w:color="auto"/>
            <w:left w:val="none" w:sz="0" w:space="0" w:color="auto"/>
            <w:bottom w:val="none" w:sz="0" w:space="0" w:color="auto"/>
            <w:right w:val="none" w:sz="0" w:space="0" w:color="auto"/>
          </w:divBdr>
        </w:div>
      </w:divsChild>
    </w:div>
    <w:div w:id="1216821547">
      <w:bodyDiv w:val="1"/>
      <w:marLeft w:val="0"/>
      <w:marRight w:val="0"/>
      <w:marTop w:val="0"/>
      <w:marBottom w:val="0"/>
      <w:divBdr>
        <w:top w:val="none" w:sz="0" w:space="0" w:color="auto"/>
        <w:left w:val="none" w:sz="0" w:space="0" w:color="auto"/>
        <w:bottom w:val="none" w:sz="0" w:space="0" w:color="auto"/>
        <w:right w:val="none" w:sz="0" w:space="0" w:color="auto"/>
      </w:divBdr>
      <w:divsChild>
        <w:div w:id="1629704226">
          <w:marLeft w:val="-720"/>
          <w:marRight w:val="0"/>
          <w:marTop w:val="0"/>
          <w:marBottom w:val="0"/>
          <w:divBdr>
            <w:top w:val="none" w:sz="0" w:space="0" w:color="auto"/>
            <w:left w:val="none" w:sz="0" w:space="0" w:color="auto"/>
            <w:bottom w:val="none" w:sz="0" w:space="0" w:color="auto"/>
            <w:right w:val="none" w:sz="0" w:space="0" w:color="auto"/>
          </w:divBdr>
        </w:div>
      </w:divsChild>
    </w:div>
    <w:div w:id="1234584179">
      <w:bodyDiv w:val="1"/>
      <w:marLeft w:val="0"/>
      <w:marRight w:val="0"/>
      <w:marTop w:val="0"/>
      <w:marBottom w:val="0"/>
      <w:divBdr>
        <w:top w:val="none" w:sz="0" w:space="0" w:color="auto"/>
        <w:left w:val="none" w:sz="0" w:space="0" w:color="auto"/>
        <w:bottom w:val="none" w:sz="0" w:space="0" w:color="auto"/>
        <w:right w:val="none" w:sz="0" w:space="0" w:color="auto"/>
      </w:divBdr>
      <w:divsChild>
        <w:div w:id="359746997">
          <w:marLeft w:val="-720"/>
          <w:marRight w:val="0"/>
          <w:marTop w:val="0"/>
          <w:marBottom w:val="0"/>
          <w:divBdr>
            <w:top w:val="none" w:sz="0" w:space="0" w:color="auto"/>
            <w:left w:val="none" w:sz="0" w:space="0" w:color="auto"/>
            <w:bottom w:val="none" w:sz="0" w:space="0" w:color="auto"/>
            <w:right w:val="none" w:sz="0" w:space="0" w:color="auto"/>
          </w:divBdr>
        </w:div>
      </w:divsChild>
    </w:div>
    <w:div w:id="1279799581">
      <w:bodyDiv w:val="1"/>
      <w:marLeft w:val="0"/>
      <w:marRight w:val="0"/>
      <w:marTop w:val="0"/>
      <w:marBottom w:val="0"/>
      <w:divBdr>
        <w:top w:val="none" w:sz="0" w:space="0" w:color="auto"/>
        <w:left w:val="none" w:sz="0" w:space="0" w:color="auto"/>
        <w:bottom w:val="none" w:sz="0" w:space="0" w:color="auto"/>
        <w:right w:val="none" w:sz="0" w:space="0" w:color="auto"/>
      </w:divBdr>
    </w:div>
    <w:div w:id="1425758729">
      <w:bodyDiv w:val="1"/>
      <w:marLeft w:val="0"/>
      <w:marRight w:val="0"/>
      <w:marTop w:val="0"/>
      <w:marBottom w:val="0"/>
      <w:divBdr>
        <w:top w:val="none" w:sz="0" w:space="0" w:color="auto"/>
        <w:left w:val="none" w:sz="0" w:space="0" w:color="auto"/>
        <w:bottom w:val="none" w:sz="0" w:space="0" w:color="auto"/>
        <w:right w:val="none" w:sz="0" w:space="0" w:color="auto"/>
      </w:divBdr>
      <w:divsChild>
        <w:div w:id="1287393176">
          <w:marLeft w:val="-720"/>
          <w:marRight w:val="0"/>
          <w:marTop w:val="0"/>
          <w:marBottom w:val="0"/>
          <w:divBdr>
            <w:top w:val="none" w:sz="0" w:space="0" w:color="auto"/>
            <w:left w:val="none" w:sz="0" w:space="0" w:color="auto"/>
            <w:bottom w:val="none" w:sz="0" w:space="0" w:color="auto"/>
            <w:right w:val="none" w:sz="0" w:space="0" w:color="auto"/>
          </w:divBdr>
        </w:div>
      </w:divsChild>
    </w:div>
    <w:div w:id="1497720323">
      <w:bodyDiv w:val="1"/>
      <w:marLeft w:val="0"/>
      <w:marRight w:val="0"/>
      <w:marTop w:val="0"/>
      <w:marBottom w:val="0"/>
      <w:divBdr>
        <w:top w:val="none" w:sz="0" w:space="0" w:color="auto"/>
        <w:left w:val="none" w:sz="0" w:space="0" w:color="auto"/>
        <w:bottom w:val="none" w:sz="0" w:space="0" w:color="auto"/>
        <w:right w:val="none" w:sz="0" w:space="0" w:color="auto"/>
      </w:divBdr>
    </w:div>
    <w:div w:id="1498424159">
      <w:bodyDiv w:val="1"/>
      <w:marLeft w:val="0"/>
      <w:marRight w:val="0"/>
      <w:marTop w:val="0"/>
      <w:marBottom w:val="0"/>
      <w:divBdr>
        <w:top w:val="none" w:sz="0" w:space="0" w:color="auto"/>
        <w:left w:val="none" w:sz="0" w:space="0" w:color="auto"/>
        <w:bottom w:val="none" w:sz="0" w:space="0" w:color="auto"/>
        <w:right w:val="none" w:sz="0" w:space="0" w:color="auto"/>
      </w:divBdr>
      <w:divsChild>
        <w:div w:id="1127241156">
          <w:marLeft w:val="-720"/>
          <w:marRight w:val="0"/>
          <w:marTop w:val="0"/>
          <w:marBottom w:val="0"/>
          <w:divBdr>
            <w:top w:val="none" w:sz="0" w:space="0" w:color="auto"/>
            <w:left w:val="none" w:sz="0" w:space="0" w:color="auto"/>
            <w:bottom w:val="none" w:sz="0" w:space="0" w:color="auto"/>
            <w:right w:val="none" w:sz="0" w:space="0" w:color="auto"/>
          </w:divBdr>
        </w:div>
      </w:divsChild>
    </w:div>
    <w:div w:id="1638417487">
      <w:bodyDiv w:val="1"/>
      <w:marLeft w:val="0"/>
      <w:marRight w:val="0"/>
      <w:marTop w:val="0"/>
      <w:marBottom w:val="0"/>
      <w:divBdr>
        <w:top w:val="none" w:sz="0" w:space="0" w:color="auto"/>
        <w:left w:val="none" w:sz="0" w:space="0" w:color="auto"/>
        <w:bottom w:val="none" w:sz="0" w:space="0" w:color="auto"/>
        <w:right w:val="none" w:sz="0" w:space="0" w:color="auto"/>
      </w:divBdr>
      <w:divsChild>
        <w:div w:id="180629473">
          <w:marLeft w:val="-720"/>
          <w:marRight w:val="0"/>
          <w:marTop w:val="0"/>
          <w:marBottom w:val="0"/>
          <w:divBdr>
            <w:top w:val="none" w:sz="0" w:space="0" w:color="auto"/>
            <w:left w:val="none" w:sz="0" w:space="0" w:color="auto"/>
            <w:bottom w:val="none" w:sz="0" w:space="0" w:color="auto"/>
            <w:right w:val="none" w:sz="0" w:space="0" w:color="auto"/>
          </w:divBdr>
        </w:div>
      </w:divsChild>
    </w:div>
    <w:div w:id="1640066721">
      <w:bodyDiv w:val="1"/>
      <w:marLeft w:val="0"/>
      <w:marRight w:val="0"/>
      <w:marTop w:val="0"/>
      <w:marBottom w:val="0"/>
      <w:divBdr>
        <w:top w:val="none" w:sz="0" w:space="0" w:color="auto"/>
        <w:left w:val="none" w:sz="0" w:space="0" w:color="auto"/>
        <w:bottom w:val="none" w:sz="0" w:space="0" w:color="auto"/>
        <w:right w:val="none" w:sz="0" w:space="0" w:color="auto"/>
      </w:divBdr>
      <w:divsChild>
        <w:div w:id="1808668649">
          <w:marLeft w:val="-720"/>
          <w:marRight w:val="0"/>
          <w:marTop w:val="0"/>
          <w:marBottom w:val="0"/>
          <w:divBdr>
            <w:top w:val="none" w:sz="0" w:space="0" w:color="auto"/>
            <w:left w:val="none" w:sz="0" w:space="0" w:color="auto"/>
            <w:bottom w:val="none" w:sz="0" w:space="0" w:color="auto"/>
            <w:right w:val="none" w:sz="0" w:space="0" w:color="auto"/>
          </w:divBdr>
        </w:div>
      </w:divsChild>
    </w:div>
    <w:div w:id="1983534396">
      <w:bodyDiv w:val="1"/>
      <w:marLeft w:val="0"/>
      <w:marRight w:val="0"/>
      <w:marTop w:val="0"/>
      <w:marBottom w:val="0"/>
      <w:divBdr>
        <w:top w:val="none" w:sz="0" w:space="0" w:color="auto"/>
        <w:left w:val="none" w:sz="0" w:space="0" w:color="auto"/>
        <w:bottom w:val="none" w:sz="0" w:space="0" w:color="auto"/>
        <w:right w:val="none" w:sz="0" w:space="0" w:color="auto"/>
      </w:divBdr>
      <w:divsChild>
        <w:div w:id="1875191300">
          <w:marLeft w:val="-720"/>
          <w:marRight w:val="0"/>
          <w:marTop w:val="0"/>
          <w:marBottom w:val="0"/>
          <w:divBdr>
            <w:top w:val="none" w:sz="0" w:space="0" w:color="auto"/>
            <w:left w:val="none" w:sz="0" w:space="0" w:color="auto"/>
            <w:bottom w:val="none" w:sz="0" w:space="0" w:color="auto"/>
            <w:right w:val="none" w:sz="0" w:space="0" w:color="auto"/>
          </w:divBdr>
        </w:div>
      </w:divsChild>
    </w:div>
    <w:div w:id="2022735368">
      <w:bodyDiv w:val="1"/>
      <w:marLeft w:val="0"/>
      <w:marRight w:val="0"/>
      <w:marTop w:val="0"/>
      <w:marBottom w:val="0"/>
      <w:divBdr>
        <w:top w:val="none" w:sz="0" w:space="0" w:color="auto"/>
        <w:left w:val="none" w:sz="0" w:space="0" w:color="auto"/>
        <w:bottom w:val="none" w:sz="0" w:space="0" w:color="auto"/>
        <w:right w:val="none" w:sz="0" w:space="0" w:color="auto"/>
      </w:divBdr>
      <w:divsChild>
        <w:div w:id="1725714554">
          <w:marLeft w:val="-720"/>
          <w:marRight w:val="0"/>
          <w:marTop w:val="0"/>
          <w:marBottom w:val="0"/>
          <w:divBdr>
            <w:top w:val="none" w:sz="0" w:space="0" w:color="auto"/>
            <w:left w:val="none" w:sz="0" w:space="0" w:color="auto"/>
            <w:bottom w:val="none" w:sz="0" w:space="0" w:color="auto"/>
            <w:right w:val="none" w:sz="0" w:space="0" w:color="auto"/>
          </w:divBdr>
        </w:div>
      </w:divsChild>
    </w:div>
    <w:div w:id="2074621193">
      <w:bodyDiv w:val="1"/>
      <w:marLeft w:val="0"/>
      <w:marRight w:val="0"/>
      <w:marTop w:val="0"/>
      <w:marBottom w:val="0"/>
      <w:divBdr>
        <w:top w:val="none" w:sz="0" w:space="0" w:color="auto"/>
        <w:left w:val="none" w:sz="0" w:space="0" w:color="auto"/>
        <w:bottom w:val="none" w:sz="0" w:space="0" w:color="auto"/>
        <w:right w:val="none" w:sz="0" w:space="0" w:color="auto"/>
      </w:divBdr>
      <w:divsChild>
        <w:div w:id="155614537">
          <w:marLeft w:val="-720"/>
          <w:marRight w:val="0"/>
          <w:marTop w:val="0"/>
          <w:marBottom w:val="0"/>
          <w:divBdr>
            <w:top w:val="none" w:sz="0" w:space="0" w:color="auto"/>
            <w:left w:val="none" w:sz="0" w:space="0" w:color="auto"/>
            <w:bottom w:val="none" w:sz="0" w:space="0" w:color="auto"/>
            <w:right w:val="none" w:sz="0" w:space="0" w:color="auto"/>
          </w:divBdr>
        </w:div>
      </w:divsChild>
    </w:div>
    <w:div w:id="2089494570">
      <w:bodyDiv w:val="1"/>
      <w:marLeft w:val="0"/>
      <w:marRight w:val="0"/>
      <w:marTop w:val="0"/>
      <w:marBottom w:val="0"/>
      <w:divBdr>
        <w:top w:val="none" w:sz="0" w:space="0" w:color="auto"/>
        <w:left w:val="none" w:sz="0" w:space="0" w:color="auto"/>
        <w:bottom w:val="none" w:sz="0" w:space="0" w:color="auto"/>
        <w:right w:val="none" w:sz="0" w:space="0" w:color="auto"/>
      </w:divBdr>
      <w:divsChild>
        <w:div w:id="640354935">
          <w:marLeft w:val="-720"/>
          <w:marRight w:val="0"/>
          <w:marTop w:val="0"/>
          <w:marBottom w:val="0"/>
          <w:divBdr>
            <w:top w:val="none" w:sz="0" w:space="0" w:color="auto"/>
            <w:left w:val="none" w:sz="0" w:space="0" w:color="auto"/>
            <w:bottom w:val="none" w:sz="0" w:space="0" w:color="auto"/>
            <w:right w:val="none" w:sz="0" w:space="0" w:color="auto"/>
          </w:divBdr>
        </w:div>
      </w:divsChild>
    </w:div>
    <w:div w:id="2109808445">
      <w:bodyDiv w:val="1"/>
      <w:marLeft w:val="0"/>
      <w:marRight w:val="0"/>
      <w:marTop w:val="0"/>
      <w:marBottom w:val="0"/>
      <w:divBdr>
        <w:top w:val="none" w:sz="0" w:space="0" w:color="auto"/>
        <w:left w:val="none" w:sz="0" w:space="0" w:color="auto"/>
        <w:bottom w:val="none" w:sz="0" w:space="0" w:color="auto"/>
        <w:right w:val="none" w:sz="0" w:space="0" w:color="auto"/>
      </w:divBdr>
    </w:div>
    <w:div w:id="2117366649">
      <w:bodyDiv w:val="1"/>
      <w:marLeft w:val="0"/>
      <w:marRight w:val="0"/>
      <w:marTop w:val="0"/>
      <w:marBottom w:val="0"/>
      <w:divBdr>
        <w:top w:val="none" w:sz="0" w:space="0" w:color="auto"/>
        <w:left w:val="none" w:sz="0" w:space="0" w:color="auto"/>
        <w:bottom w:val="none" w:sz="0" w:space="0" w:color="auto"/>
        <w:right w:val="none" w:sz="0" w:space="0" w:color="auto"/>
      </w:divBdr>
      <w:divsChild>
        <w:div w:id="48848329">
          <w:marLeft w:val="-720"/>
          <w:marRight w:val="0"/>
          <w:marTop w:val="0"/>
          <w:marBottom w:val="0"/>
          <w:divBdr>
            <w:top w:val="none" w:sz="0" w:space="0" w:color="auto"/>
            <w:left w:val="none" w:sz="0" w:space="0" w:color="auto"/>
            <w:bottom w:val="none" w:sz="0" w:space="0" w:color="auto"/>
            <w:right w:val="none" w:sz="0" w:space="0" w:color="auto"/>
          </w:divBdr>
        </w:div>
      </w:divsChild>
    </w:div>
    <w:div w:id="2126927096">
      <w:bodyDiv w:val="1"/>
      <w:marLeft w:val="0"/>
      <w:marRight w:val="0"/>
      <w:marTop w:val="0"/>
      <w:marBottom w:val="0"/>
      <w:divBdr>
        <w:top w:val="none" w:sz="0" w:space="0" w:color="auto"/>
        <w:left w:val="none" w:sz="0" w:space="0" w:color="auto"/>
        <w:bottom w:val="none" w:sz="0" w:space="0" w:color="auto"/>
        <w:right w:val="none" w:sz="0" w:space="0" w:color="auto"/>
      </w:divBdr>
      <w:divsChild>
        <w:div w:id="685865893">
          <w:marLeft w:val="0"/>
          <w:marRight w:val="0"/>
          <w:marTop w:val="0"/>
          <w:marBottom w:val="0"/>
          <w:divBdr>
            <w:top w:val="single" w:sz="6" w:space="0" w:color="auto"/>
            <w:left w:val="single" w:sz="2" w:space="0" w:color="auto"/>
            <w:bottom w:val="single" w:sz="2" w:space="0" w:color="auto"/>
            <w:right w:val="single" w:sz="2" w:space="0" w:color="auto"/>
          </w:divBdr>
          <w:divsChild>
            <w:div w:id="405227429">
              <w:marLeft w:val="0"/>
              <w:marRight w:val="0"/>
              <w:marTop w:val="0"/>
              <w:marBottom w:val="0"/>
              <w:divBdr>
                <w:top w:val="single" w:sz="2" w:space="0" w:color="E5E7EB"/>
                <w:left w:val="single" w:sz="2" w:space="0" w:color="E5E7EB"/>
                <w:bottom w:val="single" w:sz="2" w:space="0" w:color="E5E7EB"/>
                <w:right w:val="single" w:sz="2" w:space="0" w:color="E5E7EB"/>
              </w:divBdr>
            </w:div>
            <w:div w:id="606891901">
              <w:marLeft w:val="0"/>
              <w:marRight w:val="0"/>
              <w:marTop w:val="0"/>
              <w:marBottom w:val="0"/>
              <w:divBdr>
                <w:top w:val="single" w:sz="2" w:space="0" w:color="E5E7EB"/>
                <w:left w:val="single" w:sz="2" w:space="0" w:color="E5E7EB"/>
                <w:bottom w:val="single" w:sz="2" w:space="0" w:color="E5E7EB"/>
                <w:right w:val="single" w:sz="2" w:space="0" w:color="E5E7EB"/>
              </w:divBdr>
              <w:divsChild>
                <w:div w:id="890654025">
                  <w:marLeft w:val="0"/>
                  <w:marRight w:val="0"/>
                  <w:marTop w:val="0"/>
                  <w:marBottom w:val="0"/>
                  <w:divBdr>
                    <w:top w:val="single" w:sz="2" w:space="0" w:color="E5E7EB"/>
                    <w:left w:val="single" w:sz="2" w:space="0" w:color="E5E7EB"/>
                    <w:bottom w:val="single" w:sz="2" w:space="0" w:color="E5E7EB"/>
                    <w:right w:val="single" w:sz="2" w:space="0" w:color="E5E7EB"/>
                  </w:divBdr>
                </w:div>
                <w:div w:id="1169226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8455110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32049691">
      <w:bodyDiv w:val="1"/>
      <w:marLeft w:val="0"/>
      <w:marRight w:val="0"/>
      <w:marTop w:val="0"/>
      <w:marBottom w:val="0"/>
      <w:divBdr>
        <w:top w:val="none" w:sz="0" w:space="0" w:color="auto"/>
        <w:left w:val="none" w:sz="0" w:space="0" w:color="auto"/>
        <w:bottom w:val="none" w:sz="0" w:space="0" w:color="auto"/>
        <w:right w:val="none" w:sz="0" w:space="0" w:color="auto"/>
      </w:divBdr>
      <w:divsChild>
        <w:div w:id="1821068323">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3" Type="http://schemas.openxmlformats.org/officeDocument/2006/relationships/image" Target="media/image2.png"/><Relationship Id="rId14" Type="http://schemas.openxmlformats.org/officeDocument/2006/relationships/footer" Target="footer1.xml"/><Relationship Id="rId15" Type="http://schemas.openxmlformats.org/officeDocument/2006/relationships/footer" Target="footer2.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6" Type="http://schemas.openxmlformats.org/officeDocument/2006/relationships/footnotes" Target="footnotes.xml"/><Relationship Id="rId7" Type="http://schemas.openxmlformats.org/officeDocument/2006/relationships/endnotes" Target="endnotes.xml"/><Relationship Id="rId1" Type="http://schemas.openxmlformats.org/officeDocument/2006/relationships/customXml" Target="../customXml/item1.xml"/><Relationship Id="rId5" Type="http://schemas.openxmlformats.org/officeDocument/2006/relationships/webSettings" Target="webSettings.xml"/></Relationships>
</file>

<file path=word/_rels/endnotes.xml.rels><?xml version="1.0" encoding="UTF-8" standalone="yes"?>
<Relationships xmlns="http://schemas.openxmlformats.org/package/2006/relationships"></Relationships>
</file>

<file path=word/_rels/footer1.xml.rels><?xml version="1.0" encoding="UTF-8" standalone="yes"?>
<Relationships xmlns="http://schemas.openxmlformats.org/package/2006/relationships"></Relationships>
</file>

<file path=word/_rels/footer2.xml.rels><?xml version="1.0" encoding="UTF-8" standalone="yes"?>
<Relationships xmlns="http://schemas.openxmlformats.org/package/2006/relationships"></Relationships>
</file>

<file path=word/_rels/footnotes.xml.rels><?xml version="1.0" encoding="UTF-8" standalone="yes"?>
<Relationships xmlns="http://schemas.openxmlformats.org/package/2006/relationships"></Relationships>
</file>

<file path=word/_rels/numbering.xml.rels><?xml version="1.0" encoding="UTF-8" standalone="yes"?>
<Relationships xmlns="http://schemas.openxmlformats.org/package/2006/relationship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明朝"/>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3E5AAAF-AE2A-4106-8D4D-7C35E2CC2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12</Pages>
  <Words>2704</Words>
  <Characters>15416</Characters>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Marius Stroe</dc:creator>
  <cp:lastModifiedBy>Marius Stroe</cp:lastModifiedB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7fd96769-9f5d-44dc-aac7-7e32afd1ce73</vt:lpwstr>
  </property>
</Properties>
</file>