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18B77" w14:textId="1FC86095" w:rsidR="00A50A58" w:rsidRDefault="002318B5">
      <w:r>
        <w:t>Duty of care</w:t>
      </w:r>
    </w:p>
    <w:p w14:paraId="2E0C6C1E" w14:textId="77777777" w:rsidR="002318B5" w:rsidRDefault="002318B5"/>
    <w:p w14:paraId="6ACF2AA8" w14:textId="09991DB2" w:rsidR="002318B5" w:rsidRDefault="002C0C55">
      <w:r>
        <w:t>Duty of care is one of, if not the most fundamental element of tort law in England and Wales. It serves to provide a distinction between those who are inherently bound to undertake certain actions or omissions and those who are not. In tort, this is generally applied to those who fail to meet this standard and provides a method to return the party harmed by the acts or omissions of the defendant back to the situation they were in before the incident, or one that is comparable. However, duty of care can be difficult to apply in tort law. It has often been stated that there is no single test for Duty of care, leaving the question of how it is applied to the</w:t>
      </w:r>
      <w:r w:rsidR="008506AC">
        <w:t xml:space="preserve"> discretion of the</w:t>
      </w:r>
      <w:r>
        <w:t xml:space="preserve"> </w:t>
      </w:r>
      <w:r w:rsidR="008506AC">
        <w:t xml:space="preserve">court. This may cause difficulties in its application due to the many tests and their variations that have been developed over the years. </w:t>
      </w:r>
    </w:p>
    <w:p w14:paraId="0A4BD8B5" w14:textId="3A26BB96" w:rsidR="008506AC" w:rsidRDefault="008506AC">
      <w:r>
        <w:t xml:space="preserve">Duty of care was first developed as a legal concept in the case of Donoghue v Stevenson (1932), which also opened the access to tort law to the general public. This case concerned the falling ill of a woman after consuming a contaminated product sold by the defendant, Mr Stevenson. </w:t>
      </w:r>
      <w:r w:rsidR="00961AEF">
        <w:t xml:space="preserve">This case was decided by the House of Lords in a landmark decision that would significantly change the landscape of tort law. Lord Atkin, in his decision stated what would be known as the “neighbour principle”, which suggested that all people </w:t>
      </w:r>
      <w:r w:rsidR="009454E6">
        <w:t>owe a duty of care to those who can be reasonably foreseen to be affected by their acts and omissions</w:t>
      </w:r>
      <w:r w:rsidR="008A7600">
        <w:t xml:space="preserve"> (Pilgerstorfer, 2024, Ch.2)</w:t>
      </w:r>
      <w:r w:rsidR="009454E6">
        <w:t>, based upon the Christian principle of the same name.</w:t>
      </w:r>
      <w:r w:rsidR="008E46C1">
        <w:t xml:space="preserve"> Reasonable foreseeability means that person undertaking the act could reasonably have been expected that the negative result could have occurred.</w:t>
      </w:r>
      <w:r w:rsidR="00296034">
        <w:t xml:space="preserve"> This is balanced against the concept of the reasonable person, first mentioned in Vaughan v Menlove (1837)</w:t>
      </w:r>
      <w:r w:rsidR="004535F5">
        <w:t>, in which it must be asked if a reasonable person of average and comparable attributes would have undertaken the same conduct, making this an objective test</w:t>
      </w:r>
      <w:r w:rsidR="00296034">
        <w:t xml:space="preserve">. </w:t>
      </w:r>
      <w:r w:rsidR="008E46C1">
        <w:t xml:space="preserve"> </w:t>
      </w:r>
      <w:r w:rsidR="004535F5">
        <w:t>The use of reasonable foreseeability can be demonstrated by</w:t>
      </w:r>
      <w:r w:rsidR="00D83ECC">
        <w:t xml:space="preserve"> Alcock v Chief Constable of South Yorkshire Police (1991)</w:t>
      </w:r>
      <w:r w:rsidR="008E46C1">
        <w:t>.</w:t>
      </w:r>
      <w:r w:rsidR="009454E6">
        <w:t xml:space="preserve"> </w:t>
      </w:r>
      <w:r w:rsidR="00FE6637">
        <w:t xml:space="preserve">Lord Atkins also explains the need for proximity within tort claims </w:t>
      </w:r>
      <w:r w:rsidR="00236E2B">
        <w:t xml:space="preserve">   </w:t>
      </w:r>
      <w:r w:rsidR="00FE6637">
        <w:t xml:space="preserve">through the scenario presented in </w:t>
      </w:r>
      <w:r w:rsidR="00C24440">
        <w:t>Donoghue</w:t>
      </w:r>
      <w:r w:rsidR="00FE6637">
        <w:t xml:space="preserve"> case, stating that a consumer affected by the product they had bought was proximate to the producer of said product</w:t>
      </w:r>
      <w:r w:rsidR="0017627D">
        <w:t xml:space="preserve"> (Pilgerstorfer, 2024, Ch.2)</w:t>
      </w:r>
      <w:r w:rsidR="00FE6637">
        <w:t xml:space="preserve">. </w:t>
      </w:r>
      <w:r w:rsidR="009D5D4E">
        <w:t>This can later be seen demonstrated in Marc Rich &amp; Co. v Bishop Rock Marine Co. (1996)</w:t>
      </w:r>
      <w:r w:rsidR="00DA279C">
        <w:t xml:space="preserve"> as well as Nettleship v Weston (1971)</w:t>
      </w:r>
      <w:r w:rsidR="009D5D4E">
        <w:t xml:space="preserve">. </w:t>
      </w:r>
    </w:p>
    <w:p w14:paraId="08400580" w14:textId="5B415022" w:rsidR="00D444DC" w:rsidRDefault="00D444DC">
      <w:r>
        <w:t xml:space="preserve">Many cases have followed from the decision in Donoghue v Stevenson. </w:t>
      </w:r>
      <w:r w:rsidR="00A6593C">
        <w:t>One example of this was Anns v Merton London Borough Council (1978)</w:t>
      </w:r>
      <w:r w:rsidR="000F6C9B">
        <w:t>. This case, surrounding damage to maisonettes caused by faulty foundations that had not been inspected by the local council had imposed a prima facie duty of care. This is due to a new test being applied, developed from the decision in Donoghue</w:t>
      </w:r>
      <w:r w:rsidR="00E22F9C">
        <w:t xml:space="preserve">, and implies that a duty of care is owed to all people with proximity given that the other party does not have evidence to the contrary. </w:t>
      </w:r>
      <w:r w:rsidR="00661959">
        <w:t xml:space="preserve">This was later overturned in </w:t>
      </w:r>
      <w:r w:rsidR="004215A0">
        <w:t xml:space="preserve">Murphy v Brentwood District Council (1991). </w:t>
      </w:r>
    </w:p>
    <w:p w14:paraId="398A3E98" w14:textId="6FF53C83" w:rsidR="009D5D4E" w:rsidRDefault="009D5D4E">
      <w:r>
        <w:t>T</w:t>
      </w:r>
      <w:r w:rsidR="00B34CB3">
        <w:t>he test to determine if there is a duty of care owed is later expanded upon in Caparo ind. PLC v Dickman</w:t>
      </w:r>
      <w:r>
        <w:t xml:space="preserve"> </w:t>
      </w:r>
      <w:r w:rsidR="00B34CB3">
        <w:t>(1990). This case</w:t>
      </w:r>
      <w:r w:rsidR="00210260">
        <w:t xml:space="preserve"> concerning the hiding of financial information in the sale of companies</w:t>
      </w:r>
      <w:r w:rsidR="00B34CB3">
        <w:t xml:space="preserve"> added a third element to the test</w:t>
      </w:r>
      <w:r w:rsidR="00D444DC">
        <w:t xml:space="preserve"> alongside reasonable foreseeability and </w:t>
      </w:r>
      <w:r w:rsidR="00210260">
        <w:t>proximity, which considered if it is fair, just and reasonable to impose a duty of care upon the defendant. This provides an inherent defence to tortious claims</w:t>
      </w:r>
      <w:r w:rsidR="00FA4A6B">
        <w:t>, shifting the burden of proof back to the claima</w:t>
      </w:r>
      <w:r w:rsidR="00236E2B">
        <w:t>nt. It can also prevent unreasonable rulings, as in some situations, while it may be foreseeable that an act or omission may cause harm, and there may be proximity, it may not be reasonable to impose duty upon the defendant.</w:t>
      </w:r>
      <w:r w:rsidR="00F60D16">
        <w:t xml:space="preserve"> This is demonstrated in L and Another v Reading Borough Council (2007)</w:t>
      </w:r>
      <w:r w:rsidR="00F34722">
        <w:t xml:space="preserve">. </w:t>
      </w:r>
    </w:p>
    <w:p w14:paraId="745B60B9" w14:textId="39C51F6B" w:rsidR="006B7971" w:rsidRDefault="006B7971">
      <w:r>
        <w:lastRenderedPageBreak/>
        <w:t xml:space="preserve">It has been debated for decades if a single test for duty of care should be developed. </w:t>
      </w:r>
      <w:r w:rsidR="00FF6603">
        <w:t xml:space="preserve">Duty of care is nebulous and hard to define due to its open-ended nature, being entirely at the judge’s discretion, given the court has the ability to overturn or ignore precedents. This is made especially difficult due to its long history and variation, taking many forms since its inception, being redefined time and time again. This has </w:t>
      </w:r>
      <w:r w:rsidR="008D6207">
        <w:t>led</w:t>
      </w:r>
      <w:r w:rsidR="00FF6603">
        <w:t xml:space="preserve"> to debate on if the current tests should be replaced with a single overarching duty of care, or if duty of care should continue to be open-ended (</w:t>
      </w:r>
      <w:r w:rsidR="006119F7">
        <w:t>Howarth, 2006, pp. 449-472</w:t>
      </w:r>
      <w:r w:rsidR="00FF6603">
        <w:t>)</w:t>
      </w:r>
      <w:r w:rsidR="007C7F8B">
        <w:t xml:space="preserve"> </w:t>
      </w:r>
    </w:p>
    <w:p w14:paraId="68C6EAB2" w14:textId="69A2D3D8" w:rsidR="007C7F8B" w:rsidRDefault="007C7F8B">
      <w:r>
        <w:t xml:space="preserve">A single duty of care, or a single test, replacing the previous tests is a concept that has been popular for some time. It would allow the judiciary a single set of guidelines to follow in settling tort cases, as well as simplifying the </w:t>
      </w:r>
      <w:r w:rsidR="007829CD">
        <w:t xml:space="preserve">law around the issue for the lay person, as litigants in person continue to increase. This may however cause a sense of rigidity that may create complex legal issues and unjust rulings in cases where there may be novel issues outside of the scope of the single duty of care, both in cases where the defendant is at fault, and where there is no fault. </w:t>
      </w:r>
    </w:p>
    <w:p w14:paraId="4942F405" w14:textId="228F4484" w:rsidR="007829CD" w:rsidRDefault="007829CD">
      <w:r>
        <w:t xml:space="preserve">It may also be difficult in creating a single duty of care to decide on what is necessary. In each of the cases mentioned prior, the tests were not just applied </w:t>
      </w:r>
      <w:r w:rsidR="007816D5">
        <w:t xml:space="preserve">based on precedent but also by what was relevant to the case at hand as well as the specific needs of the tort. </w:t>
      </w:r>
      <w:r w:rsidR="00991A2A">
        <w:t xml:space="preserve">This allows judges and juries to apply the law as and when it is needed, preventing unreasonable rulings, such as that in Anns v Merton. </w:t>
      </w:r>
    </w:p>
    <w:p w14:paraId="339CED43" w14:textId="14932E16" w:rsidR="00BD33BA" w:rsidRDefault="00BD33BA">
      <w:r>
        <w:t xml:space="preserve">It is not unheard of to reform Tort law, both directly and indirectly, as was seen by </w:t>
      </w:r>
      <w:r w:rsidR="00C057F5">
        <w:t xml:space="preserve">the Law Reform (Contributory Negligence) Act 1945. Reform of the tort system may however serve to reduce cases due to the high numbers of litigants in person, increasing year on year (law society), due to the time that will likely be required to acclimate to new guidelines or legislature on the topic, with many likely referring to the older, long-standing system. This would force many in situations in which they may not have the knowledge or understanding to access changes to the law, effectively discouraging those who have been wronged and are most vulnerable to be adversely affected more than the average person. </w:t>
      </w:r>
    </w:p>
    <w:p w14:paraId="73F6FB1F" w14:textId="76A28AF2" w:rsidR="00C057F5" w:rsidRDefault="00C057F5">
      <w:r>
        <w:t xml:space="preserve">Reforms of </w:t>
      </w:r>
      <w:r w:rsidR="003752CB">
        <w:t>d</w:t>
      </w:r>
      <w:r>
        <w:t xml:space="preserve">uty of care may also cause widespread change among the landscape of Tort law within the UK. Duty of care and its tests that have been established over time have been the bedrock on which all modern tort law has been built and reformed. Proposing reforms </w:t>
      </w:r>
      <w:r w:rsidR="00D767D3">
        <w:t xml:space="preserve">to tort law may cause a cascading effect within the law, requiring other elements to be changed and reformed, such as the standard of care, which also heavily relies upon the concepts of the reasonable person, as is demonstrated by Blyth v Birmingham Waterworks Co (1856) </w:t>
      </w:r>
      <w:r w:rsidR="00F04378">
        <w:t>as well as the concept of proximity as is shown by Topp v London Country Bus LTD (1993)</w:t>
      </w:r>
      <w:r w:rsidR="00E81702">
        <w:t xml:space="preserve"> due to its prerequisite requirement of a duty of care. This would also likely impact other elements of tort such as psychiatric injury.</w:t>
      </w:r>
    </w:p>
    <w:p w14:paraId="4A5D6757" w14:textId="5DAB84D8" w:rsidR="00512024" w:rsidRDefault="00E81702">
      <w:r>
        <w:t xml:space="preserve">It may also be a difficult task for lawmakers to </w:t>
      </w:r>
      <w:r w:rsidR="003752CB">
        <w:t>evaluate what components may or may not be necessary in the reform of duty of care. There have been numerous variations to the tests of duty of care</w:t>
      </w:r>
      <w:r w:rsidR="00033CFD">
        <w:t xml:space="preserve">, each building upon the concepts that were introduced in Donoghue. This provides a wealth of precedent on which to base legislation, however the precedents that have been set have been contradictory in nature. This issue may be made worse by the fact that members of parliament who have the ability to debate proposed law and make amendments </w:t>
      </w:r>
      <w:r w:rsidR="0049255F">
        <w:t xml:space="preserve">do not all have professional knowledge of law, with some having backgrounds in other fields, while others are career politicians. As of July 2024, 10% of all members of parliaments </w:t>
      </w:r>
      <w:r w:rsidR="00130CE7">
        <w:t>held no undergraduate qualification, or had not attended university (</w:t>
      </w:r>
      <w:r w:rsidR="00647D84">
        <w:t>The Sutton Trust</w:t>
      </w:r>
      <w:r w:rsidR="006F1391">
        <w:t>,</w:t>
      </w:r>
      <w:r w:rsidR="00647D84">
        <w:t xml:space="preserve"> 2024</w:t>
      </w:r>
      <w:r w:rsidR="00130CE7">
        <w:t xml:space="preserve">). While this may provide a </w:t>
      </w:r>
      <w:r w:rsidR="00130CE7">
        <w:lastRenderedPageBreak/>
        <w:t xml:space="preserve">diversity of opinion that better includes the needs of the lay person, it may also cause issues in implementation, as well as opening the possibility for </w:t>
      </w:r>
      <w:r w:rsidR="00706316">
        <w:t>return to rulings such as those in Anns v M</w:t>
      </w:r>
      <w:r w:rsidR="00512024">
        <w:t>erton, or other changes that may lead to unintended consequences or need for reform in other areas of tort.</w:t>
      </w:r>
      <w:r w:rsidR="00A447B3">
        <w:t xml:space="preserve"> Due to these issues important to mention that not all reforms are always beneficial to the lay person, and can often be detrimental, as could be seen with the Legal Aid, Sentencing</w:t>
      </w:r>
      <w:r w:rsidR="00512024">
        <w:t xml:space="preserve"> </w:t>
      </w:r>
      <w:r w:rsidR="00A447B3">
        <w:t xml:space="preserve">and Punishment of Offenders Act 2012. </w:t>
      </w:r>
      <w:r w:rsidR="00512024">
        <w:t xml:space="preserve">Finally, due to the length of time </w:t>
      </w:r>
      <w:r w:rsidR="00A447B3">
        <w:t>legislation m</w:t>
      </w:r>
      <w:r w:rsidR="00894045">
        <w:t xml:space="preserve">ay take from the green paper stage to royal assent, this may make the judiciary hesitant to make any modifications to current tests in situation where it may be appropriate due to incoming changes. This may cause confusion among the judiciary as well as possibly creating new opportunities for unjust rulings due to hesitancy. </w:t>
      </w:r>
    </w:p>
    <w:p w14:paraId="18CBE5C8" w14:textId="7DFF4A97" w:rsidR="00894045" w:rsidRDefault="00894045">
      <w:r>
        <w:t>A single duty of care likely could be implemented</w:t>
      </w:r>
      <w:r w:rsidR="00C70F8C">
        <w:t xml:space="preserve"> without significant disruption</w:t>
      </w:r>
      <w:r>
        <w:t xml:space="preserve"> given that it follows the current structure set out by Caparo. </w:t>
      </w:r>
      <w:r w:rsidR="00C70F8C">
        <w:t xml:space="preserve">This would however make for a complex piece of legislature, needing to include both the tests and its many caveats. </w:t>
      </w:r>
    </w:p>
    <w:p w14:paraId="5C95383B" w14:textId="43EA2F3D" w:rsidR="00C70F8C" w:rsidRDefault="00C70F8C">
      <w:r>
        <w:t xml:space="preserve">In conclusion, Duty of care is likely the single most important and influential element of </w:t>
      </w:r>
      <w:r w:rsidR="00382283">
        <w:t>tort, being the first determining factor in the success of a case. It legally binds those not to undertake actions at the detriment of others,</w:t>
      </w:r>
      <w:r w:rsidR="00EF5174">
        <w:t xml:space="preserve"> providing in most cases a successful deterrent to reckless acts and intentional harm. It can however be a difficult concept to understand due to its many revisions and variations from its inception in the case of Donoghue v Stevenson.</w:t>
      </w:r>
      <w:r w:rsidR="008D6207">
        <w:t xml:space="preserve"> A single duty of care test has been discussed for decades as a possibility for reform, however this would face unique challenges, possibly changing the entire landscape of tort law as we currently know it if not implemented with great care. </w:t>
      </w:r>
    </w:p>
    <w:p w14:paraId="66D4ECD3" w14:textId="77777777" w:rsidR="003D16BD" w:rsidRDefault="003D16BD"/>
    <w:p w14:paraId="2536DF77" w14:textId="4075396D" w:rsidR="008506AC" w:rsidRDefault="00BD33BA">
      <w:r>
        <w:t xml:space="preserve">   </w:t>
      </w:r>
    </w:p>
    <w:p w14:paraId="196C6D53" w14:textId="77777777" w:rsidR="008506AC" w:rsidRDefault="008506AC"/>
    <w:p w14:paraId="03F3023A" w14:textId="77777777" w:rsidR="00042BD7" w:rsidRDefault="00042BD7" w:rsidP="009F6754">
      <w:pPr>
        <w:rPr>
          <w:i/>
          <w:iCs/>
        </w:rPr>
      </w:pPr>
    </w:p>
    <w:p w14:paraId="1DF1BEF3" w14:textId="77777777" w:rsidR="00042BD7" w:rsidRDefault="00042BD7" w:rsidP="009F6754">
      <w:pPr>
        <w:rPr>
          <w:i/>
          <w:iCs/>
        </w:rPr>
      </w:pPr>
    </w:p>
    <w:p w14:paraId="061E20DF" w14:textId="77777777" w:rsidR="00042BD7" w:rsidRDefault="00042BD7" w:rsidP="009F6754">
      <w:pPr>
        <w:rPr>
          <w:i/>
          <w:iCs/>
        </w:rPr>
      </w:pPr>
    </w:p>
    <w:p w14:paraId="412AF599" w14:textId="77777777" w:rsidR="00042BD7" w:rsidRDefault="00042BD7" w:rsidP="009F6754">
      <w:pPr>
        <w:rPr>
          <w:i/>
          <w:iCs/>
        </w:rPr>
      </w:pPr>
    </w:p>
    <w:p w14:paraId="705C0A45" w14:textId="77777777" w:rsidR="00042BD7" w:rsidRDefault="00042BD7" w:rsidP="009F6754">
      <w:pPr>
        <w:rPr>
          <w:i/>
          <w:iCs/>
        </w:rPr>
      </w:pPr>
    </w:p>
    <w:p w14:paraId="096CB179" w14:textId="77777777" w:rsidR="00042BD7" w:rsidRDefault="00042BD7" w:rsidP="009F6754">
      <w:pPr>
        <w:rPr>
          <w:i/>
          <w:iCs/>
        </w:rPr>
      </w:pPr>
    </w:p>
    <w:p w14:paraId="3FCFCD05" w14:textId="77777777" w:rsidR="00042BD7" w:rsidRDefault="00042BD7" w:rsidP="009F6754">
      <w:pPr>
        <w:rPr>
          <w:i/>
          <w:iCs/>
        </w:rPr>
      </w:pPr>
    </w:p>
    <w:p w14:paraId="68FA8379" w14:textId="77777777" w:rsidR="00042BD7" w:rsidRDefault="00042BD7" w:rsidP="009F6754">
      <w:pPr>
        <w:rPr>
          <w:i/>
          <w:iCs/>
        </w:rPr>
      </w:pPr>
    </w:p>
    <w:p w14:paraId="2C60FEE9" w14:textId="77777777" w:rsidR="00042BD7" w:rsidRDefault="00042BD7" w:rsidP="009F6754">
      <w:pPr>
        <w:rPr>
          <w:i/>
          <w:iCs/>
        </w:rPr>
      </w:pPr>
    </w:p>
    <w:p w14:paraId="062860C7" w14:textId="77777777" w:rsidR="00042BD7" w:rsidRDefault="00042BD7" w:rsidP="009F6754">
      <w:pPr>
        <w:rPr>
          <w:i/>
          <w:iCs/>
        </w:rPr>
      </w:pPr>
    </w:p>
    <w:p w14:paraId="0DC00A50" w14:textId="77777777" w:rsidR="00042BD7" w:rsidRDefault="00042BD7" w:rsidP="009F6754">
      <w:pPr>
        <w:rPr>
          <w:i/>
          <w:iCs/>
        </w:rPr>
      </w:pPr>
    </w:p>
    <w:p w14:paraId="24B41D35" w14:textId="77777777" w:rsidR="00042BD7" w:rsidRDefault="00042BD7" w:rsidP="009F6754">
      <w:pPr>
        <w:rPr>
          <w:i/>
          <w:iCs/>
        </w:rPr>
      </w:pPr>
    </w:p>
    <w:p w14:paraId="7069A9E1" w14:textId="77777777" w:rsidR="00042BD7" w:rsidRDefault="00042BD7" w:rsidP="009F6754">
      <w:pPr>
        <w:rPr>
          <w:i/>
          <w:iCs/>
        </w:rPr>
      </w:pPr>
    </w:p>
    <w:p w14:paraId="429E82DF" w14:textId="43A62DC9" w:rsidR="00042BD7" w:rsidRPr="00042BD7" w:rsidRDefault="00042BD7" w:rsidP="009F6754">
      <w:pPr>
        <w:rPr>
          <w:sz w:val="32"/>
          <w:szCs w:val="32"/>
        </w:rPr>
      </w:pPr>
      <w:r w:rsidRPr="00042BD7">
        <w:rPr>
          <w:sz w:val="32"/>
          <w:szCs w:val="32"/>
        </w:rPr>
        <w:lastRenderedPageBreak/>
        <w:t>References:</w:t>
      </w:r>
    </w:p>
    <w:p w14:paraId="3F64000E" w14:textId="20A70604" w:rsidR="009F6754" w:rsidRDefault="009F6754" w:rsidP="009F6754">
      <w:r w:rsidRPr="00C66C6F">
        <w:rPr>
          <w:i/>
          <w:iCs/>
        </w:rPr>
        <w:t>‘Anns v Merton London Borough Council’</w:t>
      </w:r>
      <w:r>
        <w:t xml:space="preserve"> (1978), AC, 728</w:t>
      </w:r>
    </w:p>
    <w:p w14:paraId="7998384E" w14:textId="3D4F4AB3" w:rsidR="00042BD7" w:rsidRDefault="00042BD7" w:rsidP="009F6754">
      <w:r w:rsidRPr="00830D4D">
        <w:rPr>
          <w:i/>
          <w:iCs/>
        </w:rPr>
        <w:t>‘Alcock v Chief Constable of South Yorkshire</w:t>
      </w:r>
      <w:r>
        <w:t xml:space="preserve"> </w:t>
      </w:r>
      <w:r w:rsidRPr="00830D4D">
        <w:rPr>
          <w:i/>
          <w:iCs/>
        </w:rPr>
        <w:t>Police’</w:t>
      </w:r>
      <w:r>
        <w:t xml:space="preserve"> (1991) A.C., 1, pp. 310 </w:t>
      </w:r>
    </w:p>
    <w:p w14:paraId="066EE301" w14:textId="485E21CD" w:rsidR="008506AC" w:rsidRDefault="009F6754">
      <w:r w:rsidRPr="00C66C6F">
        <w:rPr>
          <w:i/>
          <w:iCs/>
        </w:rPr>
        <w:t>‘Blyth v Birmingham Waterworks Co’</w:t>
      </w:r>
      <w:r>
        <w:t xml:space="preserve"> (1856), JP, 20, pp. 247</w:t>
      </w:r>
    </w:p>
    <w:p w14:paraId="2B3B12F5" w14:textId="5763F2D0" w:rsidR="00FE6637" w:rsidRDefault="00830D4D">
      <w:r w:rsidRPr="00830D4D">
        <w:rPr>
          <w:i/>
          <w:iCs/>
        </w:rPr>
        <w:t>‘</w:t>
      </w:r>
      <w:r w:rsidR="008506AC" w:rsidRPr="00830D4D">
        <w:rPr>
          <w:i/>
          <w:iCs/>
        </w:rPr>
        <w:t>Donoghue v Stevenson</w:t>
      </w:r>
      <w:r w:rsidRPr="00830D4D">
        <w:rPr>
          <w:i/>
          <w:iCs/>
        </w:rPr>
        <w:t>’</w:t>
      </w:r>
      <w:r w:rsidR="008506AC">
        <w:t xml:space="preserve"> </w:t>
      </w:r>
      <w:r>
        <w:t>(</w:t>
      </w:r>
      <w:r w:rsidR="008506AC">
        <w:t>1932</w:t>
      </w:r>
      <w:r>
        <w:t>), AC, 562</w:t>
      </w:r>
    </w:p>
    <w:p w14:paraId="6D486A86" w14:textId="77777777" w:rsidR="00042BD7" w:rsidRDefault="00042BD7" w:rsidP="00042BD7">
      <w:r>
        <w:t xml:space="preserve">Howarth, D (2006) ‘Many Duties of Care – Or A Duty of Care? Notes from the underground’ </w:t>
      </w:r>
      <w:r w:rsidRPr="006119F7">
        <w:rPr>
          <w:i/>
          <w:iCs/>
        </w:rPr>
        <w:t>Oxford Journal of Legal Studies</w:t>
      </w:r>
      <w:r>
        <w:rPr>
          <w:i/>
          <w:iCs/>
        </w:rPr>
        <w:t xml:space="preserve">. </w:t>
      </w:r>
      <w:r w:rsidRPr="006119F7">
        <w:t>Vol. 2</w:t>
      </w:r>
      <w:r>
        <w:t>6 (no. 3), pp. 449-472. Doi: 10.1093/ojls/gql014</w:t>
      </w:r>
    </w:p>
    <w:p w14:paraId="363D30D2" w14:textId="77777777" w:rsidR="00042BD7" w:rsidRDefault="00042BD7" w:rsidP="00042BD7">
      <w:r>
        <w:t>‘L and Another v Reading Borough Council’ (2007), EWCA Civ, 1313</w:t>
      </w:r>
    </w:p>
    <w:p w14:paraId="190EF136" w14:textId="2164D711" w:rsidR="00042BD7" w:rsidRDefault="00042BD7">
      <w:r>
        <w:t>Law Reform (Contributory Negligence) Act 1945</w:t>
      </w:r>
    </w:p>
    <w:p w14:paraId="26FE1559" w14:textId="77777777" w:rsidR="00042BD7" w:rsidRDefault="00042BD7" w:rsidP="00042BD7">
      <w:r>
        <w:t>Legal Aid, Sentencing and Punishment of Offenders Act 2012.</w:t>
      </w:r>
    </w:p>
    <w:p w14:paraId="31917ADE" w14:textId="77777777" w:rsidR="00042BD7" w:rsidRDefault="00042BD7" w:rsidP="00042BD7">
      <w:r w:rsidRPr="00830D4D">
        <w:rPr>
          <w:i/>
          <w:iCs/>
        </w:rPr>
        <w:t>‘Marc Rich &amp; Co. v Bishop Rock Marine Co.’</w:t>
      </w:r>
      <w:r>
        <w:t xml:space="preserve"> (1996), A.C., 211</w:t>
      </w:r>
    </w:p>
    <w:p w14:paraId="2C06B86E" w14:textId="77777777" w:rsidR="00042BD7" w:rsidRDefault="00042BD7" w:rsidP="00042BD7">
      <w:r w:rsidRPr="007A3365">
        <w:rPr>
          <w:i/>
          <w:iCs/>
        </w:rPr>
        <w:t>‘Murphy v Brentwood District Council’</w:t>
      </w:r>
      <w:r>
        <w:t xml:space="preserve"> (1991), AC, 1, pp. 398 </w:t>
      </w:r>
    </w:p>
    <w:p w14:paraId="247B3DC9" w14:textId="3943B908" w:rsidR="00042BD7" w:rsidRDefault="00042BD7">
      <w:r w:rsidRPr="007A3365">
        <w:rPr>
          <w:i/>
          <w:iCs/>
        </w:rPr>
        <w:t>‘Nettleship v Weston’</w:t>
      </w:r>
      <w:r>
        <w:t xml:space="preserve"> (1971), WLR, 3, pp. 370</w:t>
      </w:r>
    </w:p>
    <w:p w14:paraId="2A4DE580" w14:textId="7FED8DC0" w:rsidR="00FE6637" w:rsidRDefault="008A7600">
      <w:r>
        <w:t xml:space="preserve">Pilgerstorfer, M (2024) </w:t>
      </w:r>
      <w:r w:rsidRPr="008A7600">
        <w:rPr>
          <w:i/>
          <w:iCs/>
        </w:rPr>
        <w:t>Munkman on Employer’s Liability</w:t>
      </w:r>
      <w:r w:rsidR="000717BA">
        <w:rPr>
          <w:i/>
          <w:iCs/>
        </w:rPr>
        <w:t xml:space="preserve">. </w:t>
      </w:r>
      <w:r w:rsidR="000717BA" w:rsidRPr="000717BA">
        <w:t>18</w:t>
      </w:r>
      <w:r w:rsidR="000717BA" w:rsidRPr="000717BA">
        <w:rPr>
          <w:vertAlign w:val="superscript"/>
        </w:rPr>
        <w:t>th</w:t>
      </w:r>
      <w:r w:rsidR="000717BA" w:rsidRPr="000717BA">
        <w:t xml:space="preserve"> edn</w:t>
      </w:r>
      <w:r w:rsidR="000717BA">
        <w:rPr>
          <w:i/>
          <w:iCs/>
        </w:rPr>
        <w:t xml:space="preserve">. </w:t>
      </w:r>
      <w:r w:rsidR="000717BA">
        <w:t>UK, LexisNexis Butterworths</w:t>
      </w:r>
      <w:r>
        <w:t xml:space="preserve"> </w:t>
      </w:r>
    </w:p>
    <w:p w14:paraId="122B47C4" w14:textId="198F1D51" w:rsidR="00042BD7" w:rsidRDefault="00042BD7">
      <w:r>
        <w:t xml:space="preserve">The Sutton Trust (2024) </w:t>
      </w:r>
      <w:r w:rsidRPr="009F6754">
        <w:rPr>
          <w:i/>
          <w:iCs/>
        </w:rPr>
        <w:t>‘Parliamentary Privilege 2024’</w:t>
      </w:r>
      <w:r>
        <w:rPr>
          <w:i/>
          <w:iCs/>
        </w:rPr>
        <w:t>.</w:t>
      </w:r>
      <w:r>
        <w:t xml:space="preserve"> Available at: </w:t>
      </w:r>
      <w:hyperlink r:id="rId5" w:history="1">
        <w:r w:rsidRPr="00314832">
          <w:rPr>
            <w:rStyle w:val="Hyperlink"/>
          </w:rPr>
          <w:t>https://www.sut</w:t>
        </w:r>
        <w:r w:rsidRPr="00314832">
          <w:rPr>
            <w:rStyle w:val="Hyperlink"/>
          </w:rPr>
          <w:t>t</w:t>
        </w:r>
        <w:r w:rsidRPr="00314832">
          <w:rPr>
            <w:rStyle w:val="Hyperlink"/>
          </w:rPr>
          <w:t>ontrust.com/wp-content/uploads/2024/07/Parliamentary-Privilege-2024-1.pdf</w:t>
        </w:r>
      </w:hyperlink>
      <w:r>
        <w:t xml:space="preserve"> (Accessed: 21/03/2025)</w:t>
      </w:r>
    </w:p>
    <w:p w14:paraId="6BC62BA1" w14:textId="77AFE99A" w:rsidR="00042BD7" w:rsidRDefault="00042BD7">
      <w:r w:rsidRPr="00C66C6F">
        <w:rPr>
          <w:i/>
          <w:iCs/>
        </w:rPr>
        <w:t>‘Topp v London Country Bus LTD’</w:t>
      </w:r>
      <w:r>
        <w:t xml:space="preserve"> (1993), All ER, 3, pp. 448</w:t>
      </w:r>
    </w:p>
    <w:p w14:paraId="088832A3" w14:textId="37BD7392" w:rsidR="00296034" w:rsidRDefault="00830D4D">
      <w:r w:rsidRPr="00830D4D">
        <w:rPr>
          <w:i/>
          <w:iCs/>
        </w:rPr>
        <w:t>‘</w:t>
      </w:r>
      <w:r w:rsidR="00296034" w:rsidRPr="00830D4D">
        <w:rPr>
          <w:i/>
          <w:iCs/>
        </w:rPr>
        <w:t>Vaughan v Menlove</w:t>
      </w:r>
      <w:r w:rsidRPr="00830D4D">
        <w:rPr>
          <w:i/>
          <w:iCs/>
        </w:rPr>
        <w:t>’</w:t>
      </w:r>
      <w:r w:rsidR="00296034">
        <w:t xml:space="preserve"> (1837)</w:t>
      </w:r>
      <w:r>
        <w:t xml:space="preserve">, </w:t>
      </w:r>
      <w:r w:rsidR="00454161">
        <w:t>ER</w:t>
      </w:r>
      <w:r>
        <w:t>,</w:t>
      </w:r>
      <w:r w:rsidR="00454161">
        <w:t xml:space="preserve"> 132,</w:t>
      </w:r>
      <w:r>
        <w:t xml:space="preserve"> </w:t>
      </w:r>
      <w:r w:rsidR="00454161">
        <w:t>pp. 490</w:t>
      </w:r>
    </w:p>
    <w:p w14:paraId="09F21437" w14:textId="77777777" w:rsidR="00C66C6F" w:rsidRDefault="00C66C6F"/>
    <w:p w14:paraId="03175FF2" w14:textId="77777777" w:rsidR="00C66C6F" w:rsidRDefault="00C66C6F"/>
    <w:sectPr w:rsidR="00C66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8B5"/>
    <w:rsid w:val="00033CFD"/>
    <w:rsid w:val="00042BD7"/>
    <w:rsid w:val="000717BA"/>
    <w:rsid w:val="000C54E0"/>
    <w:rsid w:val="000D7E44"/>
    <w:rsid w:val="000E6748"/>
    <w:rsid w:val="000F6C9B"/>
    <w:rsid w:val="00130CE7"/>
    <w:rsid w:val="0017627D"/>
    <w:rsid w:val="001A4D48"/>
    <w:rsid w:val="00210260"/>
    <w:rsid w:val="002160DB"/>
    <w:rsid w:val="002318B5"/>
    <w:rsid w:val="00236E2B"/>
    <w:rsid w:val="00296034"/>
    <w:rsid w:val="002C0C55"/>
    <w:rsid w:val="003627AF"/>
    <w:rsid w:val="003752CB"/>
    <w:rsid w:val="00382283"/>
    <w:rsid w:val="003D16BD"/>
    <w:rsid w:val="004215A0"/>
    <w:rsid w:val="004535F5"/>
    <w:rsid w:val="00454161"/>
    <w:rsid w:val="0049255F"/>
    <w:rsid w:val="00512024"/>
    <w:rsid w:val="005D0E54"/>
    <w:rsid w:val="006119F7"/>
    <w:rsid w:val="00643809"/>
    <w:rsid w:val="00647D84"/>
    <w:rsid w:val="00661959"/>
    <w:rsid w:val="006B7971"/>
    <w:rsid w:val="006D4435"/>
    <w:rsid w:val="006F1391"/>
    <w:rsid w:val="00706316"/>
    <w:rsid w:val="007816D5"/>
    <w:rsid w:val="007829CD"/>
    <w:rsid w:val="007A3365"/>
    <w:rsid w:val="007B303A"/>
    <w:rsid w:val="007C7F8B"/>
    <w:rsid w:val="00830D4D"/>
    <w:rsid w:val="008506AC"/>
    <w:rsid w:val="00894045"/>
    <w:rsid w:val="008A7600"/>
    <w:rsid w:val="008D6207"/>
    <w:rsid w:val="008E46C1"/>
    <w:rsid w:val="009454E6"/>
    <w:rsid w:val="00961AEF"/>
    <w:rsid w:val="00990A4B"/>
    <w:rsid w:val="00991A2A"/>
    <w:rsid w:val="009D5D4E"/>
    <w:rsid w:val="009F6754"/>
    <w:rsid w:val="00A447B3"/>
    <w:rsid w:val="00A50A58"/>
    <w:rsid w:val="00A6593C"/>
    <w:rsid w:val="00B34CB3"/>
    <w:rsid w:val="00BD33BA"/>
    <w:rsid w:val="00C057F5"/>
    <w:rsid w:val="00C24440"/>
    <w:rsid w:val="00C40BFD"/>
    <w:rsid w:val="00C66C6F"/>
    <w:rsid w:val="00C70F8C"/>
    <w:rsid w:val="00C85290"/>
    <w:rsid w:val="00CF2555"/>
    <w:rsid w:val="00D444DC"/>
    <w:rsid w:val="00D767D3"/>
    <w:rsid w:val="00D83ECC"/>
    <w:rsid w:val="00DA279C"/>
    <w:rsid w:val="00DB6DF6"/>
    <w:rsid w:val="00DF3091"/>
    <w:rsid w:val="00E22F9C"/>
    <w:rsid w:val="00E533AC"/>
    <w:rsid w:val="00E81702"/>
    <w:rsid w:val="00EF5174"/>
    <w:rsid w:val="00F04378"/>
    <w:rsid w:val="00F34722"/>
    <w:rsid w:val="00F60D16"/>
    <w:rsid w:val="00F626B1"/>
    <w:rsid w:val="00FA4A6B"/>
    <w:rsid w:val="00FE6637"/>
    <w:rsid w:val="00FF4006"/>
    <w:rsid w:val="00FF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0FEC"/>
  <w15:chartTrackingRefBased/>
  <w15:docId w15:val="{427FDD35-396C-4460-A21B-3C78EE5AE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8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8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8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8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8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8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8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8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8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8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8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8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8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8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8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8B5"/>
    <w:rPr>
      <w:rFonts w:eastAsiaTheme="majorEastAsia" w:cstheme="majorBidi"/>
      <w:color w:val="272727" w:themeColor="text1" w:themeTint="D8"/>
    </w:rPr>
  </w:style>
  <w:style w:type="paragraph" w:styleId="Title">
    <w:name w:val="Title"/>
    <w:basedOn w:val="Normal"/>
    <w:next w:val="Normal"/>
    <w:link w:val="TitleChar"/>
    <w:uiPriority w:val="10"/>
    <w:qFormat/>
    <w:rsid w:val="00231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8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8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8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8B5"/>
    <w:pPr>
      <w:spacing w:before="160"/>
      <w:jc w:val="center"/>
    </w:pPr>
    <w:rPr>
      <w:i/>
      <w:iCs/>
      <w:color w:val="404040" w:themeColor="text1" w:themeTint="BF"/>
    </w:rPr>
  </w:style>
  <w:style w:type="character" w:customStyle="1" w:styleId="QuoteChar">
    <w:name w:val="Quote Char"/>
    <w:basedOn w:val="DefaultParagraphFont"/>
    <w:link w:val="Quote"/>
    <w:uiPriority w:val="29"/>
    <w:rsid w:val="002318B5"/>
    <w:rPr>
      <w:i/>
      <w:iCs/>
      <w:color w:val="404040" w:themeColor="text1" w:themeTint="BF"/>
    </w:rPr>
  </w:style>
  <w:style w:type="paragraph" w:styleId="ListParagraph">
    <w:name w:val="List Paragraph"/>
    <w:basedOn w:val="Normal"/>
    <w:uiPriority w:val="34"/>
    <w:qFormat/>
    <w:rsid w:val="002318B5"/>
    <w:pPr>
      <w:ind w:left="720"/>
      <w:contextualSpacing/>
    </w:pPr>
  </w:style>
  <w:style w:type="character" w:styleId="IntenseEmphasis">
    <w:name w:val="Intense Emphasis"/>
    <w:basedOn w:val="DefaultParagraphFont"/>
    <w:uiPriority w:val="21"/>
    <w:qFormat/>
    <w:rsid w:val="002318B5"/>
    <w:rPr>
      <w:i/>
      <w:iCs/>
      <w:color w:val="0F4761" w:themeColor="accent1" w:themeShade="BF"/>
    </w:rPr>
  </w:style>
  <w:style w:type="paragraph" w:styleId="IntenseQuote">
    <w:name w:val="Intense Quote"/>
    <w:basedOn w:val="Normal"/>
    <w:next w:val="Normal"/>
    <w:link w:val="IntenseQuoteChar"/>
    <w:uiPriority w:val="30"/>
    <w:qFormat/>
    <w:rsid w:val="00231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8B5"/>
    <w:rPr>
      <w:i/>
      <w:iCs/>
      <w:color w:val="0F4761" w:themeColor="accent1" w:themeShade="BF"/>
    </w:rPr>
  </w:style>
  <w:style w:type="character" w:styleId="IntenseReference">
    <w:name w:val="Intense Reference"/>
    <w:basedOn w:val="DefaultParagraphFont"/>
    <w:uiPriority w:val="32"/>
    <w:qFormat/>
    <w:rsid w:val="002318B5"/>
    <w:rPr>
      <w:b/>
      <w:bCs/>
      <w:smallCaps/>
      <w:color w:val="0F4761" w:themeColor="accent1" w:themeShade="BF"/>
      <w:spacing w:val="5"/>
    </w:rPr>
  </w:style>
  <w:style w:type="character" w:styleId="Hyperlink">
    <w:name w:val="Hyperlink"/>
    <w:basedOn w:val="DefaultParagraphFont"/>
    <w:uiPriority w:val="99"/>
    <w:unhideWhenUsed/>
    <w:rsid w:val="00FE6637"/>
    <w:rPr>
      <w:color w:val="467886" w:themeColor="hyperlink"/>
      <w:u w:val="single"/>
    </w:rPr>
  </w:style>
  <w:style w:type="character" w:styleId="UnresolvedMention">
    <w:name w:val="Unresolved Mention"/>
    <w:basedOn w:val="DefaultParagraphFont"/>
    <w:uiPriority w:val="99"/>
    <w:semiHidden/>
    <w:unhideWhenUsed/>
    <w:rsid w:val="00FE6637"/>
    <w:rPr>
      <w:color w:val="605E5C"/>
      <w:shd w:val="clear" w:color="auto" w:fill="E1DFDD"/>
    </w:rPr>
  </w:style>
  <w:style w:type="character" w:styleId="FollowedHyperlink">
    <w:name w:val="FollowedHyperlink"/>
    <w:basedOn w:val="DefaultParagraphFont"/>
    <w:uiPriority w:val="99"/>
    <w:semiHidden/>
    <w:unhideWhenUsed/>
    <w:rsid w:val="00830D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suttontrust.com/wp-content/uploads/2024/07/Parliamentary-Privilege-2024-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9745-AC5E-45AE-8E2B-EAACABCBC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4</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Gabrial Harris</dc:creator>
  <cp:keywords/>
  <dc:description/>
  <cp:lastModifiedBy>Gabrial Harris</cp:lastModifiedBy>
  <cp:revision>10</cp:revision>
  <dcterms:created xsi:type="dcterms:W3CDTF">2025-03-20T15:48:00Z</dcterms:created>
  <dcterms:modified xsi:type="dcterms:W3CDTF">2025-03-21T23:05:00Z</dcterms:modified>
</cp:coreProperties>
</file>