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C6813" w14:textId="0ADA9491" w:rsidR="00722DEF" w:rsidRPr="00E214BA" w:rsidRDefault="00462739" w:rsidP="00E214BA">
      <w:pPr>
        <w:spacing w:line="360" w:lineRule="auto"/>
        <w:rPr>
          <w:rFonts w:ascii="Arial" w:hAnsi="Arial" w:cs="Arial"/>
          <w:sz w:val="22"/>
          <w:szCs w:val="22"/>
        </w:rPr>
      </w:pPr>
      <w:r w:rsidRPr="00E214BA">
        <w:rPr>
          <w:rFonts w:ascii="Arial" w:hAnsi="Arial" w:cs="Arial"/>
          <w:b/>
          <w:bCs/>
          <w:sz w:val="22"/>
          <w:szCs w:val="22"/>
        </w:rPr>
        <w:t>Name:</w:t>
      </w:r>
      <w:r w:rsidRPr="00E214BA">
        <w:rPr>
          <w:rFonts w:ascii="Arial" w:hAnsi="Arial" w:cs="Arial"/>
          <w:sz w:val="22"/>
          <w:szCs w:val="22"/>
        </w:rPr>
        <w:t xml:space="preserve"> Leticia Maison</w:t>
      </w:r>
    </w:p>
    <w:p w14:paraId="4E85820A" w14:textId="7B6F3ADE" w:rsidR="00462739" w:rsidRPr="00E214BA" w:rsidRDefault="00462739" w:rsidP="00E214BA">
      <w:pPr>
        <w:spacing w:line="360" w:lineRule="auto"/>
        <w:rPr>
          <w:rFonts w:ascii="Arial" w:hAnsi="Arial" w:cs="Arial"/>
          <w:sz w:val="22"/>
          <w:szCs w:val="22"/>
        </w:rPr>
      </w:pPr>
      <w:r w:rsidRPr="00E214BA">
        <w:rPr>
          <w:rFonts w:ascii="Arial" w:hAnsi="Arial" w:cs="Arial"/>
          <w:b/>
          <w:bCs/>
          <w:sz w:val="22"/>
          <w:szCs w:val="22"/>
        </w:rPr>
        <w:t>Student Number:</w:t>
      </w:r>
      <w:r w:rsidRPr="00E214BA">
        <w:rPr>
          <w:rFonts w:ascii="Arial" w:hAnsi="Arial" w:cs="Arial"/>
          <w:sz w:val="22"/>
          <w:szCs w:val="22"/>
        </w:rPr>
        <w:t xml:space="preserve"> 2328708</w:t>
      </w:r>
    </w:p>
    <w:p w14:paraId="7A55E0EB" w14:textId="2F2D95FC" w:rsidR="00462739" w:rsidRPr="00E214BA" w:rsidRDefault="00462739" w:rsidP="00E214BA">
      <w:pPr>
        <w:spacing w:before="120" w:after="120" w:line="360" w:lineRule="auto"/>
        <w:rPr>
          <w:rFonts w:ascii="Arial" w:hAnsi="Arial" w:cs="Arial"/>
          <w:b/>
          <w:sz w:val="22"/>
          <w:szCs w:val="22"/>
        </w:rPr>
      </w:pPr>
      <w:r w:rsidRPr="00E214BA">
        <w:rPr>
          <w:rFonts w:ascii="Arial" w:hAnsi="Arial" w:cs="Arial"/>
          <w:b/>
          <w:bCs/>
          <w:sz w:val="22"/>
          <w:szCs w:val="22"/>
        </w:rPr>
        <w:t>Module Code:</w:t>
      </w:r>
      <w:r w:rsidRPr="00E214BA">
        <w:rPr>
          <w:rFonts w:ascii="Arial" w:hAnsi="Arial" w:cs="Arial"/>
          <w:sz w:val="22"/>
          <w:szCs w:val="22"/>
        </w:rPr>
        <w:t xml:space="preserve"> </w:t>
      </w:r>
      <w:r w:rsidRPr="00E214BA">
        <w:rPr>
          <w:rFonts w:ascii="Arial" w:hAnsi="Arial" w:cs="Arial"/>
          <w:bCs/>
          <w:sz w:val="22"/>
          <w:szCs w:val="22"/>
        </w:rPr>
        <w:t>BMHP5019</w:t>
      </w:r>
    </w:p>
    <w:p w14:paraId="3F254D3E" w14:textId="5235A178" w:rsidR="00462739" w:rsidRPr="00E214BA" w:rsidRDefault="00462739" w:rsidP="00E214BA">
      <w:pPr>
        <w:spacing w:before="120" w:after="120" w:line="360" w:lineRule="auto"/>
        <w:rPr>
          <w:rFonts w:ascii="Arial" w:hAnsi="Arial" w:cs="Arial"/>
          <w:b/>
          <w:sz w:val="22"/>
          <w:szCs w:val="22"/>
        </w:rPr>
      </w:pPr>
      <w:r w:rsidRPr="00E214BA">
        <w:rPr>
          <w:rFonts w:ascii="Arial" w:hAnsi="Arial" w:cs="Arial"/>
          <w:b/>
          <w:bCs/>
          <w:sz w:val="22"/>
          <w:szCs w:val="22"/>
        </w:rPr>
        <w:t>Module Title</w:t>
      </w:r>
      <w:r w:rsidR="00E214BA" w:rsidRPr="00E214BA">
        <w:rPr>
          <w:rFonts w:ascii="Arial" w:hAnsi="Arial" w:cs="Arial"/>
          <w:b/>
          <w:bCs/>
          <w:sz w:val="22"/>
          <w:szCs w:val="22"/>
        </w:rPr>
        <w:t>:</w:t>
      </w:r>
      <w:r w:rsidR="00E214BA" w:rsidRPr="00E214BA">
        <w:rPr>
          <w:rFonts w:ascii="Arial" w:hAnsi="Arial" w:cs="Arial"/>
          <w:bCs/>
          <w:sz w:val="22"/>
          <w:szCs w:val="22"/>
        </w:rPr>
        <w:t xml:space="preserve"> Introduction to Independent Research Skills</w:t>
      </w:r>
    </w:p>
    <w:p w14:paraId="133BA20E" w14:textId="100C7857" w:rsidR="00462739" w:rsidRPr="00E214BA" w:rsidRDefault="00462739" w:rsidP="00E214BA">
      <w:pPr>
        <w:spacing w:line="360" w:lineRule="auto"/>
        <w:rPr>
          <w:rFonts w:ascii="Arial" w:hAnsi="Arial" w:cs="Arial"/>
          <w:sz w:val="22"/>
          <w:szCs w:val="22"/>
        </w:rPr>
      </w:pPr>
      <w:r w:rsidRPr="00E214BA">
        <w:rPr>
          <w:rFonts w:ascii="Arial" w:hAnsi="Arial" w:cs="Arial"/>
          <w:b/>
          <w:bCs/>
          <w:sz w:val="22"/>
          <w:szCs w:val="22"/>
        </w:rPr>
        <w:t>Assignment Title</w:t>
      </w:r>
      <w:r w:rsidR="00E214BA" w:rsidRPr="00E214BA">
        <w:rPr>
          <w:rFonts w:ascii="Arial" w:hAnsi="Arial" w:cs="Arial"/>
          <w:b/>
          <w:bCs/>
          <w:sz w:val="22"/>
          <w:szCs w:val="22"/>
        </w:rPr>
        <w:t>:</w:t>
      </w:r>
      <w:r w:rsidR="00E214BA" w:rsidRPr="00E214BA">
        <w:rPr>
          <w:rFonts w:ascii="Arial" w:hAnsi="Arial" w:cs="Arial"/>
          <w:sz w:val="22"/>
          <w:szCs w:val="22"/>
        </w:rPr>
        <w:t xml:space="preserve"> Component 2:  Written Assignment (Research Report)</w:t>
      </w:r>
    </w:p>
    <w:p w14:paraId="47D0A601" w14:textId="77777777" w:rsidR="00462739" w:rsidRPr="00E214BA" w:rsidRDefault="00462739" w:rsidP="00E214BA">
      <w:pPr>
        <w:spacing w:line="360" w:lineRule="auto"/>
        <w:rPr>
          <w:rFonts w:ascii="Arial" w:hAnsi="Arial" w:cs="Arial"/>
          <w:sz w:val="22"/>
          <w:szCs w:val="22"/>
        </w:rPr>
      </w:pPr>
    </w:p>
    <w:p w14:paraId="22FD4046" w14:textId="77777777" w:rsidR="00462739" w:rsidRPr="00E214BA" w:rsidRDefault="00462739" w:rsidP="00E214BA">
      <w:pPr>
        <w:spacing w:line="360" w:lineRule="auto"/>
        <w:rPr>
          <w:rFonts w:ascii="Arial" w:hAnsi="Arial" w:cs="Arial"/>
          <w:sz w:val="22"/>
          <w:szCs w:val="22"/>
        </w:rPr>
      </w:pPr>
    </w:p>
    <w:p w14:paraId="16FB2D20" w14:textId="77777777" w:rsidR="00462739" w:rsidRPr="00E214BA" w:rsidRDefault="00462739" w:rsidP="00E214BA">
      <w:pPr>
        <w:spacing w:line="360" w:lineRule="auto"/>
        <w:rPr>
          <w:rFonts w:ascii="Arial" w:hAnsi="Arial" w:cs="Arial"/>
          <w:sz w:val="22"/>
          <w:szCs w:val="22"/>
        </w:rPr>
      </w:pPr>
    </w:p>
    <w:p w14:paraId="19CBD711" w14:textId="77777777" w:rsidR="00462739" w:rsidRPr="00E214BA" w:rsidRDefault="00462739" w:rsidP="00E214BA">
      <w:pPr>
        <w:spacing w:line="360" w:lineRule="auto"/>
        <w:rPr>
          <w:rFonts w:ascii="Arial" w:hAnsi="Arial" w:cs="Arial"/>
          <w:sz w:val="22"/>
          <w:szCs w:val="22"/>
        </w:rPr>
      </w:pPr>
    </w:p>
    <w:p w14:paraId="5ADC09D2" w14:textId="77777777" w:rsidR="00462739" w:rsidRPr="00E214BA" w:rsidRDefault="00462739" w:rsidP="00E214BA">
      <w:pPr>
        <w:spacing w:line="360" w:lineRule="auto"/>
        <w:rPr>
          <w:rFonts w:ascii="Arial" w:hAnsi="Arial" w:cs="Arial"/>
          <w:sz w:val="22"/>
          <w:szCs w:val="22"/>
        </w:rPr>
      </w:pPr>
    </w:p>
    <w:p w14:paraId="11F5B9AD" w14:textId="77777777" w:rsidR="00462739" w:rsidRPr="00E214BA" w:rsidRDefault="00462739" w:rsidP="00E214BA">
      <w:pPr>
        <w:spacing w:line="360" w:lineRule="auto"/>
        <w:rPr>
          <w:rFonts w:ascii="Arial" w:hAnsi="Arial" w:cs="Arial"/>
          <w:sz w:val="22"/>
          <w:szCs w:val="22"/>
        </w:rPr>
      </w:pPr>
    </w:p>
    <w:p w14:paraId="3FEB913C" w14:textId="77777777" w:rsidR="00462739" w:rsidRPr="00E214BA" w:rsidRDefault="00462739" w:rsidP="00E214BA">
      <w:pPr>
        <w:spacing w:line="360" w:lineRule="auto"/>
        <w:rPr>
          <w:rFonts w:ascii="Arial" w:hAnsi="Arial" w:cs="Arial"/>
          <w:sz w:val="22"/>
          <w:szCs w:val="22"/>
        </w:rPr>
      </w:pPr>
    </w:p>
    <w:p w14:paraId="7B2DD9CB" w14:textId="77777777" w:rsidR="00462739" w:rsidRPr="00E214BA" w:rsidRDefault="00462739" w:rsidP="00E214BA">
      <w:pPr>
        <w:spacing w:line="360" w:lineRule="auto"/>
        <w:rPr>
          <w:rFonts w:ascii="Arial" w:hAnsi="Arial" w:cs="Arial"/>
          <w:sz w:val="22"/>
          <w:szCs w:val="22"/>
        </w:rPr>
      </w:pPr>
    </w:p>
    <w:p w14:paraId="63E7F232" w14:textId="77777777" w:rsidR="00462739" w:rsidRPr="00E214BA" w:rsidRDefault="00462739" w:rsidP="00E214BA">
      <w:pPr>
        <w:spacing w:line="360" w:lineRule="auto"/>
        <w:rPr>
          <w:rFonts w:ascii="Arial" w:hAnsi="Arial" w:cs="Arial"/>
          <w:sz w:val="22"/>
          <w:szCs w:val="22"/>
        </w:rPr>
      </w:pPr>
    </w:p>
    <w:p w14:paraId="335091A6" w14:textId="77777777" w:rsidR="00462739" w:rsidRPr="00E214BA" w:rsidRDefault="00462739" w:rsidP="00E214BA">
      <w:pPr>
        <w:spacing w:line="360" w:lineRule="auto"/>
        <w:rPr>
          <w:rFonts w:ascii="Arial" w:hAnsi="Arial" w:cs="Arial"/>
          <w:sz w:val="22"/>
          <w:szCs w:val="22"/>
        </w:rPr>
      </w:pPr>
    </w:p>
    <w:p w14:paraId="03C63E3B" w14:textId="77777777" w:rsidR="00462739" w:rsidRPr="00E214BA" w:rsidRDefault="00462739" w:rsidP="00E214BA">
      <w:pPr>
        <w:spacing w:line="360" w:lineRule="auto"/>
        <w:rPr>
          <w:rFonts w:ascii="Arial" w:hAnsi="Arial" w:cs="Arial"/>
          <w:sz w:val="22"/>
          <w:szCs w:val="22"/>
        </w:rPr>
      </w:pPr>
    </w:p>
    <w:p w14:paraId="3AF994A6" w14:textId="77777777" w:rsidR="00462739" w:rsidRPr="00E214BA" w:rsidRDefault="00462739" w:rsidP="00E214BA">
      <w:pPr>
        <w:spacing w:line="360" w:lineRule="auto"/>
        <w:rPr>
          <w:rFonts w:ascii="Arial" w:hAnsi="Arial" w:cs="Arial"/>
          <w:sz w:val="22"/>
          <w:szCs w:val="22"/>
        </w:rPr>
      </w:pPr>
    </w:p>
    <w:p w14:paraId="0F81ED43" w14:textId="77777777" w:rsidR="00462739" w:rsidRPr="00E214BA" w:rsidRDefault="00462739" w:rsidP="00E214BA">
      <w:pPr>
        <w:spacing w:line="360" w:lineRule="auto"/>
        <w:rPr>
          <w:rFonts w:ascii="Arial" w:hAnsi="Arial" w:cs="Arial"/>
          <w:sz w:val="22"/>
          <w:szCs w:val="22"/>
        </w:rPr>
      </w:pPr>
    </w:p>
    <w:p w14:paraId="3D848C97" w14:textId="77777777" w:rsidR="00462739" w:rsidRPr="00E214BA" w:rsidRDefault="00462739" w:rsidP="00E214BA">
      <w:pPr>
        <w:spacing w:line="360" w:lineRule="auto"/>
        <w:rPr>
          <w:rFonts w:ascii="Arial" w:hAnsi="Arial" w:cs="Arial"/>
          <w:sz w:val="22"/>
          <w:szCs w:val="22"/>
        </w:rPr>
      </w:pPr>
    </w:p>
    <w:p w14:paraId="58441472" w14:textId="77777777" w:rsidR="00462739" w:rsidRPr="00E214BA" w:rsidRDefault="00462739" w:rsidP="00E214BA">
      <w:pPr>
        <w:spacing w:line="360" w:lineRule="auto"/>
        <w:rPr>
          <w:rFonts w:ascii="Arial" w:hAnsi="Arial" w:cs="Arial"/>
          <w:sz w:val="22"/>
          <w:szCs w:val="22"/>
        </w:rPr>
      </w:pPr>
    </w:p>
    <w:p w14:paraId="65291972" w14:textId="77777777" w:rsidR="00462739" w:rsidRPr="00E214BA" w:rsidRDefault="00462739" w:rsidP="00E214BA">
      <w:pPr>
        <w:spacing w:line="360" w:lineRule="auto"/>
        <w:rPr>
          <w:rFonts w:ascii="Arial" w:hAnsi="Arial" w:cs="Arial"/>
          <w:sz w:val="22"/>
          <w:szCs w:val="22"/>
        </w:rPr>
      </w:pPr>
    </w:p>
    <w:p w14:paraId="525AE116" w14:textId="77777777" w:rsidR="00462739" w:rsidRPr="00E214BA" w:rsidRDefault="00462739" w:rsidP="00E214BA">
      <w:pPr>
        <w:spacing w:line="360" w:lineRule="auto"/>
        <w:rPr>
          <w:rFonts w:ascii="Arial" w:hAnsi="Arial" w:cs="Arial"/>
          <w:sz w:val="22"/>
          <w:szCs w:val="22"/>
        </w:rPr>
      </w:pPr>
    </w:p>
    <w:p w14:paraId="76F14C2F" w14:textId="77777777" w:rsidR="00462739" w:rsidRPr="00E214BA" w:rsidRDefault="00462739" w:rsidP="00E214BA">
      <w:pPr>
        <w:spacing w:line="360" w:lineRule="auto"/>
        <w:rPr>
          <w:rFonts w:ascii="Arial" w:hAnsi="Arial" w:cs="Arial"/>
          <w:sz w:val="22"/>
          <w:szCs w:val="22"/>
        </w:rPr>
      </w:pPr>
    </w:p>
    <w:p w14:paraId="275E62DF" w14:textId="77777777" w:rsidR="00462739" w:rsidRPr="00E214BA" w:rsidRDefault="00462739" w:rsidP="00E214BA">
      <w:pPr>
        <w:spacing w:line="360" w:lineRule="auto"/>
        <w:rPr>
          <w:rFonts w:ascii="Arial" w:hAnsi="Arial" w:cs="Arial"/>
          <w:sz w:val="22"/>
          <w:szCs w:val="22"/>
        </w:rPr>
      </w:pPr>
    </w:p>
    <w:p w14:paraId="0961BE3B" w14:textId="77777777" w:rsidR="00462739" w:rsidRPr="00E214BA" w:rsidRDefault="00462739" w:rsidP="00E214BA">
      <w:pPr>
        <w:spacing w:line="360" w:lineRule="auto"/>
        <w:rPr>
          <w:rFonts w:ascii="Arial" w:hAnsi="Arial" w:cs="Arial"/>
          <w:sz w:val="22"/>
          <w:szCs w:val="22"/>
        </w:rPr>
      </w:pPr>
    </w:p>
    <w:p w14:paraId="6F37F8A8" w14:textId="77777777" w:rsidR="00462739" w:rsidRPr="00E214BA" w:rsidRDefault="00462739" w:rsidP="00E214BA">
      <w:pPr>
        <w:spacing w:line="360" w:lineRule="auto"/>
        <w:rPr>
          <w:rFonts w:ascii="Arial" w:hAnsi="Arial" w:cs="Arial"/>
          <w:sz w:val="22"/>
          <w:szCs w:val="22"/>
        </w:rPr>
      </w:pPr>
    </w:p>
    <w:p w14:paraId="0DC89195" w14:textId="77777777" w:rsidR="00722DEF" w:rsidRPr="00E214BA" w:rsidRDefault="00722DEF" w:rsidP="00E214BA">
      <w:pPr>
        <w:spacing w:line="360" w:lineRule="auto"/>
        <w:rPr>
          <w:rFonts w:ascii="Arial" w:hAnsi="Arial" w:cs="Arial"/>
          <w:b/>
          <w:bCs/>
          <w:u w:val="single"/>
        </w:rPr>
      </w:pPr>
      <w:r w:rsidRPr="00E214BA">
        <w:rPr>
          <w:rFonts w:ascii="Arial" w:hAnsi="Arial" w:cs="Arial"/>
          <w:b/>
          <w:bCs/>
          <w:u w:val="single"/>
        </w:rPr>
        <w:lastRenderedPageBreak/>
        <w:t>Access, Inequality and Unmet Need in UK Mental Health Care: A Review of Five Studies</w:t>
      </w:r>
    </w:p>
    <w:p w14:paraId="14E06632" w14:textId="4CCE112D" w:rsidR="00C90523" w:rsidRPr="00C90523" w:rsidRDefault="00C90523" w:rsidP="00C90523">
      <w:pPr>
        <w:spacing w:line="360" w:lineRule="auto"/>
        <w:rPr>
          <w:rFonts w:ascii="Arial" w:hAnsi="Arial" w:cs="Arial"/>
          <w:b/>
          <w:bCs/>
          <w:sz w:val="22"/>
          <w:szCs w:val="22"/>
          <w:u w:val="single"/>
        </w:rPr>
      </w:pPr>
      <w:r w:rsidRPr="00C90523">
        <w:rPr>
          <w:rFonts w:ascii="Arial" w:hAnsi="Arial" w:cs="Arial"/>
          <w:b/>
          <w:bCs/>
          <w:sz w:val="22"/>
          <w:szCs w:val="22"/>
          <w:u w:val="single"/>
        </w:rPr>
        <w:t>Introduction</w:t>
      </w:r>
    </w:p>
    <w:p w14:paraId="79F987FC" w14:textId="4EA46C6D" w:rsidR="00C90523" w:rsidRPr="00C90523" w:rsidRDefault="00C90523" w:rsidP="00C90523">
      <w:pPr>
        <w:spacing w:line="360" w:lineRule="auto"/>
        <w:rPr>
          <w:rFonts w:ascii="Arial" w:hAnsi="Arial" w:cs="Arial"/>
          <w:sz w:val="22"/>
          <w:szCs w:val="22"/>
        </w:rPr>
      </w:pPr>
      <w:r w:rsidRPr="00C90523">
        <w:rPr>
          <w:rFonts w:ascii="Arial" w:hAnsi="Arial" w:cs="Arial"/>
          <w:sz w:val="22"/>
          <w:szCs w:val="22"/>
        </w:rPr>
        <w:t xml:space="preserve">Access to mental health services in the United Kingdom has become a major public health concern, especially as demand continues to rise among children, adolescents, adults, and vulnerable groups. Over 1.9 million people are currently in contact with mental health services, yet many still face long waiting times, limited availability, and barriers linked to stigma, poverty, ethnicity, and childhood adversity (NHS England, 2024). More than 109,000 young people are currently waiting for support, and adults—particularly those from ethnic minority or deprived </w:t>
      </w:r>
      <w:proofErr w:type="gramStart"/>
      <w:r w:rsidRPr="00C90523">
        <w:rPr>
          <w:rFonts w:ascii="Arial" w:hAnsi="Arial" w:cs="Arial"/>
          <w:sz w:val="22"/>
          <w:szCs w:val="22"/>
        </w:rPr>
        <w:t>backgrounds, or</w:t>
      </w:r>
      <w:proofErr w:type="gramEnd"/>
      <w:r w:rsidRPr="00C90523">
        <w:rPr>
          <w:rFonts w:ascii="Arial" w:hAnsi="Arial" w:cs="Arial"/>
          <w:sz w:val="22"/>
          <w:szCs w:val="22"/>
        </w:rPr>
        <w:t xml:space="preserve"> living with severe mental illness (SMI)—also experience significant inequalities (YoungMinds, 2024).</w:t>
      </w:r>
    </w:p>
    <w:p w14:paraId="74E2B934" w14:textId="77777777" w:rsidR="00C90523" w:rsidRPr="00C90523" w:rsidRDefault="00C90523" w:rsidP="00C90523">
      <w:pPr>
        <w:spacing w:line="360" w:lineRule="auto"/>
        <w:rPr>
          <w:rFonts w:ascii="Arial" w:hAnsi="Arial" w:cs="Arial"/>
          <w:sz w:val="22"/>
          <w:szCs w:val="22"/>
        </w:rPr>
      </w:pPr>
      <w:r w:rsidRPr="00C90523">
        <w:rPr>
          <w:rFonts w:ascii="Arial" w:hAnsi="Arial" w:cs="Arial"/>
          <w:sz w:val="22"/>
          <w:szCs w:val="22"/>
        </w:rPr>
        <w:t>This report explores barriers to accessing mental health services in the UK through a scoping review of five peer</w:t>
      </w:r>
      <w:r w:rsidRPr="00C90523">
        <w:rPr>
          <w:rFonts w:ascii="Arial" w:hAnsi="Arial" w:cs="Arial"/>
          <w:sz w:val="22"/>
          <w:szCs w:val="22"/>
        </w:rPr>
        <w:noBreakHyphen/>
        <w:t>reviewed studies. Using Aveyard’s (2014) structured approach, it identifies key themes, compares findings across population groups, and examines inequalities linked to ethnicity, deprivation, childhood adversity and SMI, with the aim of informing recommendations to improve access and reduce unmet need.</w:t>
      </w:r>
    </w:p>
    <w:p w14:paraId="2A33A0EA" w14:textId="759A79DE" w:rsidR="00462739" w:rsidRPr="00E214BA" w:rsidRDefault="00462739" w:rsidP="00E214BA">
      <w:pPr>
        <w:spacing w:line="360" w:lineRule="auto"/>
        <w:rPr>
          <w:rFonts w:ascii="Arial" w:hAnsi="Arial" w:cs="Arial"/>
          <w:sz w:val="22"/>
          <w:szCs w:val="22"/>
        </w:rPr>
      </w:pPr>
    </w:p>
    <w:p w14:paraId="361234F0" w14:textId="080868EF"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Background</w:t>
      </w:r>
    </w:p>
    <w:p w14:paraId="7385BB51"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Access to mental health services in the United Kingdom has become increasingly difficult due to rising demand, limited resources, and inequalities across different population groups. The NHS states that mental health conditions are one of the leading causes of disability in the UK, with millions of people requiring support each </w:t>
      </w:r>
      <w:r w:rsidRPr="00E214BA">
        <w:rPr>
          <w:rFonts w:ascii="Arial" w:hAnsi="Arial" w:cs="Arial"/>
          <w:color w:val="EE0000"/>
          <w:sz w:val="22"/>
          <w:szCs w:val="22"/>
        </w:rPr>
        <w:t xml:space="preserve">year (NHS, 2024). </w:t>
      </w:r>
      <w:r w:rsidRPr="00E214BA">
        <w:rPr>
          <w:rFonts w:ascii="Arial" w:hAnsi="Arial" w:cs="Arial"/>
          <w:sz w:val="22"/>
          <w:szCs w:val="22"/>
        </w:rPr>
        <w:t>Despite national commitments to improve access, many individuals still struggle to receive timely and appropriate care.</w:t>
      </w:r>
    </w:p>
    <w:p w14:paraId="6C701459"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Rising demand for mental health support</w:t>
      </w:r>
    </w:p>
    <w:p w14:paraId="22C99956"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Demand for mental health services has increased sharply, especially among children and adolescents. YoungMinds reports that thousands of young people are currently waiting for mental health support, with many experiencing long delays before receiving treatment </w:t>
      </w:r>
      <w:r w:rsidRPr="00E214BA">
        <w:rPr>
          <w:rFonts w:ascii="Arial" w:hAnsi="Arial" w:cs="Arial"/>
          <w:color w:val="EE0000"/>
          <w:sz w:val="22"/>
          <w:szCs w:val="22"/>
        </w:rPr>
        <w:t>(YoungMinds, 2024)</w:t>
      </w:r>
      <w:r w:rsidRPr="00E214BA">
        <w:rPr>
          <w:rFonts w:ascii="Arial" w:hAnsi="Arial" w:cs="Arial"/>
          <w:sz w:val="22"/>
          <w:szCs w:val="22"/>
        </w:rPr>
        <w:t>. These delays can worsen symptoms, increase distress, and reduce the likelihood of early intervention.</w:t>
      </w:r>
    </w:p>
    <w:p w14:paraId="2B0C4D96"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Inequalities in access</w:t>
      </w:r>
    </w:p>
    <w:p w14:paraId="12094910"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lastRenderedPageBreak/>
        <w:t xml:space="preserve">Access to mental health services is not equal across the UK. The Department of Health and Social Care highlights that people from ethnic minority backgrounds, deprived communities, and rural areas often face greater barriers to care </w:t>
      </w:r>
      <w:r w:rsidRPr="00E214BA">
        <w:rPr>
          <w:rFonts w:ascii="Arial" w:hAnsi="Arial" w:cs="Arial"/>
          <w:color w:val="EE0000"/>
          <w:sz w:val="22"/>
          <w:szCs w:val="22"/>
        </w:rPr>
        <w:t>(DHSC, 2023)</w:t>
      </w:r>
      <w:r w:rsidRPr="00E214BA">
        <w:rPr>
          <w:rFonts w:ascii="Arial" w:hAnsi="Arial" w:cs="Arial"/>
          <w:sz w:val="22"/>
          <w:szCs w:val="22"/>
        </w:rPr>
        <w:t>. These barriers include stigma, lack of culturally appropriate services, limited availability, and difficulties navigating the healthcare system.</w:t>
      </w:r>
    </w:p>
    <w:p w14:paraId="0944AEED"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Impact of childhood adversity</w:t>
      </w:r>
    </w:p>
    <w:p w14:paraId="2AF771D9"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Children and adolescents who have experienced adverse childhood experiences (ACEs) are more likely to develop mental health difficulties and may require additional support </w:t>
      </w:r>
      <w:r w:rsidRPr="00E214BA">
        <w:rPr>
          <w:rFonts w:ascii="Arial" w:hAnsi="Arial" w:cs="Arial"/>
          <w:color w:val="EE0000"/>
          <w:sz w:val="22"/>
          <w:szCs w:val="22"/>
        </w:rPr>
        <w:t>(NSPCC, 2024)</w:t>
      </w:r>
      <w:r w:rsidRPr="00E214BA">
        <w:rPr>
          <w:rFonts w:ascii="Arial" w:hAnsi="Arial" w:cs="Arial"/>
          <w:sz w:val="22"/>
          <w:szCs w:val="22"/>
        </w:rPr>
        <w:t>. However, many young people with ACEs report unmet needs or difficulties accessing services, which can increase long</w:t>
      </w:r>
      <w:r w:rsidRPr="00E214BA">
        <w:rPr>
          <w:rFonts w:ascii="Arial" w:hAnsi="Arial" w:cs="Arial"/>
          <w:sz w:val="22"/>
          <w:szCs w:val="22"/>
        </w:rPr>
        <w:noBreakHyphen/>
        <w:t>term risks.</w:t>
      </w:r>
    </w:p>
    <w:p w14:paraId="71D74AB3"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Barriers linked to severe mental illness</w:t>
      </w:r>
    </w:p>
    <w:p w14:paraId="6B59B00F"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Adults living with severe mental illness (SMI) often face significant challenges in accessing routine health checks, screening, and mental health support. Public Health England notes that people with SMI experience higher levels of physical health problems and shorter life expectancy, partly due to barriers in accessing healthcare </w:t>
      </w:r>
      <w:r w:rsidRPr="00E214BA">
        <w:rPr>
          <w:rFonts w:ascii="Arial" w:hAnsi="Arial" w:cs="Arial"/>
          <w:color w:val="EE0000"/>
          <w:sz w:val="22"/>
          <w:szCs w:val="22"/>
        </w:rPr>
        <w:t>(PHE, 2023).</w:t>
      </w:r>
    </w:p>
    <w:p w14:paraId="6AC4132D"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Cultural and social barriers</w:t>
      </w:r>
    </w:p>
    <w:p w14:paraId="7F209C8E"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Stigma remains one of the biggest barriers to accessing mental health services. Mind explains that stigma can prevent individuals from seeking help, reduce confidence in services, and create fear of judgement </w:t>
      </w:r>
      <w:r w:rsidRPr="00E214BA">
        <w:rPr>
          <w:rFonts w:ascii="Arial" w:hAnsi="Arial" w:cs="Arial"/>
          <w:color w:val="EE0000"/>
          <w:sz w:val="22"/>
          <w:szCs w:val="22"/>
        </w:rPr>
        <w:t>(Mind, 2024)</w:t>
      </w:r>
      <w:r w:rsidRPr="00E214BA">
        <w:rPr>
          <w:rFonts w:ascii="Arial" w:hAnsi="Arial" w:cs="Arial"/>
          <w:sz w:val="22"/>
          <w:szCs w:val="22"/>
        </w:rPr>
        <w:t xml:space="preserve">. Migrant and refugee communities may also face cultural barriers, language difficulties, and feelings of exclusion when trying to access support </w:t>
      </w:r>
      <w:r w:rsidRPr="00E214BA">
        <w:rPr>
          <w:rFonts w:ascii="Arial" w:hAnsi="Arial" w:cs="Arial"/>
          <w:color w:val="EE0000"/>
          <w:sz w:val="22"/>
          <w:szCs w:val="22"/>
        </w:rPr>
        <w:t>(Refugee Council, 2024).</w:t>
      </w:r>
    </w:p>
    <w:p w14:paraId="2122F36A"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Geographical barriers</w:t>
      </w:r>
    </w:p>
    <w:p w14:paraId="54E0FEDA"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Access to mental health services varies depending on location. People living in rural or remote areas may have fewer services available, longer travel distances, and limited specialist support </w:t>
      </w:r>
      <w:r w:rsidRPr="00E214BA">
        <w:rPr>
          <w:rFonts w:ascii="Arial" w:hAnsi="Arial" w:cs="Arial"/>
          <w:color w:val="EE0000"/>
          <w:sz w:val="22"/>
          <w:szCs w:val="22"/>
        </w:rPr>
        <w:t xml:space="preserve">(NHS England, 2024). </w:t>
      </w:r>
      <w:r w:rsidRPr="00E214BA">
        <w:rPr>
          <w:rFonts w:ascii="Arial" w:hAnsi="Arial" w:cs="Arial"/>
          <w:sz w:val="22"/>
          <w:szCs w:val="22"/>
        </w:rPr>
        <w:t>This can create inequalities in care and increase unmet need.</w:t>
      </w:r>
    </w:p>
    <w:p w14:paraId="569DC6C3" w14:textId="78D14F61"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Why this background matters</w:t>
      </w:r>
      <w:r w:rsidR="00E214BA" w:rsidRPr="00E214BA">
        <w:rPr>
          <w:rFonts w:ascii="Arial" w:hAnsi="Arial" w:cs="Arial"/>
          <w:b/>
          <w:bCs/>
          <w:sz w:val="22"/>
          <w:szCs w:val="22"/>
          <w:u w:val="single"/>
        </w:rPr>
        <w:t>?</w:t>
      </w:r>
    </w:p>
    <w:p w14:paraId="7DDF114F"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Understanding these barriers is essential for identifying who is most affected and how services can be improved. This background section provides the foundation for the scoping review, which will explore barriers across different groups using five peer</w:t>
      </w:r>
      <w:r w:rsidRPr="00E214BA">
        <w:rPr>
          <w:rFonts w:ascii="Arial" w:hAnsi="Arial" w:cs="Arial"/>
          <w:sz w:val="22"/>
          <w:szCs w:val="22"/>
        </w:rPr>
        <w:noBreakHyphen/>
        <w:t>reviewed journal articles.</w:t>
      </w:r>
    </w:p>
    <w:p w14:paraId="65183AD2" w14:textId="7743A569" w:rsidR="0071250D" w:rsidRPr="00E214BA" w:rsidRDefault="0071250D" w:rsidP="00E214BA">
      <w:pPr>
        <w:spacing w:line="360" w:lineRule="auto"/>
        <w:rPr>
          <w:rFonts w:ascii="Arial" w:hAnsi="Arial" w:cs="Arial"/>
          <w:b/>
          <w:bCs/>
          <w:sz w:val="22"/>
          <w:szCs w:val="22"/>
          <w:u w:val="single"/>
        </w:rPr>
      </w:pPr>
      <w:r w:rsidRPr="00E214BA">
        <w:rPr>
          <w:rFonts w:ascii="Arial" w:hAnsi="Arial" w:cs="Arial"/>
          <w:b/>
          <w:bCs/>
          <w:sz w:val="22"/>
          <w:szCs w:val="22"/>
          <w:u w:val="single"/>
        </w:rPr>
        <w:t>Methods</w:t>
      </w:r>
    </w:p>
    <w:p w14:paraId="6D957D14" w14:textId="7A2D93A3"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lastRenderedPageBreak/>
        <w:t>This scoping review followed a structured and transparent approach to identify and analyse peer</w:t>
      </w:r>
      <w:r w:rsidRPr="00E214BA">
        <w:rPr>
          <w:rFonts w:ascii="Arial" w:hAnsi="Arial" w:cs="Arial"/>
          <w:sz w:val="22"/>
          <w:szCs w:val="22"/>
        </w:rPr>
        <w:noBreakHyphen/>
        <w:t>reviewed journal articles that explore barriers to accessing mental health services in the United Kingdom. The review was guided by Aveyard’s (2014) student</w:t>
      </w:r>
      <w:r w:rsidRPr="00E214BA">
        <w:rPr>
          <w:rFonts w:ascii="Arial" w:hAnsi="Arial" w:cs="Arial"/>
          <w:sz w:val="22"/>
          <w:szCs w:val="22"/>
        </w:rPr>
        <w:noBreakHyphen/>
        <w:t>friendly method for conducting literature reviews, which supports clear searching, selecting, and analysing of academic evidence. A search was carried out using UWTSD online library system</w:t>
      </w:r>
      <w:r w:rsidR="004C67DE">
        <w:rPr>
          <w:rFonts w:ascii="Arial" w:hAnsi="Arial" w:cs="Arial"/>
          <w:sz w:val="22"/>
          <w:szCs w:val="22"/>
        </w:rPr>
        <w:t>.</w:t>
      </w:r>
      <w:r w:rsidRPr="00E214BA">
        <w:rPr>
          <w:rFonts w:ascii="Arial" w:hAnsi="Arial" w:cs="Arial"/>
          <w:sz w:val="22"/>
          <w:szCs w:val="22"/>
        </w:rPr>
        <w:t xml:space="preserve"> Th</w:t>
      </w:r>
      <w:r w:rsidR="004C67DE">
        <w:rPr>
          <w:rFonts w:ascii="Arial" w:hAnsi="Arial" w:cs="Arial"/>
          <w:sz w:val="22"/>
          <w:szCs w:val="22"/>
        </w:rPr>
        <w:t xml:space="preserve">is was chosen because it </w:t>
      </w:r>
      <w:r w:rsidRPr="00E214BA">
        <w:rPr>
          <w:rFonts w:ascii="Arial" w:hAnsi="Arial" w:cs="Arial"/>
          <w:sz w:val="22"/>
          <w:szCs w:val="22"/>
        </w:rPr>
        <w:t>contain</w:t>
      </w:r>
      <w:r w:rsidR="004C67DE">
        <w:rPr>
          <w:rFonts w:ascii="Arial" w:hAnsi="Arial" w:cs="Arial"/>
          <w:sz w:val="22"/>
          <w:szCs w:val="22"/>
        </w:rPr>
        <w:t>s</w:t>
      </w:r>
      <w:r w:rsidRPr="00E214BA">
        <w:rPr>
          <w:rFonts w:ascii="Arial" w:hAnsi="Arial" w:cs="Arial"/>
          <w:sz w:val="22"/>
          <w:szCs w:val="22"/>
        </w:rPr>
        <w:t xml:space="preserve"> high</w:t>
      </w:r>
      <w:r w:rsidRPr="00E214BA">
        <w:rPr>
          <w:rFonts w:ascii="Arial" w:hAnsi="Arial" w:cs="Arial"/>
          <w:sz w:val="22"/>
          <w:szCs w:val="22"/>
        </w:rPr>
        <w:noBreakHyphen/>
        <w:t>quality, peer</w:t>
      </w:r>
      <w:r w:rsidRPr="00E214BA">
        <w:rPr>
          <w:rFonts w:ascii="Arial" w:hAnsi="Arial" w:cs="Arial"/>
          <w:sz w:val="22"/>
          <w:szCs w:val="22"/>
        </w:rPr>
        <w:noBreakHyphen/>
        <w:t xml:space="preserve">reviewed research relevant to mental health access in the UK </w:t>
      </w:r>
      <w:r w:rsidRPr="00E214BA">
        <w:rPr>
          <w:rFonts w:ascii="Arial" w:hAnsi="Arial" w:cs="Arial"/>
          <w:color w:val="EE0000"/>
          <w:sz w:val="22"/>
          <w:szCs w:val="22"/>
        </w:rPr>
        <w:t>(UWTSD Library, 2024</w:t>
      </w:r>
      <w:r w:rsidRPr="00E214BA">
        <w:rPr>
          <w:rFonts w:ascii="Arial" w:hAnsi="Arial" w:cs="Arial"/>
          <w:sz w:val="22"/>
          <w:szCs w:val="22"/>
        </w:rPr>
        <w:t xml:space="preserve">). Search terms included “mental health access UK”, “barriers to mental health services”, “mental health inequalities UK”, “adolescent mental health access UK”, and “severe mental illness access UK”. </w:t>
      </w:r>
      <w:r w:rsidRPr="00E214BA">
        <w:rPr>
          <w:rFonts w:ascii="Arial" w:hAnsi="Arial" w:cs="Arial"/>
          <w:color w:val="EE0000"/>
          <w:sz w:val="22"/>
          <w:szCs w:val="22"/>
        </w:rPr>
        <w:t>(NHS Library Guide, 2024).</w:t>
      </w:r>
    </w:p>
    <w:p w14:paraId="1AEC4C99" w14:textId="4185BFF6"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Clear inclusion and exclusion criteria were applied to ensure the review remained focused and relevant. Articles were included if they were peer</w:t>
      </w:r>
      <w:r w:rsidRPr="00E214BA">
        <w:rPr>
          <w:rFonts w:ascii="Arial" w:hAnsi="Arial" w:cs="Arial"/>
          <w:sz w:val="22"/>
          <w:szCs w:val="22"/>
        </w:rPr>
        <w:noBreakHyphen/>
        <w:t>reviewed, published between 2014 and 2026, UK</w:t>
      </w:r>
      <w:r w:rsidRPr="00E214BA">
        <w:rPr>
          <w:rFonts w:ascii="Arial" w:hAnsi="Arial" w:cs="Arial"/>
          <w:sz w:val="22"/>
          <w:szCs w:val="22"/>
        </w:rPr>
        <w:noBreakHyphen/>
        <w:t xml:space="preserve">based, and focused on access to mental health services. </w:t>
      </w:r>
    </w:p>
    <w:p w14:paraId="76434572" w14:textId="77777777"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Five peer</w:t>
      </w:r>
      <w:r w:rsidRPr="00E214BA">
        <w:rPr>
          <w:rFonts w:ascii="Arial" w:hAnsi="Arial" w:cs="Arial"/>
          <w:sz w:val="22"/>
          <w:szCs w:val="22"/>
        </w:rPr>
        <w:noBreakHyphen/>
        <w:t>reviewed journal articles were chosen for this review because they represent different population groups and provide a broad understanding of access barriers across the UK. These include Udu et al. (2026), Lowther</w:t>
      </w:r>
      <w:r w:rsidRPr="00E214BA">
        <w:rPr>
          <w:rFonts w:ascii="Arial" w:hAnsi="Arial" w:cs="Arial"/>
          <w:sz w:val="22"/>
          <w:szCs w:val="22"/>
        </w:rPr>
        <w:noBreakHyphen/>
        <w:t>Payne et al. (2023), Owens et al. (2025), Brenman (2021), and Soneson et al. (2024). Key information was extracted from each study, including authors, publication year, aims, sample size, population, methods, main findings, and reported barriers to access. This information will be presented in a summary table in the Results section.</w:t>
      </w:r>
    </w:p>
    <w:p w14:paraId="0DCC2BA4" w14:textId="77777777"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 xml:space="preserve">A simplified thematic analysis was carried out using Aveyard’s (2014) approach. This involved reading each study several times to become familiar with the content, identifying repeated ideas or barriers, grouping similar ideas into themes, and defining and naming each theme clearly. Themes were developed based only on the five selected studies to ensure accuracy and consistency. Ethical considerations were followed throughout the review, and all sources used were publicly available through the university library. Care was taken to ensure that the analysis remained objective, unbiased, and respectful of the populations represented in the studies </w:t>
      </w:r>
      <w:r w:rsidRPr="00E214BA">
        <w:rPr>
          <w:rFonts w:ascii="Arial" w:hAnsi="Arial" w:cs="Arial"/>
          <w:color w:val="EE0000"/>
          <w:sz w:val="22"/>
          <w:szCs w:val="22"/>
        </w:rPr>
        <w:t>(NHS Research Ethics Guidance, 2024).</w:t>
      </w:r>
    </w:p>
    <w:p w14:paraId="7BE7A75F" w14:textId="26BA603B"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t>Results</w:t>
      </w:r>
    </w:p>
    <w:p w14:paraId="010CEDCA"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The findings from the five selected peer</w:t>
      </w:r>
      <w:r w:rsidRPr="00E214BA">
        <w:rPr>
          <w:rFonts w:ascii="Arial" w:hAnsi="Arial" w:cs="Arial"/>
          <w:sz w:val="22"/>
          <w:szCs w:val="22"/>
        </w:rPr>
        <w:noBreakHyphen/>
        <w:t>reviewed journal articles reveal a wide range of barriers that prevent people in the United Kingdom from accessing mental health services. Although each study focuses on a different population group, they all highlight similar issues such as stigma, long waiting times, cultural barriers, deprivation, and unmet need. Together, these studies show that access problems are not limited to one age group or community but are spread across the entire mental health system.</w:t>
      </w:r>
    </w:p>
    <w:p w14:paraId="680AFEAD"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lastRenderedPageBreak/>
        <w:t>The first study by Udu et al. (2026) provides detailed insight into the experiences of adolescents aged 10–19 across the UK. This systematic review found that young people often lacked mental health literacy, meaning they struggled to recognise symptoms or understand when and how to seek help. This lack of knowledge made many adolescents delay accessing support until their symptoms became severe. Stigma was another major barrier, especially among boys who feared judgement from peers, teachers, or family members. The study also found that adolescents from ethnic minority backgrounds faced additional cultural barriers, including services that did not reflect their cultural needs or languages. Long waiting times were a significant issue, with many young people waiting months before receiving support. Economic deprivation also played a role, as young people from poorer households had fewer opportunities to access early intervention services. Udu et al. (2026) concluded that barriers existed at multiple levels, including individual, family, school, community, and wider system levels, making access a complex and multi</w:t>
      </w:r>
      <w:r w:rsidRPr="00E214BA">
        <w:rPr>
          <w:rFonts w:ascii="Arial" w:hAnsi="Arial" w:cs="Arial"/>
          <w:sz w:val="22"/>
          <w:szCs w:val="22"/>
        </w:rPr>
        <w:noBreakHyphen/>
        <w:t>layered issue.</w:t>
      </w:r>
    </w:p>
    <w:p w14:paraId="08D917B5"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The second study by Lowther</w:t>
      </w:r>
      <w:r w:rsidRPr="00E214BA">
        <w:rPr>
          <w:rFonts w:ascii="Arial" w:hAnsi="Arial" w:cs="Arial"/>
          <w:sz w:val="22"/>
          <w:szCs w:val="22"/>
        </w:rPr>
        <w:noBreakHyphen/>
        <w:t>Payne et al. (2023) examined inequalities in adult mental health service access across the UK. This large mapping review analysed 152 studies and found that gender, age, and ethnicity were the most frequently reported dimensions of inequality. Adults from ethnic minority backgrounds often experienced discrimination, stigma, and difficulties navigating the healthcare system. Many adults struggled with the “ability to seek” help, meaning they lacked confidence or felt ashamed to ask for support. The “ability to reach” services was also a major barrier, with some areas offering fewer mental health services than others, especially rural or deprived regions. The study found that most research measured access through healthcare utilisation, meaning many inequalities may be hidden because they are not captured through other measures such as unmet need or service acceptability. Lowther</w:t>
      </w:r>
      <w:r w:rsidRPr="00E214BA">
        <w:rPr>
          <w:rFonts w:ascii="Arial" w:hAnsi="Arial" w:cs="Arial"/>
          <w:sz w:val="22"/>
          <w:szCs w:val="22"/>
        </w:rPr>
        <w:noBreakHyphen/>
        <w:t>Payne et al. (2023) concluded that despite national policies aimed at improving access, little progress has been made, and many population groups remain poorly served.</w:t>
      </w:r>
    </w:p>
    <w:p w14:paraId="0B6F2611"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The third study by Owens et al. (2025) explored access inequalities for adults living with severe mental illness (SMI), such as schizophrenia or bipolar disorder. This mixed</w:t>
      </w:r>
      <w:r w:rsidRPr="00E214BA">
        <w:rPr>
          <w:rFonts w:ascii="Arial" w:hAnsi="Arial" w:cs="Arial"/>
          <w:sz w:val="22"/>
          <w:szCs w:val="22"/>
        </w:rPr>
        <w:noBreakHyphen/>
        <w:t xml:space="preserve">methods review found that people with SMI often struggled to access annual health checks (AHCs), which are essential for monitoring physical health risks. Many services failed to make reasonable adjustments for disability, meaning people with SMI were expected to navigate complex systems without additional support. The study found that deprivation and ethnicity were rarely discussed in the included research, suggesting that important inequalities may be overlooked. Social isolation, homelessness, and lack of trust in services also prevented </w:t>
      </w:r>
      <w:r w:rsidRPr="00E214BA">
        <w:rPr>
          <w:rFonts w:ascii="Arial" w:hAnsi="Arial" w:cs="Arial"/>
          <w:sz w:val="22"/>
          <w:szCs w:val="22"/>
        </w:rPr>
        <w:lastRenderedPageBreak/>
        <w:t>people with SMI from attending health checks. Owens et al. (2025) reported that there was no strong evidence that interventions had successfully improved access to AHCs, highlighting a major gap in support for this vulnerable group.</w:t>
      </w:r>
    </w:p>
    <w:p w14:paraId="42140D34"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The fourth study by Brenman (2021) examined access to mental health care among migrant communities in London. This ethnographic study found that migrants often experienced “precarious belonging”, meaning they felt uncertain about whether they deserved care or belonged in the service. Feelings of exclusion were common, especially when services </w:t>
      </w:r>
      <w:proofErr w:type="gramStart"/>
      <w:r w:rsidRPr="00E214BA">
        <w:rPr>
          <w:rFonts w:ascii="Arial" w:hAnsi="Arial" w:cs="Arial"/>
          <w:sz w:val="22"/>
          <w:szCs w:val="22"/>
        </w:rPr>
        <w:t>were located in</w:t>
      </w:r>
      <w:proofErr w:type="gramEnd"/>
      <w:r w:rsidRPr="00E214BA">
        <w:rPr>
          <w:rFonts w:ascii="Arial" w:hAnsi="Arial" w:cs="Arial"/>
          <w:sz w:val="22"/>
          <w:szCs w:val="22"/>
        </w:rPr>
        <w:t xml:space="preserve"> temporary or unstable environments. The physical space of the service, such as crowded rooms or temporary buildings, made some migrants feel uncomfortable or unwelcome. Waiting was also a major barrier, with long delays creating anxiety and uncertainty. Cultural differences, language barriers, and fear of judgement further prevented migrants from accessing support. Brenman (2021) argued that access is not only about availability but also about how safe, stable, and welcoming the service environment feels.</w:t>
      </w:r>
    </w:p>
    <w:p w14:paraId="164B521E"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The fifth study by Soneson et al. (2024) explored access and unmet need among adolescents with adverse childhood experiences (ACEs). This large quantitative study found that young people with ACEs were more likely to have accessed mental health support, but they were also more likely to report unmet need. This means that even when they received help, it was often not enough or did not meet their expectations. The study found strong links between adversity, anxiety, depression, and difficulties accessing appropriate support. Many adolescents felt that services were not available, accessible, or acceptable to them. Some reported that school</w:t>
      </w:r>
      <w:r w:rsidRPr="00E214BA">
        <w:rPr>
          <w:rFonts w:ascii="Arial" w:hAnsi="Arial" w:cs="Arial"/>
          <w:sz w:val="22"/>
          <w:szCs w:val="22"/>
        </w:rPr>
        <w:noBreakHyphen/>
        <w:t>based support was inconsistent, while others felt that services did not understand their trauma or provide long</w:t>
      </w:r>
      <w:r w:rsidRPr="00E214BA">
        <w:rPr>
          <w:rFonts w:ascii="Arial" w:hAnsi="Arial" w:cs="Arial"/>
          <w:sz w:val="22"/>
          <w:szCs w:val="22"/>
        </w:rPr>
        <w:noBreakHyphen/>
        <w:t>term help. Soneson et al. (2024) concluded that adolescents with ACEs require more targeted and trauma</w:t>
      </w:r>
      <w:r w:rsidRPr="00E214BA">
        <w:rPr>
          <w:rFonts w:ascii="Arial" w:hAnsi="Arial" w:cs="Arial"/>
          <w:sz w:val="22"/>
          <w:szCs w:val="22"/>
        </w:rPr>
        <w:noBreakHyphen/>
        <w:t>informed support to reduce unmet need.</w:t>
      </w:r>
    </w:p>
    <w:p w14:paraId="629A14A6" w14:textId="77777777" w:rsidR="00261CB6" w:rsidRDefault="00261CB6" w:rsidP="00E214BA">
      <w:pPr>
        <w:spacing w:line="360" w:lineRule="auto"/>
        <w:rPr>
          <w:rFonts w:ascii="Arial" w:hAnsi="Arial" w:cs="Arial"/>
          <w:sz w:val="22"/>
          <w:szCs w:val="22"/>
        </w:rPr>
      </w:pPr>
      <w:r w:rsidRPr="00E214BA">
        <w:rPr>
          <w:rFonts w:ascii="Arial" w:hAnsi="Arial" w:cs="Arial"/>
          <w:sz w:val="22"/>
          <w:szCs w:val="22"/>
        </w:rPr>
        <w:t>Overall, the five studies show that barriers to mental health access in the UK are widespread and affect many different groups. Adolescents face stigma, low mental health literacy, and long waiting times. Adults experience inequalities linked to ethnicity, deprivation, and service availability. People with severe mental illness struggle with access to routine health checks and lack of reasonable adjustments. Migrants face cultural barriers, language difficulties, and feelings of exclusion. Adolescents with ACEs experience high levels of unmet need even when they receive support. These findings highlight the need for more accessible, culturally competent, trauma</w:t>
      </w:r>
      <w:r w:rsidRPr="00E214BA">
        <w:rPr>
          <w:rFonts w:ascii="Arial" w:hAnsi="Arial" w:cs="Arial"/>
          <w:sz w:val="22"/>
          <w:szCs w:val="22"/>
        </w:rPr>
        <w:noBreakHyphen/>
        <w:t>informed, and well</w:t>
      </w:r>
      <w:r w:rsidRPr="00E214BA">
        <w:rPr>
          <w:rFonts w:ascii="Arial" w:hAnsi="Arial" w:cs="Arial"/>
          <w:sz w:val="22"/>
          <w:szCs w:val="22"/>
        </w:rPr>
        <w:noBreakHyphen/>
        <w:t>resourced mental health services across the UK.</w:t>
      </w:r>
    </w:p>
    <w:p w14:paraId="07EC24F6" w14:textId="5176700E" w:rsidR="007D170A" w:rsidRPr="007D170A" w:rsidRDefault="007D170A" w:rsidP="00E214BA">
      <w:pPr>
        <w:spacing w:line="360" w:lineRule="auto"/>
        <w:rPr>
          <w:rFonts w:ascii="Arial" w:hAnsi="Arial" w:cs="Arial"/>
          <w:b/>
          <w:bCs/>
          <w:sz w:val="22"/>
          <w:szCs w:val="22"/>
          <w:u w:val="single"/>
        </w:rPr>
      </w:pPr>
      <w:r w:rsidRPr="007D170A">
        <w:rPr>
          <w:rFonts w:ascii="Arial" w:hAnsi="Arial" w:cs="Arial"/>
          <w:b/>
          <w:bCs/>
          <w:sz w:val="22"/>
          <w:szCs w:val="22"/>
          <w:u w:val="single"/>
        </w:rPr>
        <w:t>Table</w:t>
      </w:r>
    </w:p>
    <w:tbl>
      <w:tblPr>
        <w:tblStyle w:val="TableGrid"/>
        <w:tblW w:w="0" w:type="auto"/>
        <w:tblLook w:val="04A0" w:firstRow="1" w:lastRow="0" w:firstColumn="1" w:lastColumn="0" w:noHBand="0" w:noVBand="1"/>
      </w:tblPr>
      <w:tblGrid>
        <w:gridCol w:w="1969"/>
        <w:gridCol w:w="1776"/>
        <w:gridCol w:w="1912"/>
        <w:gridCol w:w="3359"/>
      </w:tblGrid>
      <w:tr w:rsidR="007D170A" w:rsidRPr="007D170A" w14:paraId="33E55E68" w14:textId="77777777" w:rsidTr="007D170A">
        <w:tc>
          <w:tcPr>
            <w:tcW w:w="0" w:type="auto"/>
            <w:hideMark/>
          </w:tcPr>
          <w:p w14:paraId="524DBD7B"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lastRenderedPageBreak/>
              <w:t>Study</w:t>
            </w:r>
          </w:p>
        </w:tc>
        <w:tc>
          <w:tcPr>
            <w:tcW w:w="0" w:type="auto"/>
            <w:hideMark/>
          </w:tcPr>
          <w:p w14:paraId="0B6B017C"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Population</w:t>
            </w:r>
          </w:p>
        </w:tc>
        <w:tc>
          <w:tcPr>
            <w:tcW w:w="0" w:type="auto"/>
            <w:hideMark/>
          </w:tcPr>
          <w:p w14:paraId="2324B7CF"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Methods</w:t>
            </w:r>
          </w:p>
        </w:tc>
        <w:tc>
          <w:tcPr>
            <w:tcW w:w="0" w:type="auto"/>
            <w:hideMark/>
          </w:tcPr>
          <w:p w14:paraId="52AC37CC"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Key Barriers Identified</w:t>
            </w:r>
          </w:p>
        </w:tc>
      </w:tr>
      <w:tr w:rsidR="007D170A" w:rsidRPr="007D170A" w14:paraId="50AEB8D9" w14:textId="77777777" w:rsidTr="007D170A">
        <w:tc>
          <w:tcPr>
            <w:tcW w:w="0" w:type="auto"/>
            <w:hideMark/>
          </w:tcPr>
          <w:p w14:paraId="016398B2"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Udu et al. (2026)</w:t>
            </w:r>
          </w:p>
        </w:tc>
        <w:tc>
          <w:tcPr>
            <w:tcW w:w="0" w:type="auto"/>
            <w:hideMark/>
          </w:tcPr>
          <w:p w14:paraId="64E5A121"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UK adolescents (10–19)</w:t>
            </w:r>
          </w:p>
        </w:tc>
        <w:tc>
          <w:tcPr>
            <w:tcW w:w="0" w:type="auto"/>
            <w:hideMark/>
          </w:tcPr>
          <w:p w14:paraId="58635F3B"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Systematic review</w:t>
            </w:r>
          </w:p>
        </w:tc>
        <w:tc>
          <w:tcPr>
            <w:tcW w:w="0" w:type="auto"/>
            <w:hideMark/>
          </w:tcPr>
          <w:p w14:paraId="7749437B"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Low mental health literacy; stigma; cultural barriers; long waits; deprivation.</w:t>
            </w:r>
          </w:p>
        </w:tc>
      </w:tr>
      <w:tr w:rsidR="007D170A" w:rsidRPr="007D170A" w14:paraId="5CE539CE" w14:textId="77777777" w:rsidTr="007D170A">
        <w:tc>
          <w:tcPr>
            <w:tcW w:w="0" w:type="auto"/>
            <w:hideMark/>
          </w:tcPr>
          <w:p w14:paraId="59F63DB7"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Lowther</w:t>
            </w:r>
            <w:r w:rsidRPr="007D170A">
              <w:rPr>
                <w:rFonts w:ascii="Arial" w:hAnsi="Arial" w:cs="Arial"/>
                <w:b/>
                <w:bCs/>
                <w:sz w:val="22"/>
                <w:szCs w:val="22"/>
              </w:rPr>
              <w:noBreakHyphen/>
              <w:t>Payne et al. (2023)</w:t>
            </w:r>
          </w:p>
        </w:tc>
        <w:tc>
          <w:tcPr>
            <w:tcW w:w="0" w:type="auto"/>
            <w:hideMark/>
          </w:tcPr>
          <w:p w14:paraId="56AA6A00"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UK adults</w:t>
            </w:r>
          </w:p>
        </w:tc>
        <w:tc>
          <w:tcPr>
            <w:tcW w:w="0" w:type="auto"/>
            <w:hideMark/>
          </w:tcPr>
          <w:p w14:paraId="62B157A4"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Mapping review (152 studies)</w:t>
            </w:r>
          </w:p>
        </w:tc>
        <w:tc>
          <w:tcPr>
            <w:tcW w:w="0" w:type="auto"/>
            <w:hideMark/>
          </w:tcPr>
          <w:p w14:paraId="487C2005"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Inequalities by ethnicity, gender, age, deprivation; discrimination; rural access gaps; hidden unmet need.</w:t>
            </w:r>
          </w:p>
        </w:tc>
      </w:tr>
      <w:tr w:rsidR="007D170A" w:rsidRPr="007D170A" w14:paraId="1CE63B5A" w14:textId="77777777" w:rsidTr="007D170A">
        <w:tc>
          <w:tcPr>
            <w:tcW w:w="0" w:type="auto"/>
            <w:hideMark/>
          </w:tcPr>
          <w:p w14:paraId="60E77371"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Owens et al. (2025)</w:t>
            </w:r>
          </w:p>
        </w:tc>
        <w:tc>
          <w:tcPr>
            <w:tcW w:w="0" w:type="auto"/>
            <w:hideMark/>
          </w:tcPr>
          <w:p w14:paraId="2A44AD90"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Adults with severe mental illness (SMI)</w:t>
            </w:r>
          </w:p>
        </w:tc>
        <w:tc>
          <w:tcPr>
            <w:tcW w:w="0" w:type="auto"/>
            <w:hideMark/>
          </w:tcPr>
          <w:p w14:paraId="27C33C4A"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Mixed</w:t>
            </w:r>
            <w:r w:rsidRPr="007D170A">
              <w:rPr>
                <w:rFonts w:ascii="Arial" w:hAnsi="Arial" w:cs="Arial"/>
                <w:sz w:val="22"/>
                <w:szCs w:val="22"/>
              </w:rPr>
              <w:noBreakHyphen/>
              <w:t>methods review</w:t>
            </w:r>
          </w:p>
        </w:tc>
        <w:tc>
          <w:tcPr>
            <w:tcW w:w="0" w:type="auto"/>
            <w:hideMark/>
          </w:tcPr>
          <w:p w14:paraId="07ECA799"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Poor access to annual health checks; lack of reasonable adjustments; isolation; homelessness; limited evidence of improvement.</w:t>
            </w:r>
          </w:p>
        </w:tc>
      </w:tr>
      <w:tr w:rsidR="007D170A" w:rsidRPr="007D170A" w14:paraId="2E891AC2" w14:textId="77777777" w:rsidTr="007D170A">
        <w:tc>
          <w:tcPr>
            <w:tcW w:w="0" w:type="auto"/>
            <w:hideMark/>
          </w:tcPr>
          <w:p w14:paraId="477FA9F6"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Brenman (2021)</w:t>
            </w:r>
          </w:p>
        </w:tc>
        <w:tc>
          <w:tcPr>
            <w:tcW w:w="0" w:type="auto"/>
            <w:hideMark/>
          </w:tcPr>
          <w:p w14:paraId="07A81A09"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Migrants in London</w:t>
            </w:r>
          </w:p>
        </w:tc>
        <w:tc>
          <w:tcPr>
            <w:tcW w:w="0" w:type="auto"/>
            <w:hideMark/>
          </w:tcPr>
          <w:p w14:paraId="56FB92AD"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Ethnographic study</w:t>
            </w:r>
          </w:p>
        </w:tc>
        <w:tc>
          <w:tcPr>
            <w:tcW w:w="0" w:type="auto"/>
            <w:hideMark/>
          </w:tcPr>
          <w:p w14:paraId="0C36D4A9"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Precarious belonging; exclusion; language barriers; cultural mismatch; long waits; unsafe service environments.</w:t>
            </w:r>
          </w:p>
        </w:tc>
      </w:tr>
      <w:tr w:rsidR="007D170A" w:rsidRPr="007D170A" w14:paraId="0D7831B3" w14:textId="77777777" w:rsidTr="007D170A">
        <w:tc>
          <w:tcPr>
            <w:tcW w:w="0" w:type="auto"/>
            <w:hideMark/>
          </w:tcPr>
          <w:p w14:paraId="5CD44344"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Soneson et al. (2024)</w:t>
            </w:r>
          </w:p>
        </w:tc>
        <w:tc>
          <w:tcPr>
            <w:tcW w:w="0" w:type="auto"/>
            <w:hideMark/>
          </w:tcPr>
          <w:p w14:paraId="562569C9"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Adolescents with/without ACEs</w:t>
            </w:r>
          </w:p>
        </w:tc>
        <w:tc>
          <w:tcPr>
            <w:tcW w:w="0" w:type="auto"/>
            <w:hideMark/>
          </w:tcPr>
          <w:p w14:paraId="745814F0"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Quantitative study</w:t>
            </w:r>
          </w:p>
        </w:tc>
        <w:tc>
          <w:tcPr>
            <w:tcW w:w="0" w:type="auto"/>
            <w:hideMark/>
          </w:tcPr>
          <w:p w14:paraId="722841FB"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High unmet need; services unavailable or unacceptable; inconsistent school support; lack of trauma</w:t>
            </w:r>
            <w:r w:rsidRPr="007D170A">
              <w:rPr>
                <w:rFonts w:ascii="Arial" w:hAnsi="Arial" w:cs="Arial"/>
                <w:sz w:val="22"/>
                <w:szCs w:val="22"/>
              </w:rPr>
              <w:noBreakHyphen/>
              <w:t>informed care.</w:t>
            </w:r>
          </w:p>
        </w:tc>
      </w:tr>
    </w:tbl>
    <w:p w14:paraId="5F4AEBC1" w14:textId="77777777" w:rsidR="00CF1853" w:rsidRPr="00E214BA" w:rsidRDefault="00CF1853" w:rsidP="00E214BA">
      <w:pPr>
        <w:spacing w:line="360" w:lineRule="auto"/>
        <w:rPr>
          <w:rFonts w:ascii="Arial" w:hAnsi="Arial" w:cs="Arial"/>
          <w:sz w:val="22"/>
          <w:szCs w:val="22"/>
        </w:rPr>
      </w:pPr>
    </w:p>
    <w:p w14:paraId="5AE15B1C" w14:textId="19FF2175"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t>Thematic Analysis</w:t>
      </w:r>
    </w:p>
    <w:p w14:paraId="12712E6C"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A thematic analysis was carried out to identify the main patterns and repeated ideas across the five peer</w:t>
      </w:r>
      <w:r w:rsidRPr="00E214BA">
        <w:rPr>
          <w:rFonts w:ascii="Arial" w:hAnsi="Arial" w:cs="Arial"/>
          <w:sz w:val="22"/>
          <w:szCs w:val="22"/>
        </w:rPr>
        <w:noBreakHyphen/>
        <w:t>reviewed studies. Although each study focused on different groups—adolescents, adults, migrants, people with severe mental illness, and young people with childhood adversity—they all revealed similar barriers that prevent people from accessing mental health services in the United Kingdom. By reading each study several times and coding repeated ideas, four major themes were identified: stigma and fear of judgement, service availability and waiting times, cultural and social barriers, and unmet need and inequality. These themes show how access problems appear across different ages, backgrounds, and mental health conditions.</w:t>
      </w:r>
    </w:p>
    <w:p w14:paraId="1B0E9245" w14:textId="77777777"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lastRenderedPageBreak/>
        <w:t>Theme 1: Stigma and Fear of Judgement</w:t>
      </w:r>
    </w:p>
    <w:p w14:paraId="190E1AEA"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Stigma was one of the strongest and most consistent themes across all five studies. Udu et al. (2026) found that adolescents often avoided seeking help because they feared being judged by peers, teachers, or family members. This fear was especially strong among boys, who felt pressure to appear strong and hide their emotions. Lowther</w:t>
      </w:r>
      <w:r w:rsidRPr="00E214BA">
        <w:rPr>
          <w:rFonts w:ascii="Arial" w:hAnsi="Arial" w:cs="Arial"/>
          <w:sz w:val="22"/>
          <w:szCs w:val="22"/>
        </w:rPr>
        <w:noBreakHyphen/>
        <w:t>Payne et al. (2023) also found that adults struggled with stigma, particularly those from ethnic minority backgrounds who worried about discrimination or negative reactions from services. Soneson et al. (2024) showed that adolescents with adverse childhood experiences (ACEs) often felt ashamed or embarrassed about their trauma, which made them less likely to seek support. Across all studies, stigma reduced confidence, delayed help</w:t>
      </w:r>
      <w:r w:rsidRPr="00E214BA">
        <w:rPr>
          <w:rFonts w:ascii="Arial" w:hAnsi="Arial" w:cs="Arial"/>
          <w:sz w:val="22"/>
          <w:szCs w:val="22"/>
        </w:rPr>
        <w:noBreakHyphen/>
        <w:t>seeking, and increased emotional distress. This theme shows that stigma remains a major barrier in the UK, affecting both young people and adults.</w:t>
      </w:r>
    </w:p>
    <w:p w14:paraId="4D2B3F2D" w14:textId="77777777"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t>Theme 2: Service Availability and Waiting Times</w:t>
      </w:r>
    </w:p>
    <w:p w14:paraId="0F2375B8"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Another major theme was the lack of available services and long waiting times. Udu et al. (2026) found that adolescents often waited months before receiving support, which caused symptoms to worsen. Lowther</w:t>
      </w:r>
      <w:r w:rsidRPr="00E214BA">
        <w:rPr>
          <w:rFonts w:ascii="Arial" w:hAnsi="Arial" w:cs="Arial"/>
          <w:sz w:val="22"/>
          <w:szCs w:val="22"/>
        </w:rPr>
        <w:noBreakHyphen/>
        <w:t xml:space="preserve">Payne et al. (2023) reported that adults in rural or deprived areas had fewer mental health services available, making it harder to access timely care. Owens et al. (2025) found that people with severe mental illness struggled to access annual health checks because services were inconsistent, poorly organised, or lacked reasonable adjustments. Soneson et al. (2024) showed that adolescents with ACEs often felt that services were not available when they needed them, leading to high levels of unmet need. Across all studies, long waiting times and </w:t>
      </w:r>
      <w:proofErr w:type="gramStart"/>
      <w:r w:rsidRPr="00E214BA">
        <w:rPr>
          <w:rFonts w:ascii="Arial" w:hAnsi="Arial" w:cs="Arial"/>
          <w:sz w:val="22"/>
          <w:szCs w:val="22"/>
        </w:rPr>
        <w:t>limited service</w:t>
      </w:r>
      <w:proofErr w:type="gramEnd"/>
      <w:r w:rsidRPr="00E214BA">
        <w:rPr>
          <w:rFonts w:ascii="Arial" w:hAnsi="Arial" w:cs="Arial"/>
          <w:sz w:val="22"/>
          <w:szCs w:val="22"/>
        </w:rPr>
        <w:t xml:space="preserve"> availability created delays, frustration, and worsening mental health symptoms. This theme highlights the need for more accessible and well</w:t>
      </w:r>
      <w:r w:rsidRPr="00E214BA">
        <w:rPr>
          <w:rFonts w:ascii="Arial" w:hAnsi="Arial" w:cs="Arial"/>
          <w:sz w:val="22"/>
          <w:szCs w:val="22"/>
        </w:rPr>
        <w:noBreakHyphen/>
        <w:t>resourced services across the UK.</w:t>
      </w:r>
    </w:p>
    <w:p w14:paraId="5E67DB8C" w14:textId="77777777"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t>Theme 3: Cultural and Social Barriers</w:t>
      </w:r>
    </w:p>
    <w:p w14:paraId="515E838B"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Cultural and social barriers were also strongly present across the studies. Brenman (2021) found that migrants often felt a sense of “precarious belonging”, meaning they were unsure whether they deserved care or belonged in the service. Language barriers, cultural differences, and unfamiliar environments made access more difficult. Udu et al. (2026) found that adolescents from ethnic minority backgrounds struggled with services that did not reflect their cultural needs or languages. Lowther</w:t>
      </w:r>
      <w:r w:rsidRPr="00E214BA">
        <w:rPr>
          <w:rFonts w:ascii="Arial" w:hAnsi="Arial" w:cs="Arial"/>
          <w:sz w:val="22"/>
          <w:szCs w:val="22"/>
        </w:rPr>
        <w:noBreakHyphen/>
        <w:t xml:space="preserve">Payne et al. (2023) reported that adults from minority groups faced discrimination and lacked culturally appropriate support. Owens et al. (2025) found that people with severe mental illness often felt socially isolated, which reduced their ability to access routine health checks. These cultural and social barriers show that </w:t>
      </w:r>
      <w:r w:rsidRPr="00E214BA">
        <w:rPr>
          <w:rFonts w:ascii="Arial" w:hAnsi="Arial" w:cs="Arial"/>
          <w:sz w:val="22"/>
          <w:szCs w:val="22"/>
        </w:rPr>
        <w:lastRenderedPageBreak/>
        <w:t>access is not only about availability but also about whether services feel safe, welcoming, and culturally sensitive.</w:t>
      </w:r>
    </w:p>
    <w:p w14:paraId="31E944BD" w14:textId="77777777"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t>Theme 4: Unmet Need and Inequality</w:t>
      </w:r>
    </w:p>
    <w:p w14:paraId="5CFEC6F2"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The final theme was unmet need and inequality. Soneson et al. (2024) found that adolescents with ACEs were more likely to report unmet need, meaning that even when they accessed support, it was not enough or did not meet their expectations. Lowther</w:t>
      </w:r>
      <w:r w:rsidRPr="00E214BA">
        <w:rPr>
          <w:rFonts w:ascii="Arial" w:hAnsi="Arial" w:cs="Arial"/>
          <w:sz w:val="22"/>
          <w:szCs w:val="22"/>
        </w:rPr>
        <w:noBreakHyphen/>
        <w:t>Payne et al. (2023) found that inequalities linked to gender, age, ethnicity, and deprivation remained widespread across adult mental health services. Owens et al. (2025) reported that people with severe mental illness faced major inequalities in accessing annual health checks, with little evidence that interventions had improved access. Brenman (2021) showed that migrants experienced inequality through unstable service environments and feelings of exclusion. Udu et al. (2026) found that adolescents from deprived backgrounds faced additional barriers linked to poverty and limited resources. This theme shows that inequalities are deeply embedded in the UK mental health system and affect multiple groups in different ways.</w:t>
      </w:r>
    </w:p>
    <w:p w14:paraId="35232C46" w14:textId="77777777" w:rsidR="00261CB6" w:rsidRPr="00C77E72" w:rsidRDefault="00261CB6" w:rsidP="00E214BA">
      <w:pPr>
        <w:spacing w:line="360" w:lineRule="auto"/>
        <w:rPr>
          <w:rFonts w:ascii="Arial" w:hAnsi="Arial" w:cs="Arial"/>
          <w:b/>
          <w:bCs/>
          <w:sz w:val="22"/>
          <w:szCs w:val="22"/>
          <w:u w:val="single"/>
        </w:rPr>
      </w:pPr>
      <w:r w:rsidRPr="00C77E72">
        <w:rPr>
          <w:rFonts w:ascii="Arial" w:hAnsi="Arial" w:cs="Arial"/>
          <w:b/>
          <w:bCs/>
          <w:sz w:val="22"/>
          <w:szCs w:val="22"/>
          <w:u w:val="single"/>
        </w:rPr>
        <w:t>Summary of Themes</w:t>
      </w:r>
    </w:p>
    <w:p w14:paraId="216644A9"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Overall, the thematic analysis shows that barriers to mental health access in the UK are complex and interconnected. Stigma prevents people from seeking help, long waiting times delay treatment, cultural barriers reduce trust and comfort, and inequalities create gaps in support for vulnerable groups. These themes demonstrate that improving access requires more than increasing service numbers—it requires culturally sensitive, trauma</w:t>
      </w:r>
      <w:r w:rsidRPr="00E214BA">
        <w:rPr>
          <w:rFonts w:ascii="Arial" w:hAnsi="Arial" w:cs="Arial"/>
          <w:sz w:val="22"/>
          <w:szCs w:val="22"/>
        </w:rPr>
        <w:noBreakHyphen/>
        <w:t>informed, and well</w:t>
      </w:r>
      <w:r w:rsidRPr="00E214BA">
        <w:rPr>
          <w:rFonts w:ascii="Arial" w:hAnsi="Arial" w:cs="Arial"/>
          <w:sz w:val="22"/>
          <w:szCs w:val="22"/>
        </w:rPr>
        <w:noBreakHyphen/>
        <w:t>resourced services that meet the needs of diverse populations.</w:t>
      </w:r>
    </w:p>
    <w:p w14:paraId="28BC7025" w14:textId="57F323A6" w:rsidR="00991C0F" w:rsidRPr="00C77E72" w:rsidRDefault="00A75604" w:rsidP="00E214BA">
      <w:pPr>
        <w:spacing w:line="360" w:lineRule="auto"/>
        <w:rPr>
          <w:rFonts w:ascii="Arial" w:hAnsi="Arial" w:cs="Arial"/>
          <w:b/>
          <w:bCs/>
          <w:sz w:val="22"/>
          <w:szCs w:val="22"/>
          <w:u w:val="single"/>
        </w:rPr>
      </w:pPr>
      <w:r w:rsidRPr="00C77E72">
        <w:rPr>
          <w:rFonts w:ascii="Arial" w:hAnsi="Arial" w:cs="Arial"/>
          <w:b/>
          <w:bCs/>
          <w:sz w:val="22"/>
          <w:szCs w:val="22"/>
          <w:u w:val="single"/>
        </w:rPr>
        <w:t>Discussion</w:t>
      </w:r>
    </w:p>
    <w:p w14:paraId="5F7FC9BE" w14:textId="77777777" w:rsidR="00991C0F" w:rsidRPr="00E214BA" w:rsidRDefault="00991C0F" w:rsidP="00E214BA">
      <w:pPr>
        <w:spacing w:line="360" w:lineRule="auto"/>
        <w:rPr>
          <w:rFonts w:ascii="Arial" w:hAnsi="Arial" w:cs="Arial"/>
          <w:sz w:val="22"/>
          <w:szCs w:val="22"/>
        </w:rPr>
      </w:pPr>
      <w:r w:rsidRPr="00E214BA">
        <w:rPr>
          <w:rFonts w:ascii="Arial" w:hAnsi="Arial" w:cs="Arial"/>
          <w:sz w:val="22"/>
          <w:szCs w:val="22"/>
        </w:rPr>
        <w:t>The findings from the five peer</w:t>
      </w:r>
      <w:r w:rsidRPr="00E214BA">
        <w:rPr>
          <w:rFonts w:ascii="Arial" w:hAnsi="Arial" w:cs="Arial"/>
          <w:sz w:val="22"/>
          <w:szCs w:val="22"/>
        </w:rPr>
        <w:noBreakHyphen/>
        <w:t>reviewed studies show that barriers to accessing mental health services in the United Kingdom are widespread, complex, and deeply rooted in social, cultural, and structural factors. Although each study focuses on a different population group, they consistently highlight similar challenges such as stigma, long waiting times, cultural barriers, deprivation, and unmet need. Together, these studies show that access problems are not isolated but part of a wider pattern of inequality within the UK mental health system, affecting people in varied yet interconnected ways.</w:t>
      </w:r>
    </w:p>
    <w:p w14:paraId="446B7071" w14:textId="77777777" w:rsidR="00991C0F" w:rsidRPr="00E214BA" w:rsidRDefault="00991C0F" w:rsidP="00E214BA">
      <w:pPr>
        <w:spacing w:line="360" w:lineRule="auto"/>
        <w:rPr>
          <w:rFonts w:ascii="Arial" w:hAnsi="Arial" w:cs="Arial"/>
          <w:sz w:val="22"/>
          <w:szCs w:val="22"/>
        </w:rPr>
      </w:pPr>
      <w:r w:rsidRPr="00E214BA">
        <w:rPr>
          <w:rFonts w:ascii="Arial" w:hAnsi="Arial" w:cs="Arial"/>
          <w:sz w:val="22"/>
          <w:szCs w:val="22"/>
        </w:rPr>
        <w:t>Across all studies, stigma emerged as a major barrier. Udu et al. (2026) found that adolescents often avoided seeking help because they feared judgement from peers or family members, particularly boys who felt pressure to hide their emotions. Lowther</w:t>
      </w:r>
      <w:r w:rsidRPr="00E214BA">
        <w:rPr>
          <w:rFonts w:ascii="Arial" w:hAnsi="Arial" w:cs="Arial"/>
          <w:sz w:val="22"/>
          <w:szCs w:val="22"/>
        </w:rPr>
        <w:noBreakHyphen/>
        <w:t xml:space="preserve">Payne et al. </w:t>
      </w:r>
      <w:r w:rsidRPr="00E214BA">
        <w:rPr>
          <w:rFonts w:ascii="Arial" w:hAnsi="Arial" w:cs="Arial"/>
          <w:sz w:val="22"/>
          <w:szCs w:val="22"/>
        </w:rPr>
        <w:lastRenderedPageBreak/>
        <w:t>(2023) reported that adults—especially those from ethnic minority backgrounds—worried about discrimination or negative reactions from services. Soneson et al. (2024) showed that adolescents with adverse childhood experiences (ACEs) often felt ashamed of their trauma, reducing their willingness to seek support. These findings suggest that stigma affects people across all ages and backgrounds, delaying help</w:t>
      </w:r>
      <w:r w:rsidRPr="00E214BA">
        <w:rPr>
          <w:rFonts w:ascii="Arial" w:hAnsi="Arial" w:cs="Arial"/>
          <w:sz w:val="22"/>
          <w:szCs w:val="22"/>
        </w:rPr>
        <w:noBreakHyphen/>
        <w:t>seeking and worsening mental health outcomes.</w:t>
      </w:r>
    </w:p>
    <w:p w14:paraId="68C56C00" w14:textId="77777777" w:rsidR="00991C0F" w:rsidRPr="00E214BA" w:rsidRDefault="00991C0F" w:rsidP="00E214BA">
      <w:pPr>
        <w:spacing w:line="360" w:lineRule="auto"/>
        <w:rPr>
          <w:rFonts w:ascii="Arial" w:hAnsi="Arial" w:cs="Arial"/>
          <w:sz w:val="22"/>
          <w:szCs w:val="22"/>
        </w:rPr>
      </w:pPr>
      <w:r w:rsidRPr="00E214BA">
        <w:rPr>
          <w:rFonts w:ascii="Arial" w:hAnsi="Arial" w:cs="Arial"/>
          <w:sz w:val="22"/>
          <w:szCs w:val="22"/>
        </w:rPr>
        <w:t>Another major issue was service availability and waiting times. Udu et al. (2026) found that adolescents often waited months before receiving support, causing symptoms to worsen. Lowther</w:t>
      </w:r>
      <w:r w:rsidRPr="00E214BA">
        <w:rPr>
          <w:rFonts w:ascii="Arial" w:hAnsi="Arial" w:cs="Arial"/>
          <w:sz w:val="22"/>
          <w:szCs w:val="22"/>
        </w:rPr>
        <w:noBreakHyphen/>
        <w:t xml:space="preserve">Payne et al. (2023) reported that adults in rural or deprived areas had fewer mental health services available, making timely access difficult. Owens et al. (2025) found that people with severe mental illness struggled to access annual health checks because services were inconsistent or lacked reasonable adjustments. Soneson et al. (2024) showed that adolescents with ACEs often felt that services were unavailable when needed, leading to high levels of unmet need. These findings highlight long waiting times and </w:t>
      </w:r>
      <w:proofErr w:type="gramStart"/>
      <w:r w:rsidRPr="00E214BA">
        <w:rPr>
          <w:rFonts w:ascii="Arial" w:hAnsi="Arial" w:cs="Arial"/>
          <w:sz w:val="22"/>
          <w:szCs w:val="22"/>
        </w:rPr>
        <w:t>limited service</w:t>
      </w:r>
      <w:proofErr w:type="gramEnd"/>
      <w:r w:rsidRPr="00E214BA">
        <w:rPr>
          <w:rFonts w:ascii="Arial" w:hAnsi="Arial" w:cs="Arial"/>
          <w:sz w:val="22"/>
          <w:szCs w:val="22"/>
        </w:rPr>
        <w:t xml:space="preserve"> availability as major structural barriers across multiple groups.</w:t>
      </w:r>
    </w:p>
    <w:p w14:paraId="78CD2ABE" w14:textId="77777777" w:rsidR="00991C0F" w:rsidRPr="00E214BA" w:rsidRDefault="00991C0F" w:rsidP="00E214BA">
      <w:pPr>
        <w:spacing w:line="360" w:lineRule="auto"/>
        <w:rPr>
          <w:rFonts w:ascii="Arial" w:hAnsi="Arial" w:cs="Arial"/>
          <w:sz w:val="22"/>
          <w:szCs w:val="22"/>
        </w:rPr>
      </w:pPr>
      <w:r w:rsidRPr="00E214BA">
        <w:rPr>
          <w:rFonts w:ascii="Arial" w:hAnsi="Arial" w:cs="Arial"/>
          <w:sz w:val="22"/>
          <w:szCs w:val="22"/>
        </w:rPr>
        <w:t>Cultural and social barriers were also significant, particularly for migrants and ethnic minority groups. Brenman (2021) found that migrants often experienced “precarious belonging”, feeling uncertain about whether they deserved care or belonged in the service. Language barriers, cultural differences, and unfamiliar environments made access more difficult. Udu et al. (2026) found that adolescents from ethnic minority backgrounds struggled with services that did not reflect their cultural needs. Lowther</w:t>
      </w:r>
      <w:r w:rsidRPr="00E214BA">
        <w:rPr>
          <w:rFonts w:ascii="Arial" w:hAnsi="Arial" w:cs="Arial"/>
          <w:sz w:val="22"/>
          <w:szCs w:val="22"/>
        </w:rPr>
        <w:noBreakHyphen/>
        <w:t>Payne et al. (2023) reported that adults from minority groups faced discrimination and lacked culturally appropriate support. These findings show that cultural sensitivity is essential for improving access and ensuring services are inclusive, welcoming, and responsive.</w:t>
      </w:r>
    </w:p>
    <w:p w14:paraId="71EDA6B1" w14:textId="77777777" w:rsidR="00991C0F" w:rsidRPr="00E214BA" w:rsidRDefault="00991C0F" w:rsidP="00E214BA">
      <w:pPr>
        <w:spacing w:line="360" w:lineRule="auto"/>
        <w:rPr>
          <w:rFonts w:ascii="Arial" w:hAnsi="Arial" w:cs="Arial"/>
          <w:sz w:val="22"/>
          <w:szCs w:val="22"/>
        </w:rPr>
      </w:pPr>
      <w:r w:rsidRPr="00E214BA">
        <w:rPr>
          <w:rFonts w:ascii="Arial" w:hAnsi="Arial" w:cs="Arial"/>
          <w:sz w:val="22"/>
          <w:szCs w:val="22"/>
        </w:rPr>
        <w:t>A final major issue was unmet need and inequality. Soneson et al. (2024) found that adolescents with ACEs were more likely to report unmet need, meaning that even when they accessed support, it was often insufficient. Lowther</w:t>
      </w:r>
      <w:r w:rsidRPr="00E214BA">
        <w:rPr>
          <w:rFonts w:ascii="Arial" w:hAnsi="Arial" w:cs="Arial"/>
          <w:sz w:val="22"/>
          <w:szCs w:val="22"/>
        </w:rPr>
        <w:noBreakHyphen/>
        <w:t>Payne et al. (2023) found widespread inequalities linked to gender, age, ethnicity, and deprivation. Owens et al. (2025) reported that people with severe mental illness faced major inequalities in accessing annual health checks, with little evidence that interventions had improved access. Brenman (2021) showed that migrants experienced inequality through unstable service environments and feelings of exclusion. Udu et al. (2026) found that adolescents from deprived backgrounds faced additional barriers linked to poverty and limited resources.</w:t>
      </w:r>
    </w:p>
    <w:p w14:paraId="135EF22D" w14:textId="3F3B9C69" w:rsidR="00261CB6" w:rsidRPr="00E214BA" w:rsidRDefault="00991C0F" w:rsidP="00E214BA">
      <w:pPr>
        <w:spacing w:line="360" w:lineRule="auto"/>
        <w:rPr>
          <w:rFonts w:ascii="Arial" w:hAnsi="Arial" w:cs="Arial"/>
          <w:sz w:val="22"/>
          <w:szCs w:val="22"/>
        </w:rPr>
      </w:pPr>
      <w:r w:rsidRPr="00E214BA">
        <w:rPr>
          <w:rFonts w:ascii="Arial" w:hAnsi="Arial" w:cs="Arial"/>
          <w:sz w:val="22"/>
          <w:szCs w:val="22"/>
        </w:rPr>
        <w:t xml:space="preserve">Overall, the studies show that although each group faces unique challenges, many barriers overlap. Improving access requires more than increasing service numbers; it requires </w:t>
      </w:r>
      <w:r w:rsidRPr="00E214BA">
        <w:rPr>
          <w:rFonts w:ascii="Arial" w:hAnsi="Arial" w:cs="Arial"/>
          <w:sz w:val="22"/>
          <w:szCs w:val="22"/>
        </w:rPr>
        <w:lastRenderedPageBreak/>
        <w:t>culturally sensitive, trauma</w:t>
      </w:r>
      <w:r w:rsidRPr="00E214BA">
        <w:rPr>
          <w:rFonts w:ascii="Arial" w:hAnsi="Arial" w:cs="Arial"/>
          <w:sz w:val="22"/>
          <w:szCs w:val="22"/>
        </w:rPr>
        <w:noBreakHyphen/>
        <w:t>informed, and well</w:t>
      </w:r>
      <w:r w:rsidRPr="00E214BA">
        <w:rPr>
          <w:rFonts w:ascii="Arial" w:hAnsi="Arial" w:cs="Arial"/>
          <w:sz w:val="22"/>
          <w:szCs w:val="22"/>
        </w:rPr>
        <w:noBreakHyphen/>
        <w:t>resourced services that meet the needs of diverse populations. Without targeted reforms, mental health access in the UK will remain limited and unequal, leaving many individuals without the support they urgently need.</w:t>
      </w:r>
    </w:p>
    <w:p w14:paraId="190B6429" w14:textId="4F4A7251" w:rsidR="00E877FF" w:rsidRPr="00C77E72" w:rsidRDefault="00E877FF" w:rsidP="00E214BA">
      <w:pPr>
        <w:spacing w:line="360" w:lineRule="auto"/>
        <w:rPr>
          <w:rFonts w:ascii="Arial" w:hAnsi="Arial" w:cs="Arial"/>
          <w:b/>
          <w:bCs/>
          <w:sz w:val="22"/>
          <w:szCs w:val="22"/>
          <w:u w:val="single"/>
        </w:rPr>
      </w:pPr>
      <w:r w:rsidRPr="00C77E72">
        <w:rPr>
          <w:rFonts w:ascii="Arial" w:hAnsi="Arial" w:cs="Arial"/>
          <w:b/>
          <w:bCs/>
          <w:sz w:val="22"/>
          <w:szCs w:val="22"/>
          <w:u w:val="single"/>
        </w:rPr>
        <w:t xml:space="preserve"> Conclusion</w:t>
      </w:r>
    </w:p>
    <w:p w14:paraId="6349E5B0" w14:textId="3419D5B6" w:rsidR="00E74F3B" w:rsidRPr="00E214BA" w:rsidRDefault="00722DEF" w:rsidP="00E214BA">
      <w:pPr>
        <w:spacing w:line="360" w:lineRule="auto"/>
        <w:rPr>
          <w:rFonts w:ascii="Arial" w:hAnsi="Arial" w:cs="Arial"/>
          <w:sz w:val="22"/>
          <w:szCs w:val="22"/>
        </w:rPr>
      </w:pPr>
      <w:r w:rsidRPr="00E214BA">
        <w:rPr>
          <w:rFonts w:ascii="Arial" w:hAnsi="Arial" w:cs="Arial"/>
          <w:sz w:val="22"/>
          <w:szCs w:val="22"/>
        </w:rPr>
        <w:t>This scoping review shows that access to mental health services in the United Kingdom remains limited and unequal across different groups. The five studies highlight consistent barriers such as stigma, long waiting times, cultural and social challenges, deprivation, and high levels of unmet need. Adolescents, adults, migrants, people with severe mental illness, and young people with adverse childhood experiences all face difficulties accessing timely and appropriate support. Although each group experiences these barriers differently, the overall pattern shows that mental health access problems are widespread and deeply rooted in the UK system. Improving access will require more investment, culturally sensitive care, trauma</w:t>
      </w:r>
      <w:r w:rsidRPr="00E214BA">
        <w:rPr>
          <w:rFonts w:ascii="Arial" w:hAnsi="Arial" w:cs="Arial"/>
          <w:sz w:val="22"/>
          <w:szCs w:val="22"/>
        </w:rPr>
        <w:noBreakHyphen/>
        <w:t>informed approaches, and targeted support for vulnerable populations. Without these changes, inequalities will continue</w:t>
      </w:r>
      <w:r w:rsidR="00E74F3B" w:rsidRPr="00E214BA">
        <w:rPr>
          <w:rFonts w:ascii="Arial" w:hAnsi="Arial" w:cs="Arial"/>
          <w:sz w:val="22"/>
          <w:szCs w:val="22"/>
        </w:rPr>
        <w:t>.</w:t>
      </w:r>
    </w:p>
    <w:p w14:paraId="31E670F9" w14:textId="5EE3C6AE"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Overall, the conclusion of this review is clear: mental health access in the UK remains limited and unequal. The findings show that barriers are complex and interconnected, affecting people across different ages, backgrounds, and mental health conditions. Improving access requires targeted reforms, including reducing waiting times, increasing service availability, improving cultural competence, and providing trauma</w:t>
      </w:r>
      <w:r w:rsidRPr="00E214BA">
        <w:rPr>
          <w:rFonts w:ascii="Arial" w:hAnsi="Arial" w:cs="Arial"/>
          <w:sz w:val="22"/>
          <w:szCs w:val="22"/>
        </w:rPr>
        <w:noBreakHyphen/>
        <w:t>informed support. Without these changes, many individuals will continue to face unmet needs and unequal access to essential mental health care.</w:t>
      </w:r>
    </w:p>
    <w:p w14:paraId="376AAF44" w14:textId="73CEAFDD" w:rsidR="00722DEF" w:rsidRPr="00C77E72" w:rsidRDefault="00722DEF" w:rsidP="00E214BA">
      <w:pPr>
        <w:spacing w:line="360" w:lineRule="auto"/>
        <w:rPr>
          <w:rFonts w:ascii="Arial" w:hAnsi="Arial" w:cs="Arial"/>
          <w:b/>
          <w:bCs/>
          <w:sz w:val="22"/>
          <w:szCs w:val="22"/>
          <w:u w:val="single"/>
        </w:rPr>
      </w:pPr>
      <w:r w:rsidRPr="00C77E72">
        <w:rPr>
          <w:rFonts w:ascii="Arial" w:hAnsi="Arial" w:cs="Arial"/>
          <w:b/>
          <w:bCs/>
          <w:sz w:val="22"/>
          <w:szCs w:val="22"/>
          <w:u w:val="single"/>
        </w:rPr>
        <w:t>Recommendations</w:t>
      </w:r>
    </w:p>
    <w:p w14:paraId="6F5EB2A7" w14:textId="77777777" w:rsidR="00E74F3B" w:rsidRPr="00E214BA" w:rsidRDefault="00E74F3B" w:rsidP="00E214BA">
      <w:pPr>
        <w:spacing w:line="360" w:lineRule="auto"/>
        <w:rPr>
          <w:rFonts w:ascii="Arial" w:hAnsi="Arial" w:cs="Arial"/>
          <w:sz w:val="22"/>
          <w:szCs w:val="22"/>
        </w:rPr>
      </w:pPr>
      <w:r w:rsidRPr="00E214BA">
        <w:rPr>
          <w:rFonts w:ascii="Arial" w:hAnsi="Arial" w:cs="Arial"/>
          <w:sz w:val="22"/>
          <w:szCs w:val="22"/>
        </w:rPr>
        <w:t>The findings from this scoping review show that access to mental health services in the UK remains limited and unequal across different groups. The five studies highlight key areas for improvement, including reducing stigma, increasing service availability, improving cultural competence, providing trauma</w:t>
      </w:r>
      <w:r w:rsidRPr="00E214BA">
        <w:rPr>
          <w:rFonts w:ascii="Arial" w:hAnsi="Arial" w:cs="Arial"/>
          <w:sz w:val="22"/>
          <w:szCs w:val="22"/>
        </w:rPr>
        <w:noBreakHyphen/>
        <w:t>informed care, and making reasonable adjustments for people with severe mental illness. Reducing stigma through education would help adolescents and adults feel more confident seeking support. Increasing funding and staffing would reduce long waiting times and improve access for deprived and rural communities. Culturally sensitive care is essential for migrants and ethnic minority groups who often feel excluded or misunderstood. Trauma</w:t>
      </w:r>
      <w:r w:rsidRPr="00E214BA">
        <w:rPr>
          <w:rFonts w:ascii="Arial" w:hAnsi="Arial" w:cs="Arial"/>
          <w:sz w:val="22"/>
          <w:szCs w:val="22"/>
        </w:rPr>
        <w:noBreakHyphen/>
        <w:t xml:space="preserve">informed approaches would better support adolescents with adverse childhood experiences, who frequently report unmet need. Finally, reasonable adjustments such as flexible appointments and outreach support would help people with severe mental illness access routine health checks. Overall, these recommendations </w:t>
      </w:r>
      <w:r w:rsidRPr="00E214BA">
        <w:rPr>
          <w:rFonts w:ascii="Arial" w:hAnsi="Arial" w:cs="Arial"/>
          <w:sz w:val="22"/>
          <w:szCs w:val="22"/>
        </w:rPr>
        <w:lastRenderedPageBreak/>
        <w:t>highlight the need for a more accessible, culturally aware, trauma</w:t>
      </w:r>
      <w:r w:rsidRPr="00E214BA">
        <w:rPr>
          <w:rFonts w:ascii="Arial" w:hAnsi="Arial" w:cs="Arial"/>
          <w:sz w:val="22"/>
          <w:szCs w:val="22"/>
        </w:rPr>
        <w:noBreakHyphen/>
        <w:t>informed, and well</w:t>
      </w:r>
      <w:r w:rsidRPr="00E214BA">
        <w:rPr>
          <w:rFonts w:ascii="Arial" w:hAnsi="Arial" w:cs="Arial"/>
          <w:sz w:val="22"/>
          <w:szCs w:val="22"/>
        </w:rPr>
        <w:noBreakHyphen/>
        <w:t>resourced mental health system.</w:t>
      </w:r>
    </w:p>
    <w:p w14:paraId="306AB7FF" w14:textId="77777777" w:rsidR="00722DEF" w:rsidRPr="00E214BA" w:rsidRDefault="00722DEF" w:rsidP="00E214BA">
      <w:pPr>
        <w:spacing w:line="360" w:lineRule="auto"/>
        <w:rPr>
          <w:rFonts w:ascii="Arial" w:hAnsi="Arial" w:cs="Arial"/>
          <w:sz w:val="22"/>
          <w:szCs w:val="22"/>
        </w:rPr>
      </w:pPr>
    </w:p>
    <w:p w14:paraId="74626956" w14:textId="77777777" w:rsidR="00261CB6" w:rsidRDefault="00261CB6" w:rsidP="00E214BA">
      <w:pPr>
        <w:spacing w:line="360" w:lineRule="auto"/>
        <w:rPr>
          <w:rFonts w:ascii="Arial" w:hAnsi="Arial" w:cs="Arial"/>
          <w:sz w:val="22"/>
          <w:szCs w:val="22"/>
        </w:rPr>
      </w:pPr>
    </w:p>
    <w:p w14:paraId="27EB5FA1" w14:textId="77777777" w:rsidR="00D64F4A" w:rsidRDefault="00D64F4A" w:rsidP="00E214BA">
      <w:pPr>
        <w:spacing w:line="360" w:lineRule="auto"/>
        <w:rPr>
          <w:rFonts w:ascii="Arial" w:hAnsi="Arial" w:cs="Arial"/>
          <w:sz w:val="22"/>
          <w:szCs w:val="22"/>
        </w:rPr>
      </w:pPr>
    </w:p>
    <w:p w14:paraId="6D310F43" w14:textId="77777777" w:rsidR="00D64F4A" w:rsidRDefault="00D64F4A" w:rsidP="00E214BA">
      <w:pPr>
        <w:spacing w:line="360" w:lineRule="auto"/>
        <w:rPr>
          <w:rFonts w:ascii="Arial" w:hAnsi="Arial" w:cs="Arial"/>
          <w:sz w:val="22"/>
          <w:szCs w:val="22"/>
        </w:rPr>
      </w:pPr>
    </w:p>
    <w:p w14:paraId="7FFEECFC" w14:textId="77777777" w:rsidR="00D64F4A" w:rsidRDefault="00D64F4A" w:rsidP="00E214BA">
      <w:pPr>
        <w:spacing w:line="360" w:lineRule="auto"/>
        <w:rPr>
          <w:rFonts w:ascii="Arial" w:hAnsi="Arial" w:cs="Arial"/>
          <w:sz w:val="22"/>
          <w:szCs w:val="22"/>
        </w:rPr>
      </w:pPr>
    </w:p>
    <w:p w14:paraId="4C3AA292" w14:textId="77777777" w:rsidR="00D64F4A" w:rsidRDefault="00D64F4A" w:rsidP="00E214BA">
      <w:pPr>
        <w:spacing w:line="360" w:lineRule="auto"/>
        <w:rPr>
          <w:rFonts w:ascii="Arial" w:hAnsi="Arial" w:cs="Arial"/>
          <w:sz w:val="22"/>
          <w:szCs w:val="22"/>
        </w:rPr>
      </w:pPr>
    </w:p>
    <w:p w14:paraId="1EA6DD73" w14:textId="77777777" w:rsidR="00D64F4A" w:rsidRDefault="00D64F4A" w:rsidP="00E214BA">
      <w:pPr>
        <w:spacing w:line="360" w:lineRule="auto"/>
        <w:rPr>
          <w:rFonts w:ascii="Arial" w:hAnsi="Arial" w:cs="Arial"/>
          <w:sz w:val="22"/>
          <w:szCs w:val="22"/>
        </w:rPr>
      </w:pPr>
    </w:p>
    <w:p w14:paraId="0D631E5B" w14:textId="77777777" w:rsidR="00D64F4A" w:rsidRDefault="00D64F4A" w:rsidP="00E214BA">
      <w:pPr>
        <w:spacing w:line="360" w:lineRule="auto"/>
        <w:rPr>
          <w:rFonts w:ascii="Arial" w:hAnsi="Arial" w:cs="Arial"/>
          <w:sz w:val="22"/>
          <w:szCs w:val="22"/>
        </w:rPr>
      </w:pPr>
    </w:p>
    <w:p w14:paraId="70B83220" w14:textId="77777777" w:rsidR="00D64F4A" w:rsidRDefault="00D64F4A" w:rsidP="00E214BA">
      <w:pPr>
        <w:spacing w:line="360" w:lineRule="auto"/>
        <w:rPr>
          <w:rFonts w:ascii="Arial" w:hAnsi="Arial" w:cs="Arial"/>
          <w:sz w:val="22"/>
          <w:szCs w:val="22"/>
        </w:rPr>
      </w:pPr>
    </w:p>
    <w:p w14:paraId="5CCF3002" w14:textId="77777777" w:rsidR="00D64F4A" w:rsidRDefault="00D64F4A" w:rsidP="00E214BA">
      <w:pPr>
        <w:spacing w:line="360" w:lineRule="auto"/>
        <w:rPr>
          <w:rFonts w:ascii="Arial" w:hAnsi="Arial" w:cs="Arial"/>
          <w:sz w:val="22"/>
          <w:szCs w:val="22"/>
        </w:rPr>
      </w:pPr>
    </w:p>
    <w:p w14:paraId="0AC64687" w14:textId="77777777" w:rsidR="00D64F4A" w:rsidRDefault="00D64F4A" w:rsidP="00E214BA">
      <w:pPr>
        <w:spacing w:line="360" w:lineRule="auto"/>
        <w:rPr>
          <w:rFonts w:ascii="Arial" w:hAnsi="Arial" w:cs="Arial"/>
          <w:sz w:val="22"/>
          <w:szCs w:val="22"/>
        </w:rPr>
      </w:pPr>
    </w:p>
    <w:p w14:paraId="6C1C3C99" w14:textId="77777777" w:rsidR="00D64F4A" w:rsidRDefault="00D64F4A" w:rsidP="00E214BA">
      <w:pPr>
        <w:spacing w:line="360" w:lineRule="auto"/>
        <w:rPr>
          <w:rFonts w:ascii="Arial" w:hAnsi="Arial" w:cs="Arial"/>
          <w:sz w:val="22"/>
          <w:szCs w:val="22"/>
        </w:rPr>
      </w:pPr>
    </w:p>
    <w:p w14:paraId="464E1A46" w14:textId="77777777" w:rsidR="00D64F4A" w:rsidRDefault="00D64F4A" w:rsidP="00E214BA">
      <w:pPr>
        <w:spacing w:line="360" w:lineRule="auto"/>
        <w:rPr>
          <w:rFonts w:ascii="Arial" w:hAnsi="Arial" w:cs="Arial"/>
          <w:sz w:val="22"/>
          <w:szCs w:val="22"/>
        </w:rPr>
      </w:pPr>
    </w:p>
    <w:p w14:paraId="2AC11C18" w14:textId="77777777" w:rsidR="00D64F4A" w:rsidRDefault="00D64F4A" w:rsidP="00E214BA">
      <w:pPr>
        <w:spacing w:line="360" w:lineRule="auto"/>
        <w:rPr>
          <w:rFonts w:ascii="Arial" w:hAnsi="Arial" w:cs="Arial"/>
          <w:sz w:val="22"/>
          <w:szCs w:val="22"/>
        </w:rPr>
      </w:pPr>
    </w:p>
    <w:p w14:paraId="67D14B70" w14:textId="77777777" w:rsidR="00D64F4A" w:rsidRDefault="00D64F4A" w:rsidP="00E214BA">
      <w:pPr>
        <w:spacing w:line="360" w:lineRule="auto"/>
        <w:rPr>
          <w:rFonts w:ascii="Arial" w:hAnsi="Arial" w:cs="Arial"/>
          <w:sz w:val="22"/>
          <w:szCs w:val="22"/>
        </w:rPr>
      </w:pPr>
    </w:p>
    <w:p w14:paraId="5C5DF344" w14:textId="77777777" w:rsidR="00D64F4A" w:rsidRDefault="00D64F4A" w:rsidP="00E214BA">
      <w:pPr>
        <w:spacing w:line="360" w:lineRule="auto"/>
        <w:rPr>
          <w:rFonts w:ascii="Arial" w:hAnsi="Arial" w:cs="Arial"/>
          <w:sz w:val="22"/>
          <w:szCs w:val="22"/>
        </w:rPr>
      </w:pPr>
    </w:p>
    <w:p w14:paraId="118B009B" w14:textId="77777777" w:rsidR="00D64F4A" w:rsidRDefault="00D64F4A" w:rsidP="00E214BA">
      <w:pPr>
        <w:spacing w:line="360" w:lineRule="auto"/>
        <w:rPr>
          <w:rFonts w:ascii="Arial" w:hAnsi="Arial" w:cs="Arial"/>
          <w:sz w:val="22"/>
          <w:szCs w:val="22"/>
        </w:rPr>
      </w:pPr>
    </w:p>
    <w:p w14:paraId="476FEFF7" w14:textId="77777777" w:rsidR="00D64F4A" w:rsidRPr="00E214BA" w:rsidRDefault="00D64F4A" w:rsidP="00E214BA">
      <w:pPr>
        <w:spacing w:line="360" w:lineRule="auto"/>
        <w:rPr>
          <w:rFonts w:ascii="Arial" w:hAnsi="Arial" w:cs="Arial"/>
          <w:sz w:val="22"/>
          <w:szCs w:val="22"/>
        </w:rPr>
      </w:pPr>
    </w:p>
    <w:p w14:paraId="19B52ACC" w14:textId="77777777" w:rsidR="0071250D" w:rsidRDefault="0071250D" w:rsidP="00E214BA">
      <w:pPr>
        <w:spacing w:line="360" w:lineRule="auto"/>
        <w:rPr>
          <w:rFonts w:ascii="Arial" w:hAnsi="Arial" w:cs="Arial"/>
          <w:b/>
          <w:bCs/>
          <w:sz w:val="22"/>
          <w:szCs w:val="22"/>
          <w:u w:val="single"/>
        </w:rPr>
      </w:pPr>
    </w:p>
    <w:p w14:paraId="3D2543CF" w14:textId="77777777" w:rsidR="00C77E72" w:rsidRDefault="00C77E72" w:rsidP="00E214BA">
      <w:pPr>
        <w:spacing w:line="360" w:lineRule="auto"/>
        <w:rPr>
          <w:rFonts w:ascii="Arial" w:hAnsi="Arial" w:cs="Arial"/>
          <w:b/>
          <w:bCs/>
          <w:sz w:val="22"/>
          <w:szCs w:val="22"/>
          <w:u w:val="single"/>
        </w:rPr>
      </w:pPr>
    </w:p>
    <w:p w14:paraId="7C8689AF" w14:textId="77777777" w:rsidR="00C77E72" w:rsidRDefault="00C77E72" w:rsidP="00E214BA">
      <w:pPr>
        <w:spacing w:line="360" w:lineRule="auto"/>
        <w:rPr>
          <w:rFonts w:ascii="Arial" w:hAnsi="Arial" w:cs="Arial"/>
          <w:b/>
          <w:bCs/>
          <w:sz w:val="22"/>
          <w:szCs w:val="22"/>
          <w:u w:val="single"/>
        </w:rPr>
      </w:pPr>
    </w:p>
    <w:p w14:paraId="1A173082" w14:textId="77777777" w:rsidR="00C77E72" w:rsidRDefault="00C77E72" w:rsidP="00E214BA">
      <w:pPr>
        <w:spacing w:line="360" w:lineRule="auto"/>
        <w:rPr>
          <w:rFonts w:ascii="Arial" w:hAnsi="Arial" w:cs="Arial"/>
          <w:b/>
          <w:bCs/>
          <w:sz w:val="22"/>
          <w:szCs w:val="22"/>
          <w:u w:val="single"/>
        </w:rPr>
      </w:pPr>
    </w:p>
    <w:p w14:paraId="2A6D6D3E" w14:textId="77777777" w:rsidR="00C77E72" w:rsidRDefault="00C77E72" w:rsidP="00E214BA">
      <w:pPr>
        <w:spacing w:line="360" w:lineRule="auto"/>
        <w:rPr>
          <w:rFonts w:ascii="Arial" w:hAnsi="Arial" w:cs="Arial"/>
          <w:b/>
          <w:bCs/>
          <w:sz w:val="22"/>
          <w:szCs w:val="22"/>
          <w:u w:val="single"/>
        </w:rPr>
      </w:pPr>
    </w:p>
    <w:p w14:paraId="2377BD49" w14:textId="77777777" w:rsidR="00C77E72" w:rsidRPr="00C77E72" w:rsidRDefault="00C77E72" w:rsidP="00E214BA">
      <w:pPr>
        <w:spacing w:line="360" w:lineRule="auto"/>
        <w:rPr>
          <w:rFonts w:ascii="Arial" w:hAnsi="Arial" w:cs="Arial"/>
          <w:b/>
          <w:bCs/>
          <w:sz w:val="22"/>
          <w:szCs w:val="22"/>
          <w:u w:val="single"/>
        </w:rPr>
      </w:pPr>
    </w:p>
    <w:p w14:paraId="2EF9A404" w14:textId="472511A0" w:rsidR="005D7DC6" w:rsidRPr="00C77E72" w:rsidRDefault="005D7DC6" w:rsidP="00E214BA">
      <w:pPr>
        <w:spacing w:line="360" w:lineRule="auto"/>
        <w:rPr>
          <w:rFonts w:ascii="Arial" w:hAnsi="Arial" w:cs="Arial"/>
          <w:b/>
          <w:bCs/>
          <w:sz w:val="22"/>
          <w:szCs w:val="22"/>
          <w:u w:val="single"/>
        </w:rPr>
      </w:pPr>
      <w:r w:rsidRPr="00C77E72">
        <w:rPr>
          <w:rFonts w:ascii="Arial" w:hAnsi="Arial" w:cs="Arial"/>
          <w:b/>
          <w:bCs/>
          <w:sz w:val="22"/>
          <w:szCs w:val="22"/>
          <w:u w:val="single"/>
        </w:rPr>
        <w:lastRenderedPageBreak/>
        <w:t xml:space="preserve">References </w:t>
      </w:r>
    </w:p>
    <w:p w14:paraId="6971BDF7"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NHS England (2024) </w:t>
      </w:r>
      <w:r w:rsidRPr="00E214BA">
        <w:rPr>
          <w:rFonts w:ascii="Arial" w:hAnsi="Arial" w:cs="Arial"/>
          <w:i/>
          <w:iCs/>
          <w:sz w:val="22"/>
          <w:szCs w:val="22"/>
        </w:rPr>
        <w:t>Mental health services monthly statistics</w:t>
      </w:r>
      <w:r w:rsidRPr="00E214BA">
        <w:rPr>
          <w:rFonts w:ascii="Arial" w:hAnsi="Arial" w:cs="Arial"/>
          <w:sz w:val="22"/>
          <w:szCs w:val="22"/>
        </w:rPr>
        <w:t xml:space="preserve">. Available at: </w:t>
      </w:r>
      <w:hyperlink r:id="rId7" w:tgtFrame="_blank" w:tooltip="www.england.nhs.uk" w:history="1">
        <w:r w:rsidRPr="00E214BA">
          <w:rPr>
            <w:rStyle w:val="Hyperlink"/>
            <w:rFonts w:ascii="Arial" w:hAnsi="Arial" w:cs="Arial"/>
            <w:sz w:val="22"/>
            <w:szCs w:val="22"/>
          </w:rPr>
          <w:t>https://www.england.nhs.uk/statistics/</w:t>
        </w:r>
      </w:hyperlink>
      <w:r w:rsidRPr="00E214BA">
        <w:rPr>
          <w:rFonts w:ascii="Arial" w:hAnsi="Arial" w:cs="Arial"/>
          <w:sz w:val="22"/>
          <w:szCs w:val="22"/>
        </w:rPr>
        <w:t xml:space="preserve"> (Accessed 18 July 2026).</w:t>
      </w:r>
    </w:p>
    <w:p w14:paraId="2B48A52B"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 YoungMinds (2024) </w:t>
      </w:r>
      <w:r w:rsidRPr="00E214BA">
        <w:rPr>
          <w:rFonts w:ascii="Arial" w:hAnsi="Arial" w:cs="Arial"/>
          <w:i/>
          <w:iCs/>
          <w:sz w:val="22"/>
          <w:szCs w:val="22"/>
        </w:rPr>
        <w:t>Young people waiting for mental health support</w:t>
      </w:r>
      <w:r w:rsidRPr="00E214BA">
        <w:rPr>
          <w:rFonts w:ascii="Arial" w:hAnsi="Arial" w:cs="Arial"/>
          <w:sz w:val="22"/>
          <w:szCs w:val="22"/>
        </w:rPr>
        <w:t xml:space="preserve">. Available at: </w:t>
      </w:r>
      <w:hyperlink r:id="rId8" w:tgtFrame="_blank" w:tooltip="www.youngminds.org.uk" w:history="1">
        <w:r w:rsidRPr="00E214BA">
          <w:rPr>
            <w:rStyle w:val="Hyperlink"/>
            <w:rFonts w:ascii="Arial" w:hAnsi="Arial" w:cs="Arial"/>
            <w:sz w:val="22"/>
            <w:szCs w:val="22"/>
          </w:rPr>
          <w:t>https://www.youngminds.org.uk</w:t>
        </w:r>
      </w:hyperlink>
      <w:r w:rsidRPr="00E214BA">
        <w:rPr>
          <w:rFonts w:ascii="Arial" w:hAnsi="Arial" w:cs="Arial"/>
          <w:sz w:val="22"/>
          <w:szCs w:val="22"/>
        </w:rPr>
        <w:t xml:space="preserve"> (Accessed 18 July 2026). </w:t>
      </w:r>
    </w:p>
    <w:p w14:paraId="01FBA7A5"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Department of Health and Social Care (2023) </w:t>
      </w:r>
      <w:r w:rsidRPr="00E214BA">
        <w:rPr>
          <w:rFonts w:ascii="Arial" w:hAnsi="Arial" w:cs="Arial"/>
          <w:i/>
          <w:iCs/>
          <w:sz w:val="22"/>
          <w:szCs w:val="22"/>
        </w:rPr>
        <w:t>Mental health and wellbeing</w:t>
      </w:r>
      <w:r w:rsidRPr="00E214BA">
        <w:rPr>
          <w:rFonts w:ascii="Arial" w:hAnsi="Arial" w:cs="Arial"/>
          <w:sz w:val="22"/>
          <w:szCs w:val="22"/>
        </w:rPr>
        <w:t xml:space="preserve">. Available at: </w:t>
      </w:r>
      <w:hyperlink r:id="rId9" w:tgtFrame="_blank" w:tooltip="www.gov.uk" w:history="1">
        <w:r w:rsidRPr="00E214BA">
          <w:rPr>
            <w:rStyle w:val="Hyperlink"/>
            <w:rFonts w:ascii="Arial" w:hAnsi="Arial" w:cs="Arial"/>
            <w:sz w:val="22"/>
            <w:szCs w:val="22"/>
          </w:rPr>
          <w:t>https://www.gov.uk</w:t>
        </w:r>
      </w:hyperlink>
      <w:r w:rsidRPr="00E214BA">
        <w:rPr>
          <w:rFonts w:ascii="Arial" w:hAnsi="Arial" w:cs="Arial"/>
          <w:sz w:val="22"/>
          <w:szCs w:val="22"/>
        </w:rPr>
        <w:t xml:space="preserve"> (Accessed 18 July 2026). </w:t>
      </w:r>
    </w:p>
    <w:p w14:paraId="783A6D3D"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Mind (2024) </w:t>
      </w:r>
      <w:r w:rsidRPr="00E214BA">
        <w:rPr>
          <w:rFonts w:ascii="Arial" w:hAnsi="Arial" w:cs="Arial"/>
          <w:i/>
          <w:iCs/>
          <w:sz w:val="22"/>
          <w:szCs w:val="22"/>
        </w:rPr>
        <w:t>Stigma and mental health</w:t>
      </w:r>
      <w:r w:rsidRPr="00E214BA">
        <w:rPr>
          <w:rFonts w:ascii="Arial" w:hAnsi="Arial" w:cs="Arial"/>
          <w:sz w:val="22"/>
          <w:szCs w:val="22"/>
        </w:rPr>
        <w:t xml:space="preserve">. Available at: </w:t>
      </w:r>
      <w:hyperlink r:id="rId10" w:tgtFrame="_blank" w:tooltip="www.mind.org.uk" w:history="1">
        <w:r w:rsidRPr="00E214BA">
          <w:rPr>
            <w:rStyle w:val="Hyperlink"/>
            <w:rFonts w:ascii="Arial" w:hAnsi="Arial" w:cs="Arial"/>
            <w:sz w:val="22"/>
            <w:szCs w:val="22"/>
          </w:rPr>
          <w:t>https://www.mind.org.uk</w:t>
        </w:r>
      </w:hyperlink>
      <w:r w:rsidRPr="00E214BA">
        <w:rPr>
          <w:rFonts w:ascii="Arial" w:hAnsi="Arial" w:cs="Arial"/>
          <w:sz w:val="22"/>
          <w:szCs w:val="22"/>
        </w:rPr>
        <w:t xml:space="preserve"> (Accessed 18 July 2026). </w:t>
      </w:r>
    </w:p>
    <w:p w14:paraId="17E49E61"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NHS (2024) </w:t>
      </w:r>
      <w:r w:rsidRPr="00E214BA">
        <w:rPr>
          <w:rFonts w:ascii="Arial" w:hAnsi="Arial" w:cs="Arial"/>
          <w:i/>
          <w:iCs/>
          <w:sz w:val="22"/>
          <w:szCs w:val="22"/>
        </w:rPr>
        <w:t>Mental health overview</w:t>
      </w:r>
      <w:r w:rsidRPr="00E214BA">
        <w:rPr>
          <w:rFonts w:ascii="Arial" w:hAnsi="Arial" w:cs="Arial"/>
          <w:sz w:val="22"/>
          <w:szCs w:val="22"/>
        </w:rPr>
        <w:t xml:space="preserve">. Available at: </w:t>
      </w:r>
      <w:hyperlink r:id="rId11" w:tgtFrame="_blank" w:tooltip="www.nhs.uk" w:history="1">
        <w:r w:rsidRPr="00E214BA">
          <w:rPr>
            <w:rStyle w:val="Hyperlink"/>
            <w:rFonts w:ascii="Arial" w:hAnsi="Arial" w:cs="Arial"/>
            <w:sz w:val="22"/>
            <w:szCs w:val="22"/>
          </w:rPr>
          <w:t>https://www.nhs.uk</w:t>
        </w:r>
      </w:hyperlink>
      <w:r w:rsidRPr="00E214BA">
        <w:rPr>
          <w:rFonts w:ascii="Arial" w:hAnsi="Arial" w:cs="Arial"/>
          <w:sz w:val="22"/>
          <w:szCs w:val="22"/>
        </w:rPr>
        <w:t xml:space="preserve"> (Accessed 18 July 2026). </w:t>
      </w:r>
    </w:p>
    <w:p w14:paraId="6C88533C"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NHS England (2024) </w:t>
      </w:r>
      <w:r w:rsidRPr="00E214BA">
        <w:rPr>
          <w:rFonts w:ascii="Arial" w:hAnsi="Arial" w:cs="Arial"/>
          <w:i/>
          <w:iCs/>
          <w:sz w:val="22"/>
          <w:szCs w:val="22"/>
        </w:rPr>
        <w:t>Mental health services</w:t>
      </w:r>
      <w:r w:rsidRPr="00E214BA">
        <w:rPr>
          <w:rFonts w:ascii="Arial" w:hAnsi="Arial" w:cs="Arial"/>
          <w:sz w:val="22"/>
          <w:szCs w:val="22"/>
        </w:rPr>
        <w:t xml:space="preserve">. Available at: </w:t>
      </w:r>
      <w:hyperlink r:id="rId12" w:tgtFrame="_blank" w:tooltip="www.england.nhs.uk" w:history="1">
        <w:r w:rsidRPr="00E214BA">
          <w:rPr>
            <w:rStyle w:val="Hyperlink"/>
            <w:rFonts w:ascii="Arial" w:hAnsi="Arial" w:cs="Arial"/>
            <w:sz w:val="22"/>
            <w:szCs w:val="22"/>
          </w:rPr>
          <w:t>https://www.england.nhs.uk</w:t>
        </w:r>
      </w:hyperlink>
      <w:r w:rsidRPr="00E214BA">
        <w:rPr>
          <w:rFonts w:ascii="Arial" w:hAnsi="Arial" w:cs="Arial"/>
          <w:sz w:val="22"/>
          <w:szCs w:val="22"/>
        </w:rPr>
        <w:t xml:space="preserve"> (Accessed 18 July 2026). </w:t>
      </w:r>
    </w:p>
    <w:p w14:paraId="7E8448F3"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NSPCC (2024) </w:t>
      </w:r>
      <w:r w:rsidRPr="00E214BA">
        <w:rPr>
          <w:rFonts w:ascii="Arial" w:hAnsi="Arial" w:cs="Arial"/>
          <w:i/>
          <w:iCs/>
          <w:sz w:val="22"/>
          <w:szCs w:val="22"/>
        </w:rPr>
        <w:t>Adverse childhood experiences (ACEs)</w:t>
      </w:r>
      <w:r w:rsidRPr="00E214BA">
        <w:rPr>
          <w:rFonts w:ascii="Arial" w:hAnsi="Arial" w:cs="Arial"/>
          <w:sz w:val="22"/>
          <w:szCs w:val="22"/>
        </w:rPr>
        <w:t xml:space="preserve">. Available at: </w:t>
      </w:r>
      <w:hyperlink r:id="rId13" w:tgtFrame="_blank" w:tooltip="www.nspcc.org.uk" w:history="1">
        <w:r w:rsidRPr="00E214BA">
          <w:rPr>
            <w:rStyle w:val="Hyperlink"/>
            <w:rFonts w:ascii="Arial" w:hAnsi="Arial" w:cs="Arial"/>
            <w:sz w:val="22"/>
            <w:szCs w:val="22"/>
          </w:rPr>
          <w:t>https://www.nspcc.org.uk</w:t>
        </w:r>
      </w:hyperlink>
      <w:r w:rsidRPr="00E214BA">
        <w:rPr>
          <w:rFonts w:ascii="Arial" w:hAnsi="Arial" w:cs="Arial"/>
          <w:sz w:val="22"/>
          <w:szCs w:val="22"/>
        </w:rPr>
        <w:t xml:space="preserve"> (Accessed 18 July 2026). </w:t>
      </w:r>
    </w:p>
    <w:p w14:paraId="0AB354E9"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Public Health England (2023) </w:t>
      </w:r>
      <w:r w:rsidRPr="00E214BA">
        <w:rPr>
          <w:rFonts w:ascii="Arial" w:hAnsi="Arial" w:cs="Arial"/>
          <w:i/>
          <w:iCs/>
          <w:sz w:val="22"/>
          <w:szCs w:val="22"/>
        </w:rPr>
        <w:t>Severe mental illness and physical health</w:t>
      </w:r>
      <w:r w:rsidRPr="00E214BA">
        <w:rPr>
          <w:rFonts w:ascii="Arial" w:hAnsi="Arial" w:cs="Arial"/>
          <w:sz w:val="22"/>
          <w:szCs w:val="22"/>
        </w:rPr>
        <w:t xml:space="preserve">. Available at: </w:t>
      </w:r>
      <w:hyperlink r:id="rId14" w:tgtFrame="_blank" w:tooltip="www.gov.uk" w:history="1">
        <w:r w:rsidRPr="00E214BA">
          <w:rPr>
            <w:rStyle w:val="Hyperlink"/>
            <w:rFonts w:ascii="Arial" w:hAnsi="Arial" w:cs="Arial"/>
            <w:sz w:val="22"/>
            <w:szCs w:val="22"/>
          </w:rPr>
          <w:t>https://www.gov.uk/phe</w:t>
        </w:r>
      </w:hyperlink>
      <w:r w:rsidRPr="00E214BA">
        <w:rPr>
          <w:rFonts w:ascii="Arial" w:hAnsi="Arial" w:cs="Arial"/>
          <w:sz w:val="22"/>
          <w:szCs w:val="22"/>
        </w:rPr>
        <w:t xml:space="preserve"> (Accessed 18 July 2026). </w:t>
      </w:r>
    </w:p>
    <w:p w14:paraId="070155A6"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Refugee Council (2024) </w:t>
      </w:r>
      <w:r w:rsidRPr="00E214BA">
        <w:rPr>
          <w:rFonts w:ascii="Arial" w:hAnsi="Arial" w:cs="Arial"/>
          <w:i/>
          <w:iCs/>
          <w:sz w:val="22"/>
          <w:szCs w:val="22"/>
        </w:rPr>
        <w:t>Mental health support for refugees</w:t>
      </w:r>
      <w:r w:rsidRPr="00E214BA">
        <w:rPr>
          <w:rFonts w:ascii="Arial" w:hAnsi="Arial" w:cs="Arial"/>
          <w:sz w:val="22"/>
          <w:szCs w:val="22"/>
        </w:rPr>
        <w:t xml:space="preserve">. Available at: https://www.refugeecouncil.org.uk </w:t>
      </w:r>
      <w:hyperlink r:id="rId15" w:tgtFrame="_blank" w:tooltip="www.bing.com" w:history="1">
        <w:r w:rsidRPr="00E214BA">
          <w:rPr>
            <w:rStyle w:val="Hyperlink"/>
            <w:rFonts w:ascii="Arial" w:hAnsi="Arial" w:cs="Arial"/>
            <w:sz w:val="22"/>
            <w:szCs w:val="22"/>
          </w:rPr>
          <w:t>(refugeecouncil.org.uk in Bing)</w:t>
        </w:r>
      </w:hyperlink>
      <w:r w:rsidRPr="00E214BA">
        <w:rPr>
          <w:rFonts w:ascii="Arial" w:hAnsi="Arial" w:cs="Arial"/>
          <w:sz w:val="22"/>
          <w:szCs w:val="22"/>
        </w:rPr>
        <w:t xml:space="preserve"> (Accessed 18 July 2026). </w:t>
      </w:r>
    </w:p>
    <w:p w14:paraId="5F047D4F" w14:textId="1CCD31EF"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YoungMinds (2024) </w:t>
      </w:r>
      <w:r w:rsidRPr="00E214BA">
        <w:rPr>
          <w:rFonts w:ascii="Arial" w:hAnsi="Arial" w:cs="Arial"/>
          <w:i/>
          <w:iCs/>
          <w:sz w:val="22"/>
          <w:szCs w:val="22"/>
        </w:rPr>
        <w:t>Young people waiting for mental health support</w:t>
      </w:r>
      <w:r w:rsidRPr="00E214BA">
        <w:rPr>
          <w:rFonts w:ascii="Arial" w:hAnsi="Arial" w:cs="Arial"/>
          <w:sz w:val="22"/>
          <w:szCs w:val="22"/>
        </w:rPr>
        <w:t xml:space="preserve">. Available at: </w:t>
      </w:r>
      <w:hyperlink r:id="rId16" w:tgtFrame="_blank" w:tooltip="www.youngminds.org.uk" w:history="1">
        <w:r w:rsidRPr="00E214BA">
          <w:rPr>
            <w:rStyle w:val="Hyperlink"/>
            <w:rFonts w:ascii="Arial" w:hAnsi="Arial" w:cs="Arial"/>
            <w:sz w:val="22"/>
            <w:szCs w:val="22"/>
          </w:rPr>
          <w:t>https://www.youngminds.org.uk</w:t>
        </w:r>
      </w:hyperlink>
      <w:r w:rsidRPr="00E214BA">
        <w:rPr>
          <w:rFonts w:ascii="Arial" w:hAnsi="Arial" w:cs="Arial"/>
          <w:sz w:val="22"/>
          <w:szCs w:val="22"/>
        </w:rPr>
        <w:t xml:space="preserve"> (Accessed 18 July 2026).</w:t>
      </w:r>
    </w:p>
    <w:p w14:paraId="14E481D4" w14:textId="77777777"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 xml:space="preserve">NHS Library Guide (2024) </w:t>
      </w:r>
      <w:r w:rsidRPr="00E214BA">
        <w:rPr>
          <w:rFonts w:ascii="Arial" w:hAnsi="Arial" w:cs="Arial"/>
          <w:i/>
          <w:iCs/>
          <w:sz w:val="22"/>
          <w:szCs w:val="22"/>
        </w:rPr>
        <w:t>How to use Boolean operators</w:t>
      </w:r>
      <w:r w:rsidRPr="00E214BA">
        <w:rPr>
          <w:rFonts w:ascii="Arial" w:hAnsi="Arial" w:cs="Arial"/>
          <w:sz w:val="22"/>
          <w:szCs w:val="22"/>
        </w:rPr>
        <w:t xml:space="preserve">. Available at: </w:t>
      </w:r>
      <w:hyperlink r:id="rId17" w:tgtFrame="_blank" w:tooltip="library.nhs.uk" w:history="1">
        <w:r w:rsidRPr="00E214BA">
          <w:rPr>
            <w:rStyle w:val="Hyperlink"/>
            <w:rFonts w:ascii="Arial" w:hAnsi="Arial" w:cs="Arial"/>
            <w:sz w:val="22"/>
            <w:szCs w:val="22"/>
          </w:rPr>
          <w:t>https://library.nhs.uk</w:t>
        </w:r>
      </w:hyperlink>
      <w:r w:rsidRPr="00E214BA">
        <w:rPr>
          <w:rFonts w:ascii="Arial" w:hAnsi="Arial" w:cs="Arial"/>
          <w:sz w:val="22"/>
          <w:szCs w:val="22"/>
        </w:rPr>
        <w:t xml:space="preserve"> (Accessed 18 July 2026). </w:t>
      </w:r>
    </w:p>
    <w:p w14:paraId="71FF036E" w14:textId="77777777"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 xml:space="preserve">NHS Research Ethics Guidance (2024) </w:t>
      </w:r>
      <w:r w:rsidRPr="00E214BA">
        <w:rPr>
          <w:rFonts w:ascii="Arial" w:hAnsi="Arial" w:cs="Arial"/>
          <w:i/>
          <w:iCs/>
          <w:sz w:val="22"/>
          <w:szCs w:val="22"/>
        </w:rPr>
        <w:t>Ethical use of research</w:t>
      </w:r>
      <w:r w:rsidRPr="00E214BA">
        <w:rPr>
          <w:rFonts w:ascii="Arial" w:hAnsi="Arial" w:cs="Arial"/>
          <w:sz w:val="22"/>
          <w:szCs w:val="22"/>
        </w:rPr>
        <w:t xml:space="preserve">. Available at: </w:t>
      </w:r>
      <w:hyperlink r:id="rId18" w:tgtFrame="_blank" w:tooltip="www.nhs.uk" w:history="1">
        <w:r w:rsidRPr="00E214BA">
          <w:rPr>
            <w:rStyle w:val="Hyperlink"/>
            <w:rFonts w:ascii="Arial" w:hAnsi="Arial" w:cs="Arial"/>
            <w:sz w:val="22"/>
            <w:szCs w:val="22"/>
          </w:rPr>
          <w:t>https://www.nhs.uk</w:t>
        </w:r>
      </w:hyperlink>
      <w:r w:rsidRPr="00E214BA">
        <w:rPr>
          <w:rFonts w:ascii="Arial" w:hAnsi="Arial" w:cs="Arial"/>
          <w:sz w:val="22"/>
          <w:szCs w:val="22"/>
        </w:rPr>
        <w:t xml:space="preserve"> (Accessed 18 July 2026). </w:t>
      </w:r>
    </w:p>
    <w:p w14:paraId="29B1DF7D" w14:textId="1D5571E4"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 xml:space="preserve">UWTSD Library (2024) </w:t>
      </w:r>
      <w:r w:rsidRPr="00E214BA">
        <w:rPr>
          <w:rFonts w:ascii="Arial" w:hAnsi="Arial" w:cs="Arial"/>
          <w:i/>
          <w:iCs/>
          <w:sz w:val="22"/>
          <w:szCs w:val="22"/>
        </w:rPr>
        <w:t>Accessing academic databases</w:t>
      </w:r>
      <w:r w:rsidRPr="00E214BA">
        <w:rPr>
          <w:rFonts w:ascii="Arial" w:hAnsi="Arial" w:cs="Arial"/>
          <w:sz w:val="22"/>
          <w:szCs w:val="22"/>
        </w:rPr>
        <w:t xml:space="preserve">. Available at: </w:t>
      </w:r>
      <w:hyperlink r:id="rId19" w:tgtFrame="_blank" w:tooltip="www.uwtsd.ac.uk" w:history="1">
        <w:r w:rsidRPr="00E214BA">
          <w:rPr>
            <w:rStyle w:val="Hyperlink"/>
            <w:rFonts w:ascii="Arial" w:hAnsi="Arial" w:cs="Arial"/>
            <w:sz w:val="22"/>
            <w:szCs w:val="22"/>
          </w:rPr>
          <w:t>https://www.uwtsd.ac.uk/library</w:t>
        </w:r>
      </w:hyperlink>
      <w:r w:rsidRPr="00E214BA">
        <w:rPr>
          <w:rFonts w:ascii="Arial" w:hAnsi="Arial" w:cs="Arial"/>
          <w:sz w:val="22"/>
          <w:szCs w:val="22"/>
        </w:rPr>
        <w:t xml:space="preserve"> (Accessed 18 July 2026).</w:t>
      </w:r>
    </w:p>
    <w:p w14:paraId="3A3459A9"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Brenman, N. F. (2021) ‘Placing precarity: access and belonging in the shifting landscape of UK mental health care’, </w:t>
      </w:r>
      <w:r w:rsidRPr="00E214BA">
        <w:rPr>
          <w:rFonts w:ascii="Arial" w:hAnsi="Arial" w:cs="Arial"/>
          <w:i/>
          <w:iCs/>
          <w:sz w:val="22"/>
          <w:szCs w:val="22"/>
        </w:rPr>
        <w:t>Culture, Medicine and Psychiatry</w:t>
      </w:r>
      <w:r w:rsidRPr="00E214BA">
        <w:rPr>
          <w:rFonts w:ascii="Arial" w:hAnsi="Arial" w:cs="Arial"/>
          <w:sz w:val="22"/>
          <w:szCs w:val="22"/>
        </w:rPr>
        <w:t xml:space="preserve">, 45(1), pp. 22–41. </w:t>
      </w:r>
    </w:p>
    <w:p w14:paraId="62516AE4"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lastRenderedPageBreak/>
        <w:t>Lowther</w:t>
      </w:r>
      <w:r w:rsidRPr="00E214BA">
        <w:rPr>
          <w:rFonts w:ascii="Arial" w:hAnsi="Arial" w:cs="Arial"/>
          <w:sz w:val="22"/>
          <w:szCs w:val="22"/>
        </w:rPr>
        <w:noBreakHyphen/>
        <w:t xml:space="preserve">Payne, H. J. et al. (2023) ‘Understanding inequalities in access to adult mental health services in the UK: a systematic mapping review’, </w:t>
      </w:r>
      <w:r w:rsidRPr="00E214BA">
        <w:rPr>
          <w:rFonts w:ascii="Arial" w:hAnsi="Arial" w:cs="Arial"/>
          <w:i/>
          <w:iCs/>
          <w:sz w:val="22"/>
          <w:szCs w:val="22"/>
        </w:rPr>
        <w:t>BMC Health Services Research</w:t>
      </w:r>
      <w:r w:rsidRPr="00E214BA">
        <w:rPr>
          <w:rFonts w:ascii="Arial" w:hAnsi="Arial" w:cs="Arial"/>
          <w:sz w:val="22"/>
          <w:szCs w:val="22"/>
        </w:rPr>
        <w:t xml:space="preserve">, 23(1), pp. 1–13. </w:t>
      </w:r>
    </w:p>
    <w:p w14:paraId="5BBBB694"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Owens, J. et al. (2025) ‘Access, inequalities and annual health checks (AHCs) for adults living with severe mental illness in the UK: a mixed</w:t>
      </w:r>
      <w:r w:rsidRPr="00E214BA">
        <w:rPr>
          <w:rFonts w:ascii="Arial" w:hAnsi="Arial" w:cs="Arial"/>
          <w:sz w:val="22"/>
          <w:szCs w:val="22"/>
        </w:rPr>
        <w:noBreakHyphen/>
        <w:t xml:space="preserve">methods systematic review’, </w:t>
      </w:r>
      <w:r w:rsidRPr="00E214BA">
        <w:rPr>
          <w:rFonts w:ascii="Arial" w:hAnsi="Arial" w:cs="Arial"/>
          <w:i/>
          <w:iCs/>
          <w:sz w:val="22"/>
          <w:szCs w:val="22"/>
        </w:rPr>
        <w:t>BMJ Open</w:t>
      </w:r>
      <w:r w:rsidRPr="00E214BA">
        <w:rPr>
          <w:rFonts w:ascii="Arial" w:hAnsi="Arial" w:cs="Arial"/>
          <w:sz w:val="22"/>
          <w:szCs w:val="22"/>
        </w:rPr>
        <w:t xml:space="preserve">, 15(8), p. e093426. </w:t>
      </w:r>
    </w:p>
    <w:p w14:paraId="59FB348A" w14:textId="151B84A0"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Soneson, E. et al. (2024) ‘Access to and perceived unmet need for mental health services and support in a community sample of UK adolescents with and without experience of childhood adversity’, </w:t>
      </w:r>
      <w:r w:rsidRPr="00E214BA">
        <w:rPr>
          <w:rFonts w:ascii="Arial" w:hAnsi="Arial" w:cs="Arial"/>
          <w:i/>
          <w:iCs/>
          <w:sz w:val="22"/>
          <w:szCs w:val="22"/>
        </w:rPr>
        <w:t>Epidemiology and Psychiatric Sciences</w:t>
      </w:r>
      <w:r w:rsidRPr="00E214BA">
        <w:rPr>
          <w:rFonts w:ascii="Arial" w:hAnsi="Arial" w:cs="Arial"/>
          <w:sz w:val="22"/>
          <w:szCs w:val="22"/>
        </w:rPr>
        <w:t xml:space="preserve">, 33, p. e1. </w:t>
      </w:r>
    </w:p>
    <w:p w14:paraId="057AA984" w14:textId="687E8D2F"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Udu, S. K. et al. (2026) ‘Barriers and disparities in adolescent mental health service access in the UK: A systematic review’, </w:t>
      </w:r>
      <w:r w:rsidRPr="00E214BA">
        <w:rPr>
          <w:rFonts w:ascii="Arial" w:hAnsi="Arial" w:cs="Arial"/>
          <w:i/>
          <w:iCs/>
          <w:sz w:val="22"/>
          <w:szCs w:val="22"/>
        </w:rPr>
        <w:t>Mental Health &amp; Prevention</w:t>
      </w:r>
      <w:r w:rsidRPr="00E214BA">
        <w:rPr>
          <w:rFonts w:ascii="Arial" w:hAnsi="Arial" w:cs="Arial"/>
          <w:sz w:val="22"/>
          <w:szCs w:val="22"/>
        </w:rPr>
        <w:t>, 41, p. 200497.</w:t>
      </w:r>
    </w:p>
    <w:p w14:paraId="02FE6B3C"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Brenman, N. F. (2021) ‘Placing precarity: access and belonging in the shifting landscape of UK mental health care’, </w:t>
      </w:r>
      <w:r w:rsidRPr="00E214BA">
        <w:rPr>
          <w:rFonts w:ascii="Arial" w:hAnsi="Arial" w:cs="Arial"/>
          <w:i/>
          <w:iCs/>
          <w:sz w:val="22"/>
          <w:szCs w:val="22"/>
        </w:rPr>
        <w:t>Culture, Medicine and Psychiatry</w:t>
      </w:r>
      <w:r w:rsidRPr="00E214BA">
        <w:rPr>
          <w:rFonts w:ascii="Arial" w:hAnsi="Arial" w:cs="Arial"/>
          <w:sz w:val="22"/>
          <w:szCs w:val="22"/>
        </w:rPr>
        <w:t xml:space="preserve">, 45(1), pp. 22–41. </w:t>
      </w:r>
    </w:p>
    <w:p w14:paraId="2CCEECD0"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Lowther</w:t>
      </w:r>
      <w:r w:rsidRPr="00E214BA">
        <w:rPr>
          <w:rFonts w:ascii="Arial" w:hAnsi="Arial" w:cs="Arial"/>
          <w:sz w:val="22"/>
          <w:szCs w:val="22"/>
        </w:rPr>
        <w:noBreakHyphen/>
        <w:t xml:space="preserve">Payne, H. J. et al. (2023) ‘Understanding inequalities in access to adult mental health services in the UK: a systematic mapping review’, </w:t>
      </w:r>
      <w:r w:rsidRPr="00E214BA">
        <w:rPr>
          <w:rFonts w:ascii="Arial" w:hAnsi="Arial" w:cs="Arial"/>
          <w:i/>
          <w:iCs/>
          <w:sz w:val="22"/>
          <w:szCs w:val="22"/>
        </w:rPr>
        <w:t>BMC Health Services Research</w:t>
      </w:r>
      <w:r w:rsidRPr="00E214BA">
        <w:rPr>
          <w:rFonts w:ascii="Arial" w:hAnsi="Arial" w:cs="Arial"/>
          <w:sz w:val="22"/>
          <w:szCs w:val="22"/>
        </w:rPr>
        <w:t>, 23(1), pp. 1–13.</w:t>
      </w:r>
    </w:p>
    <w:p w14:paraId="0968DFA5"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 Owens, J. et al. (2025) ‘Access, inequalities and annual health checks (AHCs) for adults living with severe mental illness in the UK: a mixed</w:t>
      </w:r>
      <w:r w:rsidRPr="00E214BA">
        <w:rPr>
          <w:rFonts w:ascii="Arial" w:hAnsi="Arial" w:cs="Arial"/>
          <w:sz w:val="22"/>
          <w:szCs w:val="22"/>
        </w:rPr>
        <w:noBreakHyphen/>
        <w:t xml:space="preserve">methods systematic review’, </w:t>
      </w:r>
      <w:r w:rsidRPr="00E214BA">
        <w:rPr>
          <w:rFonts w:ascii="Arial" w:hAnsi="Arial" w:cs="Arial"/>
          <w:i/>
          <w:iCs/>
          <w:sz w:val="22"/>
          <w:szCs w:val="22"/>
        </w:rPr>
        <w:t>BMJ Open</w:t>
      </w:r>
      <w:r w:rsidRPr="00E214BA">
        <w:rPr>
          <w:rFonts w:ascii="Arial" w:hAnsi="Arial" w:cs="Arial"/>
          <w:sz w:val="22"/>
          <w:szCs w:val="22"/>
        </w:rPr>
        <w:t xml:space="preserve">, 15(8), p. e093426. </w:t>
      </w:r>
    </w:p>
    <w:p w14:paraId="3875B82E"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Soneson, E. et al. (2024) ‘Access to and perceived unmet need for mental health services and support in a community sample of UK adolescents with and without experience of childhood adversity’, </w:t>
      </w:r>
      <w:r w:rsidRPr="00E214BA">
        <w:rPr>
          <w:rFonts w:ascii="Arial" w:hAnsi="Arial" w:cs="Arial"/>
          <w:i/>
          <w:iCs/>
          <w:sz w:val="22"/>
          <w:szCs w:val="22"/>
        </w:rPr>
        <w:t>Epidemiology and Psychiatric Sciences</w:t>
      </w:r>
      <w:r w:rsidRPr="00E214BA">
        <w:rPr>
          <w:rFonts w:ascii="Arial" w:hAnsi="Arial" w:cs="Arial"/>
          <w:sz w:val="22"/>
          <w:szCs w:val="22"/>
        </w:rPr>
        <w:t xml:space="preserve">, 33, p. e1. </w:t>
      </w:r>
    </w:p>
    <w:p w14:paraId="56AE832E" w14:textId="17587B0F"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Udu, S. K. et al. (2026) ‘Barriers and disparities in adolescent mental health service access in the UK: A systematic review’, </w:t>
      </w:r>
      <w:r w:rsidRPr="00E214BA">
        <w:rPr>
          <w:rFonts w:ascii="Arial" w:hAnsi="Arial" w:cs="Arial"/>
          <w:i/>
          <w:iCs/>
          <w:sz w:val="22"/>
          <w:szCs w:val="22"/>
        </w:rPr>
        <w:t>Mental Health &amp; Prevention</w:t>
      </w:r>
      <w:r w:rsidRPr="00E214BA">
        <w:rPr>
          <w:rFonts w:ascii="Arial" w:hAnsi="Arial" w:cs="Arial"/>
          <w:sz w:val="22"/>
          <w:szCs w:val="22"/>
        </w:rPr>
        <w:t>, 41, p. 200497.</w:t>
      </w:r>
    </w:p>
    <w:p w14:paraId="4DF6D99F" w14:textId="77777777" w:rsidR="00A75604" w:rsidRPr="00E214BA" w:rsidRDefault="00A75604" w:rsidP="00E214BA">
      <w:pPr>
        <w:spacing w:line="360" w:lineRule="auto"/>
        <w:rPr>
          <w:rFonts w:ascii="Arial" w:hAnsi="Arial" w:cs="Arial"/>
          <w:sz w:val="22"/>
          <w:szCs w:val="22"/>
        </w:rPr>
      </w:pPr>
      <w:r w:rsidRPr="00E214BA">
        <w:rPr>
          <w:rFonts w:ascii="Arial" w:hAnsi="Arial" w:cs="Arial"/>
          <w:sz w:val="22"/>
          <w:szCs w:val="22"/>
        </w:rPr>
        <w:t xml:space="preserve">Brenman, N. F. (2021) ‘Placing precarity: access and belonging in the shifting landscape of UK mental health care’, </w:t>
      </w:r>
      <w:r w:rsidRPr="00E214BA">
        <w:rPr>
          <w:rFonts w:ascii="Arial" w:hAnsi="Arial" w:cs="Arial"/>
          <w:i/>
          <w:iCs/>
          <w:sz w:val="22"/>
          <w:szCs w:val="22"/>
        </w:rPr>
        <w:t>Culture, Medicine and Psychiatry</w:t>
      </w:r>
      <w:r w:rsidRPr="00E214BA">
        <w:rPr>
          <w:rFonts w:ascii="Arial" w:hAnsi="Arial" w:cs="Arial"/>
          <w:sz w:val="22"/>
          <w:szCs w:val="22"/>
        </w:rPr>
        <w:t xml:space="preserve">, 45(1), pp. 22–41. </w:t>
      </w:r>
    </w:p>
    <w:p w14:paraId="4854BB26" w14:textId="77777777" w:rsidR="00A75604" w:rsidRPr="00E214BA" w:rsidRDefault="00A75604" w:rsidP="00E214BA">
      <w:pPr>
        <w:spacing w:line="360" w:lineRule="auto"/>
        <w:rPr>
          <w:rFonts w:ascii="Arial" w:hAnsi="Arial" w:cs="Arial"/>
          <w:sz w:val="22"/>
          <w:szCs w:val="22"/>
        </w:rPr>
      </w:pPr>
      <w:r w:rsidRPr="00E214BA">
        <w:rPr>
          <w:rFonts w:ascii="Arial" w:hAnsi="Arial" w:cs="Arial"/>
          <w:sz w:val="22"/>
          <w:szCs w:val="22"/>
        </w:rPr>
        <w:t>Lowther</w:t>
      </w:r>
      <w:r w:rsidRPr="00E214BA">
        <w:rPr>
          <w:rFonts w:ascii="Arial" w:hAnsi="Arial" w:cs="Arial"/>
          <w:sz w:val="22"/>
          <w:szCs w:val="22"/>
        </w:rPr>
        <w:noBreakHyphen/>
        <w:t xml:space="preserve">Payne, H. J. et al. (2023) ‘Understanding inequalities in access to adult mental health services in the UK: a systematic mapping review’, </w:t>
      </w:r>
      <w:r w:rsidRPr="00E214BA">
        <w:rPr>
          <w:rFonts w:ascii="Arial" w:hAnsi="Arial" w:cs="Arial"/>
          <w:i/>
          <w:iCs/>
          <w:sz w:val="22"/>
          <w:szCs w:val="22"/>
        </w:rPr>
        <w:t>BMC Health Services Research</w:t>
      </w:r>
      <w:r w:rsidRPr="00E214BA">
        <w:rPr>
          <w:rFonts w:ascii="Arial" w:hAnsi="Arial" w:cs="Arial"/>
          <w:sz w:val="22"/>
          <w:szCs w:val="22"/>
        </w:rPr>
        <w:t xml:space="preserve">, 23(1), pp. 1–13. </w:t>
      </w:r>
    </w:p>
    <w:p w14:paraId="0D5971CB" w14:textId="77777777" w:rsidR="00A75604" w:rsidRPr="00E214BA" w:rsidRDefault="00A75604" w:rsidP="00E214BA">
      <w:pPr>
        <w:spacing w:line="360" w:lineRule="auto"/>
        <w:rPr>
          <w:rFonts w:ascii="Arial" w:hAnsi="Arial" w:cs="Arial"/>
          <w:sz w:val="22"/>
          <w:szCs w:val="22"/>
        </w:rPr>
      </w:pPr>
      <w:r w:rsidRPr="00E214BA">
        <w:rPr>
          <w:rFonts w:ascii="Arial" w:hAnsi="Arial" w:cs="Arial"/>
          <w:sz w:val="22"/>
          <w:szCs w:val="22"/>
        </w:rPr>
        <w:t>Owens, J. et al. (2025) ‘Access, inequalities and annual health checks (AHCs) for adults living with severe mental illness in the UK: a mixed</w:t>
      </w:r>
      <w:r w:rsidRPr="00E214BA">
        <w:rPr>
          <w:rFonts w:ascii="Arial" w:hAnsi="Arial" w:cs="Arial"/>
          <w:sz w:val="22"/>
          <w:szCs w:val="22"/>
        </w:rPr>
        <w:noBreakHyphen/>
        <w:t xml:space="preserve">methods systematic review’, </w:t>
      </w:r>
      <w:r w:rsidRPr="00E214BA">
        <w:rPr>
          <w:rFonts w:ascii="Arial" w:hAnsi="Arial" w:cs="Arial"/>
          <w:i/>
          <w:iCs/>
          <w:sz w:val="22"/>
          <w:szCs w:val="22"/>
        </w:rPr>
        <w:t>BMJ Open</w:t>
      </w:r>
      <w:r w:rsidRPr="00E214BA">
        <w:rPr>
          <w:rFonts w:ascii="Arial" w:hAnsi="Arial" w:cs="Arial"/>
          <w:sz w:val="22"/>
          <w:szCs w:val="22"/>
        </w:rPr>
        <w:t xml:space="preserve">, 15(8), p. e093426. </w:t>
      </w:r>
    </w:p>
    <w:p w14:paraId="319068EF" w14:textId="77777777" w:rsidR="00A75604" w:rsidRPr="00E214BA" w:rsidRDefault="00A75604" w:rsidP="00E214BA">
      <w:pPr>
        <w:spacing w:line="360" w:lineRule="auto"/>
        <w:rPr>
          <w:rFonts w:ascii="Arial" w:hAnsi="Arial" w:cs="Arial"/>
          <w:sz w:val="22"/>
          <w:szCs w:val="22"/>
        </w:rPr>
      </w:pPr>
      <w:r w:rsidRPr="00E214BA">
        <w:rPr>
          <w:rFonts w:ascii="Arial" w:hAnsi="Arial" w:cs="Arial"/>
          <w:sz w:val="22"/>
          <w:szCs w:val="22"/>
        </w:rPr>
        <w:lastRenderedPageBreak/>
        <w:t xml:space="preserve">Soneson, E. et al. (2024) ‘Access to and perceived unmet need for mental health services and support in a community sample of UK adolescents with and without experience of childhood adversity’, </w:t>
      </w:r>
      <w:r w:rsidRPr="00E214BA">
        <w:rPr>
          <w:rFonts w:ascii="Arial" w:hAnsi="Arial" w:cs="Arial"/>
          <w:i/>
          <w:iCs/>
          <w:sz w:val="22"/>
          <w:szCs w:val="22"/>
        </w:rPr>
        <w:t>Epidemiology and Psychiatric Sciences</w:t>
      </w:r>
      <w:r w:rsidRPr="00E214BA">
        <w:rPr>
          <w:rFonts w:ascii="Arial" w:hAnsi="Arial" w:cs="Arial"/>
          <w:sz w:val="22"/>
          <w:szCs w:val="22"/>
        </w:rPr>
        <w:t xml:space="preserve">, 33, p. e1. </w:t>
      </w:r>
    </w:p>
    <w:p w14:paraId="34E947A6" w14:textId="3B6F22A2" w:rsidR="00A75604" w:rsidRPr="00E214BA" w:rsidRDefault="00A75604" w:rsidP="00E214BA">
      <w:pPr>
        <w:spacing w:line="360" w:lineRule="auto"/>
        <w:rPr>
          <w:rFonts w:ascii="Arial" w:hAnsi="Arial" w:cs="Arial"/>
          <w:sz w:val="22"/>
          <w:szCs w:val="22"/>
        </w:rPr>
      </w:pPr>
      <w:r w:rsidRPr="00E214BA">
        <w:rPr>
          <w:rFonts w:ascii="Arial" w:hAnsi="Arial" w:cs="Arial"/>
          <w:sz w:val="22"/>
          <w:szCs w:val="22"/>
        </w:rPr>
        <w:t xml:space="preserve">Udu, S. K. et al. (2026) ‘Barriers and disparities in adolescent mental health service access in the UK: A systematic review’, </w:t>
      </w:r>
      <w:r w:rsidRPr="00E214BA">
        <w:rPr>
          <w:rFonts w:ascii="Arial" w:hAnsi="Arial" w:cs="Arial"/>
          <w:i/>
          <w:iCs/>
          <w:sz w:val="22"/>
          <w:szCs w:val="22"/>
        </w:rPr>
        <w:t>Mental Health &amp; Prevention</w:t>
      </w:r>
      <w:r w:rsidRPr="00E214BA">
        <w:rPr>
          <w:rFonts w:ascii="Arial" w:hAnsi="Arial" w:cs="Arial"/>
          <w:sz w:val="22"/>
          <w:szCs w:val="22"/>
        </w:rPr>
        <w:t>, 41, p. 200497.</w:t>
      </w:r>
    </w:p>
    <w:p w14:paraId="73086337" w14:textId="77777777"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 xml:space="preserve">Brenman, N. F. (2021) ‘Placing precarity: access and belonging in the shifting landscape of UK mental health care’, </w:t>
      </w:r>
      <w:r w:rsidRPr="00E214BA">
        <w:rPr>
          <w:rFonts w:ascii="Arial" w:hAnsi="Arial" w:cs="Arial"/>
          <w:i/>
          <w:iCs/>
          <w:sz w:val="22"/>
          <w:szCs w:val="22"/>
        </w:rPr>
        <w:t>Culture, Medicine and Psychiatry</w:t>
      </w:r>
      <w:r w:rsidRPr="00E214BA">
        <w:rPr>
          <w:rFonts w:ascii="Arial" w:hAnsi="Arial" w:cs="Arial"/>
          <w:sz w:val="22"/>
          <w:szCs w:val="22"/>
        </w:rPr>
        <w:t xml:space="preserve">, 45(1), pp. 22–41. </w:t>
      </w:r>
    </w:p>
    <w:p w14:paraId="7450CFFF" w14:textId="77777777"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Lowther</w:t>
      </w:r>
      <w:r w:rsidRPr="00E214BA">
        <w:rPr>
          <w:rFonts w:ascii="Arial" w:hAnsi="Arial" w:cs="Arial"/>
          <w:sz w:val="22"/>
          <w:szCs w:val="22"/>
        </w:rPr>
        <w:noBreakHyphen/>
        <w:t xml:space="preserve">Payne, H. J. et al. (2023) ‘Understanding inequalities in access to adult mental health services in the UK: a systematic mapping review’, </w:t>
      </w:r>
      <w:r w:rsidRPr="00E214BA">
        <w:rPr>
          <w:rFonts w:ascii="Arial" w:hAnsi="Arial" w:cs="Arial"/>
          <w:i/>
          <w:iCs/>
          <w:sz w:val="22"/>
          <w:szCs w:val="22"/>
        </w:rPr>
        <w:t>BMC Health Services Research</w:t>
      </w:r>
      <w:r w:rsidRPr="00E214BA">
        <w:rPr>
          <w:rFonts w:ascii="Arial" w:hAnsi="Arial" w:cs="Arial"/>
          <w:sz w:val="22"/>
          <w:szCs w:val="22"/>
        </w:rPr>
        <w:t xml:space="preserve">, 23(1), pp. 1–13. </w:t>
      </w:r>
    </w:p>
    <w:p w14:paraId="0333D8E4" w14:textId="77777777"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Owens, J. et al. (2025) ‘Access, inequalities and annual health checks (AHCs) for adults living with severe mental illness in the UK: a mixed</w:t>
      </w:r>
      <w:r w:rsidRPr="00E214BA">
        <w:rPr>
          <w:rFonts w:ascii="Arial" w:hAnsi="Arial" w:cs="Arial"/>
          <w:sz w:val="22"/>
          <w:szCs w:val="22"/>
        </w:rPr>
        <w:noBreakHyphen/>
        <w:t xml:space="preserve">methods systematic review’, </w:t>
      </w:r>
      <w:r w:rsidRPr="00E214BA">
        <w:rPr>
          <w:rFonts w:ascii="Arial" w:hAnsi="Arial" w:cs="Arial"/>
          <w:i/>
          <w:iCs/>
          <w:sz w:val="22"/>
          <w:szCs w:val="22"/>
        </w:rPr>
        <w:t>BMJ Open</w:t>
      </w:r>
      <w:r w:rsidRPr="00E214BA">
        <w:rPr>
          <w:rFonts w:ascii="Arial" w:hAnsi="Arial" w:cs="Arial"/>
          <w:sz w:val="22"/>
          <w:szCs w:val="22"/>
        </w:rPr>
        <w:t xml:space="preserve">, 15(8), p. e093426. </w:t>
      </w:r>
    </w:p>
    <w:p w14:paraId="6014F8F8" w14:textId="77777777"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 xml:space="preserve">Soneson, E. et al. (2024) ‘Access to and perceived unmet need for mental health services and support in a community sample of UK adolescents with and without experience of childhood adversity’, </w:t>
      </w:r>
      <w:r w:rsidRPr="00E214BA">
        <w:rPr>
          <w:rFonts w:ascii="Arial" w:hAnsi="Arial" w:cs="Arial"/>
          <w:i/>
          <w:iCs/>
          <w:sz w:val="22"/>
          <w:szCs w:val="22"/>
        </w:rPr>
        <w:t>Epidemiology and Psychiatric Sciences</w:t>
      </w:r>
      <w:r w:rsidRPr="00E214BA">
        <w:rPr>
          <w:rFonts w:ascii="Arial" w:hAnsi="Arial" w:cs="Arial"/>
          <w:sz w:val="22"/>
          <w:szCs w:val="22"/>
        </w:rPr>
        <w:t xml:space="preserve">, 33, p. e1. </w:t>
      </w:r>
    </w:p>
    <w:p w14:paraId="116DAEFC" w14:textId="771447D7"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 xml:space="preserve">Udu, S. K. et al. (2026) ‘Barriers and disparities in adolescent mental health service access in the UK: A systematic review’, </w:t>
      </w:r>
      <w:r w:rsidRPr="00E214BA">
        <w:rPr>
          <w:rFonts w:ascii="Arial" w:hAnsi="Arial" w:cs="Arial"/>
          <w:i/>
          <w:iCs/>
          <w:sz w:val="22"/>
          <w:szCs w:val="22"/>
        </w:rPr>
        <w:t>Mental Health &amp; Prevention</w:t>
      </w:r>
      <w:r w:rsidRPr="00E214BA">
        <w:rPr>
          <w:rFonts w:ascii="Arial" w:hAnsi="Arial" w:cs="Arial"/>
          <w:sz w:val="22"/>
          <w:szCs w:val="22"/>
        </w:rPr>
        <w:t>, 41, p. 200497.</w:t>
      </w:r>
    </w:p>
    <w:p w14:paraId="5AE800A5" w14:textId="77777777" w:rsidR="00E877FF" w:rsidRPr="00E214BA" w:rsidRDefault="00E877FF" w:rsidP="00E214BA">
      <w:pPr>
        <w:spacing w:line="360" w:lineRule="auto"/>
        <w:rPr>
          <w:rFonts w:ascii="Arial" w:hAnsi="Arial" w:cs="Arial"/>
          <w:sz w:val="22"/>
          <w:szCs w:val="22"/>
        </w:rPr>
      </w:pPr>
    </w:p>
    <w:p w14:paraId="4777A2BF" w14:textId="77777777" w:rsidR="00E877FF" w:rsidRPr="00E214BA" w:rsidRDefault="00E877FF" w:rsidP="00E214BA">
      <w:pPr>
        <w:spacing w:line="360" w:lineRule="auto"/>
        <w:rPr>
          <w:rFonts w:ascii="Arial" w:hAnsi="Arial" w:cs="Arial"/>
          <w:sz w:val="22"/>
          <w:szCs w:val="22"/>
        </w:rPr>
      </w:pPr>
    </w:p>
    <w:p w14:paraId="69F69CC6" w14:textId="77777777" w:rsidR="00A75604" w:rsidRPr="00E214BA" w:rsidRDefault="00A75604" w:rsidP="00E214BA">
      <w:pPr>
        <w:spacing w:line="360" w:lineRule="auto"/>
        <w:rPr>
          <w:rFonts w:ascii="Arial" w:hAnsi="Arial" w:cs="Arial"/>
          <w:sz w:val="22"/>
          <w:szCs w:val="22"/>
        </w:rPr>
      </w:pPr>
    </w:p>
    <w:p w14:paraId="5833CF8F" w14:textId="77777777" w:rsidR="00261CB6" w:rsidRPr="00E214BA" w:rsidRDefault="00261CB6" w:rsidP="00E214BA">
      <w:pPr>
        <w:spacing w:line="360" w:lineRule="auto"/>
        <w:rPr>
          <w:rFonts w:ascii="Arial" w:hAnsi="Arial" w:cs="Arial"/>
          <w:sz w:val="22"/>
          <w:szCs w:val="22"/>
        </w:rPr>
      </w:pPr>
    </w:p>
    <w:p w14:paraId="242A4A8C" w14:textId="77777777" w:rsidR="00261CB6" w:rsidRPr="00E214BA" w:rsidRDefault="00261CB6" w:rsidP="00E214BA">
      <w:pPr>
        <w:spacing w:line="360" w:lineRule="auto"/>
        <w:rPr>
          <w:rFonts w:ascii="Arial" w:hAnsi="Arial" w:cs="Arial"/>
          <w:sz w:val="22"/>
          <w:szCs w:val="22"/>
        </w:rPr>
      </w:pPr>
    </w:p>
    <w:p w14:paraId="456AB516" w14:textId="77777777" w:rsidR="0071250D" w:rsidRPr="00E214BA" w:rsidRDefault="0071250D" w:rsidP="00E214BA">
      <w:pPr>
        <w:spacing w:line="360" w:lineRule="auto"/>
        <w:rPr>
          <w:rFonts w:ascii="Arial" w:hAnsi="Arial" w:cs="Arial"/>
          <w:sz w:val="22"/>
          <w:szCs w:val="22"/>
        </w:rPr>
      </w:pPr>
    </w:p>
    <w:p w14:paraId="3A15FD2D" w14:textId="4A483064" w:rsidR="005D7DC6" w:rsidRPr="00E214BA" w:rsidRDefault="005D7DC6" w:rsidP="00E214BA">
      <w:pPr>
        <w:spacing w:line="360" w:lineRule="auto"/>
        <w:rPr>
          <w:rFonts w:ascii="Arial" w:hAnsi="Arial" w:cs="Arial"/>
          <w:sz w:val="22"/>
          <w:szCs w:val="22"/>
        </w:rPr>
      </w:pPr>
    </w:p>
    <w:p w14:paraId="55EE3AC5" w14:textId="77777777" w:rsidR="005D7DC6" w:rsidRPr="00E214BA" w:rsidRDefault="005D7DC6" w:rsidP="00E214BA">
      <w:pPr>
        <w:spacing w:line="360" w:lineRule="auto"/>
        <w:rPr>
          <w:rFonts w:ascii="Arial" w:hAnsi="Arial" w:cs="Arial"/>
          <w:sz w:val="22"/>
          <w:szCs w:val="22"/>
        </w:rPr>
      </w:pPr>
    </w:p>
    <w:sectPr w:rsidR="005D7DC6" w:rsidRPr="00E214B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1CE30B" w14:textId="77777777" w:rsidR="007C3426" w:rsidRDefault="007C3426" w:rsidP="00E214BA">
      <w:pPr>
        <w:spacing w:after="0" w:line="240" w:lineRule="auto"/>
      </w:pPr>
      <w:r>
        <w:separator/>
      </w:r>
    </w:p>
  </w:endnote>
  <w:endnote w:type="continuationSeparator" w:id="0">
    <w:p w14:paraId="54B5CB3E" w14:textId="77777777" w:rsidR="007C3426" w:rsidRDefault="007C3426" w:rsidP="00E21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6963174"/>
      <w:docPartObj>
        <w:docPartGallery w:val="Page Numbers (Bottom of Page)"/>
        <w:docPartUnique/>
      </w:docPartObj>
    </w:sdtPr>
    <w:sdtEndPr/>
    <w:sdtContent>
      <w:sdt>
        <w:sdtPr>
          <w:id w:val="-1705238520"/>
          <w:docPartObj>
            <w:docPartGallery w:val="Page Numbers (Top of Page)"/>
            <w:docPartUnique/>
          </w:docPartObj>
        </w:sdtPr>
        <w:sdtEndPr/>
        <w:sdtContent>
          <w:p w14:paraId="455DBE6E" w14:textId="18A52405" w:rsidR="00E214BA" w:rsidRDefault="00E214BA">
            <w:pPr>
              <w:pStyle w:val="Foo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1AE0E40" w14:textId="77777777" w:rsidR="00E214BA" w:rsidRDefault="00E214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371A1" w14:textId="77777777" w:rsidR="007C3426" w:rsidRDefault="007C3426" w:rsidP="00E214BA">
      <w:pPr>
        <w:spacing w:after="0" w:line="240" w:lineRule="auto"/>
      </w:pPr>
      <w:r>
        <w:separator/>
      </w:r>
    </w:p>
  </w:footnote>
  <w:footnote w:type="continuationSeparator" w:id="0">
    <w:p w14:paraId="57B705CF" w14:textId="77777777" w:rsidR="007C3426" w:rsidRDefault="007C3426" w:rsidP="00E214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E3E52D" w14:textId="17D113E8" w:rsidR="00E214BA" w:rsidRDefault="00E214BA">
    <w:pPr>
      <w:pStyle w:val="Header"/>
    </w:pPr>
    <w:r>
      <w:t xml:space="preserve">Leticia Maison </w:t>
    </w:r>
  </w:p>
  <w:p w14:paraId="4249A9C3" w14:textId="1C7B8B33" w:rsidR="00E214BA" w:rsidRDefault="00E214BA">
    <w:pPr>
      <w:pStyle w:val="Header"/>
    </w:pPr>
    <w:r>
      <w:t>Student Number: 2328708</w:t>
    </w:r>
  </w:p>
  <w:p w14:paraId="40A6D5F0" w14:textId="4A976F88" w:rsidR="00E214BA" w:rsidRDefault="00E214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651362"/>
    <w:multiLevelType w:val="multilevel"/>
    <w:tmpl w:val="77346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077E67"/>
    <w:multiLevelType w:val="hybridMultilevel"/>
    <w:tmpl w:val="312CE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0471101">
    <w:abstractNumId w:val="0"/>
  </w:num>
  <w:num w:numId="2" w16cid:durableId="324549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DC6"/>
    <w:rsid w:val="00185E7D"/>
    <w:rsid w:val="001B4B30"/>
    <w:rsid w:val="002077EA"/>
    <w:rsid w:val="00261CB6"/>
    <w:rsid w:val="00462739"/>
    <w:rsid w:val="004C67DE"/>
    <w:rsid w:val="005D7DC6"/>
    <w:rsid w:val="0071250D"/>
    <w:rsid w:val="00722DEF"/>
    <w:rsid w:val="007C3426"/>
    <w:rsid w:val="007D170A"/>
    <w:rsid w:val="00991C0F"/>
    <w:rsid w:val="00A75604"/>
    <w:rsid w:val="00B50A69"/>
    <w:rsid w:val="00C37890"/>
    <w:rsid w:val="00C77E72"/>
    <w:rsid w:val="00C90523"/>
    <w:rsid w:val="00CF1853"/>
    <w:rsid w:val="00D64F4A"/>
    <w:rsid w:val="00E214BA"/>
    <w:rsid w:val="00E74F3B"/>
    <w:rsid w:val="00E87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7C470"/>
  <w15:chartTrackingRefBased/>
  <w15:docId w15:val="{2E55ACE7-07C2-4C4C-91A4-2E94CC326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D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7D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D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D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D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D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D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D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D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D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7D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D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D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D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D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D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D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DC6"/>
    <w:rPr>
      <w:rFonts w:eastAsiaTheme="majorEastAsia" w:cstheme="majorBidi"/>
      <w:color w:val="272727" w:themeColor="text1" w:themeTint="D8"/>
    </w:rPr>
  </w:style>
  <w:style w:type="paragraph" w:styleId="Title">
    <w:name w:val="Title"/>
    <w:basedOn w:val="Normal"/>
    <w:next w:val="Normal"/>
    <w:link w:val="TitleChar"/>
    <w:uiPriority w:val="10"/>
    <w:qFormat/>
    <w:rsid w:val="005D7D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D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D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D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DC6"/>
    <w:pPr>
      <w:spacing w:before="160"/>
      <w:jc w:val="center"/>
    </w:pPr>
    <w:rPr>
      <w:i/>
      <w:iCs/>
      <w:color w:val="404040" w:themeColor="text1" w:themeTint="BF"/>
    </w:rPr>
  </w:style>
  <w:style w:type="character" w:customStyle="1" w:styleId="QuoteChar">
    <w:name w:val="Quote Char"/>
    <w:basedOn w:val="DefaultParagraphFont"/>
    <w:link w:val="Quote"/>
    <w:uiPriority w:val="29"/>
    <w:rsid w:val="005D7DC6"/>
    <w:rPr>
      <w:i/>
      <w:iCs/>
      <w:color w:val="404040" w:themeColor="text1" w:themeTint="BF"/>
    </w:rPr>
  </w:style>
  <w:style w:type="paragraph" w:styleId="ListParagraph">
    <w:name w:val="List Paragraph"/>
    <w:basedOn w:val="Normal"/>
    <w:uiPriority w:val="34"/>
    <w:qFormat/>
    <w:rsid w:val="005D7DC6"/>
    <w:pPr>
      <w:ind w:left="720"/>
      <w:contextualSpacing/>
    </w:pPr>
  </w:style>
  <w:style w:type="character" w:styleId="IntenseEmphasis">
    <w:name w:val="Intense Emphasis"/>
    <w:basedOn w:val="DefaultParagraphFont"/>
    <w:uiPriority w:val="21"/>
    <w:qFormat/>
    <w:rsid w:val="005D7DC6"/>
    <w:rPr>
      <w:i/>
      <w:iCs/>
      <w:color w:val="0F4761" w:themeColor="accent1" w:themeShade="BF"/>
    </w:rPr>
  </w:style>
  <w:style w:type="paragraph" w:styleId="IntenseQuote">
    <w:name w:val="Intense Quote"/>
    <w:basedOn w:val="Normal"/>
    <w:next w:val="Normal"/>
    <w:link w:val="IntenseQuoteChar"/>
    <w:uiPriority w:val="30"/>
    <w:qFormat/>
    <w:rsid w:val="005D7D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DC6"/>
    <w:rPr>
      <w:i/>
      <w:iCs/>
      <w:color w:val="0F4761" w:themeColor="accent1" w:themeShade="BF"/>
    </w:rPr>
  </w:style>
  <w:style w:type="character" w:styleId="IntenseReference">
    <w:name w:val="Intense Reference"/>
    <w:basedOn w:val="DefaultParagraphFont"/>
    <w:uiPriority w:val="32"/>
    <w:qFormat/>
    <w:rsid w:val="005D7DC6"/>
    <w:rPr>
      <w:b/>
      <w:bCs/>
      <w:smallCaps/>
      <w:color w:val="0F4761" w:themeColor="accent1" w:themeShade="BF"/>
      <w:spacing w:val="5"/>
    </w:rPr>
  </w:style>
  <w:style w:type="character" w:styleId="Hyperlink">
    <w:name w:val="Hyperlink"/>
    <w:basedOn w:val="DefaultParagraphFont"/>
    <w:uiPriority w:val="99"/>
    <w:unhideWhenUsed/>
    <w:rsid w:val="005D7DC6"/>
    <w:rPr>
      <w:color w:val="467886" w:themeColor="hyperlink"/>
      <w:u w:val="single"/>
    </w:rPr>
  </w:style>
  <w:style w:type="character" w:styleId="UnresolvedMention">
    <w:name w:val="Unresolved Mention"/>
    <w:basedOn w:val="DefaultParagraphFont"/>
    <w:uiPriority w:val="99"/>
    <w:semiHidden/>
    <w:unhideWhenUsed/>
    <w:rsid w:val="005D7DC6"/>
    <w:rPr>
      <w:color w:val="605E5C"/>
      <w:shd w:val="clear" w:color="auto" w:fill="E1DFDD"/>
    </w:rPr>
  </w:style>
  <w:style w:type="paragraph" w:styleId="Header">
    <w:name w:val="header"/>
    <w:basedOn w:val="Normal"/>
    <w:link w:val="HeaderChar"/>
    <w:uiPriority w:val="99"/>
    <w:unhideWhenUsed/>
    <w:rsid w:val="00E21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4BA"/>
  </w:style>
  <w:style w:type="paragraph" w:styleId="Footer">
    <w:name w:val="footer"/>
    <w:basedOn w:val="Normal"/>
    <w:link w:val="FooterChar"/>
    <w:uiPriority w:val="99"/>
    <w:unhideWhenUsed/>
    <w:rsid w:val="00E214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4BA"/>
  </w:style>
  <w:style w:type="table" w:styleId="TableGrid">
    <w:name w:val="Table Grid"/>
    <w:basedOn w:val="TableNormal"/>
    <w:uiPriority w:val="39"/>
    <w:rsid w:val="007D17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ngminds.org.uk/?utm_source=copilot.com" TargetMode="External"/><Relationship Id="rId13" Type="http://schemas.openxmlformats.org/officeDocument/2006/relationships/hyperlink" Target="https://www.nspcc.org.uk/?utm_source=copilot.com" TargetMode="External"/><Relationship Id="rId18" Type="http://schemas.openxmlformats.org/officeDocument/2006/relationships/hyperlink" Target="https://www.nhs.uk/?utm_source=copilot.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england.nhs.uk/statistics/?utm_source=copilot.com" TargetMode="External"/><Relationship Id="rId12" Type="http://schemas.openxmlformats.org/officeDocument/2006/relationships/hyperlink" Target="https://www.england.nhs.uk/?utm_source=copilot.com" TargetMode="External"/><Relationship Id="rId17" Type="http://schemas.openxmlformats.org/officeDocument/2006/relationships/hyperlink" Target="https://library.nhs.uk/?utm_source=copilot.com" TargetMode="External"/><Relationship Id="rId2" Type="http://schemas.openxmlformats.org/officeDocument/2006/relationships/styles" Target="styles.xml"/><Relationship Id="rId16" Type="http://schemas.openxmlformats.org/officeDocument/2006/relationships/hyperlink" Target="https://www.youngminds.org.uk/?utm_source=copilot.co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utm_source=copilot.com" TargetMode="External"/><Relationship Id="rId5" Type="http://schemas.openxmlformats.org/officeDocument/2006/relationships/footnotes" Target="footnotes.xml"/><Relationship Id="rId15" Type="http://schemas.openxmlformats.org/officeDocument/2006/relationships/hyperlink" Target="https://www.bing.com/search?q=%22https%3A%2F%2Fwww.refugeecouncil.org.uk%2F%22&amp;utm_source=copilot.com" TargetMode="External"/><Relationship Id="rId23" Type="http://schemas.openxmlformats.org/officeDocument/2006/relationships/theme" Target="theme/theme1.xml"/><Relationship Id="rId10" Type="http://schemas.openxmlformats.org/officeDocument/2006/relationships/hyperlink" Target="https://www.mind.org.uk/?utm_source=copilot.com" TargetMode="External"/><Relationship Id="rId19" Type="http://schemas.openxmlformats.org/officeDocument/2006/relationships/hyperlink" Target="https://www.uwtsd.ac.uk/library?utm_source=copilot.com" TargetMode="External"/><Relationship Id="rId4" Type="http://schemas.openxmlformats.org/officeDocument/2006/relationships/webSettings" Target="webSettings.xml"/><Relationship Id="rId9" Type="http://schemas.openxmlformats.org/officeDocument/2006/relationships/hyperlink" Target="https://www.gov.uk/?utm_source=copilot.com" TargetMode="External"/><Relationship Id="rId14" Type="http://schemas.openxmlformats.org/officeDocument/2006/relationships/hyperlink" Target="https://www.gov.uk/phe?utm_source=copilo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4897</Words>
  <Characters>27913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2</cp:revision>
  <dcterms:created xsi:type="dcterms:W3CDTF">2026-07-18T21:12:00Z</dcterms:created>
  <dcterms:modified xsi:type="dcterms:W3CDTF">2026-07-18T21:12:00Z</dcterms:modified>
</cp:coreProperties>
</file>